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footer37.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header41.xml" ContentType="application/vnd.openxmlformats-officedocument.wordprocessingml.header+xml"/>
  <Override PartName="/word/footer39.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header4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footer61.xml" ContentType="application/vnd.openxmlformats-officedocument.wordprocessingml.footer+xml"/>
  <Override PartName="/word/header61.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6.xml" ContentType="application/vnd.openxmlformats-officedocument.wordprocessingml.footer+xml"/>
  <Override PartName="/word/header64.xml" ContentType="application/vnd.openxmlformats-officedocument.wordprocessingml.header+xml"/>
  <Override PartName="/word/footer67.xml" ContentType="application/vnd.openxmlformats-officedocument.wordprocessingml.footer+xml"/>
  <Override PartName="/word/header65.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66.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tabs>
          <w:tab w:pos="3600" w:val="left" w:leader="none"/>
        </w:tabs>
        <w:spacing w:line="240" w:lineRule="auto" w:before="12"/>
        <w:ind w:left="118" w:right="1783"/>
        <w:jc w:val="left"/>
        <w:rPr>
          <w:b w:val="0"/>
          <w:bCs w:val="0"/>
        </w:rPr>
      </w:pPr>
      <w:r>
        <w:rPr>
          <w:w w:val="95"/>
        </w:rPr>
        <w:t>公司代码：</w:t>
      </w:r>
      <w:r>
        <w:rPr>
          <w:rFonts w:ascii="宋体" w:hAnsi="宋体" w:cs="宋体" w:eastAsia="宋体" w:hint="default"/>
          <w:w w:val="95"/>
        </w:rPr>
        <w:t>600718</w:t>
        <w:tab/>
      </w:r>
      <w:r>
        <w:rPr/>
        <w:t>公司简称：东软集团</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line="572" w:lineRule="exact" w:before="0"/>
        <w:ind w:left="2931" w:right="1783" w:hanging="605"/>
        <w:jc w:val="left"/>
        <w:rPr>
          <w:rFonts w:ascii="黑体" w:hAnsi="黑体" w:cs="黑体" w:eastAsia="黑体" w:hint="default"/>
          <w:sz w:val="44"/>
          <w:szCs w:val="44"/>
        </w:rPr>
      </w:pPr>
      <w:r>
        <w:rPr>
          <w:rFonts w:ascii="黑体" w:hAnsi="黑体" w:cs="黑体" w:eastAsia="黑体" w:hint="default"/>
          <w:b/>
          <w:bCs/>
          <w:color w:val="FF0000"/>
          <w:sz w:val="44"/>
          <w:szCs w:val="44"/>
        </w:rPr>
        <w:t>东软集团股份有限公司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6"/>
          <w:szCs w:val="26"/>
        </w:rPr>
      </w:pPr>
    </w:p>
    <w:p>
      <w:pPr>
        <w:spacing w:line="417" w:lineRule="exact"/>
        <w:ind w:left="2823" w:right="0" w:firstLine="0"/>
        <w:rPr>
          <w:rFonts w:ascii="黑体" w:hAnsi="黑体" w:cs="黑体" w:eastAsia="黑体" w:hint="default"/>
          <w:sz w:val="20"/>
          <w:szCs w:val="20"/>
        </w:rPr>
      </w:pPr>
      <w:r>
        <w:rPr>
          <w:rFonts w:ascii="黑体" w:hAnsi="黑体" w:cs="黑体" w:eastAsia="黑体" w:hint="default"/>
          <w:position w:val="-7"/>
          <w:sz w:val="20"/>
          <w:szCs w:val="20"/>
        </w:rPr>
        <w:drawing>
          <wp:inline distT="0" distB="0" distL="0" distR="0">
            <wp:extent cx="2149819" cy="265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49819" cy="265175"/>
                    </a:xfrm>
                    <a:prstGeom prst="rect">
                      <a:avLst/>
                    </a:prstGeom>
                  </pic:spPr>
                </pic:pic>
              </a:graphicData>
            </a:graphic>
          </wp:inline>
        </w:drawing>
      </w:r>
      <w:r>
        <w:rPr>
          <w:rFonts w:ascii="黑体" w:hAnsi="黑体" w:cs="黑体" w:eastAsia="黑体" w:hint="default"/>
          <w:position w:val="-7"/>
          <w:sz w:val="20"/>
          <w:szCs w:val="20"/>
        </w:rPr>
      </w:r>
    </w:p>
    <w:p>
      <w:pPr>
        <w:spacing w:after="0" w:line="417" w:lineRule="exact"/>
        <w:rPr>
          <w:rFonts w:ascii="黑体" w:hAnsi="黑体" w:cs="黑体" w:eastAsia="黑体" w:hint="default"/>
          <w:sz w:val="20"/>
          <w:szCs w:val="20"/>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before="188"/>
        <w:ind w:left="3952" w:right="39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pStyle w:val="Heading4"/>
        <w:spacing w:line="240" w:lineRule="auto" w:before="250"/>
        <w:ind w:left="48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8"/>
        <w:rPr>
          <w:rFonts w:ascii="宋体" w:hAnsi="宋体" w:cs="宋体" w:eastAsia="宋体" w:hint="default"/>
          <w:b/>
          <w:bCs/>
          <w:sz w:val="20"/>
          <w:szCs w:val="20"/>
        </w:rPr>
      </w:pPr>
    </w:p>
    <w:p>
      <w:pPr>
        <w:pStyle w:val="Heading4"/>
        <w:spacing w:line="475" w:lineRule="auto"/>
        <w:ind w:left="118" w:right="0"/>
        <w:jc w:val="left"/>
        <w:rPr>
          <w:b w:val="0"/>
          <w:bCs w:val="0"/>
        </w:rPr>
      </w:pPr>
      <w:r>
        <w:rPr/>
        <w:t>二、</w:t>
      </w:r>
      <w:r>
        <w:rPr>
          <w:spacing w:val="-80"/>
        </w:rPr>
        <w:t> </w:t>
      </w:r>
      <w:r>
        <w:rPr/>
        <w:t>公司全体董事出席董事会会议。</w:t>
      </w:r>
      <w:r>
        <w:rPr>
          <w:w w:val="100"/>
        </w:rPr>
        <w:t> </w:t>
      </w:r>
      <w:r>
        <w:rPr>
          <w:spacing w:val="-1"/>
        </w:rPr>
        <w:t>三、立信会计师事务所（特殊普通合伙）为本公司出具了标准无保留意见的审计报告。</w:t>
      </w:r>
      <w:r>
        <w:rPr>
          <w:b w:val="0"/>
          <w:bCs w:val="0"/>
          <w:spacing w:val="-1"/>
        </w:rPr>
      </w:r>
    </w:p>
    <w:p>
      <w:pPr>
        <w:pStyle w:val="Heading4"/>
        <w:spacing w:line="272" w:lineRule="exact" w:before="92"/>
        <w:ind w:left="485" w:right="0" w:hanging="368"/>
        <w:jc w:val="left"/>
        <w:rPr>
          <w:b w:val="0"/>
          <w:bCs w:val="0"/>
        </w:rPr>
      </w:pPr>
      <w:r>
        <w:rPr>
          <w:spacing w:val="-1"/>
        </w:rPr>
        <w:t>四、公司董事长兼首席执行官刘积仁、高级副总裁兼首席财务官张晓鸥及会计核算部部长金辉声</w:t>
      </w:r>
      <w:r>
        <w:rPr>
          <w:spacing w:val="-88"/>
        </w:rPr>
        <w:t> </w:t>
      </w:r>
      <w:r>
        <w:rPr>
          <w:spacing w:val="-88"/>
        </w:rPr>
      </w:r>
      <w:r>
        <w:rPr/>
        <w:t>明：保证年度报告中财务报告的真实、准确、完整。</w:t>
      </w:r>
      <w:r>
        <w:rPr>
          <w:b w:val="0"/>
          <w:bCs w:val="0"/>
        </w:rPr>
      </w:r>
    </w:p>
    <w:p>
      <w:pPr>
        <w:spacing w:line="240" w:lineRule="auto" w:before="10"/>
        <w:rPr>
          <w:rFonts w:ascii="宋体" w:hAnsi="宋体" w:cs="宋体" w:eastAsia="宋体" w:hint="default"/>
          <w:b/>
          <w:bCs/>
          <w:sz w:val="18"/>
          <w:szCs w:val="18"/>
        </w:rPr>
      </w:pPr>
    </w:p>
    <w:p>
      <w:pPr>
        <w:spacing w:before="0"/>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根据立信会计师事务所（特殊普通合伙）对公司</w:t>
      </w:r>
      <w:r>
        <w:rPr>
          <w:rFonts w:ascii="宋体" w:hAnsi="宋体" w:cs="宋体" w:eastAsia="宋体" w:hint="default"/>
          <w:spacing w:val="-1"/>
          <w:sz w:val="21"/>
          <w:szCs w:val="21"/>
        </w:rPr>
        <w:t>2017</w:t>
      </w:r>
      <w:r>
        <w:rPr>
          <w:rFonts w:ascii="宋体" w:hAnsi="宋体" w:cs="宋体" w:eastAsia="宋体" w:hint="default"/>
          <w:spacing w:val="-1"/>
          <w:sz w:val="21"/>
          <w:szCs w:val="21"/>
        </w:rPr>
        <w:t>年度财务审计的结果，</w:t>
      </w:r>
      <w:r>
        <w:rPr>
          <w:rFonts w:ascii="宋体" w:hAnsi="宋体" w:cs="宋体" w:eastAsia="宋体" w:hint="default"/>
          <w:spacing w:val="-1"/>
          <w:sz w:val="21"/>
          <w:szCs w:val="21"/>
        </w:rPr>
        <w:t>2017</w:t>
      </w:r>
      <w:r>
        <w:rPr>
          <w:rFonts w:ascii="宋体" w:hAnsi="宋体" w:cs="宋体" w:eastAsia="宋体" w:hint="default"/>
          <w:spacing w:val="-1"/>
          <w:sz w:val="21"/>
          <w:szCs w:val="21"/>
        </w:rPr>
        <w:t>年度，公司</w:t>
      </w:r>
    </w:p>
    <w:p>
      <w:pPr>
        <w:pStyle w:val="BodyText"/>
        <w:spacing w:line="237" w:lineRule="auto"/>
        <w:ind w:left="118" w:right="127"/>
        <w:jc w:val="both"/>
      </w:pPr>
      <w:r>
        <w:rPr>
          <w:spacing w:val="-1"/>
        </w:rPr>
        <w:t>母公司实现净利润</w:t>
      </w:r>
      <w:r>
        <w:rPr>
          <w:rFonts w:ascii="宋体" w:hAnsi="宋体" w:cs="宋体" w:eastAsia="宋体" w:hint="default"/>
          <w:spacing w:val="-1"/>
        </w:rPr>
        <w:t>870,507,195</w:t>
      </w:r>
      <w:r>
        <w:rPr>
          <w:spacing w:val="-1"/>
        </w:rPr>
        <w:t>元。根据公司法和公司章程的规定，公司提取</w:t>
      </w:r>
      <w:r>
        <w:rPr>
          <w:rFonts w:ascii="宋体" w:hAnsi="宋体" w:cs="宋体" w:eastAsia="宋体" w:hint="default"/>
          <w:spacing w:val="-1"/>
        </w:rPr>
        <w:t>10%</w:t>
      </w:r>
      <w:r>
        <w:rPr>
          <w:spacing w:val="-1"/>
        </w:rPr>
        <w:t>的法定盈余公积</w:t>
      </w:r>
      <w:r>
        <w:rPr>
          <w:spacing w:val="-50"/>
        </w:rPr>
        <w:t> </w:t>
      </w:r>
      <w:r>
        <w:rPr>
          <w:spacing w:val="-50"/>
        </w:rPr>
      </w:r>
      <w:r>
        <w:rPr>
          <w:spacing w:val="2"/>
        </w:rPr>
        <w:t>金</w:t>
      </w:r>
      <w:r>
        <w:rPr>
          <w:rFonts w:ascii="宋体" w:hAnsi="宋体" w:cs="宋体" w:eastAsia="宋体" w:hint="default"/>
          <w:spacing w:val="2"/>
        </w:rPr>
        <w:t>87,050,719</w:t>
      </w:r>
      <w:r>
        <w:rPr>
          <w:spacing w:val="2"/>
        </w:rPr>
        <w:t>元，公司提取</w:t>
      </w:r>
      <w:r>
        <w:rPr>
          <w:rFonts w:ascii="宋体" w:hAnsi="宋体" w:cs="宋体" w:eastAsia="宋体" w:hint="default"/>
          <w:spacing w:val="2"/>
        </w:rPr>
        <w:t>5%</w:t>
      </w:r>
      <w:r>
        <w:rPr>
          <w:spacing w:val="2"/>
        </w:rPr>
        <w:t>的任意盈余公积金</w:t>
      </w:r>
      <w:r>
        <w:rPr>
          <w:rFonts w:ascii="宋体" w:hAnsi="宋体" w:cs="宋体" w:eastAsia="宋体" w:hint="default"/>
          <w:spacing w:val="2"/>
        </w:rPr>
        <w:t>43,525,360</w:t>
      </w:r>
      <w:r>
        <w:rPr>
          <w:spacing w:val="2"/>
        </w:rPr>
        <w:t>元，本年度可供股东分配的利润为</w:t>
      </w:r>
      <w:r>
        <w:rPr>
          <w:spacing w:val="-12"/>
        </w:rPr>
        <w:t> </w:t>
      </w:r>
      <w:r>
        <w:rPr>
          <w:spacing w:val="-12"/>
        </w:rPr>
      </w:r>
      <w:r>
        <w:rPr>
          <w:rFonts w:ascii="宋体" w:hAnsi="宋体" w:cs="宋体" w:eastAsia="宋体" w:hint="default"/>
          <w:spacing w:val="6"/>
        </w:rPr>
        <w:t>739,931,116</w:t>
      </w:r>
      <w:r>
        <w:rPr>
          <w:spacing w:val="6"/>
        </w:rPr>
        <w:t>元，本年已向普通股股东分配利润</w:t>
      </w:r>
      <w:r>
        <w:rPr>
          <w:rFonts w:ascii="宋体" w:hAnsi="宋体" w:cs="宋体" w:eastAsia="宋体" w:hint="default"/>
          <w:spacing w:val="6"/>
        </w:rPr>
        <w:t>124,192,072</w:t>
      </w:r>
      <w:r>
        <w:rPr>
          <w:spacing w:val="6"/>
        </w:rPr>
        <w:t>元，加上以前年度尚未分配利润</w:t>
      </w:r>
    </w:p>
    <w:p>
      <w:pPr>
        <w:pStyle w:val="BodyText"/>
        <w:spacing w:line="272" w:lineRule="exact"/>
        <w:ind w:left="118" w:right="0"/>
        <w:jc w:val="left"/>
      </w:pPr>
      <w:r>
        <w:rPr>
          <w:rFonts w:ascii="宋体" w:hAnsi="宋体" w:cs="宋体" w:eastAsia="宋体" w:hint="default"/>
        </w:rPr>
        <w:t>4,241,638,586</w:t>
      </w:r>
      <w:r>
        <w:rPr/>
        <w:t>元，期末未分配利润为</w:t>
      </w:r>
      <w:r>
        <w:rPr>
          <w:rFonts w:ascii="宋体" w:hAnsi="宋体" w:cs="宋体" w:eastAsia="宋体" w:hint="default"/>
        </w:rPr>
        <w:t>4,857,377,630</w:t>
      </w:r>
      <w:r>
        <w:rPr/>
        <w:t>元。</w:t>
      </w:r>
    </w:p>
    <w:p>
      <w:pPr>
        <w:pStyle w:val="BodyText"/>
        <w:spacing w:line="237" w:lineRule="auto"/>
        <w:ind w:left="118" w:right="111" w:firstLine="419"/>
        <w:jc w:val="both"/>
      </w:pPr>
      <w:r>
        <w:rPr>
          <w:spacing w:val="15"/>
        </w:rPr>
        <w:t>根据公司未来发展规划，为给股东以一定的回报，董事会拟以</w:t>
      </w:r>
      <w:r>
        <w:rPr>
          <w:spacing w:val="-68"/>
        </w:rPr>
        <w:t> </w:t>
      </w:r>
      <w:r>
        <w:rPr>
          <w:rFonts w:ascii="宋体" w:hAnsi="宋体" w:cs="宋体" w:eastAsia="宋体" w:hint="default"/>
          <w:spacing w:val="2"/>
        </w:rPr>
        <w:t>2017</w:t>
      </w:r>
      <w:r>
        <w:rPr>
          <w:spacing w:val="2"/>
        </w:rPr>
        <w:t>年</w:t>
      </w:r>
      <w:r>
        <w:rPr>
          <w:spacing w:val="-68"/>
        </w:rPr>
        <w:t> </w:t>
      </w:r>
      <w:r>
        <w:rPr>
          <w:rFonts w:ascii="宋体" w:hAnsi="宋体" w:cs="宋体" w:eastAsia="宋体" w:hint="default"/>
        </w:rPr>
        <w:t>12</w:t>
      </w:r>
      <w:r>
        <w:rPr>
          <w:rFonts w:ascii="宋体" w:hAnsi="宋体" w:cs="宋体" w:eastAsia="宋体" w:hint="default"/>
          <w:spacing w:val="-68"/>
        </w:rPr>
        <w:t> </w:t>
      </w:r>
      <w:r>
        <w:rPr>
          <w:spacing w:val="12"/>
        </w:rPr>
        <w:t>月</w:t>
      </w:r>
      <w:r>
        <w:rPr>
          <w:rFonts w:ascii="宋体" w:hAnsi="宋体" w:cs="宋体" w:eastAsia="宋体" w:hint="default"/>
          <w:spacing w:val="12"/>
        </w:rPr>
        <w:t>31</w:t>
      </w:r>
      <w:r>
        <w:rPr>
          <w:spacing w:val="12"/>
        </w:rPr>
        <w:t>日总股本</w:t>
      </w:r>
      <w:r>
        <w:rPr>
          <w:spacing w:val="16"/>
          <w:w w:val="100"/>
        </w:rPr>
        <w:t> </w:t>
      </w:r>
      <w:r>
        <w:rPr>
          <w:rFonts w:ascii="宋体" w:hAnsi="宋体" w:cs="宋体" w:eastAsia="宋体" w:hint="default"/>
          <w:spacing w:val="-3"/>
        </w:rPr>
        <w:t>1,242,678,005</w:t>
      </w:r>
      <w:r>
        <w:rPr>
          <w:spacing w:val="-3"/>
        </w:rPr>
        <w:t>股为基数，向全体股东每</w:t>
      </w:r>
      <w:r>
        <w:rPr>
          <w:rFonts w:ascii="宋体" w:hAnsi="宋体" w:cs="宋体" w:eastAsia="宋体" w:hint="default"/>
          <w:spacing w:val="-3"/>
        </w:rPr>
        <w:t>10</w:t>
      </w:r>
      <w:r>
        <w:rPr>
          <w:spacing w:val="-3"/>
        </w:rPr>
        <w:t>股派发</w:t>
      </w:r>
      <w:r>
        <w:rPr>
          <w:rFonts w:ascii="宋体" w:hAnsi="宋体" w:cs="宋体" w:eastAsia="宋体" w:hint="default"/>
          <w:spacing w:val="-3"/>
        </w:rPr>
        <w:t>0.90</w:t>
      </w:r>
      <w:r>
        <w:rPr>
          <w:spacing w:val="-3"/>
        </w:rPr>
        <w:t>元人民币现金红利（含税），共派发现金红</w:t>
      </w:r>
      <w:r>
        <w:rPr>
          <w:spacing w:val="-53"/>
        </w:rPr>
        <w:t> </w:t>
      </w:r>
      <w:r>
        <w:rPr>
          <w:spacing w:val="-53"/>
        </w:rPr>
      </w:r>
      <w:r>
        <w:rPr/>
        <w:t>利</w:t>
      </w:r>
      <w:r>
        <w:rPr>
          <w:rFonts w:ascii="宋体" w:hAnsi="宋体" w:cs="宋体" w:eastAsia="宋体" w:hint="default"/>
        </w:rPr>
        <w:t>111,841,020</w:t>
      </w:r>
      <w:r>
        <w:rPr/>
        <w:t>元（含税），剩余未分配利润结转以后年度。</w:t>
      </w:r>
    </w:p>
    <w:p>
      <w:pPr>
        <w:pStyle w:val="BodyText"/>
        <w:spacing w:line="271" w:lineRule="exact"/>
        <w:ind w:left="538" w:right="0"/>
        <w:jc w:val="left"/>
      </w:pPr>
      <w:r>
        <w:rPr/>
        <w:t>以上议案，尚需获得公司股东大会的批准。</w:t>
      </w:r>
    </w:p>
    <w:p>
      <w:pPr>
        <w:spacing w:line="240" w:lineRule="auto" w:before="9"/>
        <w:rPr>
          <w:rFonts w:ascii="宋体" w:hAnsi="宋体" w:cs="宋体" w:eastAsia="宋体" w:hint="default"/>
          <w:sz w:val="20"/>
          <w:szCs w:val="20"/>
        </w:rPr>
      </w:pPr>
    </w:p>
    <w:p>
      <w:pPr>
        <w:pStyle w:val="Heading4"/>
        <w:spacing w:line="274" w:lineRule="exact"/>
        <w:ind w:left="118" w:right="0"/>
        <w:jc w:val="left"/>
        <w:rPr>
          <w:b w:val="0"/>
          <w:bCs w:val="0"/>
        </w:rPr>
      </w:pPr>
      <w:r>
        <w:rPr/>
        <w:t>六、前瞻性陈述的风险声明</w:t>
      </w:r>
      <w:r>
        <w:rPr>
          <w:b w:val="0"/>
          <w:bCs w:val="0"/>
        </w:rPr>
      </w:r>
    </w:p>
    <w:p>
      <w:pPr>
        <w:pStyle w:val="BodyText"/>
        <w:spacing w:line="272" w:lineRule="exact" w:before="27"/>
        <w:ind w:left="538" w:right="0" w:hanging="420"/>
        <w:jc w:val="left"/>
      </w:pPr>
      <w:r>
        <w:rPr/>
        <w:t>√适用</w:t>
      </w:r>
      <w:r>
        <w:rPr>
          <w:spacing w:val="-2"/>
        </w:rPr>
        <w:t> </w:t>
      </w:r>
      <w:r>
        <w:rPr/>
        <w:t>□不适用</w:t>
      </w:r>
      <w:r>
        <w:rPr>
          <w:w w:val="100"/>
        </w:rPr>
        <w:t> </w:t>
      </w:r>
      <w:r>
        <w:rPr>
          <w:spacing w:val="-2"/>
        </w:rPr>
        <w:t>本报告中所涉及的未来计划等前瞻性描述不构成公司对投资者的实质承诺，请投资者注意投</w:t>
      </w:r>
    </w:p>
    <w:p>
      <w:pPr>
        <w:pStyle w:val="BodyText"/>
        <w:spacing w:line="249" w:lineRule="exact"/>
        <w:ind w:left="118" w:right="0"/>
        <w:jc w:val="left"/>
      </w:pPr>
      <w:r>
        <w:rPr/>
        <w:t>资风险。</w:t>
      </w:r>
    </w:p>
    <w:p>
      <w:pPr>
        <w:spacing w:line="240" w:lineRule="auto" w:before="10"/>
        <w:rPr>
          <w:rFonts w:ascii="宋体" w:hAnsi="宋体" w:cs="宋体" w:eastAsia="宋体" w:hint="default"/>
          <w:sz w:val="22"/>
          <w:szCs w:val="22"/>
        </w:rPr>
      </w:pPr>
    </w:p>
    <w:p>
      <w:pPr>
        <w:pStyle w:val="Heading4"/>
        <w:spacing w:line="272" w:lineRule="exact"/>
        <w:ind w:left="53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5"/>
        <w:rPr>
          <w:rFonts w:ascii="宋体" w:hAnsi="宋体" w:cs="宋体" w:eastAsia="宋体" w:hint="default"/>
          <w:sz w:val="16"/>
          <w:szCs w:val="16"/>
        </w:rPr>
      </w:pPr>
    </w:p>
    <w:p>
      <w:pPr>
        <w:pStyle w:val="Heading4"/>
        <w:spacing w:line="240" w:lineRule="auto"/>
        <w:ind w:left="538" w:right="4099" w:hanging="420"/>
        <w:jc w:val="left"/>
        <w:rPr>
          <w:rFonts w:ascii="宋体" w:hAnsi="宋体" w:cs="宋体" w:eastAsia="宋体" w:hint="default"/>
          <w:b w:val="0"/>
          <w:bCs w:val="0"/>
        </w:rPr>
      </w:pPr>
      <w:r>
        <w:rPr/>
        <w:t>八、是否存在违反规定决策程序对外提供担保的情况</w:t>
      </w:r>
      <w:r>
        <w:rPr>
          <w:spacing w:val="-103"/>
        </w:rPr>
        <w:t> </w:t>
      </w:r>
      <w:r>
        <w:rPr>
          <w:spacing w:val="-103"/>
        </w:rPr>
      </w:r>
      <w:r>
        <w:rPr>
          <w:rFonts w:ascii="宋体" w:hAnsi="宋体" w:cs="宋体" w:eastAsia="宋体" w:hint="default"/>
          <w:b w:val="0"/>
          <w:bCs w:val="0"/>
        </w:rPr>
        <w:t>否</w:t>
      </w:r>
    </w:p>
    <w:p>
      <w:pPr>
        <w:spacing w:line="240" w:lineRule="auto" w:before="10"/>
        <w:rPr>
          <w:rFonts w:ascii="宋体" w:hAnsi="宋体" w:cs="宋体" w:eastAsia="宋体" w:hint="default"/>
          <w:sz w:val="22"/>
          <w:szCs w:val="22"/>
        </w:rPr>
      </w:pPr>
    </w:p>
    <w:p>
      <w:pPr>
        <w:pStyle w:val="BodyText"/>
        <w:spacing w:line="272" w:lineRule="exact"/>
        <w:ind w:left="538" w:right="0" w:hanging="420"/>
        <w:jc w:val="left"/>
      </w:pPr>
      <w:r>
        <w:rPr>
          <w:rFonts w:ascii="宋体" w:hAnsi="宋体" w:cs="宋体" w:eastAsia="宋体" w:hint="default"/>
          <w:b/>
          <w:bCs/>
        </w:rPr>
        <w:t>九、重大风险提示</w:t>
      </w:r>
      <w:r>
        <w:rPr>
          <w:rFonts w:ascii="宋体" w:hAnsi="宋体" w:cs="宋体" w:eastAsia="宋体" w:hint="default"/>
          <w:b/>
          <w:bCs/>
          <w:spacing w:val="-99"/>
        </w:rPr>
        <w:t> </w:t>
      </w:r>
      <w:r>
        <w:rPr>
          <w:rFonts w:ascii="宋体" w:hAnsi="宋体" w:cs="宋体" w:eastAsia="宋体" w:hint="default"/>
          <w:b/>
          <w:bCs/>
          <w:spacing w:val="-99"/>
        </w:rPr>
      </w:r>
      <w:r>
        <w:rPr>
          <w:spacing w:val="-2"/>
        </w:rPr>
        <w:t>公司已在本年度报告中详细描述存在的风险因素及对策，具体详见本年度报告第四节“经营</w:t>
      </w:r>
    </w:p>
    <w:p>
      <w:pPr>
        <w:pStyle w:val="BodyText"/>
        <w:spacing w:line="249" w:lineRule="exact"/>
        <w:ind w:left="118" w:right="0"/>
        <w:jc w:val="left"/>
      </w:pPr>
      <w:r>
        <w:rPr/>
        <w:t>情况讨论与分析”中的相关内容。</w:t>
      </w:r>
    </w:p>
    <w:p>
      <w:pPr>
        <w:spacing w:line="240" w:lineRule="auto" w:before="8"/>
        <w:rPr>
          <w:rFonts w:ascii="宋体" w:hAnsi="宋体" w:cs="宋体" w:eastAsia="宋体" w:hint="default"/>
          <w:sz w:val="20"/>
          <w:szCs w:val="20"/>
        </w:rPr>
      </w:pPr>
    </w:p>
    <w:p>
      <w:pPr>
        <w:pStyle w:val="Heading4"/>
        <w:spacing w:line="273" w:lineRule="exact"/>
        <w:ind w:left="118" w:right="0"/>
        <w:jc w:val="left"/>
        <w:rPr>
          <w:b w:val="0"/>
          <w:bCs w:val="0"/>
        </w:rPr>
      </w:pPr>
      <w:r>
        <w:rPr/>
        <w:t>十、其他</w:t>
      </w:r>
      <w:r>
        <w:rPr>
          <w:b w:val="0"/>
          <w:bCs w:val="0"/>
        </w:rPr>
      </w:r>
    </w:p>
    <w:p>
      <w:pPr>
        <w:pStyle w:val="BodyText"/>
        <w:spacing w:line="240" w:lineRule="auto"/>
        <w:ind w:left="538" w:right="1591" w:hanging="420"/>
        <w:jc w:val="left"/>
      </w:pPr>
      <w:r>
        <w:rPr/>
        <w:t>√适用</w:t>
      </w:r>
      <w:r>
        <w:rPr>
          <w:spacing w:val="-2"/>
        </w:rPr>
        <w:t> </w:t>
      </w:r>
      <w:r>
        <w:rPr/>
        <w:t>□不适用</w:t>
      </w:r>
      <w:r>
        <w:rPr>
          <w:w w:val="100"/>
        </w:rPr>
        <w:t> </w:t>
      </w:r>
      <w:r>
        <w:rPr>
          <w:spacing w:val="-2"/>
        </w:rPr>
        <w:t>本报告以东软集团股份有限公司为主体，涵盖分公司、子公司。</w:t>
      </w:r>
    </w:p>
    <w:p>
      <w:pPr>
        <w:spacing w:after="0" w:line="240" w:lineRule="auto"/>
        <w:jc w:val="left"/>
        <w:sectPr>
          <w:headerReference w:type="default" r:id="rId6"/>
          <w:footerReference w:type="default" r:id="rId7"/>
          <w:pgSz w:w="11910" w:h="16840"/>
          <w:pgMar w:header="945" w:footer="1248" w:top="1300" w:bottom="1440" w:left="1680" w:right="1140"/>
          <w:pgNumType w:start="2"/>
        </w:sectPr>
      </w:pPr>
    </w:p>
    <w:p>
      <w:pPr>
        <w:spacing w:line="240" w:lineRule="auto" w:before="13"/>
        <w:rPr>
          <w:rFonts w:ascii="宋体" w:hAnsi="宋体" w:cs="宋体" w:eastAsia="宋体" w:hint="default"/>
          <w:sz w:val="11"/>
          <w:szCs w:val="11"/>
        </w:rPr>
      </w:pPr>
    </w:p>
    <w:p>
      <w:pPr>
        <w:spacing w:before="14"/>
        <w:ind w:left="3319" w:right="3317" w:firstLine="0"/>
        <w:jc w:val="center"/>
        <w:rPr>
          <w:rFonts w:ascii="黑体" w:hAnsi="黑体" w:cs="黑体" w:eastAsia="黑体" w:hint="default"/>
          <w:sz w:val="28"/>
          <w:szCs w:val="28"/>
        </w:rPr>
      </w:pPr>
      <w:r>
        <w:rPr>
          <w:rFonts w:ascii="黑体" w:hAnsi="黑体" w:cs="黑体" w:eastAsia="黑体" w:hint="default"/>
          <w:b/>
          <w:bCs/>
          <w:sz w:val="28"/>
          <w:szCs w:val="28"/>
        </w:rPr>
        <w:t>目录</w:t>
      </w:r>
      <w:r>
        <w:rPr>
          <w:rFonts w:ascii="黑体" w:hAnsi="黑体" w:cs="黑体" w:eastAsia="黑体" w:hint="default"/>
          <w:sz w:val="28"/>
          <w:szCs w:val="28"/>
        </w:rPr>
      </w:r>
    </w:p>
    <w:sdt>
      <w:sdtPr>
        <w:docPartObj>
          <w:docPartGallery w:val="Table of Contents"/>
          <w:docPartUnique/>
        </w:docPartObj>
      </w:sdtPr>
      <w:sdtEndPr/>
      <w:sdtContent>
        <w:p>
          <w:pPr>
            <w:pStyle w:val="TOC1"/>
            <w:tabs>
              <w:tab w:pos="1377" w:val="left" w:leader="none"/>
              <w:tab w:pos="8941" w:val="right" w:leader="dot"/>
            </w:tabs>
            <w:spacing w:line="240" w:lineRule="auto" w:before="373"/>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tab/>
              <w:t>释义</w:t>
            </w:r>
            <w:r>
              <w:rPr>
                <w:rFonts w:ascii="宋体" w:hAnsi="宋体" w:cs="宋体" w:eastAsia="宋体" w:hint="default"/>
              </w:rPr>
              <w:tab/>
              <w:t>4</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10">
            <w:r>
              <w:rPr/>
              <w:t>第二节</w:t>
              <w:tab/>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9">
            <w:r>
              <w:rPr/>
              <w:t>第三节</w:t>
              <w:tab/>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1377" w:val="left" w:leader="none"/>
              <w:tab w:pos="8941" w:val="right" w:leader="dot"/>
            </w:tabs>
            <w:spacing w:line="240" w:lineRule="auto" w:before="135"/>
            <w:ind w:right="0"/>
            <w:jc w:val="left"/>
            <w:rPr>
              <w:rFonts w:ascii="宋体" w:hAnsi="宋体" w:cs="宋体" w:eastAsia="宋体" w:hint="default"/>
              <w:b w:val="0"/>
              <w:bCs w:val="0"/>
            </w:rPr>
          </w:pPr>
          <w:hyperlink w:history="true" w:anchor="_TOC_250008">
            <w:r>
              <w:rPr/>
              <w:t>第四节</w:t>
              <w:tab/>
              <w:t>经营情况讨论与分析</w:t>
            </w:r>
            <w:r>
              <w:rPr>
                <w:rFonts w:ascii="宋体" w:hAnsi="宋体" w:cs="宋体" w:eastAsia="宋体" w:hint="default"/>
              </w:rPr>
              <w:tab/>
              <w:t>11</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7">
            <w:r>
              <w:rPr/>
              <w:t>第五节</w:t>
              <w:tab/>
              <w:t>重要事项</w:t>
            </w:r>
            <w:r>
              <w:rPr>
                <w:rFonts w:ascii="宋体" w:hAnsi="宋体" w:cs="宋体" w:eastAsia="宋体" w:hint="default"/>
              </w:rPr>
              <w:tab/>
              <w:t>29</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6">
            <w:r>
              <w:rPr/>
              <w:t>第六节</w:t>
              <w:tab/>
              <w:t>普通股股份变动及股东情况</w:t>
            </w:r>
            <w:r>
              <w:rPr>
                <w:rFonts w:ascii="宋体" w:hAnsi="宋体" w:cs="宋体" w:eastAsia="宋体" w:hint="default"/>
              </w:rPr>
              <w:tab/>
              <w:t>45</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5">
            <w:r>
              <w:rPr/>
              <w:t>第七节</w:t>
              <w:tab/>
              <w:t>优先股相关情况</w:t>
            </w:r>
            <w:r>
              <w:rPr>
                <w:rFonts w:ascii="宋体" w:hAnsi="宋体" w:cs="宋体" w:eastAsia="宋体" w:hint="default"/>
              </w:rPr>
              <w:tab/>
              <w:t>52</w:t>
            </w:r>
            <w:r>
              <w:rPr>
                <w:rFonts w:ascii="宋体" w:hAnsi="宋体" w:cs="宋体" w:eastAsia="宋体" w:hint="default"/>
                <w:b w:val="0"/>
                <w:bCs w:val="0"/>
              </w:rPr>
            </w:r>
          </w:hyperlink>
        </w:p>
        <w:p>
          <w:pPr>
            <w:pStyle w:val="TOC1"/>
            <w:tabs>
              <w:tab w:pos="1377" w:val="left" w:leader="none"/>
              <w:tab w:pos="8941" w:val="right" w:leader="dot"/>
            </w:tabs>
            <w:spacing w:line="240" w:lineRule="auto" w:before="135"/>
            <w:ind w:right="0"/>
            <w:jc w:val="left"/>
            <w:rPr>
              <w:rFonts w:ascii="宋体" w:hAnsi="宋体" w:cs="宋体" w:eastAsia="宋体" w:hint="default"/>
              <w:b w:val="0"/>
              <w:bCs w:val="0"/>
            </w:rPr>
          </w:pPr>
          <w:hyperlink w:history="true" w:anchor="_TOC_250004">
            <w:r>
              <w:rPr/>
              <w:t>第八节</w:t>
              <w:tab/>
              <w:t>董事、监事、高级管理人员和员工情况</w:t>
            </w:r>
            <w:r>
              <w:rPr>
                <w:rFonts w:ascii="宋体" w:hAnsi="宋体" w:cs="宋体" w:eastAsia="宋体" w:hint="default"/>
              </w:rPr>
              <w:tab/>
              <w:t>53</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3">
            <w:r>
              <w:rPr/>
              <w:t>第九节</w:t>
              <w:tab/>
              <w:t>公司治理</w:t>
            </w:r>
            <w:r>
              <w:rPr>
                <w:rFonts w:ascii="宋体" w:hAnsi="宋体" w:cs="宋体" w:eastAsia="宋体" w:hint="default"/>
              </w:rPr>
              <w:tab/>
              <w:t>64</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2">
            <w:r>
              <w:rPr/>
              <w:t>第十节</w:t>
              <w:tab/>
              <w:t>公司债券相关情况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1">
            <w:r>
              <w:rPr/>
              <w:t>第十一节</w:t>
              <w:tab/>
              <w:t>财务报告</w:t>
            </w:r>
            <w:r>
              <w:rPr>
                <w:rFonts w:ascii="宋体" w:hAnsi="宋体" w:cs="宋体" w:eastAsia="宋体" w:hint="default"/>
              </w:rPr>
              <w:tab/>
              <w:t>67</w:t>
            </w:r>
            <w:r>
              <w:rPr>
                <w:rFonts w:ascii="宋体" w:hAnsi="宋体" w:cs="宋体" w:eastAsia="宋体" w:hint="default"/>
                <w:b w:val="0"/>
                <w:bCs w:val="0"/>
              </w:rPr>
            </w:r>
          </w:hyperlink>
        </w:p>
        <w:p>
          <w:pPr>
            <w:pStyle w:val="TOC1"/>
            <w:tabs>
              <w:tab w:pos="1377" w:val="left" w:leader="none"/>
              <w:tab w:pos="8941" w:val="right" w:leader="dot"/>
            </w:tabs>
            <w:spacing w:line="240" w:lineRule="auto"/>
            <w:ind w:right="0"/>
            <w:jc w:val="left"/>
            <w:rPr>
              <w:rFonts w:ascii="宋体" w:hAnsi="宋体" w:cs="宋体" w:eastAsia="宋体" w:hint="default"/>
              <w:b w:val="0"/>
              <w:bCs w:val="0"/>
            </w:rPr>
          </w:pPr>
          <w:hyperlink w:history="true" w:anchor="_TOC_250000">
            <w:r>
              <w:rPr/>
              <w:t>第十二节</w:t>
              <w:tab/>
              <w:t>备查文件目录</w:t>
            </w:r>
            <w:r>
              <w:rPr>
                <w:rFonts w:ascii="宋体" w:hAnsi="宋体" w:cs="宋体" w:eastAsia="宋体" w:hint="default"/>
              </w:rPr>
              <w:tab/>
              <w:t>198</w:t>
            </w:r>
            <w:r>
              <w:rPr>
                <w:rFonts w:ascii="宋体" w:hAnsi="宋体" w:cs="宋体" w:eastAsia="宋体" w:hint="default"/>
                <w:b w:val="0"/>
                <w:bCs w:val="0"/>
              </w:rPr>
            </w:r>
          </w:hyperlink>
        </w:p>
        <w:p>
          <w:pPr/>
          <w:r>
            <w:fldChar w:fldCharType="end"/>
          </w:r>
        </w:p>
      </w:sdtContent>
    </w:sdt>
    <w:p>
      <w:pPr>
        <w:spacing w:after="0"/>
        <w:sectPr>
          <w:pgSz w:w="11910" w:h="16840"/>
          <w:pgMar w:header="945" w:footer="1248" w:top="1300" w:bottom="1440" w:left="1680" w:right="1160"/>
        </w:sectPr>
      </w:pPr>
    </w:p>
    <w:p>
      <w:pPr>
        <w:pStyle w:val="Heading1"/>
        <w:spacing w:line="240" w:lineRule="auto" w:before="502"/>
        <w:ind w:left="229" w:right="243"/>
        <w:jc w:val="center"/>
        <w:rPr>
          <w:b w:val="0"/>
          <w:bCs w:val="0"/>
        </w:rPr>
      </w:pPr>
      <w:bookmarkStart w:name="_TOC_250011" w:id="1"/>
      <w:r>
        <w:rPr/>
        <w:t>第一节</w:t>
      </w:r>
      <w:r>
        <w:rPr>
          <w:spacing w:val="-2"/>
        </w:rPr>
        <w:t> </w:t>
      </w:r>
      <w:r>
        <w:rPr/>
        <w:t>释义</w:t>
      </w:r>
      <w:bookmarkEnd w:id="1"/>
      <w:r>
        <w:rPr>
          <w:b w:val="0"/>
          <w:bCs w:val="0"/>
        </w:rPr>
      </w:r>
    </w:p>
    <w:p>
      <w:pPr>
        <w:pStyle w:val="BodyText"/>
        <w:spacing w:line="290" w:lineRule="auto" w:before="253"/>
        <w:ind w:right="2760"/>
        <w:jc w:val="left"/>
      </w:pPr>
      <w:r>
        <w:rPr>
          <w:rFonts w:ascii="宋体" w:hAnsi="宋体" w:cs="宋体" w:eastAsia="宋体" w:hint="default"/>
          <w:b/>
          <w:bCs/>
        </w:rPr>
        <w:t>一、释义</w:t>
      </w:r>
      <w:r>
        <w:rPr>
          <w:rFonts w:ascii="宋体" w:hAnsi="宋体" w:cs="宋体" w:eastAsia="宋体" w:hint="default"/>
          <w:b/>
          <w:bCs/>
          <w:spacing w:val="-101"/>
        </w:rPr>
        <w:t> </w:t>
      </w:r>
      <w:r>
        <w:rPr>
          <w:rFonts w:ascii="宋体" w:hAnsi="宋体" w:cs="宋体" w:eastAsia="宋体" w:hint="default"/>
          <w:b/>
          <w:bCs/>
          <w:spacing w:val="-101"/>
        </w:rPr>
      </w:r>
      <w:r>
        <w:rPr>
          <w:spacing w:val="-2"/>
        </w:rPr>
        <w:t>在本报告书中，除非文义另有所指，下列词语具有如下含义：</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017"/>
        <w:gridCol w:w="778"/>
        <w:gridCol w:w="5255"/>
      </w:tblGrid>
      <w:tr>
        <w:trPr>
          <w:trHeight w:val="45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国家商务部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中华人民共和国商务部</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45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东软、公司、母公司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东软集团股份有限公司及其分子公司</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4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8"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40" w:lineRule="auto"/>
        <w:jc w:val="left"/>
        <w:rPr>
          <w:rFonts w:ascii="宋体" w:hAnsi="宋体" w:cs="宋体" w:eastAsia="宋体" w:hint="default"/>
          <w:sz w:val="21"/>
          <w:szCs w:val="21"/>
        </w:rPr>
        <w:sectPr>
          <w:pgSz w:w="11910" w:h="16840"/>
          <w:pgMar w:header="945" w:footer="1248" w:top="1300" w:bottom="144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597" w:right="226"/>
        <w:jc w:val="left"/>
        <w:rPr>
          <w:b w:val="0"/>
          <w:bCs w:val="0"/>
        </w:rPr>
      </w:pPr>
      <w:bookmarkStart w:name="_TOC_250010" w:id="2"/>
      <w:r>
        <w:rPr/>
        <w:t>第二节</w:t>
      </w:r>
      <w:r>
        <w:rPr>
          <w:spacing w:val="-3"/>
        </w:rPr>
        <w:t> </w:t>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right="2760"/>
        <w:jc w:val="left"/>
        <w:rPr>
          <w:b w:val="0"/>
          <w:bCs w:val="0"/>
        </w:rPr>
      </w:pPr>
      <w:r>
        <w:rPr/>
        <w:t>一、公司信息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Neusoft</w:t>
            </w:r>
            <w:r>
              <w:rPr>
                <w:rFonts w:ascii="宋体"/>
                <w:spacing w:val="-2"/>
                <w:sz w:val="21"/>
              </w:rPr>
              <w:t> </w:t>
            </w:r>
            <w:r>
              <w:rPr>
                <w:rFonts w:ascii="宋体"/>
                <w:sz w:val="21"/>
              </w:rPr>
              <w:t>Corporation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Neusoft</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刘积仁</w:t>
            </w:r>
          </w:p>
        </w:tc>
      </w:tr>
    </w:tbl>
    <w:p>
      <w:pPr>
        <w:spacing w:line="240" w:lineRule="auto" w:before="12"/>
        <w:rPr>
          <w:rFonts w:ascii="宋体" w:hAnsi="宋体" w:cs="宋体" w:eastAsia="宋体" w:hint="default"/>
          <w:b/>
          <w:bCs/>
          <w:sz w:val="19"/>
          <w:szCs w:val="19"/>
        </w:rPr>
      </w:pPr>
    </w:p>
    <w:p>
      <w:pPr>
        <w:pStyle w:val="Heading4"/>
        <w:spacing w:line="240" w:lineRule="auto" w:before="36"/>
        <w:ind w:right="2760"/>
        <w:jc w:val="left"/>
        <w:rPr>
          <w:b w:val="0"/>
          <w:bCs w:val="0"/>
        </w:rPr>
      </w:pPr>
      <w:r>
        <w:rPr/>
        <w:t>二、联系人和联系方式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164"/>
        <w:gridCol w:w="3971"/>
        <w:gridCol w:w="3761"/>
      </w:tblGrid>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李峰</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 东软软件园</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pacing w:val="-4"/>
                <w:sz w:val="21"/>
                <w:szCs w:val="21"/>
              </w:rPr>
              <w:t> </w:t>
            </w:r>
            <w:r>
              <w:rPr>
                <w:rFonts w:ascii="宋体" w:hAnsi="宋体" w:cs="宋体" w:eastAsia="宋体" w:hint="default"/>
                <w:sz w:val="21"/>
                <w:szCs w:val="21"/>
              </w:rPr>
              <w:t>东软软件园</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024-83662115</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024-83662115</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024-23783375</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024-23783375</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investor@neusoft.com</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12"/>
        <w:rPr>
          <w:rFonts w:ascii="宋体" w:hAnsi="宋体" w:cs="宋体" w:eastAsia="宋体" w:hint="default"/>
          <w:b/>
          <w:bCs/>
          <w:sz w:val="19"/>
          <w:szCs w:val="19"/>
        </w:rPr>
      </w:pPr>
    </w:p>
    <w:p>
      <w:pPr>
        <w:pStyle w:val="Heading4"/>
        <w:spacing w:line="240" w:lineRule="auto" w:before="36"/>
        <w:ind w:right="2760"/>
        <w:jc w:val="left"/>
        <w:rPr>
          <w:b w:val="0"/>
          <w:bCs w:val="0"/>
        </w:rPr>
      </w:pPr>
      <w:r>
        <w:rPr/>
        <w:t>三、基本情况简介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110179</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110179</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9">
              <w:r>
                <w:rPr>
                  <w:rFonts w:ascii="宋体"/>
                  <w:sz w:val="21"/>
                </w:rPr>
                <w:t>http://www.neusoft.com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2"/>
        <w:rPr>
          <w:rFonts w:ascii="宋体" w:hAnsi="宋体" w:cs="宋体" w:eastAsia="宋体" w:hint="default"/>
          <w:b/>
          <w:bCs/>
          <w:sz w:val="20"/>
          <w:szCs w:val="20"/>
        </w:rPr>
      </w:pPr>
    </w:p>
    <w:p>
      <w:pPr>
        <w:pStyle w:val="Heading4"/>
        <w:spacing w:line="240" w:lineRule="auto" w:before="36"/>
        <w:ind w:right="2760"/>
        <w:jc w:val="left"/>
        <w:rPr>
          <w:b w:val="0"/>
          <w:bCs w:val="0"/>
        </w:rPr>
      </w:pPr>
      <w:r>
        <w:rPr/>
        <w:t>四、信息披露及备置地点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20"/>
          <w:szCs w:val="20"/>
        </w:rPr>
      </w:pPr>
    </w:p>
    <w:p>
      <w:pPr>
        <w:pStyle w:val="Heading4"/>
        <w:spacing w:line="240" w:lineRule="auto" w:before="36"/>
        <w:ind w:right="2760"/>
        <w:jc w:val="left"/>
        <w:rPr>
          <w:b w:val="0"/>
          <w:bCs w:val="0"/>
        </w:rPr>
      </w:pPr>
      <w:r>
        <w:rPr/>
        <w:t>五、公司股票简况</w:t>
      </w:r>
      <w:r>
        <w:rPr>
          <w:b w:val="0"/>
          <w:bCs w:val="0"/>
        </w:rPr>
      </w:r>
    </w:p>
    <w:p>
      <w:pPr>
        <w:spacing w:line="240" w:lineRule="auto" w:before="13"/>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81"/>
        <w:gridCol w:w="1779"/>
        <w:gridCol w:w="1498"/>
        <w:gridCol w:w="2060"/>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东软集团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600718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东软股份、东大阿派</w:t>
            </w:r>
          </w:p>
        </w:tc>
      </w:tr>
    </w:tbl>
    <w:p>
      <w:pPr>
        <w:spacing w:line="240" w:lineRule="auto" w:before="2"/>
        <w:rPr>
          <w:rFonts w:ascii="宋体" w:hAnsi="宋体" w:cs="宋体" w:eastAsia="宋体" w:hint="default"/>
          <w:b/>
          <w:bCs/>
          <w:sz w:val="20"/>
          <w:szCs w:val="20"/>
        </w:rPr>
      </w:pPr>
    </w:p>
    <w:p>
      <w:pPr>
        <w:pStyle w:val="Heading4"/>
        <w:spacing w:line="240" w:lineRule="auto" w:before="36"/>
        <w:ind w:right="2760"/>
        <w:jc w:val="left"/>
        <w:rPr>
          <w:b w:val="0"/>
          <w:bCs w:val="0"/>
        </w:rPr>
      </w:pPr>
      <w:r>
        <w:rPr/>
        <w:t>六、其他相关资料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660"/>
        <w:gridCol w:w="2129"/>
        <w:gridCol w:w="4261"/>
      </w:tblGrid>
      <w:tr>
        <w:trPr>
          <w:trHeight w:val="283" w:hRule="exact"/>
        </w:trPr>
        <w:tc>
          <w:tcPr>
            <w:tcW w:w="2660" w:type="dxa"/>
            <w:vMerge w:val="restart"/>
            <w:tcBorders>
              <w:top w:val="single" w:sz="4" w:space="0" w:color="000000"/>
              <w:left w:val="single" w:sz="4" w:space="0" w:color="000000"/>
              <w:right w:val="single" w:sz="4" w:space="0" w:color="000000"/>
            </w:tcBorders>
          </w:tcPr>
          <w:p>
            <w:pPr>
              <w:pStyle w:val="TableParagraph"/>
              <w:spacing w:line="274" w:lineRule="exact" w:before="112"/>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1" w:hRule="exact"/>
        </w:trPr>
        <w:tc>
          <w:tcPr>
            <w:tcW w:w="2660" w:type="dxa"/>
            <w:vMerge/>
            <w:tcBorders>
              <w:left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号新黄浦金融大厦</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283" w:hRule="exact"/>
        </w:trPr>
        <w:tc>
          <w:tcPr>
            <w:tcW w:w="2660" w:type="dxa"/>
            <w:vMerge/>
            <w:tcBorders>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姜丽君、于延国</w:t>
            </w:r>
          </w:p>
        </w:tc>
      </w:tr>
    </w:tbl>
    <w:p>
      <w:pPr>
        <w:spacing w:after="0" w:line="241" w:lineRule="exact"/>
        <w:jc w:val="left"/>
        <w:rPr>
          <w:rFonts w:ascii="宋体" w:hAnsi="宋体" w:cs="宋体" w:eastAsia="宋体" w:hint="default"/>
          <w:sz w:val="21"/>
          <w:szCs w:val="21"/>
        </w:rPr>
        <w:sectPr>
          <w:pgSz w:w="11910" w:h="16840"/>
          <w:pgMar w:header="945" w:footer="1248" w:top="1300" w:bottom="1440" w:left="1580" w:right="1040"/>
        </w:sectPr>
      </w:pP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945" w:footer="1248" w:top="1300" w:bottom="1440" w:left="1580" w:right="940"/>
        </w:sectPr>
      </w:pPr>
    </w:p>
    <w:p>
      <w:pPr>
        <w:pStyle w:val="Heading4"/>
        <w:spacing w:line="290" w:lineRule="auto" w:before="36"/>
        <w:ind w:right="-1"/>
        <w:jc w:val="left"/>
        <w:rPr>
          <w:b w:val="0"/>
          <w:bCs w:val="0"/>
        </w:rPr>
      </w:pPr>
      <w:r>
        <w:rPr>
          <w:spacing w:val="-1"/>
        </w:rPr>
        <w:t>七、近三年主要会计数据和财务指标</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940"/>
          <w:cols w:num="2" w:equalWidth="0">
            <w:col w:w="3595" w:space="2926"/>
            <w:col w:w="28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3"/>
        <w:gridCol w:w="1750"/>
        <w:gridCol w:w="1745"/>
        <w:gridCol w:w="1337"/>
        <w:gridCol w:w="1728"/>
      </w:tblGrid>
      <w:tr>
        <w:trPr>
          <w:trHeight w:val="82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93"/>
              <w:jc w:val="right"/>
              <w:rPr>
                <w:rFonts w:ascii="宋体" w:hAnsi="宋体" w:cs="宋体" w:eastAsia="宋体" w:hint="default"/>
                <w:sz w:val="21"/>
                <w:szCs w:val="21"/>
              </w:rPr>
            </w:pPr>
            <w:r>
              <w:rPr>
                <w:rFonts w:ascii="宋体" w:hAnsi="宋体" w:cs="宋体" w:eastAsia="宋体" w:hint="default"/>
                <w:spacing w:val="-1"/>
                <w:sz w:val="21"/>
                <w:szCs w:val="21"/>
              </w:rPr>
              <w:t>主要会计数据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40" w:right="243"/>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7,131,134,732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7,734,848,084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-7.81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7,751,691,683</w:t>
            </w:r>
          </w:p>
        </w:tc>
      </w:tr>
      <w:tr>
        <w:trPr>
          <w:trHeight w:val="55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1,058,488,436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1,850,977,215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-42.81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386,357,188</w:t>
            </w:r>
          </w:p>
        </w:tc>
      </w:tr>
      <w:tr>
        <w:trPr>
          <w:trHeight w:val="829"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扣除非经常性损益的净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236,476,203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226,061,753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221,190,577</w:t>
            </w:r>
          </w:p>
        </w:tc>
      </w:tr>
      <w:tr>
        <w:trPr>
          <w:trHeight w:val="55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167,745,717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147,252,418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13.92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287,460,671</w:t>
            </w:r>
          </w:p>
        </w:tc>
      </w:tr>
      <w:tr>
        <w:trPr>
          <w:trHeight w:val="82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93"/>
              <w:jc w:val="right"/>
              <w:rPr>
                <w:rFonts w:ascii="宋体" w:hAnsi="宋体" w:cs="宋体" w:eastAsia="宋体" w:hint="default"/>
                <w:sz w:val="21"/>
                <w:szCs w:val="21"/>
              </w:rPr>
            </w:pPr>
            <w:r>
              <w:rPr>
                <w:rFonts w:ascii="宋体" w:hAnsi="宋体" w:cs="宋体" w:eastAsia="宋体" w:hint="default"/>
                <w:spacing w:val="-1"/>
                <w:sz w:val="21"/>
                <w:szCs w:val="21"/>
              </w:rPr>
              <w:t>主要会计数据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292" w:right="137"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8,920,924,836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7,711,935,832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15.68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6,076,042,386</w:t>
            </w:r>
          </w:p>
        </w:tc>
      </w:tr>
      <w:tr>
        <w:trPr>
          <w:trHeight w:val="295"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12,909,194,213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11,749,641,407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9.87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12,112,720,527</w:t>
            </w:r>
          </w:p>
        </w:tc>
      </w:tr>
    </w:tbl>
    <w:p>
      <w:pPr>
        <w:spacing w:line="240" w:lineRule="auto" w:before="12"/>
        <w:rPr>
          <w:rFonts w:ascii="宋体" w:hAnsi="宋体" w:cs="宋体" w:eastAsia="宋体" w:hint="default"/>
          <w:sz w:val="19"/>
          <w:szCs w:val="19"/>
        </w:rPr>
      </w:pPr>
    </w:p>
    <w:p>
      <w:pPr>
        <w:pStyle w:val="Heading4"/>
        <w:spacing w:line="240" w:lineRule="auto" w:before="36"/>
        <w:ind w:right="0"/>
        <w:jc w:val="left"/>
        <w:rPr>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325"/>
        <w:gridCol w:w="1455"/>
        <w:gridCol w:w="2185"/>
        <w:gridCol w:w="1159"/>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12.78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26.76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13.98</w:t>
            </w:r>
            <w:r>
              <w:rPr>
                <w:rFonts w:ascii="宋体" w:hAnsi="宋体" w:cs="宋体" w:eastAsia="宋体" w:hint="default"/>
                <w:spacing w:val="-1"/>
                <w:sz w:val="21"/>
                <w:szCs w:val="21"/>
              </w:rPr>
              <w:t>个百分点</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6.93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0.41</w:t>
            </w:r>
            <w:r>
              <w:rPr>
                <w:rFonts w:ascii="宋体" w:hAnsi="宋体" w:cs="宋体" w:eastAsia="宋体" w:hint="default"/>
                <w:spacing w:val="-1"/>
                <w:sz w:val="21"/>
                <w:szCs w:val="21"/>
              </w:rPr>
              <w:t>个百分点</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3.97</w:t>
            </w:r>
          </w:p>
        </w:tc>
      </w:tr>
    </w:tbl>
    <w:p>
      <w:pPr>
        <w:spacing w:line="240" w:lineRule="auto" w:before="7"/>
        <w:rPr>
          <w:rFonts w:ascii="宋体" w:hAnsi="宋体" w:cs="宋体" w:eastAsia="宋体" w:hint="default"/>
          <w:b/>
          <w:bCs/>
          <w:sz w:val="15"/>
          <w:szCs w:val="15"/>
        </w:rPr>
      </w:pPr>
    </w:p>
    <w:p>
      <w:pPr>
        <w:pStyle w:val="BodyText"/>
        <w:spacing w:line="273" w:lineRule="exact" w:before="36"/>
        <w:ind w:right="0"/>
        <w:jc w:val="left"/>
      </w:pPr>
      <w:r>
        <w:rPr/>
        <w:t>报告期末公司前三年主要会计数据和财务指标的说明</w:t>
      </w:r>
    </w:p>
    <w:p>
      <w:pPr>
        <w:pStyle w:val="BodyText"/>
        <w:spacing w:line="240" w:lineRule="auto"/>
        <w:ind w:left="638" w:right="0" w:hanging="420"/>
        <w:jc w:val="left"/>
      </w:pPr>
      <w:r>
        <w:rPr/>
        <w:t>√适用</w:t>
      </w:r>
      <w:r>
        <w:rPr>
          <w:spacing w:val="-2"/>
        </w:rPr>
        <w:t> </w:t>
      </w:r>
      <w:r>
        <w:rPr/>
        <w:t>□不适用</w:t>
      </w:r>
      <w:r>
        <w:rPr>
          <w:w w:val="100"/>
        </w:rPr>
        <w:t> </w:t>
      </w:r>
      <w:r>
        <w:rPr>
          <w:spacing w:val="-2"/>
        </w:rPr>
        <w:t>根据相关规定，基本每股收益以报告期加权平均股本为基数计算，本报告期末加权平均股数</w:t>
      </w:r>
    </w:p>
    <w:p>
      <w:pPr>
        <w:pStyle w:val="BodyText"/>
        <w:spacing w:line="271" w:lineRule="exact"/>
        <w:ind w:right="0"/>
        <w:jc w:val="left"/>
      </w:pPr>
      <w:r>
        <w:rPr/>
        <w:t>为 </w:t>
      </w:r>
      <w:r>
        <w:rPr>
          <w:rFonts w:ascii="宋体" w:hAnsi="宋体" w:cs="宋体" w:eastAsia="宋体" w:hint="default"/>
        </w:rPr>
        <w:t>1,232,487,091</w:t>
      </w:r>
      <w:r>
        <w:rPr>
          <w:rFonts w:ascii="宋体" w:hAnsi="宋体" w:cs="宋体" w:eastAsia="宋体" w:hint="default"/>
          <w:spacing w:val="1"/>
        </w:rPr>
        <w:t> </w:t>
      </w:r>
      <w:r>
        <w:rPr>
          <w:spacing w:val="-3"/>
        </w:rPr>
        <w:t>股。稀释每股收益以报告期末包含稀释性潜在普通股加权平均股本为基数计算，</w:t>
      </w:r>
    </w:p>
    <w:p>
      <w:pPr>
        <w:pStyle w:val="BodyText"/>
        <w:spacing w:line="274" w:lineRule="exact"/>
        <w:ind w:right="0"/>
        <w:jc w:val="left"/>
      </w:pPr>
      <w:r>
        <w:rPr/>
        <w:t>本报告期末加权稀释性平均股数为</w:t>
      </w:r>
      <w:r>
        <w:rPr>
          <w:spacing w:val="-53"/>
        </w:rPr>
        <w:t> </w:t>
      </w:r>
      <w:r>
        <w:rPr>
          <w:rFonts w:ascii="宋体" w:hAnsi="宋体" w:cs="宋体" w:eastAsia="宋体" w:hint="default"/>
        </w:rPr>
        <w:t>1,236,436,140</w:t>
      </w:r>
      <w:r>
        <w:rPr>
          <w:rFonts w:ascii="宋体" w:hAnsi="宋体" w:cs="宋体" w:eastAsia="宋体" w:hint="default"/>
          <w:spacing w:val="-55"/>
        </w:rPr>
        <w:t> </w:t>
      </w:r>
      <w:r>
        <w:rPr/>
        <w:t>股。</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八、境内外会计准则下会计数据差异</w:t>
      </w:r>
      <w:r>
        <w:rPr>
          <w:b w:val="0"/>
          <w:bCs w:val="0"/>
        </w:rPr>
      </w:r>
    </w:p>
    <w:p>
      <w:pPr>
        <w:pStyle w:val="Heading4"/>
        <w:spacing w:line="240" w:lineRule="auto" w:before="56"/>
        <w:ind w:left="638" w:right="0" w:hanging="420"/>
        <w:jc w:val="left"/>
        <w:rPr>
          <w:b w:val="0"/>
          <w:bCs w:val="0"/>
        </w:rPr>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同时按照国际会计准则与按中国会计准则披露的财务报告中净利润和归属于上市公司股东</w:t>
      </w:r>
      <w:r>
        <w:rPr>
          <w:spacing w:val="-27"/>
        </w:rPr>
        <w:t> </w:t>
      </w:r>
      <w:r>
        <w:rPr>
          <w:spacing w:val="-27"/>
        </w:rPr>
      </w:r>
      <w:r>
        <w:rPr/>
        <w:t>的净资产差异情况</w:t>
      </w:r>
      <w:r>
        <w:rPr>
          <w:b w:val="0"/>
          <w:bCs w:val="0"/>
        </w:rPr>
      </w:r>
    </w:p>
    <w:p>
      <w:pPr>
        <w:pStyle w:val="BodyText"/>
        <w:spacing w:line="240" w:lineRule="auto" w:before="56"/>
        <w:ind w:right="0"/>
        <w:jc w:val="left"/>
      </w:pPr>
      <w:r>
        <w:rPr/>
        <w:t>□适用</w:t>
      </w:r>
      <w:r>
        <w:rPr>
          <w:spacing w:val="-1"/>
        </w:rPr>
        <w:t> </w:t>
      </w:r>
      <w:r>
        <w:rPr/>
        <w:t>√不适用</w:t>
      </w:r>
    </w:p>
    <w:p>
      <w:pPr>
        <w:pStyle w:val="Heading4"/>
        <w:spacing w:line="272" w:lineRule="exact" w:before="86"/>
        <w:ind w:left="585" w:right="0" w:hanging="368"/>
        <w:jc w:val="left"/>
        <w:rPr>
          <w:b w:val="0"/>
          <w:bCs w:val="0"/>
        </w:rPr>
      </w:pP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同时按照境外会计准则与按中国会计准则披露的财务报告中净利润和归属于上市公司股东</w:t>
      </w:r>
      <w:r>
        <w:rPr>
          <w:spacing w:val="-29"/>
        </w:rPr>
        <w:t> </w:t>
      </w:r>
      <w:r>
        <w:rPr>
          <w:spacing w:val="-29"/>
        </w:rPr>
      </w:r>
      <w:r>
        <w:rPr/>
        <w:t>的净资产差异情况</w:t>
      </w:r>
      <w:r>
        <w:rPr>
          <w:b w:val="0"/>
          <w:bCs w:val="0"/>
        </w:rPr>
      </w:r>
    </w:p>
    <w:p>
      <w:pPr>
        <w:spacing w:line="290" w:lineRule="auto" w:before="34"/>
        <w:ind w:left="218" w:right="60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境内外会计准则差异的说明：</w:t>
      </w:r>
      <w:r>
        <w:rPr>
          <w:rFonts w:ascii="宋体" w:hAnsi="宋体" w:cs="宋体" w:eastAsia="宋体" w:hint="default"/>
          <w:spacing w:val="-1"/>
          <w:sz w:val="21"/>
          <w:szCs w:val="21"/>
        </w:rPr>
      </w:r>
    </w:p>
    <w:p>
      <w:pPr>
        <w:pStyle w:val="BodyText"/>
        <w:spacing w:line="240" w:lineRule="auto" w:before="14"/>
        <w:ind w:right="0"/>
        <w:jc w:val="left"/>
      </w:pPr>
      <w:r>
        <w:rPr/>
        <w:t>□适用</w:t>
      </w:r>
      <w:r>
        <w:rPr>
          <w:spacing w:val="-1"/>
        </w:rPr>
        <w:t> </w:t>
      </w:r>
      <w:r>
        <w:rPr/>
        <w:t>√不适用</w:t>
      </w:r>
    </w:p>
    <w:p>
      <w:pPr>
        <w:spacing w:after="0" w:line="240" w:lineRule="auto"/>
        <w:jc w:val="left"/>
        <w:sectPr>
          <w:type w:val="continuous"/>
          <w:pgSz w:w="11910" w:h="16840"/>
          <w:pgMar w:top="1580" w:bottom="280" w:left="1580" w:right="940"/>
        </w:sectPr>
      </w:pPr>
    </w:p>
    <w:p>
      <w:pPr>
        <w:spacing w:line="240" w:lineRule="auto" w:before="3"/>
        <w:rPr>
          <w:rFonts w:ascii="宋体" w:hAnsi="宋体" w:cs="宋体" w:eastAsia="宋体" w:hint="default"/>
          <w:sz w:val="11"/>
          <w:szCs w:val="11"/>
        </w:rPr>
      </w:pPr>
    </w:p>
    <w:p>
      <w:pPr>
        <w:pStyle w:val="Heading4"/>
        <w:spacing w:line="240" w:lineRule="auto" w:before="36"/>
        <w:ind w:left="798" w:right="0"/>
        <w:jc w:val="left"/>
        <w:rPr>
          <w:b w:val="0"/>
          <w:bCs w:val="0"/>
        </w:rPr>
      </w:pPr>
      <w:r>
        <w:rPr/>
        <w:t>九、</w:t>
      </w:r>
      <w:r>
        <w:rPr>
          <w:rFonts w:ascii="宋体" w:hAnsi="宋体" w:cs="宋体" w:eastAsia="宋体" w:hint="default"/>
        </w:rPr>
        <w:t>2017</w:t>
      </w:r>
      <w:r>
        <w:rPr>
          <w:rFonts w:ascii="宋体" w:hAnsi="宋体" w:cs="宋体" w:eastAsia="宋体" w:hint="default"/>
          <w:spacing w:val="-52"/>
        </w:rPr>
        <w:t> </w:t>
      </w:r>
      <w:r>
        <w:rPr/>
        <w:t>年分季度主要财务数据</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2319"/>
        <w:gridCol w:w="1865"/>
        <w:gridCol w:w="1623"/>
        <w:gridCol w:w="1623"/>
        <w:gridCol w:w="1620"/>
      </w:tblGrid>
      <w:tr>
        <w:trPr>
          <w:trHeight w:val="554"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主要财务数据</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1,214,602,389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1,494,204,794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1,491,378,699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2,930,948,850</w:t>
            </w:r>
          </w:p>
        </w:tc>
      </w:tr>
      <w:tr>
        <w:trPr>
          <w:trHeight w:val="554"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27,772,418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94,155,506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43,379,050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893,181,462</w:t>
            </w:r>
          </w:p>
        </w:tc>
      </w:tr>
      <w:tr>
        <w:trPr>
          <w:trHeight w:val="828"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扣除非经常性损益后的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11,908,441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58,643,267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26,623,802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139,300,693</w:t>
            </w:r>
          </w:p>
        </w:tc>
      </w:tr>
      <w:tr>
        <w:trPr>
          <w:trHeight w:val="555"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-1,245,217,887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219,296,893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-25,913,313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1,219,580,024</w:t>
            </w:r>
          </w:p>
        </w:tc>
      </w:tr>
    </w:tbl>
    <w:p>
      <w:pPr>
        <w:spacing w:line="240" w:lineRule="auto" w:before="7"/>
        <w:rPr>
          <w:rFonts w:ascii="宋体" w:hAnsi="宋体" w:cs="宋体" w:eastAsia="宋体" w:hint="default"/>
          <w:sz w:val="15"/>
          <w:szCs w:val="15"/>
        </w:rPr>
      </w:pPr>
    </w:p>
    <w:p>
      <w:pPr>
        <w:pStyle w:val="BodyText"/>
        <w:spacing w:line="273" w:lineRule="exact" w:before="36"/>
        <w:ind w:left="798" w:right="0"/>
        <w:jc w:val="left"/>
      </w:pPr>
      <w:r>
        <w:rPr/>
        <w:t>季度数据与已披露定期报告数据差异说明</w:t>
      </w:r>
    </w:p>
    <w:p>
      <w:pPr>
        <w:pStyle w:val="BodyText"/>
        <w:tabs>
          <w:tab w:pos="1640" w:val="left" w:leader="none"/>
        </w:tabs>
        <w:spacing w:line="273" w:lineRule="exact"/>
        <w:ind w:left="79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1"/>
          <w:pgSz w:w="11910" w:h="16840"/>
          <w:pgMar w:header="945" w:footer="1248" w:top="1300" w:bottom="1440" w:left="1000" w:right="780"/>
        </w:sectPr>
      </w:pPr>
    </w:p>
    <w:p>
      <w:pPr>
        <w:pStyle w:val="Heading4"/>
        <w:spacing w:line="240" w:lineRule="auto" w:before="36"/>
        <w:ind w:left="798" w:right="-2"/>
        <w:jc w:val="left"/>
        <w:rPr>
          <w:b w:val="0"/>
          <w:bCs w:val="0"/>
        </w:rPr>
      </w:pPr>
      <w:r>
        <w:rPr>
          <w:spacing w:val="-1"/>
        </w:rPr>
        <w:t>十、非经常性损益项目和金额</w:t>
      </w:r>
      <w:r>
        <w:rPr>
          <w:b w:val="0"/>
          <w:bCs w:val="0"/>
          <w:spacing w:val="-1"/>
        </w:rPr>
      </w:r>
    </w:p>
    <w:p>
      <w:pPr>
        <w:pStyle w:val="BodyText"/>
        <w:spacing w:line="240" w:lineRule="auto" w:before="58"/>
        <w:ind w:left="79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4" w:val="left" w:leader="none"/>
        </w:tabs>
        <w:spacing w:line="240" w:lineRule="auto"/>
        <w:ind w:left="7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000" w:right="780"/>
          <w:cols w:num="2" w:equalWidth="0">
            <w:col w:w="3544" w:space="3189"/>
            <w:col w:w="3397"/>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44"/>
        <w:gridCol w:w="1747"/>
        <w:gridCol w:w="1676"/>
        <w:gridCol w:w="1666"/>
        <w:gridCol w:w="1452"/>
      </w:tblGrid>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550"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375,254,474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6"/>
                <w:sz w:val="21"/>
                <w:szCs w:val="21"/>
              </w:rPr>
              <w:t> </w:t>
            </w:r>
            <w:r>
              <w:rPr>
                <w:rFonts w:ascii="宋体" w:hAnsi="宋体" w:cs="宋体" w:eastAsia="宋体" w:hint="default"/>
                <w:sz w:val="21"/>
                <w:szCs w:val="21"/>
              </w:rPr>
              <w:t>要</w:t>
            </w:r>
            <w:r>
              <w:rPr>
                <w:rFonts w:ascii="宋体" w:hAnsi="宋体" w:cs="宋体" w:eastAsia="宋体" w:hint="default"/>
                <w:spacing w:val="-64"/>
                <w:sz w:val="21"/>
                <w:szCs w:val="21"/>
              </w:rPr>
              <w:t> </w:t>
            </w:r>
            <w:r>
              <w:rPr>
                <w:rFonts w:ascii="宋体" w:hAnsi="宋体" w:cs="宋体" w:eastAsia="宋体" w:hint="default"/>
                <w:sz w:val="21"/>
                <w:szCs w:val="21"/>
              </w:rPr>
              <w:t>为</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4"/>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6"/>
                <w:sz w:val="21"/>
                <w:szCs w:val="21"/>
              </w:rPr>
              <w:t> </w:t>
            </w:r>
            <w:r>
              <w:rPr>
                <w:rFonts w:ascii="宋体" w:hAnsi="宋体" w:cs="宋体" w:eastAsia="宋体" w:hint="default"/>
                <w:sz w:val="21"/>
                <w:szCs w:val="21"/>
              </w:rPr>
              <w:t>望</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（以下简称“东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软望海”）因其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他</w:t>
            </w:r>
            <w:r>
              <w:rPr>
                <w:rFonts w:ascii="宋体" w:hAnsi="宋体" w:cs="宋体" w:eastAsia="宋体" w:hint="default"/>
                <w:spacing w:val="-66"/>
                <w:sz w:val="21"/>
                <w:szCs w:val="21"/>
              </w:rPr>
              <w:t> </w:t>
            </w:r>
            <w:r>
              <w:rPr>
                <w:rFonts w:ascii="宋体" w:hAnsi="宋体" w:cs="宋体" w:eastAsia="宋体" w:hint="default"/>
                <w:sz w:val="21"/>
                <w:szCs w:val="21"/>
              </w:rPr>
              <w:t>方</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致</w:t>
            </w:r>
            <w:r>
              <w:rPr>
                <w:rFonts w:ascii="宋体" w:hAnsi="宋体" w:cs="宋体" w:eastAsia="宋体" w:hint="default"/>
                <w:spacing w:val="-64"/>
                <w:sz w:val="21"/>
                <w:szCs w:val="21"/>
              </w:rPr>
              <w:t> </w:t>
            </w:r>
            <w:r>
              <w:rPr>
                <w:rFonts w:ascii="宋体" w:hAnsi="宋体" w:cs="宋体" w:eastAsia="宋体" w:hint="default"/>
                <w:sz w:val="21"/>
                <w:szCs w:val="21"/>
              </w:rPr>
              <w:t>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spacing w:val="-66"/>
                <w:sz w:val="21"/>
                <w:szCs w:val="21"/>
              </w:rPr>
              <w:t> </w:t>
            </w:r>
            <w:r>
              <w:rPr>
                <w:rFonts w:ascii="宋体" w:hAnsi="宋体" w:cs="宋体" w:eastAsia="宋体" w:hint="default"/>
                <w:sz w:val="21"/>
                <w:szCs w:val="21"/>
              </w:rPr>
              <w:t>降</w:t>
            </w:r>
            <w:r>
              <w:rPr>
                <w:rFonts w:ascii="宋体" w:hAnsi="宋体" w:cs="宋体" w:eastAsia="宋体" w:hint="default"/>
                <w:spacing w:val="-64"/>
                <w:sz w:val="21"/>
                <w:szCs w:val="21"/>
              </w:rPr>
              <w:t> </w:t>
            </w:r>
            <w:r>
              <w:rPr>
                <w:rFonts w:ascii="宋体" w:hAnsi="宋体" w:cs="宋体" w:eastAsia="宋体" w:hint="default"/>
                <w:sz w:val="21"/>
                <w:szCs w:val="21"/>
              </w:rPr>
              <w:t>对</w:t>
            </w:r>
            <w:r>
              <w:rPr>
                <w:rFonts w:ascii="宋体" w:hAnsi="宋体" w:cs="宋体" w:eastAsia="宋体" w:hint="default"/>
                <w:spacing w:val="-66"/>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丧</w:t>
            </w:r>
            <w:r>
              <w:rPr>
                <w:rFonts w:ascii="宋体" w:hAnsi="宋体" w:cs="宋体" w:eastAsia="宋体" w:hint="default"/>
                <w:spacing w:val="-66"/>
                <w:sz w:val="21"/>
                <w:szCs w:val="21"/>
              </w:rPr>
              <w:t> </w:t>
            </w:r>
            <w:r>
              <w:rPr>
                <w:rFonts w:ascii="宋体" w:hAnsi="宋体" w:cs="宋体" w:eastAsia="宋体" w:hint="default"/>
                <w:sz w:val="21"/>
                <w:szCs w:val="21"/>
              </w:rPr>
              <w:t>失</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66"/>
                <w:sz w:val="21"/>
                <w:szCs w:val="21"/>
              </w:rPr>
              <w:t> </w:t>
            </w:r>
            <w:r>
              <w:rPr>
                <w:rFonts w:ascii="宋体" w:hAnsi="宋体" w:cs="宋体" w:eastAsia="宋体" w:hint="default"/>
                <w:sz w:val="21"/>
                <w:szCs w:val="21"/>
              </w:rPr>
              <w:t>制</w:t>
            </w:r>
            <w:r>
              <w:rPr>
                <w:rFonts w:ascii="宋体" w:hAnsi="宋体" w:cs="宋体" w:eastAsia="宋体" w:hint="default"/>
                <w:spacing w:val="-64"/>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而</w:t>
            </w:r>
            <w:r>
              <w:rPr>
                <w:rFonts w:ascii="宋体" w:hAnsi="宋体" w:cs="宋体" w:eastAsia="宋体" w:hint="default"/>
                <w:spacing w:val="-66"/>
                <w:sz w:val="21"/>
                <w:szCs w:val="21"/>
              </w:rPr>
              <w:t> </w:t>
            </w:r>
            <w:r>
              <w:rPr>
                <w:rFonts w:ascii="宋体" w:hAnsi="宋体" w:cs="宋体" w:eastAsia="宋体" w:hint="default"/>
                <w:sz w:val="21"/>
                <w:szCs w:val="21"/>
              </w:rPr>
              <w:t>确</w:t>
            </w:r>
            <w:r>
              <w:rPr>
                <w:rFonts w:ascii="宋体" w:hAnsi="宋体" w:cs="宋体" w:eastAsia="宋体" w:hint="default"/>
                <w:spacing w:val="-66"/>
                <w:sz w:val="21"/>
                <w:szCs w:val="21"/>
              </w:rPr>
              <w:t> </w:t>
            </w:r>
            <w:r>
              <w:rPr>
                <w:rFonts w:ascii="宋体" w:hAnsi="宋体" w:cs="宋体" w:eastAsia="宋体" w:hint="default"/>
                <w:sz w:val="21"/>
                <w:szCs w:val="21"/>
              </w:rPr>
              <w:t>认</w:t>
            </w:r>
            <w:r>
              <w:rPr>
                <w:rFonts w:ascii="宋体" w:hAnsi="宋体" w:cs="宋体" w:eastAsia="宋体" w:hint="default"/>
                <w:w w:val="100"/>
                <w:sz w:val="21"/>
                <w:szCs w:val="21"/>
              </w:rPr>
              <w:t> </w:t>
            </w:r>
            <w:r>
              <w:rPr>
                <w:rFonts w:ascii="宋体" w:hAnsi="宋体" w:cs="宋体" w:eastAsia="宋体" w:hint="default"/>
                <w:spacing w:val="-3"/>
                <w:sz w:val="21"/>
                <w:szCs w:val="21"/>
              </w:rPr>
              <w:t>的投资收益（以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下简称“视同处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置收益”）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766,522,909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6,742,250</w:t>
            </w:r>
          </w:p>
        </w:tc>
      </w:tr>
      <w:tr>
        <w:trPr>
          <w:trHeight w:val="1102"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3"/>
                <w:sz w:val="21"/>
                <w:szCs w:val="21"/>
              </w:rPr>
              <w:t>司正常经营业务密切相关，符合国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家政策规定、按照一定标准定额或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定量持续享受的政府补助除外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106,032,183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6"/>
                <w:sz w:val="21"/>
                <w:szCs w:val="21"/>
              </w:rPr>
              <w:t> </w:t>
            </w:r>
            <w:r>
              <w:rPr>
                <w:rFonts w:ascii="宋体" w:hAnsi="宋体" w:cs="宋体" w:eastAsia="宋体" w:hint="default"/>
                <w:sz w:val="21"/>
                <w:szCs w:val="21"/>
              </w:rPr>
              <w:t>要</w:t>
            </w:r>
            <w:r>
              <w:rPr>
                <w:rFonts w:ascii="宋体" w:hAnsi="宋体" w:cs="宋体" w:eastAsia="宋体" w:hint="default"/>
                <w:spacing w:val="-64"/>
                <w:sz w:val="21"/>
                <w:szCs w:val="21"/>
              </w:rPr>
              <w:t> </w:t>
            </w:r>
            <w:r>
              <w:rPr>
                <w:rFonts w:ascii="宋体" w:hAnsi="宋体" w:cs="宋体" w:eastAsia="宋体" w:hint="default"/>
                <w:sz w:val="21"/>
                <w:szCs w:val="21"/>
              </w:rPr>
              <w:t>为</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研</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等政府补助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151,400,260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167,476,153</w:t>
            </w:r>
          </w:p>
        </w:tc>
      </w:tr>
      <w:tr>
        <w:trPr>
          <w:trHeight w:val="1915"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0" w:right="99"/>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r>
              <w:rPr>
                <w:rFonts w:ascii="宋体" w:hAnsi="宋体" w:cs="宋体" w:eastAsia="宋体" w:hint="default"/>
                <w:w w:val="100"/>
                <w:sz w:val="21"/>
                <w:szCs w:val="21"/>
              </w:rPr>
              <w:t> </w:t>
            </w:r>
            <w:r>
              <w:rPr>
                <w:rFonts w:ascii="宋体" w:hAnsi="宋体" w:cs="宋体" w:eastAsia="宋体" w:hint="default"/>
                <w:spacing w:val="-3"/>
                <w:sz w:val="21"/>
                <w:szCs w:val="21"/>
              </w:rPr>
              <w:t>效套期保值业务外，持有交易性金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融资产、交易性金融负债产生的公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允价值变动损益，以及处置交易性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金融资产、交易性金融负债和可供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出售金融资产取得的投资收益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10,615,607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5"/>
                <w:sz w:val="21"/>
                <w:szCs w:val="21"/>
              </w:rPr>
              <w:t> </w:t>
            </w:r>
            <w:r>
              <w:rPr>
                <w:rFonts w:ascii="宋体" w:hAnsi="宋体" w:cs="宋体" w:eastAsia="宋体" w:hint="default"/>
                <w:sz w:val="21"/>
                <w:szCs w:val="21"/>
              </w:rPr>
              <w:t>要</w:t>
            </w:r>
            <w:r>
              <w:rPr>
                <w:rFonts w:ascii="宋体" w:hAnsi="宋体" w:cs="宋体" w:eastAsia="宋体" w:hint="default"/>
                <w:spacing w:val="-63"/>
                <w:sz w:val="21"/>
                <w:szCs w:val="21"/>
              </w:rPr>
              <w:t> </w:t>
            </w:r>
            <w:r>
              <w:rPr>
                <w:rFonts w:ascii="宋体" w:hAnsi="宋体" w:cs="宋体" w:eastAsia="宋体" w:hint="default"/>
                <w:sz w:val="21"/>
                <w:szCs w:val="21"/>
              </w:rPr>
              <w:t>为</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pacing w:val="18"/>
                <w:sz w:val="21"/>
                <w:szCs w:val="21"/>
              </w:rPr>
              <w:t>以公</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允</w:t>
            </w:r>
            <w:r>
              <w:rPr>
                <w:rFonts w:ascii="宋体" w:hAnsi="宋体" w:cs="宋体" w:eastAsia="宋体" w:hint="default"/>
                <w:spacing w:val="-66"/>
                <w:sz w:val="21"/>
                <w:szCs w:val="21"/>
              </w:rPr>
              <w:t> </w:t>
            </w:r>
            <w:r>
              <w:rPr>
                <w:rFonts w:ascii="宋体" w:hAnsi="宋体" w:cs="宋体" w:eastAsia="宋体" w:hint="default"/>
                <w:sz w:val="21"/>
                <w:szCs w:val="21"/>
              </w:rPr>
              <w:t>价</w:t>
            </w:r>
            <w:r>
              <w:rPr>
                <w:rFonts w:ascii="宋体" w:hAnsi="宋体" w:cs="宋体" w:eastAsia="宋体" w:hint="default"/>
                <w:spacing w:val="-64"/>
                <w:sz w:val="21"/>
                <w:szCs w:val="21"/>
              </w:rPr>
              <w:t> </w:t>
            </w:r>
            <w:r>
              <w:rPr>
                <w:rFonts w:ascii="宋体" w:hAnsi="宋体" w:cs="宋体" w:eastAsia="宋体" w:hint="default"/>
                <w:sz w:val="21"/>
                <w:szCs w:val="21"/>
              </w:rPr>
              <w:t>值</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量</w:t>
            </w:r>
            <w:r>
              <w:rPr>
                <w:rFonts w:ascii="宋体" w:hAnsi="宋体" w:cs="宋体" w:eastAsia="宋体" w:hint="default"/>
                <w:spacing w:val="-66"/>
                <w:sz w:val="21"/>
                <w:szCs w:val="21"/>
              </w:rPr>
              <w:t> </w:t>
            </w:r>
            <w:r>
              <w:rPr>
                <w:rFonts w:ascii="宋体" w:hAnsi="宋体" w:cs="宋体" w:eastAsia="宋体" w:hint="default"/>
                <w:sz w:val="21"/>
                <w:szCs w:val="21"/>
              </w:rPr>
              <w:t>且</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spacing w:val="-64"/>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4"/>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p>
          <w:p>
            <w:pPr>
              <w:pStyle w:val="TableParagraph"/>
              <w:spacing w:line="237" w:lineRule="auto" w:before="1"/>
              <w:ind w:left="103" w:right="60"/>
              <w:jc w:val="both"/>
              <w:rPr>
                <w:rFonts w:ascii="宋体" w:hAnsi="宋体" w:cs="宋体" w:eastAsia="宋体" w:hint="default"/>
                <w:sz w:val="21"/>
                <w:szCs w:val="21"/>
              </w:rPr>
            </w:pPr>
            <w:r>
              <w:rPr>
                <w:rFonts w:ascii="宋体" w:hAnsi="宋体" w:cs="宋体" w:eastAsia="宋体" w:hint="default"/>
                <w:spacing w:val="18"/>
                <w:sz w:val="21"/>
                <w:szCs w:val="21"/>
              </w:rPr>
              <w:t>负债</w:t>
            </w:r>
            <w:r>
              <w:rPr>
                <w:rFonts w:ascii="宋体" w:hAnsi="宋体" w:cs="宋体" w:eastAsia="宋体" w:hint="default"/>
                <w:spacing w:val="-60"/>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pacing w:val="24"/>
                <w:sz w:val="21"/>
                <w:szCs w:val="21"/>
              </w:rPr>
              <w:t>的公允</w:t>
            </w:r>
            <w:r>
              <w:rPr>
                <w:rFonts w:ascii="宋体" w:hAnsi="宋体" w:cs="宋体" w:eastAsia="宋体" w:hint="default"/>
                <w:spacing w:val="-100"/>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spacing w:val="-64"/>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及处置损益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-16,627,059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4,571,706</w:t>
            </w:r>
          </w:p>
        </w:tc>
      </w:tr>
      <w:tr>
        <w:trPr>
          <w:trHeight w:val="55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11,332,813</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17,328,934</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3,409,432</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4,899,803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1,143,587</w:t>
            </w:r>
          </w:p>
        </w:tc>
      </w:tr>
    </w:tbl>
    <w:p>
      <w:pPr>
        <w:spacing w:after="0" w:line="240" w:lineRule="auto"/>
        <w:jc w:val="right"/>
        <w:rPr>
          <w:rFonts w:ascii="宋体" w:hAnsi="宋体" w:cs="宋体" w:eastAsia="宋体" w:hint="default"/>
          <w:sz w:val="21"/>
          <w:szCs w:val="21"/>
        </w:rPr>
        <w:sectPr>
          <w:type w:val="continuous"/>
          <w:pgSz w:w="11910" w:h="16840"/>
          <w:pgMar w:top="1580" w:bottom="280" w:left="1000" w:right="780"/>
        </w:sectPr>
      </w:pPr>
    </w:p>
    <w:p>
      <w:pPr>
        <w:spacing w:line="240" w:lineRule="auto" w:before="8"/>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44"/>
        <w:gridCol w:w="1747"/>
        <w:gridCol w:w="1676"/>
        <w:gridCol w:w="1666"/>
        <w:gridCol w:w="1452"/>
      </w:tblGrid>
      <w:tr>
        <w:trPr>
          <w:trHeight w:val="28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2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734"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286"/>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98"/>
              <w:jc w:val="right"/>
              <w:rPr>
                <w:rFonts w:ascii="宋体" w:hAnsi="宋体" w:cs="宋体" w:eastAsia="宋体" w:hint="default"/>
                <w:sz w:val="21"/>
                <w:szCs w:val="21"/>
              </w:rPr>
            </w:pPr>
            <w:r>
              <w:rPr>
                <w:rFonts w:ascii="宋体"/>
                <w:spacing w:val="-1"/>
                <w:sz w:val="21"/>
              </w:rPr>
              <w:t>423,126,817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6"/>
                <w:sz w:val="21"/>
                <w:szCs w:val="21"/>
              </w:rPr>
              <w:t> </w:t>
            </w:r>
            <w:r>
              <w:rPr>
                <w:rFonts w:ascii="宋体" w:hAnsi="宋体" w:cs="宋体" w:eastAsia="宋体" w:hint="default"/>
                <w:sz w:val="21"/>
                <w:szCs w:val="21"/>
              </w:rPr>
              <w:t>要</w:t>
            </w:r>
            <w:r>
              <w:rPr>
                <w:rFonts w:ascii="宋体" w:hAnsi="宋体" w:cs="宋体" w:eastAsia="宋体" w:hint="default"/>
                <w:spacing w:val="-64"/>
                <w:sz w:val="21"/>
                <w:szCs w:val="21"/>
              </w:rPr>
              <w:t> </w:t>
            </w:r>
            <w:r>
              <w:rPr>
                <w:rFonts w:ascii="宋体" w:hAnsi="宋体" w:cs="宋体" w:eastAsia="宋体" w:hint="default"/>
                <w:sz w:val="21"/>
                <w:szCs w:val="21"/>
              </w:rPr>
              <w:t>为</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4"/>
                <w:sz w:val="21"/>
                <w:szCs w:val="21"/>
              </w:rPr>
              <w:t> </w:t>
            </w:r>
            <w:r>
              <w:rPr>
                <w:rFonts w:ascii="宋体" w:hAnsi="宋体" w:cs="宋体" w:eastAsia="宋体" w:hint="default"/>
                <w:sz w:val="21"/>
                <w:szCs w:val="21"/>
              </w:rPr>
              <w:t>望</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引</w:t>
            </w:r>
            <w:r>
              <w:rPr>
                <w:rFonts w:ascii="宋体" w:hAnsi="宋体" w:cs="宋体" w:eastAsia="宋体" w:hint="default"/>
                <w:spacing w:val="-66"/>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pacing w:val="-3"/>
                <w:sz w:val="21"/>
                <w:szCs w:val="21"/>
              </w:rPr>
              <w:t>投资者，使本公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例</w:t>
            </w:r>
            <w:r>
              <w:rPr>
                <w:rFonts w:ascii="宋体" w:hAnsi="宋体" w:cs="宋体" w:eastAsia="宋体" w:hint="default"/>
                <w:spacing w:val="-66"/>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pacing w:val="-3"/>
                <w:sz w:val="21"/>
                <w:szCs w:val="21"/>
              </w:rPr>
              <w:t>降，对其丧失控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制权，剩余股权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照</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允</w:t>
            </w:r>
            <w:r>
              <w:rPr>
                <w:rFonts w:ascii="宋体" w:hAnsi="宋体" w:cs="宋体" w:eastAsia="宋体" w:hint="default"/>
                <w:spacing w:val="-66"/>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量</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99"/>
              <w:jc w:val="right"/>
              <w:rPr>
                <w:rFonts w:ascii="宋体" w:hAnsi="宋体" w:cs="宋体" w:eastAsia="宋体" w:hint="default"/>
                <w:sz w:val="21"/>
                <w:szCs w:val="21"/>
              </w:rPr>
            </w:pPr>
            <w:r>
              <w:rPr>
                <w:rFonts w:ascii="宋体"/>
                <w:spacing w:val="-1"/>
                <w:sz w:val="21"/>
              </w:rPr>
              <w:t>858,367,864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98"/>
              <w:jc w:val="right"/>
              <w:rPr>
                <w:rFonts w:ascii="宋体" w:hAnsi="宋体" w:cs="宋体" w:eastAsia="宋体" w:hint="default"/>
                <w:sz w:val="21"/>
                <w:szCs w:val="21"/>
              </w:rPr>
            </w:pPr>
            <w:r>
              <w:rPr>
                <w:rFonts w:ascii="宋体"/>
                <w:spacing w:val="-1"/>
                <w:sz w:val="21"/>
              </w:rPr>
              <w:t>11,744,348</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-8,373,340</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-4,074,198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-4,765,929</w:t>
            </w:r>
          </w:p>
        </w:tc>
      </w:tr>
      <w:tr>
        <w:trPr>
          <w:trHeight w:val="281"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-99,385,753</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-152,903,051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-21,745,504</w:t>
            </w:r>
          </w:p>
        </w:tc>
      </w:tr>
      <w:tr>
        <w:trPr>
          <w:trHeight w:val="283" w:hRule="exact"/>
        </w:trPr>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822,012,233</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1,624,915,462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165,166,611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
          <w:pgSz w:w="11910" w:h="16840"/>
          <w:pgMar w:header="945" w:footer="1248" w:top="1300" w:bottom="1440" w:left="1000" w:right="780"/>
        </w:sectPr>
      </w:pPr>
    </w:p>
    <w:p>
      <w:pPr>
        <w:pStyle w:val="Heading4"/>
        <w:spacing w:line="240" w:lineRule="auto" w:before="36"/>
        <w:ind w:left="798" w:right="-19"/>
        <w:jc w:val="left"/>
        <w:rPr>
          <w:b w:val="0"/>
          <w:bCs w:val="0"/>
        </w:rPr>
      </w:pPr>
      <w:r>
        <w:rPr/>
        <w:t>十一、</w:t>
      </w:r>
      <w:r>
        <w:rPr>
          <w:spacing w:val="-30"/>
        </w:rPr>
        <w:t> </w:t>
      </w:r>
      <w:r>
        <w:rPr/>
        <w:t>采用公允价值计量的项目</w:t>
      </w:r>
      <w:r>
        <w:rPr>
          <w:b w:val="0"/>
          <w:bCs w:val="0"/>
        </w:rPr>
      </w:r>
    </w:p>
    <w:p>
      <w:pPr>
        <w:pStyle w:val="BodyText"/>
        <w:spacing w:line="240" w:lineRule="auto" w:before="56"/>
        <w:ind w:left="7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580" w:bottom="280" w:left="1000" w:right="780"/>
          <w:cols w:num="2" w:equalWidth="0">
            <w:col w:w="3827" w:space="2694"/>
            <w:col w:w="3609"/>
          </w:cols>
        </w:sectPr>
      </w:pP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9,275,607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-9,275,607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9,275,607</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可供出售金融资产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34,192,490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34,192,490</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34,192,490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24,916,883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r>
    </w:tbl>
    <w:p>
      <w:pPr>
        <w:pStyle w:val="BodyText"/>
        <w:spacing w:line="239" w:lineRule="exact"/>
        <w:ind w:left="798" w:right="0"/>
        <w:jc w:val="left"/>
      </w:pPr>
      <w:r>
        <w:rPr/>
        <w:t>注：报告期内本公司之子公司东软（香港）有限公司参与弘和仁爱医疗集团有限公司（以下简称</w:t>
      </w:r>
    </w:p>
    <w:p>
      <w:pPr>
        <w:pStyle w:val="BodyText"/>
        <w:spacing w:line="240" w:lineRule="auto"/>
        <w:ind w:left="798" w:right="484"/>
        <w:jc w:val="left"/>
      </w:pPr>
      <w:r>
        <w:rPr/>
        <w:t>“弘和仁爱医疗”）在香港联合交易所的首次公开发行，以自有资金</w:t>
      </w:r>
      <w:r>
        <w:rPr>
          <w:spacing w:val="-51"/>
        </w:rPr>
        <w:t> </w:t>
      </w:r>
      <w:r>
        <w:rPr>
          <w:rFonts w:ascii="宋体" w:hAnsi="宋体" w:cs="宋体" w:eastAsia="宋体" w:hint="default"/>
        </w:rPr>
        <w:t>500</w:t>
      </w:r>
      <w:r>
        <w:rPr>
          <w:rFonts w:ascii="宋体" w:hAnsi="宋体" w:cs="宋体" w:eastAsia="宋体" w:hint="default"/>
          <w:spacing w:val="-50"/>
        </w:rPr>
        <w:t> </w:t>
      </w:r>
      <w:r>
        <w:rPr/>
        <w:t>万美元，按弘和仁爱医</w:t>
      </w:r>
      <w:r>
        <w:rPr>
          <w:w w:val="100"/>
        </w:rPr>
        <w:t> </w:t>
      </w:r>
      <w:r>
        <w:rPr/>
        <w:t>疗在香港联合交易所首次公开发行价格进行认购，认购的股票划分为可供出售金融资产。</w:t>
      </w:r>
    </w:p>
    <w:p>
      <w:pPr>
        <w:spacing w:line="240" w:lineRule="auto" w:before="3"/>
        <w:rPr>
          <w:rFonts w:ascii="宋体" w:hAnsi="宋体" w:cs="宋体" w:eastAsia="宋体" w:hint="default"/>
          <w:sz w:val="25"/>
          <w:szCs w:val="25"/>
        </w:rPr>
      </w:pPr>
    </w:p>
    <w:p>
      <w:pPr>
        <w:pStyle w:val="Heading4"/>
        <w:spacing w:line="240" w:lineRule="auto"/>
        <w:ind w:left="798" w:right="0"/>
        <w:jc w:val="left"/>
        <w:rPr>
          <w:b w:val="0"/>
          <w:bCs w:val="0"/>
        </w:rPr>
      </w:pPr>
      <w:r>
        <w:rPr/>
        <w:t>十二、</w:t>
      </w:r>
      <w:r>
        <w:rPr>
          <w:spacing w:val="-31"/>
        </w:rPr>
        <w:t> </w:t>
      </w:r>
      <w:r>
        <w:rPr/>
        <w:t>其他</w:t>
      </w:r>
      <w:r>
        <w:rPr>
          <w:b w:val="0"/>
          <w:bCs w:val="0"/>
        </w:rPr>
      </w:r>
    </w:p>
    <w:p>
      <w:pPr>
        <w:pStyle w:val="BodyText"/>
        <w:spacing w:line="240" w:lineRule="auto" w:before="56"/>
        <w:ind w:left="798" w:right="0"/>
        <w:jc w:val="left"/>
      </w:pPr>
      <w:r>
        <w:rPr/>
        <w:t>□适用</w:t>
      </w:r>
      <w:r>
        <w:rPr>
          <w:spacing w:val="-1"/>
        </w:rPr>
        <w:t> </w:t>
      </w:r>
      <w:r>
        <w:rPr/>
        <w:t>√不适用</w:t>
      </w:r>
    </w:p>
    <w:p>
      <w:pPr>
        <w:spacing w:after="0" w:line="240" w:lineRule="auto"/>
        <w:jc w:val="left"/>
        <w:sectPr>
          <w:type w:val="continuous"/>
          <w:pgSz w:w="11910" w:h="16840"/>
          <w:pgMar w:top="1580" w:bottom="280" w:left="1000" w:right="780"/>
        </w:sectPr>
      </w:pPr>
    </w:p>
    <w:p>
      <w:pPr>
        <w:spacing w:line="240" w:lineRule="auto" w:before="11"/>
        <w:rPr>
          <w:rFonts w:ascii="宋体" w:hAnsi="宋体" w:cs="宋体" w:eastAsia="宋体" w:hint="default"/>
          <w:sz w:val="11"/>
          <w:szCs w:val="11"/>
        </w:rPr>
      </w:pPr>
    </w:p>
    <w:p>
      <w:pPr>
        <w:pStyle w:val="Heading1"/>
        <w:spacing w:line="240" w:lineRule="auto"/>
        <w:ind w:right="2852"/>
        <w:jc w:val="center"/>
        <w:rPr>
          <w:b w:val="0"/>
          <w:bCs w:val="0"/>
        </w:rPr>
      </w:pPr>
      <w:bookmarkStart w:name="_TOC_250009" w:id="3"/>
      <w:r>
        <w:rPr/>
        <w:t>第三节</w:t>
      </w:r>
      <w:r>
        <w:rPr>
          <w:spacing w:val="-3"/>
        </w:rPr>
        <w:t> </w:t>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18" w:right="206"/>
        <w:jc w:val="left"/>
        <w:rPr>
          <w:b w:val="0"/>
          <w:bCs w:val="0"/>
        </w:rPr>
      </w:pPr>
      <w:r>
        <w:rPr/>
        <w:t>一、报告期内公司所从事的主要业务、经营模式及行业情况说明</w:t>
      </w:r>
      <w:r>
        <w:rPr>
          <w:b w:val="0"/>
          <w:bCs w:val="0"/>
        </w:rPr>
      </w:r>
    </w:p>
    <w:p>
      <w:pPr>
        <w:pStyle w:val="BodyText"/>
        <w:spacing w:line="272" w:lineRule="exact" w:before="86"/>
        <w:ind w:left="118" w:right="206" w:firstLine="419"/>
        <w:jc w:val="left"/>
      </w:pPr>
      <w:r>
        <w:rPr/>
        <w:t>东软集团于</w:t>
      </w:r>
      <w:r>
        <w:rPr>
          <w:spacing w:val="-51"/>
        </w:rPr>
        <w:t> </w:t>
      </w:r>
      <w:r>
        <w:rPr>
          <w:rFonts w:ascii="宋体" w:hAnsi="宋体" w:cs="宋体" w:eastAsia="宋体" w:hint="default"/>
        </w:rPr>
        <w:t>1991</w:t>
      </w:r>
      <w:r>
        <w:rPr>
          <w:rFonts w:ascii="宋体" w:hAnsi="宋体" w:cs="宋体" w:eastAsia="宋体" w:hint="default"/>
          <w:spacing w:val="-51"/>
        </w:rPr>
        <w:t> </w:t>
      </w:r>
      <w:r>
        <w:rPr/>
        <w:t>年成立，于</w:t>
      </w:r>
      <w:r>
        <w:rPr>
          <w:spacing w:val="-51"/>
        </w:rPr>
        <w:t> </w:t>
      </w:r>
      <w:r>
        <w:rPr>
          <w:rFonts w:ascii="宋体" w:hAnsi="宋体" w:cs="宋体" w:eastAsia="宋体" w:hint="default"/>
        </w:rPr>
        <w:t>1996</w:t>
      </w:r>
      <w:r>
        <w:rPr>
          <w:rFonts w:ascii="宋体" w:hAnsi="宋体" w:cs="宋体" w:eastAsia="宋体" w:hint="default"/>
          <w:spacing w:val="-54"/>
        </w:rPr>
        <w:t> </w:t>
      </w:r>
      <w:r>
        <w:rPr/>
        <w:t>年上市，是中国第一家上市的软件企业，也是中国第一家</w:t>
      </w:r>
      <w:r>
        <w:rPr>
          <w:w w:val="100"/>
        </w:rPr>
        <w:t> </w:t>
      </w:r>
      <w:r>
        <w:rPr/>
        <w:t>通过</w:t>
      </w:r>
      <w:r>
        <w:rPr>
          <w:spacing w:val="-54"/>
        </w:rPr>
        <w:t> </w:t>
      </w:r>
      <w:r>
        <w:rPr>
          <w:rFonts w:ascii="宋体" w:hAnsi="宋体" w:cs="宋体" w:eastAsia="宋体" w:hint="default"/>
        </w:rPr>
        <w:t>CMM5</w:t>
      </w:r>
      <w:r>
        <w:rPr/>
        <w:t>、</w:t>
      </w:r>
      <w:r>
        <w:rPr>
          <w:rFonts w:ascii="宋体" w:hAnsi="宋体" w:cs="宋体" w:eastAsia="宋体" w:hint="default"/>
        </w:rPr>
        <w:t>CMMI5</w:t>
      </w:r>
      <w:r>
        <w:rPr>
          <w:rFonts w:ascii="宋体" w:hAnsi="宋体" w:cs="宋体" w:eastAsia="宋体" w:hint="default"/>
          <w:spacing w:val="-54"/>
        </w:rPr>
        <w:t> </w:t>
      </w:r>
      <w:r>
        <w:rPr/>
        <w:t>认证和</w:t>
      </w:r>
      <w:r>
        <w:rPr>
          <w:spacing w:val="-55"/>
        </w:rPr>
        <w:t> </w:t>
      </w:r>
      <w:r>
        <w:rPr>
          <w:rFonts w:ascii="宋体" w:hAnsi="宋体" w:cs="宋体" w:eastAsia="宋体" w:hint="default"/>
        </w:rPr>
        <w:t>PCMM</w:t>
      </w:r>
      <w:r>
        <w:rPr>
          <w:rFonts w:ascii="宋体" w:hAnsi="宋体" w:cs="宋体" w:eastAsia="宋体" w:hint="default"/>
          <w:spacing w:val="-1"/>
        </w:rPr>
        <w:t> </w:t>
      </w:r>
      <w:r>
        <w:rPr>
          <w:rFonts w:ascii="宋体" w:hAnsi="宋体" w:cs="宋体" w:eastAsia="宋体" w:hint="default"/>
        </w:rPr>
        <w:t>Level5</w:t>
      </w:r>
      <w:r>
        <w:rPr>
          <w:rFonts w:ascii="宋体" w:hAnsi="宋体" w:cs="宋体" w:eastAsia="宋体" w:hint="default"/>
          <w:spacing w:val="-54"/>
        </w:rPr>
        <w:t> </w:t>
      </w:r>
      <w:r>
        <w:rPr/>
        <w:t>评估的软件企业。</w:t>
      </w:r>
    </w:p>
    <w:p>
      <w:pPr>
        <w:pStyle w:val="BodyText"/>
        <w:spacing w:line="272" w:lineRule="exact" w:before="1"/>
        <w:ind w:left="118" w:right="206" w:firstLine="419"/>
        <w:jc w:val="left"/>
      </w:pPr>
      <w:r>
        <w:rPr>
          <w:spacing w:val="-2"/>
        </w:rPr>
        <w:t>公司成立二十多年来，始终坚持以软件技术为核心，通过软件与服务的结合，软件与制造的</w:t>
      </w:r>
      <w:r>
        <w:rPr>
          <w:w w:val="100"/>
        </w:rPr>
        <w:t> </w:t>
      </w:r>
      <w:r>
        <w:rPr>
          <w:spacing w:val="-6"/>
        </w:rPr>
        <w:t>结合，技术与行业能力的结合，提供行业解决方案、智能互联产品、平台产品以及云与数据服务。</w:t>
      </w:r>
    </w:p>
    <w:p>
      <w:pPr>
        <w:pStyle w:val="BodyText"/>
        <w:spacing w:line="272" w:lineRule="exact" w:before="1"/>
        <w:ind w:left="118" w:right="96"/>
        <w:jc w:val="left"/>
      </w:pPr>
      <w:r>
        <w:rPr/>
        <w:t>近年来，公司坚持创新与全球化发展策略，持续加大研发投入，以自主知识资产为核心，驱动业</w:t>
      </w:r>
      <w:r>
        <w:rPr>
          <w:spacing w:val="-97"/>
        </w:rPr>
        <w:t> </w:t>
      </w:r>
      <w:r>
        <w:rPr>
          <w:spacing w:val="-97"/>
        </w:rPr>
      </w:r>
      <w:r>
        <w:rPr/>
        <w:t>务的专业化、</w:t>
      </w:r>
      <w:r>
        <w:rPr>
          <w:rFonts w:ascii="宋体" w:hAnsi="宋体" w:cs="宋体" w:eastAsia="宋体" w:hint="default"/>
        </w:rPr>
        <w:t>IP</w:t>
      </w:r>
      <w:r>
        <w:rPr>
          <w:rFonts w:ascii="宋体" w:hAnsi="宋体" w:cs="宋体" w:eastAsia="宋体" w:hint="default"/>
          <w:spacing w:val="7"/>
        </w:rPr>
        <w:t> </w:t>
      </w:r>
      <w:r>
        <w:rPr/>
        <w:t>化、互联网化发展，推动公司核心业务的持续稳定健康增长。截至本报告期末，</w:t>
      </w:r>
    </w:p>
    <w:p>
      <w:pPr>
        <w:pStyle w:val="BodyText"/>
        <w:spacing w:line="272" w:lineRule="exact" w:before="1"/>
        <w:ind w:left="118" w:right="205"/>
        <w:jc w:val="left"/>
      </w:pPr>
      <w:r>
        <w:rPr/>
        <w:t>公司拥有</w:t>
      </w:r>
      <w:r>
        <w:rPr>
          <w:spacing w:val="-51"/>
        </w:rPr>
        <w:t> </w:t>
      </w:r>
      <w:r>
        <w:rPr>
          <w:rFonts w:ascii="宋体" w:hAnsi="宋体" w:cs="宋体" w:eastAsia="宋体" w:hint="default"/>
        </w:rPr>
        <w:t>200</w:t>
      </w:r>
      <w:r>
        <w:rPr>
          <w:rFonts w:ascii="宋体" w:hAnsi="宋体" w:cs="宋体" w:eastAsia="宋体" w:hint="default"/>
          <w:spacing w:val="-54"/>
        </w:rPr>
        <w:t> </w:t>
      </w:r>
      <w:r>
        <w:rPr/>
        <w:t>余个业务方向，近</w:t>
      </w:r>
      <w:r>
        <w:rPr>
          <w:spacing w:val="-51"/>
        </w:rPr>
        <w:t> </w:t>
      </w:r>
      <w:r>
        <w:rPr>
          <w:rFonts w:ascii="宋体" w:hAnsi="宋体" w:cs="宋体" w:eastAsia="宋体" w:hint="default"/>
        </w:rPr>
        <w:t>800</w:t>
      </w:r>
      <w:r>
        <w:rPr>
          <w:rFonts w:ascii="宋体" w:hAnsi="宋体" w:cs="宋体" w:eastAsia="宋体" w:hint="default"/>
          <w:spacing w:val="-51"/>
        </w:rPr>
        <w:t> </w:t>
      </w:r>
      <w:r>
        <w:rPr/>
        <w:t>种解决方案及产品，重点发展医疗健康及社会保障、智能汽</w:t>
      </w:r>
      <w:r>
        <w:rPr>
          <w:w w:val="100"/>
        </w:rPr>
        <w:t> </w:t>
      </w:r>
      <w:r>
        <w:rPr>
          <w:spacing w:val="-1"/>
        </w:rPr>
        <w:t>车互联、智慧城市、企业互联等领域，拥有上万家客户。报告期内，公司自主软件、产品及服务</w:t>
      </w:r>
    </w:p>
    <w:p>
      <w:pPr>
        <w:pStyle w:val="BodyText"/>
        <w:spacing w:line="272" w:lineRule="exact" w:before="1"/>
        <w:ind w:left="118" w:right="206"/>
        <w:jc w:val="left"/>
      </w:pPr>
      <w:r>
        <w:rPr/>
        <w:t>业务实现收入</w:t>
      </w:r>
      <w:r>
        <w:rPr>
          <w:spacing w:val="-51"/>
        </w:rPr>
        <w:t> </w:t>
      </w:r>
      <w:r>
        <w:rPr>
          <w:rFonts w:ascii="宋体" w:hAnsi="宋体" w:cs="宋体" w:eastAsia="宋体" w:hint="default"/>
        </w:rPr>
        <w:t>57.71</w:t>
      </w:r>
      <w:r>
        <w:rPr>
          <w:rFonts w:ascii="宋体" w:hAnsi="宋体" w:cs="宋体" w:eastAsia="宋体" w:hint="default"/>
          <w:spacing w:val="-53"/>
        </w:rPr>
        <w:t> </w:t>
      </w:r>
      <w:r>
        <w:rPr>
          <w:spacing w:val="-3"/>
        </w:rPr>
        <w:t>亿元，占公司营业收入的</w:t>
      </w:r>
      <w:r>
        <w:rPr>
          <w:spacing w:val="-50"/>
        </w:rPr>
        <w:t> </w:t>
      </w:r>
      <w:r>
        <w:rPr>
          <w:rFonts w:ascii="宋体" w:hAnsi="宋体" w:cs="宋体" w:eastAsia="宋体" w:hint="default"/>
        </w:rPr>
        <w:t>80.93%</w:t>
      </w:r>
      <w:r>
        <w:rPr/>
        <w:t>；系统集成业务实现收入</w:t>
      </w:r>
      <w:r>
        <w:rPr>
          <w:spacing w:val="-53"/>
        </w:rPr>
        <w:t> </w:t>
      </w:r>
      <w:r>
        <w:rPr>
          <w:rFonts w:ascii="宋体" w:hAnsi="宋体" w:cs="宋体" w:eastAsia="宋体" w:hint="default"/>
        </w:rPr>
        <w:t>12.77</w:t>
      </w:r>
      <w:r>
        <w:rPr>
          <w:rFonts w:ascii="宋体" w:hAnsi="宋体" w:cs="宋体" w:eastAsia="宋体" w:hint="default"/>
          <w:spacing w:val="-53"/>
        </w:rPr>
        <w:t> </w:t>
      </w:r>
      <w:r>
        <w:rPr>
          <w:spacing w:val="-5"/>
        </w:rPr>
        <w:t>亿元，占公</w:t>
      </w:r>
      <w:r>
        <w:rPr>
          <w:w w:val="100"/>
        </w:rPr>
        <w:t> </w:t>
      </w:r>
      <w:r>
        <w:rPr/>
        <w:t>司营业收入的</w:t>
      </w:r>
      <w:r>
        <w:rPr>
          <w:spacing w:val="-54"/>
        </w:rPr>
        <w:t> </w:t>
      </w:r>
      <w:r>
        <w:rPr>
          <w:rFonts w:ascii="宋体" w:hAnsi="宋体" w:cs="宋体" w:eastAsia="宋体" w:hint="default"/>
        </w:rPr>
        <w:t>17.91%</w:t>
      </w:r>
      <w:r>
        <w:rPr/>
        <w:t>。</w:t>
      </w:r>
    </w:p>
    <w:p>
      <w:pPr>
        <w:spacing w:line="240" w:lineRule="auto" w:before="9"/>
        <w:rPr>
          <w:rFonts w:ascii="宋体" w:hAnsi="宋体" w:cs="宋体" w:eastAsia="宋体" w:hint="default"/>
          <w:sz w:val="20"/>
          <w:szCs w:val="20"/>
        </w:rPr>
      </w:pPr>
    </w:p>
    <w:p>
      <w:pPr>
        <w:pStyle w:val="BodyText"/>
        <w:spacing w:line="274" w:lineRule="exact"/>
        <w:ind w:left="118" w:right="206" w:firstLine="419"/>
        <w:jc w:val="left"/>
      </w:pPr>
      <w:r>
        <w:rPr>
          <w:rFonts w:ascii="Wingdings" w:hAnsi="Wingdings" w:cs="Wingdings" w:eastAsia="Wingdings" w:hint="default"/>
        </w:rPr>
        <w:t></w:t>
      </w:r>
      <w:r>
        <w:rPr/>
        <w:t>东软为</w:t>
      </w:r>
      <w:r>
        <w:rPr>
          <w:spacing w:val="-53"/>
        </w:rPr>
        <w:t> </w:t>
      </w:r>
      <w:r>
        <w:rPr>
          <w:rFonts w:ascii="宋体" w:hAnsi="宋体" w:cs="宋体" w:eastAsia="宋体" w:hint="default"/>
        </w:rPr>
        <w:t>400</w:t>
      </w:r>
      <w:r>
        <w:rPr>
          <w:rFonts w:ascii="宋体" w:hAnsi="宋体" w:cs="宋体" w:eastAsia="宋体" w:hint="default"/>
          <w:spacing w:val="-53"/>
        </w:rPr>
        <w:t> </w:t>
      </w:r>
      <w:r>
        <w:rPr/>
        <w:t>余家三级医院、</w:t>
      </w:r>
      <w:r>
        <w:rPr>
          <w:rFonts w:ascii="宋体" w:hAnsi="宋体" w:cs="宋体" w:eastAsia="宋体" w:hint="default"/>
        </w:rPr>
        <w:t>2,500</w:t>
      </w:r>
      <w:r>
        <w:rPr>
          <w:rFonts w:ascii="宋体" w:hAnsi="宋体" w:cs="宋体" w:eastAsia="宋体" w:hint="default"/>
          <w:spacing w:val="-50"/>
        </w:rPr>
        <w:t> </w:t>
      </w:r>
      <w:r>
        <w:rPr/>
        <w:t>余家医疗机构、</w:t>
      </w:r>
      <w:r>
        <w:rPr>
          <w:rFonts w:ascii="宋体" w:hAnsi="宋体" w:cs="宋体" w:eastAsia="宋体" w:hint="default"/>
        </w:rPr>
        <w:t>23,000</w:t>
      </w:r>
      <w:r>
        <w:rPr>
          <w:rFonts w:ascii="宋体" w:hAnsi="宋体" w:cs="宋体" w:eastAsia="宋体" w:hint="default"/>
          <w:spacing w:val="-53"/>
        </w:rPr>
        <w:t> </w:t>
      </w:r>
      <w:r>
        <w:rPr/>
        <w:t>余家基层医疗机构、</w:t>
      </w:r>
      <w:r>
        <w:rPr>
          <w:rFonts w:ascii="宋体" w:hAnsi="宋体" w:cs="宋体" w:eastAsia="宋体" w:hint="default"/>
        </w:rPr>
        <w:t>16</w:t>
      </w:r>
      <w:r>
        <w:rPr>
          <w:rFonts w:ascii="宋体" w:hAnsi="宋体" w:cs="宋体" w:eastAsia="宋体" w:hint="default"/>
          <w:spacing w:val="-50"/>
        </w:rPr>
        <w:t> </w:t>
      </w:r>
      <w:r>
        <w:rPr/>
        <w:t>万医疗两</w:t>
      </w:r>
      <w:r>
        <w:rPr>
          <w:w w:val="100"/>
        </w:rPr>
        <w:t> </w:t>
      </w:r>
      <w:r>
        <w:rPr/>
        <w:t>定机构提供软件与服务</w:t>
      </w:r>
    </w:p>
    <w:p>
      <w:pPr>
        <w:pStyle w:val="BodyText"/>
        <w:spacing w:line="253" w:lineRule="exact"/>
        <w:ind w:left="538" w:right="206"/>
        <w:jc w:val="left"/>
      </w:pPr>
      <w:r>
        <w:rPr>
          <w:rFonts w:ascii="Wingdings" w:hAnsi="Wingdings" w:cs="Wingdings" w:eastAsia="Wingdings" w:hint="default"/>
        </w:rPr>
        <w:t></w:t>
      </w:r>
      <w:r>
        <w:rPr/>
        <w:t>东软支撑约</w:t>
      </w:r>
      <w:r>
        <w:rPr>
          <w:spacing w:val="-54"/>
        </w:rPr>
        <w:t> </w:t>
      </w:r>
      <w:r>
        <w:rPr>
          <w:rFonts w:ascii="宋体" w:hAnsi="宋体" w:cs="宋体" w:eastAsia="宋体" w:hint="default"/>
        </w:rPr>
        <w:t>6</w:t>
      </w:r>
      <w:r>
        <w:rPr>
          <w:rFonts w:ascii="宋体" w:hAnsi="宋体" w:cs="宋体" w:eastAsia="宋体" w:hint="default"/>
          <w:spacing w:val="-54"/>
        </w:rPr>
        <w:t> </w:t>
      </w:r>
      <w:r>
        <w:rPr/>
        <w:t>亿人的社会保险服务</w:t>
      </w:r>
    </w:p>
    <w:p>
      <w:pPr>
        <w:pStyle w:val="BodyText"/>
        <w:spacing w:line="272" w:lineRule="exact"/>
        <w:ind w:left="538" w:right="206"/>
        <w:jc w:val="left"/>
      </w:pPr>
      <w:r>
        <w:rPr>
          <w:rFonts w:ascii="Wingdings" w:hAnsi="Wingdings" w:cs="Wingdings" w:eastAsia="Wingdings" w:hint="default"/>
        </w:rPr>
        <w:t></w:t>
      </w:r>
      <w:r>
        <w:rPr/>
        <w:t>东软支撑了中国</w:t>
      </w:r>
      <w:r>
        <w:rPr>
          <w:spacing w:val="-53"/>
        </w:rPr>
        <w:t> </w:t>
      </w:r>
      <w:r>
        <w:rPr>
          <w:rFonts w:ascii="宋体" w:hAnsi="宋体" w:cs="宋体" w:eastAsia="宋体" w:hint="default"/>
        </w:rPr>
        <w:t>13</w:t>
      </w:r>
      <w:r>
        <w:rPr>
          <w:rFonts w:ascii="宋体" w:hAnsi="宋体" w:cs="宋体" w:eastAsia="宋体" w:hint="default"/>
          <w:spacing w:val="-56"/>
        </w:rPr>
        <w:t> </w:t>
      </w:r>
      <w:r>
        <w:rPr/>
        <w:t>亿人口的数据库管理</w:t>
      </w:r>
    </w:p>
    <w:p>
      <w:pPr>
        <w:pStyle w:val="BodyText"/>
        <w:spacing w:line="271" w:lineRule="exact"/>
        <w:ind w:left="538" w:right="206"/>
        <w:jc w:val="left"/>
      </w:pPr>
      <w:r>
        <w:rPr>
          <w:rFonts w:ascii="Wingdings" w:hAnsi="Wingdings" w:cs="Wingdings" w:eastAsia="Wingdings" w:hint="default"/>
        </w:rPr>
        <w:t></w:t>
      </w:r>
      <w:r>
        <w:rPr>
          <w:rFonts w:ascii="宋体" w:hAnsi="宋体" w:cs="宋体" w:eastAsia="宋体" w:hint="default"/>
        </w:rPr>
        <w:t>300</w:t>
      </w:r>
      <w:r>
        <w:rPr>
          <w:rFonts w:ascii="宋体" w:hAnsi="宋体" w:cs="宋体" w:eastAsia="宋体" w:hint="default"/>
          <w:spacing w:val="-56"/>
        </w:rPr>
        <w:t> </w:t>
      </w:r>
      <w:r>
        <w:rPr/>
        <w:t>万大学生正在使用东软数字化校园系统</w:t>
      </w:r>
    </w:p>
    <w:p>
      <w:pPr>
        <w:pStyle w:val="BodyText"/>
        <w:spacing w:line="272" w:lineRule="exact"/>
        <w:ind w:left="538" w:right="206"/>
        <w:jc w:val="left"/>
      </w:pPr>
      <w:r>
        <w:rPr>
          <w:rFonts w:ascii="Wingdings" w:hAnsi="Wingdings" w:cs="Wingdings" w:eastAsia="Wingdings" w:hint="default"/>
        </w:rPr>
        <w:t></w:t>
      </w:r>
      <w:r>
        <w:rPr/>
        <w:t>东软的证券交易监察系统为超过</w:t>
      </w:r>
      <w:r>
        <w:rPr>
          <w:spacing w:val="-53"/>
        </w:rPr>
        <w:t> </w:t>
      </w:r>
      <w:r>
        <w:rPr>
          <w:rFonts w:ascii="宋体" w:hAnsi="宋体" w:cs="宋体" w:eastAsia="宋体" w:hint="default"/>
        </w:rPr>
        <w:t>1.8</w:t>
      </w:r>
      <w:r>
        <w:rPr>
          <w:rFonts w:ascii="宋体" w:hAnsi="宋体" w:cs="宋体" w:eastAsia="宋体" w:hint="default"/>
          <w:spacing w:val="-55"/>
        </w:rPr>
        <w:t> </w:t>
      </w:r>
      <w:r>
        <w:rPr/>
        <w:t>亿户股民提供证券交易服务</w:t>
      </w:r>
    </w:p>
    <w:p>
      <w:pPr>
        <w:pStyle w:val="BodyText"/>
        <w:spacing w:line="272" w:lineRule="exact"/>
        <w:ind w:left="538" w:right="206"/>
        <w:jc w:val="left"/>
      </w:pPr>
      <w:r>
        <w:rPr>
          <w:rFonts w:ascii="Wingdings" w:hAnsi="Wingdings" w:cs="Wingdings" w:eastAsia="Wingdings" w:hint="default"/>
        </w:rPr>
        <w:t></w:t>
      </w:r>
      <w:r>
        <w:rPr/>
        <w:t>东软的短信增值业务系统为超过</w:t>
      </w:r>
      <w:r>
        <w:rPr>
          <w:spacing w:val="-54"/>
        </w:rPr>
        <w:t> </w:t>
      </w:r>
      <w:r>
        <w:rPr>
          <w:rFonts w:ascii="宋体" w:hAnsi="宋体" w:cs="宋体" w:eastAsia="宋体" w:hint="default"/>
        </w:rPr>
        <w:t>2</w:t>
      </w:r>
      <w:r>
        <w:rPr>
          <w:rFonts w:ascii="宋体" w:hAnsi="宋体" w:cs="宋体" w:eastAsia="宋体" w:hint="default"/>
          <w:spacing w:val="-54"/>
        </w:rPr>
        <w:t> </w:t>
      </w:r>
      <w:r>
        <w:rPr/>
        <w:t>亿人发送短信提供服务</w:t>
      </w:r>
    </w:p>
    <w:p>
      <w:pPr>
        <w:pStyle w:val="BodyText"/>
        <w:spacing w:line="272" w:lineRule="exact"/>
        <w:ind w:left="538" w:right="206"/>
        <w:jc w:val="left"/>
      </w:pPr>
      <w:r>
        <w:rPr>
          <w:rFonts w:ascii="Wingdings" w:hAnsi="Wingdings" w:cs="Wingdings" w:eastAsia="Wingdings" w:hint="default"/>
        </w:rPr>
        <w:t></w:t>
      </w:r>
      <w:r>
        <w:rPr/>
        <w:t>东软为超过</w:t>
      </w:r>
      <w:r>
        <w:rPr>
          <w:spacing w:val="-54"/>
        </w:rPr>
        <w:t> </w:t>
      </w:r>
      <w:r>
        <w:rPr>
          <w:rFonts w:ascii="宋体" w:hAnsi="宋体" w:cs="宋体" w:eastAsia="宋体" w:hint="default"/>
        </w:rPr>
        <w:t>4</w:t>
      </w:r>
      <w:r>
        <w:rPr>
          <w:rFonts w:ascii="宋体" w:hAnsi="宋体" w:cs="宋体" w:eastAsia="宋体" w:hint="default"/>
          <w:spacing w:val="-54"/>
        </w:rPr>
        <w:t> </w:t>
      </w:r>
      <w:r>
        <w:rPr/>
        <w:t>亿人的电力使用和支付提供服务</w:t>
      </w:r>
    </w:p>
    <w:p>
      <w:pPr>
        <w:pStyle w:val="BodyText"/>
        <w:spacing w:line="272" w:lineRule="exact"/>
        <w:ind w:left="538" w:right="206"/>
        <w:jc w:val="left"/>
      </w:pPr>
      <w:r>
        <w:rPr>
          <w:rFonts w:ascii="Wingdings" w:hAnsi="Wingdings" w:cs="Wingdings" w:eastAsia="Wingdings" w:hint="default"/>
        </w:rPr>
        <w:t></w:t>
      </w:r>
      <w:r>
        <w:rPr/>
        <w:t>东软为中国国土资源部开发的国土资源核心业务系统管理覆盖了</w:t>
      </w:r>
      <w:r>
        <w:rPr>
          <w:spacing w:val="-57"/>
        </w:rPr>
        <w:t> </w:t>
      </w:r>
      <w:r>
        <w:rPr>
          <w:rFonts w:ascii="宋体" w:hAnsi="宋体" w:cs="宋体" w:eastAsia="宋体" w:hint="default"/>
        </w:rPr>
        <w:t>18</w:t>
      </w:r>
      <w:r>
        <w:rPr>
          <w:rFonts w:ascii="宋体" w:hAnsi="宋体" w:cs="宋体" w:eastAsia="宋体" w:hint="default"/>
          <w:spacing w:val="-57"/>
        </w:rPr>
        <w:t> </w:t>
      </w:r>
      <w:r>
        <w:rPr/>
        <w:t>亿亩耕地</w:t>
      </w:r>
    </w:p>
    <w:p>
      <w:pPr>
        <w:pStyle w:val="BodyText"/>
        <w:spacing w:line="280" w:lineRule="exact"/>
        <w:ind w:left="538" w:right="206"/>
        <w:jc w:val="left"/>
      </w:pPr>
      <w:r>
        <w:rPr>
          <w:rFonts w:ascii="Wingdings" w:hAnsi="Wingdings" w:cs="Wingdings" w:eastAsia="Wingdings" w:hint="default"/>
          <w:spacing w:val="-1"/>
        </w:rPr>
        <w:t></w:t>
      </w:r>
      <w:r>
        <w:rPr>
          <w:rFonts w:ascii="宋体" w:hAnsi="宋体" w:cs="宋体" w:eastAsia="宋体" w:hint="default"/>
          <w:spacing w:val="-1"/>
        </w:rPr>
        <w:t>5,000</w:t>
      </w:r>
      <w:r>
        <w:rPr>
          <w:rFonts w:ascii="宋体" w:hAnsi="宋体" w:cs="宋体" w:eastAsia="宋体" w:hint="default"/>
          <w:spacing w:val="3"/>
        </w:rPr>
        <w:t> </w:t>
      </w:r>
      <w:r>
        <w:rPr>
          <w:spacing w:val="-2"/>
        </w:rPr>
        <w:t>家环保管理部门在使用东软环境统计和环保固体废物监管系统</w:t>
      </w:r>
    </w:p>
    <w:p>
      <w:pPr>
        <w:spacing w:line="240" w:lineRule="auto" w:before="7"/>
        <w:rPr>
          <w:rFonts w:ascii="宋体" w:hAnsi="宋体" w:cs="宋体" w:eastAsia="宋体" w:hint="default"/>
          <w:sz w:val="19"/>
          <w:szCs w:val="19"/>
        </w:rPr>
      </w:pPr>
    </w:p>
    <w:p>
      <w:pPr>
        <w:pStyle w:val="BodyText"/>
        <w:spacing w:line="240" w:lineRule="auto"/>
        <w:ind w:left="538" w:right="206"/>
        <w:jc w:val="left"/>
      </w:pPr>
      <w:r>
        <w:rPr/>
        <w:t>报告期内，公司主营业务范围未发生重大变化。</w:t>
      </w:r>
      <w:r>
        <w:rPr>
          <w:w w:val="100"/>
        </w:rPr>
        <w:t> </w:t>
      </w:r>
      <w:r>
        <w:rPr>
          <w:spacing w:val="-2"/>
        </w:rPr>
        <w:t>公司行业情况，详见本年度报告“经营情况讨论与分析”之“宏观经济环境与行业分析”、</w:t>
      </w:r>
    </w:p>
    <w:p>
      <w:pPr>
        <w:pStyle w:val="BodyText"/>
        <w:spacing w:line="271" w:lineRule="exact"/>
        <w:ind w:left="118" w:right="206"/>
        <w:jc w:val="left"/>
      </w:pPr>
      <w:r>
        <w:rPr/>
        <w:t>“行业格局和趋势”中的相关内容。</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t>二、报告期内公司主要资产发生重大变化情况的说明</w:t>
      </w:r>
      <w:r>
        <w:rPr>
          <w:b w:val="0"/>
          <w:bCs w:val="0"/>
        </w:rPr>
      </w:r>
    </w:p>
    <w:p>
      <w:pPr>
        <w:pStyle w:val="BodyText"/>
        <w:spacing w:line="273" w:lineRule="exact" w:before="58"/>
        <w:ind w:left="118" w:right="206"/>
        <w:jc w:val="left"/>
      </w:pPr>
      <w:r>
        <w:rPr/>
        <w:t>√适用</w:t>
      </w:r>
      <w:r>
        <w:rPr>
          <w:spacing w:val="-1"/>
        </w:rPr>
        <w:t> </w:t>
      </w:r>
      <w:r>
        <w:rPr/>
        <w:t>□不适用</w:t>
      </w:r>
    </w:p>
    <w:p>
      <w:pPr>
        <w:pStyle w:val="BodyText"/>
        <w:spacing w:line="237" w:lineRule="auto"/>
        <w:ind w:left="118" w:right="207" w:firstLine="419"/>
        <w:jc w:val="both"/>
      </w:pPr>
      <w:r>
        <w:rPr>
          <w:spacing w:val="-3"/>
        </w:rPr>
        <w:t>报告期内，本公司长期股权投资较期初增加</w:t>
      </w:r>
      <w:r>
        <w:rPr>
          <w:spacing w:val="-45"/>
        </w:rPr>
        <w:t> </w:t>
      </w:r>
      <w:r>
        <w:rPr>
          <w:rFonts w:ascii="宋体" w:hAnsi="宋体" w:cs="宋体" w:eastAsia="宋体" w:hint="default"/>
        </w:rPr>
        <w:t>117,357</w:t>
      </w:r>
      <w:r>
        <w:rPr>
          <w:rFonts w:ascii="宋体" w:hAnsi="宋体" w:cs="宋体" w:eastAsia="宋体" w:hint="default"/>
          <w:spacing w:val="-45"/>
        </w:rPr>
        <w:t> </w:t>
      </w:r>
      <w:r>
        <w:rPr>
          <w:spacing w:val="-4"/>
        </w:rPr>
        <w:t>万元，增长</w:t>
      </w:r>
      <w:r>
        <w:rPr>
          <w:spacing w:val="-47"/>
        </w:rPr>
        <w:t> </w:t>
      </w:r>
      <w:r>
        <w:rPr>
          <w:rFonts w:ascii="宋体" w:hAnsi="宋体" w:cs="宋体" w:eastAsia="宋体" w:hint="default"/>
        </w:rPr>
        <w:t>65.44%</w:t>
      </w:r>
      <w:r>
        <w:rPr/>
        <w:t>，主要由于报告期内</w:t>
      </w:r>
      <w:r>
        <w:rPr>
          <w:w w:val="100"/>
        </w:rPr>
        <w:t> </w:t>
      </w:r>
      <w:r>
        <w:rPr>
          <w:spacing w:val="-1"/>
        </w:rPr>
        <w:t>本公司原控股子公司东软望海引进投资者，使本公司对其持股比例下降而丧失控制权，不再将其</w:t>
      </w:r>
      <w:r>
        <w:rPr>
          <w:spacing w:val="-56"/>
        </w:rPr>
        <w:t> </w:t>
      </w:r>
      <w:r>
        <w:rPr>
          <w:spacing w:val="-56"/>
        </w:rPr>
      </w:r>
      <w:r>
        <w:rPr/>
        <w:t>纳入合并报表范围，对持有东软望海的剩余股权采用权益法进行核算所致。</w:t>
      </w:r>
    </w:p>
    <w:p>
      <w:pPr>
        <w:pStyle w:val="BodyText"/>
        <w:tabs>
          <w:tab w:pos="5166" w:val="left" w:leader="none"/>
        </w:tabs>
        <w:spacing w:line="272" w:lineRule="exact" w:before="26"/>
        <w:ind w:left="118" w:right="215" w:firstLine="419"/>
        <w:jc w:val="left"/>
      </w:pPr>
      <w:r>
        <w:rPr>
          <w:spacing w:val="-1"/>
        </w:rPr>
        <w:t>其中：境外资产较期初增加</w:t>
      </w:r>
      <w:r>
        <w:rPr>
          <w:spacing w:val="24"/>
        </w:rPr>
        <w:t> </w:t>
      </w:r>
      <w:r>
        <w:rPr>
          <w:rFonts w:ascii="宋体" w:hAnsi="宋体" w:cs="宋体" w:eastAsia="宋体" w:hint="default"/>
          <w:spacing w:val="-1"/>
        </w:rPr>
        <w:t>8,137</w:t>
      </w:r>
      <w:r>
        <w:rPr>
          <w:spacing w:val="-1"/>
        </w:rPr>
        <w:t>（单位：万元</w:t>
        <w:tab/>
      </w:r>
      <w:r>
        <w:rPr>
          <w:spacing w:val="-2"/>
        </w:rPr>
        <w:t>币种：人民币），变动金额占总资产的比</w:t>
      </w:r>
      <w:r>
        <w:rPr>
          <w:w w:val="100"/>
        </w:rPr>
        <w:t> </w:t>
      </w:r>
      <w:r>
        <w:rPr/>
        <w:t>例为</w:t>
      </w:r>
      <w:r>
        <w:rPr>
          <w:spacing w:val="-54"/>
        </w:rPr>
        <w:t> </w:t>
      </w:r>
      <w:r>
        <w:rPr>
          <w:rFonts w:ascii="宋体" w:hAnsi="宋体" w:cs="宋体" w:eastAsia="宋体" w:hint="default"/>
        </w:rPr>
        <w:t>0.63%</w:t>
      </w:r>
      <w:r>
        <w:rPr/>
        <w:t>。</w:t>
      </w:r>
    </w:p>
    <w:p>
      <w:pPr>
        <w:spacing w:line="240" w:lineRule="auto" w:before="4"/>
        <w:rPr>
          <w:rFonts w:ascii="宋体" w:hAnsi="宋体" w:cs="宋体" w:eastAsia="宋体" w:hint="default"/>
          <w:sz w:val="23"/>
          <w:szCs w:val="23"/>
        </w:rPr>
      </w:pPr>
    </w:p>
    <w:p>
      <w:pPr>
        <w:pStyle w:val="Heading4"/>
        <w:spacing w:line="240" w:lineRule="auto"/>
        <w:ind w:left="118" w:right="206"/>
        <w:jc w:val="left"/>
        <w:rPr>
          <w:b w:val="0"/>
          <w:bCs w:val="0"/>
        </w:rPr>
      </w:pPr>
      <w:r>
        <w:rPr/>
        <w:t>三、报告期内核心竞争力分析</w:t>
      </w:r>
      <w:r>
        <w:rPr>
          <w:b w:val="0"/>
          <w:bCs w:val="0"/>
        </w:rPr>
      </w:r>
    </w:p>
    <w:p>
      <w:pPr>
        <w:pStyle w:val="BodyText"/>
        <w:spacing w:line="273" w:lineRule="exact" w:before="58"/>
        <w:ind w:left="118" w:right="206"/>
        <w:jc w:val="left"/>
      </w:pPr>
      <w:r>
        <w:rPr/>
        <w:t>√适用</w:t>
      </w:r>
      <w:r>
        <w:rPr>
          <w:spacing w:val="-1"/>
        </w:rPr>
        <w:t> </w:t>
      </w:r>
      <w:r>
        <w:rPr/>
        <w:t>□不适用</w:t>
      </w:r>
    </w:p>
    <w:p>
      <w:pPr>
        <w:pStyle w:val="BodyText"/>
        <w:spacing w:line="272" w:lineRule="exact" w:before="26"/>
        <w:ind w:left="118" w:right="206" w:firstLine="419"/>
        <w:jc w:val="left"/>
      </w:pPr>
      <w:r>
        <w:rPr/>
        <w:t>自 </w:t>
      </w:r>
      <w:r>
        <w:rPr>
          <w:rFonts w:ascii="宋体" w:hAnsi="宋体" w:cs="宋体" w:eastAsia="宋体" w:hint="default"/>
        </w:rPr>
        <w:t>1991</w:t>
      </w:r>
      <w:r>
        <w:rPr>
          <w:rFonts w:ascii="宋体" w:hAnsi="宋体" w:cs="宋体" w:eastAsia="宋体" w:hint="default"/>
          <w:spacing w:val="-69"/>
        </w:rPr>
        <w:t> </w:t>
      </w:r>
      <w:r>
        <w:rPr>
          <w:spacing w:val="-4"/>
        </w:rPr>
        <w:t>年成立以来，经过二十多年的发展，东软已在规模、品牌、技术研发等多个方面具有</w:t>
      </w:r>
      <w:r>
        <w:rPr>
          <w:w w:val="100"/>
        </w:rPr>
        <w:t> </w:t>
      </w:r>
      <w:r>
        <w:rPr/>
        <w:t>优势，形成了公司核心竞争力。</w:t>
      </w:r>
    </w:p>
    <w:p>
      <w:pPr>
        <w:pStyle w:val="BodyText"/>
        <w:spacing w:line="247" w:lineRule="exact"/>
        <w:ind w:left="538" w:right="206"/>
        <w:jc w:val="left"/>
      </w:pPr>
      <w:r>
        <w:rPr/>
        <w:t>（</w:t>
      </w:r>
      <w:r>
        <w:rPr>
          <w:rFonts w:ascii="宋体" w:hAnsi="宋体" w:cs="宋体" w:eastAsia="宋体" w:hint="default"/>
        </w:rPr>
        <w:t>1</w:t>
      </w:r>
      <w:r>
        <w:rPr/>
        <w:t>）规模优势</w:t>
      </w:r>
    </w:p>
    <w:p>
      <w:pPr>
        <w:pStyle w:val="BodyText"/>
        <w:spacing w:line="237" w:lineRule="auto"/>
        <w:ind w:left="118" w:right="208" w:firstLine="419"/>
        <w:jc w:val="both"/>
      </w:pPr>
      <w:r>
        <w:rPr/>
        <w:t>目前公司拥有</w:t>
      </w:r>
      <w:r>
        <w:rPr>
          <w:spacing w:val="-51"/>
        </w:rPr>
        <w:t> </w:t>
      </w:r>
      <w:r>
        <w:rPr>
          <w:rFonts w:ascii="宋体" w:hAnsi="宋体" w:cs="宋体" w:eastAsia="宋体" w:hint="default"/>
        </w:rPr>
        <w:t>200</w:t>
      </w:r>
      <w:r>
        <w:rPr>
          <w:rFonts w:ascii="宋体" w:hAnsi="宋体" w:cs="宋体" w:eastAsia="宋体" w:hint="default"/>
          <w:spacing w:val="-53"/>
        </w:rPr>
        <w:t> </w:t>
      </w:r>
      <w:r>
        <w:rPr/>
        <w:t>余个业务方向，近</w:t>
      </w:r>
      <w:r>
        <w:rPr>
          <w:spacing w:val="-52"/>
        </w:rPr>
        <w:t> </w:t>
      </w:r>
      <w:r>
        <w:rPr>
          <w:rFonts w:ascii="宋体" w:hAnsi="宋体" w:cs="宋体" w:eastAsia="宋体" w:hint="default"/>
        </w:rPr>
        <w:t>800</w:t>
      </w:r>
      <w:r>
        <w:rPr>
          <w:rFonts w:ascii="宋体" w:hAnsi="宋体" w:cs="宋体" w:eastAsia="宋体" w:hint="default"/>
          <w:spacing w:val="-51"/>
        </w:rPr>
        <w:t> </w:t>
      </w:r>
      <w:r>
        <w:rPr/>
        <w:t>种解决方案及产品，日本、美国、欧洲、中东等多</w:t>
      </w:r>
      <w:r>
        <w:rPr>
          <w:w w:val="100"/>
        </w:rPr>
        <w:t> </w:t>
      </w:r>
      <w:r>
        <w:rPr>
          <w:spacing w:val="-1"/>
        </w:rPr>
        <w:t>个国家和地区，拥有上万家客户。近年来，随着创新与全球化发展策略的实施，公司主营业务收</w:t>
      </w:r>
      <w:r>
        <w:rPr>
          <w:spacing w:val="-55"/>
        </w:rPr>
        <w:t> </w:t>
      </w:r>
      <w:r>
        <w:rPr>
          <w:spacing w:val="-55"/>
        </w:rPr>
      </w:r>
      <w:r>
        <w:rPr>
          <w:spacing w:val="-1"/>
        </w:rPr>
        <w:t>入逐年增长，多次入围普华永道“全球软件百强企业”榜单，多次作为中国唯一一家软件企业入</w:t>
      </w:r>
      <w:r>
        <w:rPr>
          <w:spacing w:val="-55"/>
        </w:rPr>
        <w:t> </w:t>
      </w:r>
      <w:r>
        <w:rPr>
          <w:spacing w:val="-55"/>
        </w:rPr>
      </w:r>
      <w:r>
        <w:rPr/>
        <w:t>围</w:t>
      </w:r>
      <w:r>
        <w:rPr>
          <w:spacing w:val="-53"/>
        </w:rPr>
        <w:t> </w:t>
      </w:r>
      <w:r>
        <w:rPr>
          <w:rFonts w:ascii="宋体" w:hAnsi="宋体" w:cs="宋体" w:eastAsia="宋体" w:hint="default"/>
        </w:rPr>
        <w:t>Global</w:t>
      </w:r>
      <w:r>
        <w:rPr>
          <w:rFonts w:ascii="宋体" w:hAnsi="宋体" w:cs="宋体" w:eastAsia="宋体" w:hint="default"/>
          <w:spacing w:val="-1"/>
        </w:rPr>
        <w:t> </w:t>
      </w:r>
      <w:r>
        <w:rPr/>
        <w:t>Services“全球服务</w:t>
      </w:r>
      <w:r>
        <w:rPr>
          <w:spacing w:val="-53"/>
        </w:rPr>
        <w:t> </w:t>
      </w:r>
      <w:r>
        <w:rPr>
          <w:rFonts w:ascii="宋体" w:hAnsi="宋体" w:cs="宋体" w:eastAsia="宋体" w:hint="default"/>
        </w:rPr>
        <w:t>100</w:t>
      </w:r>
      <w:r>
        <w:rPr>
          <w:rFonts w:ascii="宋体" w:hAnsi="宋体" w:cs="宋体" w:eastAsia="宋体" w:hint="default"/>
          <w:spacing w:val="-55"/>
        </w:rPr>
        <w:t> </w:t>
      </w:r>
      <w:r>
        <w:rPr/>
        <w:t>强”排名。</w:t>
      </w:r>
    </w:p>
    <w:p>
      <w:pPr>
        <w:pStyle w:val="BodyText"/>
        <w:spacing w:line="274" w:lineRule="exact" w:before="22"/>
        <w:ind w:left="538" w:right="206"/>
        <w:jc w:val="left"/>
      </w:pPr>
      <w:r>
        <w:rPr/>
        <w:t>（</w:t>
      </w:r>
      <w:r>
        <w:rPr>
          <w:rFonts w:ascii="宋体" w:hAnsi="宋体" w:cs="宋体" w:eastAsia="宋体" w:hint="default"/>
        </w:rPr>
        <w:t>2</w:t>
      </w:r>
      <w:r>
        <w:rPr/>
        <w:t>）品牌优势</w:t>
      </w:r>
      <w:r>
        <w:rPr>
          <w:w w:val="100"/>
        </w:rPr>
        <w:t> </w:t>
      </w:r>
      <w:r>
        <w:rPr>
          <w:spacing w:val="-2"/>
        </w:rPr>
        <w:t>公司持续加强面向全球市场的品牌传播与管理，高质量、可信赖的东软品牌获得了广泛的赞</w:t>
      </w:r>
    </w:p>
    <w:p>
      <w:pPr>
        <w:pStyle w:val="BodyText"/>
        <w:spacing w:line="246" w:lineRule="exact"/>
        <w:ind w:left="118" w:right="96"/>
        <w:jc w:val="left"/>
      </w:pPr>
      <w:r>
        <w:rPr>
          <w:spacing w:val="-3"/>
        </w:rPr>
        <w:t>誉和市场认可。</w:t>
      </w:r>
      <w:r>
        <w:rPr>
          <w:rFonts w:ascii="宋体" w:hAnsi="宋体" w:cs="宋体" w:eastAsia="宋体" w:hint="default"/>
          <w:spacing w:val="-3"/>
        </w:rPr>
        <w:t>2008</w:t>
      </w:r>
      <w:r>
        <w:rPr>
          <w:rFonts w:ascii="宋体" w:hAnsi="宋体" w:cs="宋体" w:eastAsia="宋体" w:hint="default"/>
          <w:spacing w:val="30"/>
        </w:rPr>
        <w:t> </w:t>
      </w:r>
      <w:r>
        <w:rPr>
          <w:spacing w:val="-3"/>
        </w:rPr>
        <w:t>年，公司被工业和信息化部评选为“中国自主品牌软件产品前十家企业第一</w:t>
      </w:r>
    </w:p>
    <w:p>
      <w:pPr>
        <w:spacing w:after="0" w:line="246" w:lineRule="exact"/>
        <w:jc w:val="left"/>
        <w:sectPr>
          <w:pgSz w:w="11910" w:h="16840"/>
          <w:pgMar w:header="945" w:footer="1248" w:top="1300" w:bottom="1440" w:left="1680" w:right="1060"/>
        </w:sectPr>
      </w:pPr>
    </w:p>
    <w:p>
      <w:pPr>
        <w:spacing w:line="240" w:lineRule="auto" w:before="3"/>
        <w:rPr>
          <w:rFonts w:ascii="宋体" w:hAnsi="宋体" w:cs="宋体" w:eastAsia="宋体" w:hint="default"/>
          <w:sz w:val="11"/>
          <w:szCs w:val="11"/>
        </w:rPr>
      </w:pPr>
    </w:p>
    <w:p>
      <w:pPr>
        <w:pStyle w:val="BodyText"/>
        <w:spacing w:line="237" w:lineRule="auto" w:before="38"/>
        <w:ind w:left="118" w:right="207"/>
        <w:jc w:val="both"/>
      </w:pPr>
      <w:r>
        <w:rPr>
          <w:spacing w:val="-16"/>
          <w:w w:val="100"/>
        </w:rPr>
        <w:t>名”。</w:t>
      </w:r>
      <w:r>
        <w:rPr>
          <w:rFonts w:ascii="宋体" w:hAnsi="宋体" w:cs="宋体" w:eastAsia="宋体" w:hint="default"/>
          <w:spacing w:val="-16"/>
          <w:w w:val="100"/>
        </w:rPr>
        <w:t>2009</w:t>
      </w:r>
      <w:r>
        <w:rPr>
          <w:rFonts w:ascii="宋体" w:hAnsi="宋体" w:cs="宋体" w:eastAsia="宋体" w:hint="default"/>
          <w:spacing w:val="-51"/>
          <w:w w:val="100"/>
        </w:rPr>
        <w:t> </w:t>
      </w:r>
      <w:r>
        <w:rPr>
          <w:spacing w:val="-15"/>
          <w:w w:val="100"/>
        </w:rPr>
        <w:t>年，公司成为入选</w:t>
      </w:r>
      <w:r>
        <w:rPr>
          <w:spacing w:val="-50"/>
          <w:w w:val="100"/>
        </w:rPr>
        <w:t> </w:t>
      </w:r>
      <w:r>
        <w:rPr>
          <w:spacing w:val="-1"/>
          <w:w w:val="100"/>
        </w:rPr>
        <w:t>CCTV“60</w:t>
      </w:r>
      <w:r>
        <w:rPr>
          <w:spacing w:val="-51"/>
          <w:w w:val="100"/>
        </w:rPr>
        <w:t> </w:t>
      </w:r>
      <w:r>
        <w:rPr>
          <w:w w:val="100"/>
        </w:rPr>
        <w:t>年</w:t>
      </w:r>
      <w:r>
        <w:rPr>
          <w:spacing w:val="-53"/>
          <w:w w:val="100"/>
        </w:rPr>
        <w:t> </w:t>
      </w:r>
      <w:r>
        <w:rPr>
          <w:rFonts w:ascii="宋体" w:hAnsi="宋体" w:cs="宋体" w:eastAsia="宋体" w:hint="default"/>
          <w:w w:val="100"/>
        </w:rPr>
        <w:t>60</w:t>
      </w:r>
      <w:r>
        <w:rPr>
          <w:rFonts w:ascii="宋体" w:hAnsi="宋体" w:cs="宋体" w:eastAsia="宋体" w:hint="default"/>
          <w:spacing w:val="-51"/>
          <w:w w:val="100"/>
        </w:rPr>
        <w:t> </w:t>
      </w:r>
      <w:r>
        <w:rPr>
          <w:spacing w:val="-7"/>
          <w:w w:val="100"/>
        </w:rPr>
        <w:t>品牌”的唯一软件与服务业企业。</w:t>
      </w:r>
      <w:r>
        <w:rPr>
          <w:rFonts w:ascii="宋体" w:hAnsi="宋体" w:cs="宋体" w:eastAsia="宋体" w:hint="default"/>
          <w:spacing w:val="-7"/>
          <w:w w:val="100"/>
        </w:rPr>
        <w:t>2017</w:t>
      </w:r>
      <w:r>
        <w:rPr>
          <w:rFonts w:ascii="宋体" w:hAnsi="宋体" w:cs="宋体" w:eastAsia="宋体" w:hint="default"/>
          <w:spacing w:val="-53"/>
          <w:w w:val="100"/>
        </w:rPr>
        <w:t> </w:t>
      </w:r>
      <w:r>
        <w:rPr>
          <w:spacing w:val="-11"/>
          <w:w w:val="100"/>
        </w:rPr>
        <w:t>年，“Neusoft</w:t>
      </w:r>
      <w:r>
        <w:rPr>
          <w:w w:val="100"/>
        </w:rPr>
        <w:t> </w:t>
      </w:r>
      <w:r>
        <w:rPr>
          <w:spacing w:val="-1"/>
        </w:rPr>
        <w:t>东软”再次被国家工商总局认定为“中国驰名商标”。近年来，公司持续加强品牌与市场体系建</w:t>
      </w:r>
      <w:r>
        <w:rPr>
          <w:spacing w:val="-56"/>
        </w:rPr>
        <w:t> </w:t>
      </w:r>
      <w:r>
        <w:rPr>
          <w:spacing w:val="-56"/>
        </w:rPr>
      </w:r>
      <w:r>
        <w:rPr>
          <w:spacing w:val="-1"/>
        </w:rPr>
        <w:t>设，聚焦核心业务，持续加大品牌与市场对知识资产驱动业务发展的引领和拉动，不断增强公司</w:t>
      </w:r>
      <w:r>
        <w:rPr>
          <w:spacing w:val="-55"/>
        </w:rPr>
        <w:t> </w:t>
      </w:r>
      <w:r>
        <w:rPr>
          <w:spacing w:val="-55"/>
        </w:rPr>
      </w:r>
      <w:r>
        <w:rPr/>
        <w:t>品牌优势。</w:t>
      </w:r>
    </w:p>
    <w:p>
      <w:pPr>
        <w:pStyle w:val="BodyText"/>
        <w:spacing w:line="274" w:lineRule="exact" w:before="22"/>
        <w:ind w:left="538" w:right="206"/>
        <w:jc w:val="left"/>
      </w:pPr>
      <w:r>
        <w:rPr/>
        <w:t>（</w:t>
      </w:r>
      <w:r>
        <w:rPr>
          <w:rFonts w:ascii="宋体" w:hAnsi="宋体" w:cs="宋体" w:eastAsia="宋体" w:hint="default"/>
        </w:rPr>
        <w:t>3</w:t>
      </w:r>
      <w:r>
        <w:rPr/>
        <w:t>）技术研发优势</w:t>
      </w:r>
      <w:r>
        <w:rPr>
          <w:w w:val="100"/>
        </w:rPr>
        <w:t> </w:t>
      </w:r>
      <w:r>
        <w:rPr>
          <w:spacing w:val="-2"/>
        </w:rPr>
        <w:t>东软将“超越技术”作为公司的经营思想和品牌承诺，以软件技术为核心，始终坚持“开放</w:t>
      </w:r>
    </w:p>
    <w:p>
      <w:pPr>
        <w:pStyle w:val="BodyText"/>
        <w:spacing w:line="245" w:lineRule="exact"/>
        <w:ind w:left="118" w:right="0"/>
        <w:jc w:val="both"/>
      </w:pPr>
      <w:r>
        <w:rPr/>
        <w:t>式创新”战略，对内建立公司级、事业部级的两级研发体系，不断寻找可持续高速发展的技术与</w:t>
      </w:r>
    </w:p>
    <w:p>
      <w:pPr>
        <w:pStyle w:val="BodyText"/>
        <w:spacing w:line="237" w:lineRule="auto" w:before="2"/>
        <w:ind w:left="118" w:right="207"/>
        <w:jc w:val="both"/>
      </w:pPr>
      <w:r>
        <w:rPr>
          <w:spacing w:val="-6"/>
          <w:w w:val="100"/>
        </w:rPr>
        <w:t>商业模式；对外通过联盟与合作的创新来获得更多的资源和更快的成长，建立创新卓越方法体系，</w:t>
      </w:r>
      <w:r>
        <w:rPr>
          <w:w w:val="100"/>
        </w:rPr>
        <w:t> </w:t>
      </w:r>
      <w:r>
        <w:rPr>
          <w:spacing w:val="-4"/>
        </w:rPr>
        <w:t>使创新成为公司文化。近年来，公司各级组织坚持创新与全球化发展策略，以自主</w:t>
      </w:r>
      <w:r>
        <w:rPr>
          <w:spacing w:val="-32"/>
        </w:rPr>
        <w:t> </w:t>
      </w:r>
      <w:r>
        <w:rPr>
          <w:rFonts w:ascii="宋体" w:hAnsi="宋体" w:cs="宋体" w:eastAsia="宋体" w:hint="default"/>
        </w:rPr>
        <w:t>IP</w:t>
      </w:r>
      <w:r>
        <w:rPr>
          <w:rFonts w:ascii="宋体" w:hAnsi="宋体" w:cs="宋体" w:eastAsia="宋体" w:hint="default"/>
          <w:spacing w:val="-36"/>
        </w:rPr>
        <w:t> </w:t>
      </w:r>
      <w:r>
        <w:rPr/>
        <w:t>为核心驱动</w:t>
      </w:r>
      <w:r>
        <w:rPr>
          <w:spacing w:val="-98"/>
        </w:rPr>
        <w:t> </w:t>
      </w:r>
      <w:r>
        <w:rPr>
          <w:spacing w:val="-98"/>
        </w:rPr>
      </w:r>
      <w:r>
        <w:rPr/>
        <w:t>业务的专业化、</w:t>
      </w:r>
      <w:r>
        <w:rPr>
          <w:rFonts w:ascii="宋体" w:hAnsi="宋体" w:cs="宋体" w:eastAsia="宋体" w:hint="default"/>
        </w:rPr>
        <w:t>IP</w:t>
      </w:r>
      <w:r>
        <w:rPr>
          <w:rFonts w:ascii="宋体" w:hAnsi="宋体" w:cs="宋体" w:eastAsia="宋体" w:hint="default"/>
          <w:spacing w:val="-17"/>
        </w:rPr>
        <w:t> </w:t>
      </w:r>
      <w:r>
        <w:rPr>
          <w:spacing w:val="-3"/>
        </w:rPr>
        <w:t>化、互联网化发展，在行业解决方案、智能互联产品、平台、云与数据服务上</w:t>
      </w:r>
      <w:r>
        <w:rPr>
          <w:spacing w:val="-90"/>
        </w:rPr>
        <w:t> </w:t>
      </w:r>
      <w:r>
        <w:rPr>
          <w:spacing w:val="-90"/>
        </w:rPr>
      </w:r>
      <w:r>
        <w:rPr>
          <w:spacing w:val="-3"/>
        </w:rPr>
        <w:t>继续加大研发投入的力度，不断推出可驱动业务持续增长的知识资产。</w:t>
      </w:r>
      <w:r>
        <w:rPr>
          <w:rFonts w:ascii="宋体" w:hAnsi="宋体" w:cs="宋体" w:eastAsia="宋体" w:hint="default"/>
          <w:spacing w:val="-3"/>
        </w:rPr>
        <w:t>2017 </w:t>
      </w:r>
      <w:r>
        <w:rPr>
          <w:spacing w:val="-3"/>
        </w:rPr>
        <w:t>年，公司升级发布东</w:t>
      </w:r>
      <w:r>
        <w:rPr>
          <w:spacing w:val="-73"/>
        </w:rPr>
        <w:t> </w:t>
      </w:r>
      <w:r>
        <w:rPr>
          <w:spacing w:val="-73"/>
        </w:rPr>
      </w:r>
      <w:r>
        <w:rPr/>
        <w:t>软解决方案高效性策略实施框架</w:t>
      </w:r>
      <w:r>
        <w:rPr>
          <w:spacing w:val="-57"/>
        </w:rPr>
        <w:t> </w:t>
      </w:r>
      <w:r>
        <w:rPr/>
        <w:t>NeuSA™</w:t>
      </w:r>
      <w:r>
        <w:rPr>
          <w:spacing w:val="-46"/>
        </w:rPr>
        <w:t> </w:t>
      </w:r>
      <w:r>
        <w:rPr/>
        <w:t>2.0，为东软的开放与协作式创新提供与时俱进的实践指</w:t>
      </w:r>
      <w:r>
        <w:rPr>
          <w:w w:val="100"/>
        </w:rPr>
        <w:t> </w:t>
      </w:r>
      <w:r>
        <w:rPr/>
        <w:t>导。</w:t>
      </w:r>
    </w:p>
    <w:p>
      <w:pPr>
        <w:pStyle w:val="BodyText"/>
        <w:spacing w:line="272" w:lineRule="exact" w:before="26"/>
        <w:ind w:left="538" w:right="206"/>
        <w:jc w:val="left"/>
      </w:pPr>
      <w:r>
        <w:rPr/>
        <w:t>（</w:t>
      </w:r>
      <w:r>
        <w:rPr>
          <w:rFonts w:ascii="宋体" w:hAnsi="宋体" w:cs="宋体" w:eastAsia="宋体" w:hint="default"/>
        </w:rPr>
        <w:t>4</w:t>
      </w:r>
      <w:r>
        <w:rPr/>
        <w:t>）营销和服务优势</w:t>
      </w:r>
      <w:r>
        <w:rPr>
          <w:w w:val="100"/>
        </w:rPr>
        <w:t> </w:t>
      </w:r>
      <w:r>
        <w:rPr>
          <w:spacing w:val="-7"/>
        </w:rPr>
        <w:t>公司坚持“以客户为中心，打造卓越服务流程，为客户创造价值”的服务理念，力求从产品、</w:t>
      </w:r>
    </w:p>
    <w:p>
      <w:pPr>
        <w:pStyle w:val="BodyText"/>
        <w:spacing w:line="272" w:lineRule="exact" w:before="1"/>
        <w:ind w:left="118" w:right="208"/>
        <w:jc w:val="both"/>
      </w:pPr>
      <w:r>
        <w:rPr>
          <w:spacing w:val="-1"/>
        </w:rPr>
        <w:t>市场、服务等各个环节为客户提供高效、专业、优质的服务，全方位满足客户需求、超越客户期</w:t>
      </w:r>
      <w:r>
        <w:rPr>
          <w:spacing w:val="-55"/>
        </w:rPr>
        <w:t> </w:t>
      </w:r>
      <w:r>
        <w:rPr>
          <w:spacing w:val="-55"/>
        </w:rPr>
      </w:r>
      <w:r>
        <w:rPr/>
        <w:t>望。目前建立了</w:t>
      </w:r>
      <w:r>
        <w:rPr>
          <w:spacing w:val="-50"/>
        </w:rPr>
        <w:t> </w:t>
      </w:r>
      <w:r>
        <w:rPr>
          <w:rFonts w:ascii="宋体" w:hAnsi="宋体" w:cs="宋体" w:eastAsia="宋体" w:hint="default"/>
        </w:rPr>
        <w:t>400</w:t>
      </w:r>
      <w:r>
        <w:rPr>
          <w:rFonts w:ascii="宋体" w:hAnsi="宋体" w:cs="宋体" w:eastAsia="宋体" w:hint="default"/>
          <w:spacing w:val="-52"/>
        </w:rPr>
        <w:t> </w:t>
      </w:r>
      <w:r>
        <w:rPr/>
        <w:t>热线、服务邮箱、网上客户留言、微信、手机应用程序等多种便捷的服务渠</w:t>
      </w:r>
    </w:p>
    <w:p>
      <w:pPr>
        <w:pStyle w:val="BodyText"/>
        <w:spacing w:line="272" w:lineRule="exact" w:before="1"/>
        <w:ind w:left="118" w:right="208"/>
        <w:jc w:val="both"/>
      </w:pPr>
      <w:r>
        <w:rPr>
          <w:spacing w:val="-5"/>
        </w:rPr>
        <w:t>道，引入</w:t>
      </w:r>
      <w:r>
        <w:rPr>
          <w:spacing w:val="-29"/>
        </w:rPr>
        <w:t> </w:t>
      </w:r>
      <w:r>
        <w:rPr>
          <w:rFonts w:ascii="宋体" w:hAnsi="宋体" w:cs="宋体" w:eastAsia="宋体" w:hint="default"/>
        </w:rPr>
        <w:t>COPC</w:t>
      </w:r>
      <w:r>
        <w:rPr>
          <w:rFonts w:ascii="宋体" w:hAnsi="宋体" w:cs="宋体" w:eastAsia="宋体" w:hint="default"/>
          <w:spacing w:val="-26"/>
        </w:rPr>
        <w:t> </w:t>
      </w:r>
      <w:r>
        <w:rPr>
          <w:spacing w:val="-4"/>
        </w:rPr>
        <w:t>国际呼叫中心的运营标准，针对故障管理、问题管理、技术咨询、服务变更、版本</w:t>
      </w:r>
      <w:r>
        <w:rPr>
          <w:spacing w:val="-94"/>
        </w:rPr>
        <w:t> </w:t>
      </w:r>
      <w:r>
        <w:rPr>
          <w:spacing w:val="-94"/>
        </w:rPr>
      </w:r>
      <w:r>
        <w:rPr>
          <w:spacing w:val="-1"/>
        </w:rPr>
        <w:t>管理、服务水平管理等多方面问题建立稳定的流程制度，形成以流程、人员、服务为核心，质量</w:t>
      </w:r>
      <w:r>
        <w:rPr>
          <w:spacing w:val="-55"/>
        </w:rPr>
        <w:t> </w:t>
      </w:r>
      <w:r>
        <w:rPr>
          <w:spacing w:val="-55"/>
        </w:rPr>
      </w:r>
      <w:r>
        <w:rPr>
          <w:spacing w:val="-4"/>
        </w:rPr>
        <w:t>指标和考核相结合的运营管理体系。公司在国内设立了</w:t>
      </w:r>
      <w:r>
        <w:rPr>
          <w:spacing w:val="-39"/>
        </w:rPr>
        <w:t> </w:t>
      </w:r>
      <w:r>
        <w:rPr>
          <w:rFonts w:ascii="宋体" w:hAnsi="宋体" w:cs="宋体" w:eastAsia="宋体" w:hint="default"/>
        </w:rPr>
        <w:t>8</w:t>
      </w:r>
      <w:r>
        <w:rPr>
          <w:rFonts w:ascii="宋体" w:hAnsi="宋体" w:cs="宋体" w:eastAsia="宋体" w:hint="default"/>
          <w:spacing w:val="-42"/>
        </w:rPr>
        <w:t> </w:t>
      </w:r>
      <w:r>
        <w:rPr>
          <w:spacing w:val="-8"/>
        </w:rPr>
        <w:t>个区域总部，在</w:t>
      </w:r>
      <w:r>
        <w:rPr>
          <w:spacing w:val="-39"/>
        </w:rPr>
        <w:t> </w:t>
      </w:r>
      <w:r>
        <w:rPr>
          <w:rFonts w:ascii="宋体" w:hAnsi="宋体" w:cs="宋体" w:eastAsia="宋体" w:hint="default"/>
        </w:rPr>
        <w:t>60</w:t>
      </w:r>
      <w:r>
        <w:rPr>
          <w:rFonts w:ascii="宋体" w:hAnsi="宋体" w:cs="宋体" w:eastAsia="宋体" w:hint="default"/>
          <w:spacing w:val="-42"/>
        </w:rPr>
        <w:t> </w:t>
      </w:r>
      <w:r>
        <w:rPr/>
        <w:t>多个城市建立营销与</w:t>
      </w:r>
    </w:p>
    <w:p>
      <w:pPr>
        <w:pStyle w:val="BodyText"/>
        <w:spacing w:line="272" w:lineRule="exact" w:before="1"/>
        <w:ind w:left="118" w:right="208"/>
        <w:jc w:val="both"/>
      </w:pPr>
      <w:r>
        <w:rPr>
          <w:spacing w:val="-1"/>
        </w:rPr>
        <w:t>服务网络，并建有面向大客户的营销和服务体系，形成了辐射全国的市场销售、技术支撑、咨询</w:t>
      </w:r>
      <w:r>
        <w:rPr>
          <w:spacing w:val="-56"/>
        </w:rPr>
        <w:t> </w:t>
      </w:r>
      <w:r>
        <w:rPr>
          <w:spacing w:val="-56"/>
        </w:rPr>
      </w:r>
      <w:r>
        <w:rPr>
          <w:spacing w:val="-1"/>
        </w:rPr>
        <w:t>服务网络和客户服务回访跟踪系统。同时，公司在日本、欧洲、美国等地设立子公司，作为公司</w:t>
      </w:r>
    </w:p>
    <w:p>
      <w:pPr>
        <w:pStyle w:val="BodyText"/>
        <w:spacing w:line="247" w:lineRule="exact"/>
        <w:ind w:left="118" w:right="0"/>
        <w:jc w:val="both"/>
      </w:pPr>
      <w:r>
        <w:rPr/>
        <w:t>技术支持平台和市场营销机构的海外延伸，为开拓海外市场提供了有利条件。</w:t>
      </w:r>
    </w:p>
    <w:p>
      <w:pPr>
        <w:pStyle w:val="BodyText"/>
        <w:spacing w:line="240" w:lineRule="auto"/>
        <w:ind w:left="538" w:right="206"/>
        <w:jc w:val="left"/>
      </w:pPr>
      <w:r>
        <w:rPr/>
        <w:t>（</w:t>
      </w:r>
      <w:r>
        <w:rPr>
          <w:rFonts w:ascii="宋体" w:hAnsi="宋体" w:cs="宋体" w:eastAsia="宋体" w:hint="default"/>
        </w:rPr>
        <w:t>5</w:t>
      </w:r>
      <w:r>
        <w:rPr/>
        <w:t>）人才优势</w:t>
      </w:r>
      <w:r>
        <w:rPr>
          <w:w w:val="100"/>
        </w:rPr>
        <w:t> </w:t>
      </w:r>
      <w:r>
        <w:rPr>
          <w:spacing w:val="-2"/>
        </w:rPr>
        <w:t>公司建立了国际化、专业化的董事会，形成了稳定的高管团队，为公司实施全球化发展策略</w:t>
      </w:r>
    </w:p>
    <w:p>
      <w:pPr>
        <w:pStyle w:val="BodyText"/>
        <w:spacing w:line="237" w:lineRule="auto"/>
        <w:ind w:left="118" w:right="207"/>
        <w:jc w:val="both"/>
      </w:pPr>
      <w:r>
        <w:rPr>
          <w:spacing w:val="5"/>
        </w:rPr>
        <w:t>提供经验和支持，使得公司在复杂多变的经济环境下保持稳健发展。公司是第一家通过</w:t>
      </w:r>
      <w:r>
        <w:rPr>
          <w:spacing w:val="96"/>
        </w:rPr>
        <w:t> </w:t>
      </w:r>
      <w:r>
        <w:rPr>
          <w:rFonts w:ascii="宋体" w:hAnsi="宋体" w:cs="宋体" w:eastAsia="宋体" w:hint="default"/>
        </w:rPr>
        <w:t>PCMM</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Level5</w:t>
      </w:r>
      <w:r>
        <w:rPr>
          <w:rFonts w:ascii="宋体" w:hAnsi="宋体" w:cs="宋体" w:eastAsia="宋体" w:hint="default"/>
          <w:spacing w:val="-29"/>
        </w:rPr>
        <w:t> </w:t>
      </w:r>
      <w:r>
        <w:rPr>
          <w:spacing w:val="-4"/>
        </w:rPr>
        <w:t>评估的中国企业，过程改善、人力资本管理达到业界较为领先水平。曾荣获“CCTV</w:t>
      </w:r>
      <w:r>
        <w:rPr>
          <w:spacing w:val="-32"/>
        </w:rPr>
        <w:t> </w:t>
      </w:r>
      <w:r>
        <w:rPr/>
        <w:t>年度雇</w:t>
      </w:r>
      <w:r>
        <w:rPr>
          <w:spacing w:val="-97"/>
        </w:rPr>
        <w:t> </w:t>
      </w:r>
      <w:r>
        <w:rPr>
          <w:spacing w:val="-97"/>
        </w:rPr>
      </w:r>
      <w:r>
        <w:rPr>
          <w:spacing w:val="-1"/>
        </w:rPr>
        <w:t>主”称号，以及怡安翰威特评选的“中国最佳雇主”和“亚太地区最佳雇主”奖。公司现有员工</w:t>
      </w:r>
      <w:r>
        <w:rPr>
          <w:spacing w:val="-56"/>
        </w:rPr>
        <w:t> </w:t>
      </w:r>
      <w:r>
        <w:rPr>
          <w:spacing w:val="-56"/>
        </w:rPr>
      </w:r>
      <w:r>
        <w:rPr>
          <w:rFonts w:ascii="宋体" w:hAnsi="宋体" w:cs="宋体" w:eastAsia="宋体" w:hint="default"/>
        </w:rPr>
        <w:t>16,706 </w:t>
      </w:r>
      <w:r>
        <w:rPr>
          <w:spacing w:val="-3"/>
        </w:rPr>
        <w:t>人，广泛分布于全球各地。公司通过各类专项培养计划、双通道的职业发展等方式，不断</w:t>
      </w:r>
      <w:r>
        <w:rPr>
          <w:spacing w:val="-97"/>
        </w:rPr>
        <w:t> </w:t>
      </w:r>
      <w:r>
        <w:rPr>
          <w:spacing w:val="-97"/>
        </w:rPr>
      </w:r>
      <w:r>
        <w:rPr>
          <w:spacing w:val="-1"/>
        </w:rPr>
        <w:t>提升员工专业能力；因人因岗而异的配置理念，提高了员工自我价值实现需求的满足度。内部人</w:t>
      </w:r>
      <w:r>
        <w:rPr>
          <w:spacing w:val="-54"/>
        </w:rPr>
        <w:t> </w:t>
      </w:r>
      <w:r>
        <w:rPr>
          <w:spacing w:val="-54"/>
        </w:rPr>
      </w:r>
      <w:r>
        <w:rPr>
          <w:spacing w:val="-1"/>
        </w:rPr>
        <w:t>才培养与外部人才引入，构建了一整套配置合理、高绩效、高素质的专业团队，为支撑公司业务</w:t>
      </w:r>
      <w:r>
        <w:rPr>
          <w:spacing w:val="-55"/>
        </w:rPr>
        <w:t> </w:t>
      </w:r>
      <w:r>
        <w:rPr>
          <w:spacing w:val="-55"/>
        </w:rPr>
      </w:r>
      <w:r>
        <w:rPr/>
        <w:t>发展提供了人才保障。</w:t>
      </w:r>
    </w:p>
    <w:p>
      <w:pPr>
        <w:pStyle w:val="BodyText"/>
        <w:spacing w:line="272" w:lineRule="exact"/>
        <w:ind w:left="538" w:right="206"/>
        <w:jc w:val="left"/>
      </w:pPr>
      <w:r>
        <w:rPr/>
        <w:t>（</w:t>
      </w:r>
      <w:r>
        <w:rPr>
          <w:rFonts w:ascii="宋体" w:hAnsi="宋体" w:cs="宋体" w:eastAsia="宋体" w:hint="default"/>
        </w:rPr>
        <w:t>6</w:t>
      </w:r>
      <w:r>
        <w:rPr/>
        <w:t>）质量管理优势</w:t>
      </w:r>
    </w:p>
    <w:p>
      <w:pPr>
        <w:pStyle w:val="BodyText"/>
        <w:spacing w:line="237" w:lineRule="auto"/>
        <w:ind w:left="118" w:right="100" w:firstLine="419"/>
        <w:jc w:val="left"/>
      </w:pPr>
      <w:r>
        <w:rPr/>
        <w:t>公司高度重视质量管理，围绕公司国际化战略和业务发展需求，融合</w:t>
      </w:r>
      <w:r>
        <w:rPr>
          <w:spacing w:val="4"/>
        </w:rPr>
        <w:t> </w:t>
      </w:r>
      <w:r>
        <w:rPr>
          <w:rFonts w:ascii="宋体" w:hAnsi="宋体" w:cs="宋体" w:eastAsia="宋体" w:hint="default"/>
        </w:rPr>
        <w:t>CMMI</w:t>
      </w:r>
      <w:r>
        <w:rPr/>
        <w:t>、</w:t>
      </w:r>
      <w:r>
        <w:rPr>
          <w:rFonts w:ascii="宋体" w:hAnsi="宋体" w:cs="宋体" w:eastAsia="宋体" w:hint="default"/>
        </w:rPr>
        <w:t>A-SPICE</w:t>
      </w:r>
      <w:r>
        <w:rPr/>
        <w:t>、</w:t>
      </w:r>
      <w:r>
        <w:rPr>
          <w:rFonts w:ascii="宋体" w:hAnsi="宋体" w:cs="宋体" w:eastAsia="宋体" w:hint="default"/>
        </w:rPr>
        <w:t>RUP</w:t>
      </w:r>
      <w:r>
        <w:rPr/>
        <w:t>、</w:t>
      </w:r>
      <w:r>
        <w:rPr>
          <w:w w:val="100"/>
        </w:rPr>
        <w:t> </w:t>
      </w:r>
      <w:r>
        <w:rPr>
          <w:rFonts w:ascii="宋体" w:hAnsi="宋体" w:cs="宋体" w:eastAsia="宋体" w:hint="default"/>
          <w:spacing w:val="-6"/>
        </w:rPr>
        <w:t>Lean</w:t>
      </w:r>
      <w:r>
        <w:rPr>
          <w:spacing w:val="-6"/>
        </w:rPr>
        <w:t>、</w:t>
      </w:r>
      <w:r>
        <w:rPr>
          <w:rFonts w:ascii="宋体" w:hAnsi="宋体" w:cs="宋体" w:eastAsia="宋体" w:hint="default"/>
          <w:spacing w:val="-6"/>
        </w:rPr>
        <w:t>Agile</w:t>
      </w:r>
      <w:r>
        <w:rPr>
          <w:spacing w:val="-6"/>
        </w:rPr>
        <w:t>、</w:t>
      </w:r>
      <w:r>
        <w:rPr>
          <w:rFonts w:ascii="宋体" w:hAnsi="宋体" w:cs="宋体" w:eastAsia="宋体" w:hint="default"/>
          <w:spacing w:val="-6"/>
        </w:rPr>
        <w:t>ITIL</w:t>
      </w:r>
      <w:r>
        <w:rPr>
          <w:spacing w:val="-6"/>
        </w:rPr>
        <w:t>、</w:t>
      </w:r>
      <w:r>
        <w:rPr>
          <w:rFonts w:ascii="宋体" w:hAnsi="宋体" w:cs="宋体" w:eastAsia="宋体" w:hint="default"/>
          <w:spacing w:val="-6"/>
        </w:rPr>
        <w:t>PCMM </w:t>
      </w:r>
      <w:r>
        <w:rPr>
          <w:spacing w:val="-4"/>
        </w:rPr>
        <w:t>等模型、方法的先进理念，对公司的质量体系进行持续的升级和完善，</w:t>
      </w:r>
      <w:r>
        <w:rPr>
          <w:spacing w:val="-62"/>
        </w:rPr>
        <w:t> </w:t>
      </w:r>
      <w:r>
        <w:rPr>
          <w:spacing w:val="-62"/>
        </w:rPr>
      </w:r>
      <w:r>
        <w:rPr/>
        <w:t>先后通过了</w:t>
      </w:r>
      <w:r>
        <w:rPr>
          <w:spacing w:val="-36"/>
        </w:rPr>
        <w:t> </w:t>
      </w:r>
      <w:r>
        <w:rPr>
          <w:rFonts w:ascii="宋体" w:hAnsi="宋体" w:cs="宋体" w:eastAsia="宋体" w:hint="default"/>
        </w:rPr>
        <w:t>DNV</w:t>
      </w:r>
      <w:r>
        <w:rPr/>
        <w:t>、</w:t>
      </w:r>
      <w:r>
        <w:rPr>
          <w:rFonts w:ascii="宋体" w:hAnsi="宋体" w:cs="宋体" w:eastAsia="宋体" w:hint="default"/>
        </w:rPr>
        <w:t>BSI</w:t>
      </w:r>
      <w:r>
        <w:rPr/>
        <w:t>、</w:t>
      </w:r>
      <w:r>
        <w:rPr>
          <w:rFonts w:ascii="宋体" w:hAnsi="宋体" w:cs="宋体" w:eastAsia="宋体" w:hint="default"/>
        </w:rPr>
        <w:t>QAI</w:t>
      </w:r>
      <w:r>
        <w:rPr/>
        <w:t>、</w:t>
      </w:r>
      <w:r>
        <w:rPr>
          <w:rFonts w:ascii="宋体" w:hAnsi="宋体" w:cs="宋体" w:eastAsia="宋体" w:hint="default"/>
        </w:rPr>
        <w:t>CQC</w:t>
      </w:r>
      <w:r>
        <w:rPr>
          <w:rFonts w:ascii="宋体" w:hAnsi="宋体" w:cs="宋体" w:eastAsia="宋体" w:hint="default"/>
          <w:spacing w:val="-33"/>
        </w:rPr>
        <w:t> </w:t>
      </w:r>
      <w:r>
        <w:rPr/>
        <w:t>等第三方认证机构的质量体系认证。公司通过了</w:t>
      </w:r>
      <w:r>
        <w:rPr>
          <w:spacing w:val="-33"/>
        </w:rPr>
        <w:t> </w:t>
      </w:r>
      <w:r>
        <w:rPr>
          <w:rFonts w:ascii="宋体" w:hAnsi="宋体" w:cs="宋体" w:eastAsia="宋体" w:hint="default"/>
        </w:rPr>
        <w:t>ISO9001:1994</w:t>
      </w:r>
      <w:r>
        <w:rPr>
          <w:rFonts w:ascii="宋体" w:hAnsi="宋体" w:cs="宋体" w:eastAsia="宋体" w:hint="default"/>
          <w:w w:val="100"/>
        </w:rPr>
        <w:t> </w:t>
      </w:r>
      <w:r>
        <w:rPr/>
        <w:t>质量管理体系认证，成为中国首家通过</w:t>
      </w:r>
      <w:r>
        <w:rPr>
          <w:spacing w:val="-50"/>
        </w:rPr>
        <w:t> </w:t>
      </w:r>
      <w:r>
        <w:rPr>
          <w:rFonts w:ascii="宋体" w:hAnsi="宋体" w:cs="宋体" w:eastAsia="宋体" w:hint="default"/>
        </w:rPr>
        <w:t>ISO</w:t>
      </w:r>
      <w:r>
        <w:rPr>
          <w:rFonts w:ascii="宋体" w:hAnsi="宋体" w:cs="宋体" w:eastAsia="宋体" w:hint="default"/>
          <w:spacing w:val="-48"/>
        </w:rPr>
        <w:t> </w:t>
      </w:r>
      <w:r>
        <w:rPr/>
        <w:t>质量管理体系认证的软件企业。公司是中国第一家通</w:t>
      </w:r>
      <w:r>
        <w:rPr>
          <w:w w:val="100"/>
        </w:rPr>
        <w:t> 过</w:t>
      </w:r>
      <w:r>
        <w:rPr>
          <w:spacing w:val="-49"/>
          <w:w w:val="100"/>
        </w:rPr>
        <w:t> </w:t>
      </w:r>
      <w:r>
        <w:rPr>
          <w:rFonts w:ascii="宋体" w:hAnsi="宋体" w:cs="宋体" w:eastAsia="宋体" w:hint="default"/>
          <w:spacing w:val="-1"/>
          <w:w w:val="100"/>
        </w:rPr>
        <w:t>CMM5</w:t>
      </w:r>
      <w:r>
        <w:rPr>
          <w:rFonts w:ascii="宋体" w:hAnsi="宋体" w:cs="宋体" w:eastAsia="宋体" w:hint="default"/>
          <w:spacing w:val="-49"/>
          <w:w w:val="100"/>
        </w:rPr>
        <w:t> </w:t>
      </w:r>
      <w:r>
        <w:rPr>
          <w:w w:val="100"/>
        </w:rPr>
        <w:t>和</w:t>
      </w:r>
      <w:r>
        <w:rPr>
          <w:spacing w:val="-51"/>
          <w:w w:val="100"/>
        </w:rPr>
        <w:t> </w:t>
      </w:r>
      <w:r>
        <w:rPr>
          <w:rFonts w:ascii="宋体" w:hAnsi="宋体" w:cs="宋体" w:eastAsia="宋体" w:hint="default"/>
          <w:spacing w:val="-1"/>
          <w:w w:val="100"/>
        </w:rPr>
        <w:t>CMMI5</w:t>
      </w:r>
      <w:r>
        <w:rPr>
          <w:rFonts w:ascii="宋体" w:hAnsi="宋体" w:cs="宋体" w:eastAsia="宋体" w:hint="default"/>
          <w:spacing w:val="-49"/>
          <w:w w:val="100"/>
        </w:rPr>
        <w:t> </w:t>
      </w:r>
      <w:r>
        <w:rPr>
          <w:spacing w:val="-5"/>
          <w:w w:val="100"/>
        </w:rPr>
        <w:t>级认证的软件企业，是国家工信部认定的首批“计算机信息系统集成特一级资质</w:t>
      </w:r>
      <w:r>
        <w:rPr>
          <w:spacing w:val="-93"/>
          <w:w w:val="100"/>
        </w:rPr>
        <w:t> </w:t>
      </w:r>
      <w:r>
        <w:rPr>
          <w:spacing w:val="-93"/>
          <w:w w:val="100"/>
        </w:rPr>
      </w:r>
      <w:r>
        <w:rPr/>
        <w:t>企业”，众多产品通过</w:t>
      </w:r>
      <w:r>
        <w:rPr>
          <w:spacing w:val="-41"/>
        </w:rPr>
        <w:t> </w:t>
      </w:r>
      <w:r>
        <w:rPr>
          <w:rFonts w:ascii="宋体" w:hAnsi="宋体" w:cs="宋体" w:eastAsia="宋体" w:hint="default"/>
        </w:rPr>
        <w:t>CE</w:t>
      </w:r>
      <w:r>
        <w:rPr/>
        <w:t>、</w:t>
      </w:r>
      <w:r>
        <w:rPr>
          <w:rFonts w:ascii="宋体" w:hAnsi="宋体" w:cs="宋体" w:eastAsia="宋体" w:hint="default"/>
        </w:rPr>
        <w:t>FDA</w:t>
      </w:r>
      <w:r>
        <w:rPr>
          <w:rFonts w:ascii="宋体" w:hAnsi="宋体" w:cs="宋体" w:eastAsia="宋体" w:hint="default"/>
          <w:spacing w:val="-42"/>
        </w:rPr>
        <w:t> </w:t>
      </w:r>
      <w:r>
        <w:rPr/>
        <w:t>等多项认证。</w:t>
      </w:r>
      <w:r>
        <w:rPr>
          <w:rFonts w:ascii="宋体" w:hAnsi="宋体" w:cs="宋体" w:eastAsia="宋体" w:hint="default"/>
        </w:rPr>
        <w:t>2017</w:t>
      </w:r>
      <w:r>
        <w:rPr>
          <w:rFonts w:ascii="宋体" w:hAnsi="宋体" w:cs="宋体" w:eastAsia="宋体" w:hint="default"/>
          <w:spacing w:val="-44"/>
        </w:rPr>
        <w:t> </w:t>
      </w:r>
      <w:r>
        <w:rPr/>
        <w:t>年，公司通过</w:t>
      </w:r>
      <w:r>
        <w:rPr>
          <w:spacing w:val="-42"/>
        </w:rPr>
        <w:t> </w:t>
      </w:r>
      <w:r>
        <w:rPr>
          <w:rFonts w:ascii="宋体" w:hAnsi="宋体" w:cs="宋体" w:eastAsia="宋体" w:hint="default"/>
        </w:rPr>
        <w:t>ISO9001:2015</w:t>
      </w:r>
      <w:r>
        <w:rPr>
          <w:rFonts w:ascii="宋体" w:hAnsi="宋体" w:cs="宋体" w:eastAsia="宋体" w:hint="default"/>
          <w:spacing w:val="-41"/>
        </w:rPr>
        <w:t> </w:t>
      </w:r>
      <w:r>
        <w:rPr/>
        <w:t>新版质量管理体</w:t>
      </w:r>
      <w:r>
        <w:rPr>
          <w:w w:val="100"/>
        </w:rPr>
        <w:t> </w:t>
      </w:r>
      <w:r>
        <w:rPr/>
        <w:t>系认证，并再次获得“信息系统集成及服务大型一级企业”证书。</w:t>
      </w:r>
    </w:p>
    <w:p>
      <w:pPr>
        <w:spacing w:after="0" w:line="237" w:lineRule="auto"/>
        <w:jc w:val="left"/>
        <w:sectPr>
          <w:footerReference w:type="default" r:id="rId13"/>
          <w:pgSz w:w="11910" w:h="16840"/>
          <w:pgMar w:footer="1248" w:header="945" w:top="1300" w:bottom="1440" w:left="1680" w:right="1060"/>
        </w:sectPr>
      </w:pPr>
    </w:p>
    <w:p>
      <w:pPr>
        <w:spacing w:line="240" w:lineRule="auto" w:before="11"/>
        <w:rPr>
          <w:rFonts w:ascii="宋体" w:hAnsi="宋体" w:cs="宋体" w:eastAsia="宋体" w:hint="default"/>
          <w:sz w:val="11"/>
          <w:szCs w:val="11"/>
        </w:rPr>
      </w:pPr>
    </w:p>
    <w:p>
      <w:pPr>
        <w:pStyle w:val="Heading1"/>
        <w:spacing w:line="240" w:lineRule="auto"/>
        <w:ind w:right="2857"/>
        <w:jc w:val="center"/>
        <w:rPr>
          <w:b w:val="0"/>
          <w:bCs w:val="0"/>
        </w:rPr>
      </w:pPr>
      <w:bookmarkStart w:name="_TOC_250008" w:id="4"/>
      <w:r>
        <w:rPr/>
        <w:t>第四节</w:t>
      </w:r>
      <w:r>
        <w:rPr>
          <w:spacing w:val="-2"/>
        </w:rPr>
        <w:t> </w:t>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18" w:right="206"/>
        <w:jc w:val="left"/>
        <w:rPr>
          <w:b w:val="0"/>
          <w:bCs w:val="0"/>
        </w:rPr>
      </w:pPr>
      <w:r>
        <w:rPr/>
        <w:t>一、经营情况讨论与分析</w:t>
      </w:r>
      <w:r>
        <w:rPr>
          <w:b w:val="0"/>
          <w:bCs w:val="0"/>
        </w:rPr>
      </w:r>
    </w:p>
    <w:p>
      <w:pPr>
        <w:pStyle w:val="Heading4"/>
        <w:spacing w:line="272" w:lineRule="exact" w:before="86"/>
        <w:ind w:left="540" w:right="6091" w:hanging="423"/>
        <w:jc w:val="left"/>
        <w:rPr>
          <w:b w:val="0"/>
          <w:bCs w:val="0"/>
        </w:rPr>
      </w:pPr>
      <w:r>
        <w:rPr>
          <w:spacing w:val="-1"/>
        </w:rPr>
        <w:t>（一）宏观经济环境与行业分析</w:t>
      </w:r>
      <w:r>
        <w:rPr>
          <w:spacing w:val="-93"/>
        </w:rPr>
        <w:t> </w:t>
      </w:r>
      <w:r>
        <w:rPr>
          <w:spacing w:val="-93"/>
        </w:rPr>
      </w:r>
      <w:r>
        <w:rPr>
          <w:rFonts w:ascii="宋体" w:hAnsi="宋体" w:cs="宋体" w:eastAsia="宋体" w:hint="default"/>
        </w:rPr>
        <w:t>1</w:t>
      </w:r>
      <w:r>
        <w:rPr/>
        <w:t>、宏观经济环境</w:t>
      </w:r>
      <w:r>
        <w:rPr>
          <w:b w:val="0"/>
          <w:bCs w:val="0"/>
        </w:rPr>
      </w:r>
    </w:p>
    <w:p>
      <w:pPr>
        <w:pStyle w:val="BodyText"/>
        <w:spacing w:line="272" w:lineRule="exact" w:before="1"/>
        <w:ind w:left="118" w:right="98" w:firstLine="419"/>
        <w:jc w:val="left"/>
      </w:pPr>
      <w:r>
        <w:rPr>
          <w:rFonts w:ascii="宋体" w:hAnsi="宋体" w:cs="宋体" w:eastAsia="宋体" w:hint="default"/>
        </w:rPr>
        <w:t>2017</w:t>
      </w:r>
      <w:r>
        <w:rPr>
          <w:rFonts w:ascii="宋体" w:hAnsi="宋体" w:cs="宋体" w:eastAsia="宋体" w:hint="default"/>
          <w:spacing w:val="-33"/>
        </w:rPr>
        <w:t> </w:t>
      </w:r>
      <w:r>
        <w:rPr/>
        <w:t>年，世界经济呈现稳健复苏，美国、欧洲、日本等世界主要经济体</w:t>
      </w:r>
      <w:r>
        <w:rPr>
          <w:spacing w:val="-33"/>
        </w:rPr>
        <w:t> </w:t>
      </w:r>
      <w:r>
        <w:rPr>
          <w:rFonts w:ascii="宋体" w:hAnsi="宋体" w:cs="宋体" w:eastAsia="宋体" w:hint="default"/>
        </w:rPr>
        <w:t>GDP</w:t>
      </w:r>
      <w:r>
        <w:rPr>
          <w:rFonts w:ascii="宋体" w:hAnsi="宋体" w:cs="宋体" w:eastAsia="宋体" w:hint="default"/>
          <w:spacing w:val="-33"/>
        </w:rPr>
        <w:t> </w:t>
      </w:r>
      <w:r>
        <w:rPr/>
        <w:t>增速普遍回升，</w:t>
      </w:r>
      <w:r>
        <w:rPr>
          <w:w w:val="100"/>
        </w:rPr>
        <w:t> </w:t>
      </w:r>
      <w:r>
        <w:rPr/>
        <w:t>但经济回暖的基础还不稳固，国际金融市场跌宕起伏，保护主义抬头。国内方面，经济增长内生</w:t>
      </w:r>
    </w:p>
    <w:p>
      <w:pPr>
        <w:pStyle w:val="BodyText"/>
        <w:spacing w:line="272" w:lineRule="exact" w:before="1"/>
        <w:ind w:left="118" w:right="208"/>
        <w:jc w:val="both"/>
      </w:pPr>
      <w:r>
        <w:rPr>
          <w:spacing w:val="-1"/>
        </w:rPr>
        <w:t>动力仍需增强，结构性问题和深层次矛盾凸显，部分地区经济下行压力较大。面对极其错综复杂</w:t>
      </w:r>
      <w:r>
        <w:rPr>
          <w:spacing w:val="-55"/>
        </w:rPr>
        <w:t> </w:t>
      </w:r>
      <w:r>
        <w:rPr>
          <w:spacing w:val="-55"/>
        </w:rPr>
      </w:r>
      <w:r>
        <w:rPr>
          <w:spacing w:val="-4"/>
        </w:rPr>
        <w:t>的国内外形势，我国持续推进改革开放，稳中求进，深入开展“互联网+”行动，着力培育壮大新</w:t>
      </w:r>
    </w:p>
    <w:p>
      <w:pPr>
        <w:pStyle w:val="BodyText"/>
        <w:spacing w:line="272" w:lineRule="exact" w:before="1"/>
        <w:ind w:left="538" w:right="206" w:hanging="420"/>
        <w:jc w:val="left"/>
        <w:rPr>
          <w:rFonts w:ascii="宋体" w:hAnsi="宋体" w:cs="宋体" w:eastAsia="宋体" w:hint="default"/>
        </w:rPr>
      </w:pPr>
      <w:r>
        <w:rPr/>
        <w:t>动能，加快经济结构优化升级，实现稳中向好，经济由高速增长阶段转向高质量发展阶段。</w:t>
      </w:r>
      <w:r>
        <w:rPr>
          <w:w w:val="100"/>
        </w:rPr>
        <w:t> </w:t>
      </w:r>
      <w:r>
        <w:rPr>
          <w:rFonts w:ascii="宋体" w:hAnsi="宋体" w:cs="宋体" w:eastAsia="宋体" w:hint="default"/>
          <w:b/>
          <w:bCs/>
        </w:rPr>
        <w:t>2</w:t>
      </w:r>
      <w:r>
        <w:rPr>
          <w:rFonts w:ascii="宋体" w:hAnsi="宋体" w:cs="宋体" w:eastAsia="宋体" w:hint="default"/>
          <w:b/>
          <w:bCs/>
        </w:rPr>
        <w:t>、行业分析</w:t>
      </w:r>
      <w:r>
        <w:rPr>
          <w:rFonts w:ascii="宋体" w:hAnsi="宋体" w:cs="宋体" w:eastAsia="宋体" w:hint="default"/>
        </w:rPr>
      </w:r>
    </w:p>
    <w:p>
      <w:pPr>
        <w:pStyle w:val="BodyText"/>
        <w:spacing w:line="272" w:lineRule="exact" w:before="1"/>
        <w:ind w:left="118" w:right="205" w:firstLine="419"/>
        <w:jc w:val="left"/>
      </w:pPr>
      <w:r>
        <w:rPr>
          <w:spacing w:val="-2"/>
        </w:rPr>
        <w:t>公司所属的软件和信息技术服务业是国民经济的基础性和战略性产业，得益于中国经济的快</w:t>
      </w:r>
      <w:r>
        <w:rPr>
          <w:spacing w:val="-3"/>
          <w:w w:val="100"/>
        </w:rPr>
        <w:t> </w:t>
      </w:r>
      <w:r>
        <w:rPr>
          <w:spacing w:val="-4"/>
        </w:rPr>
        <w:t>速稳步发展、产业政策的支持、强劲的信息化投资和旺盛的 </w:t>
      </w:r>
      <w:r>
        <w:rPr>
          <w:rFonts w:ascii="宋体" w:hAnsi="宋体" w:cs="宋体" w:eastAsia="宋体" w:hint="default"/>
        </w:rPr>
        <w:t>IT</w:t>
      </w:r>
      <w:r>
        <w:rPr>
          <w:rFonts w:ascii="宋体" w:hAnsi="宋体" w:cs="宋体" w:eastAsia="宋体" w:hint="default"/>
          <w:spacing w:val="-39"/>
        </w:rPr>
        <w:t> </w:t>
      </w:r>
      <w:r>
        <w:rPr>
          <w:spacing w:val="-4"/>
        </w:rPr>
        <w:t>消费需求等因素，软件和信息技术</w:t>
      </w:r>
    </w:p>
    <w:p>
      <w:pPr>
        <w:pStyle w:val="BodyText"/>
        <w:spacing w:line="247" w:lineRule="exact"/>
        <w:ind w:left="118" w:right="206"/>
        <w:jc w:val="left"/>
      </w:pPr>
      <w:r>
        <w:rPr/>
        <w:t>服务业已连续多年保持高速发展态势，产业规模不断壮大。</w:t>
      </w:r>
    </w:p>
    <w:p>
      <w:pPr>
        <w:spacing w:before="0"/>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）软件和信息技术服务业在国家政策的支持下持续高速发展</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公司所处的软件和信息技术服务业作为“战略性新兴产业”，持续获得国家产业政策支持。</w:t>
      </w:r>
    </w:p>
    <w:p>
      <w:pPr>
        <w:pStyle w:val="BodyText"/>
        <w:spacing w:line="271" w:lineRule="exact"/>
        <w:ind w:left="118" w:right="96"/>
        <w:jc w:val="left"/>
      </w:pPr>
      <w:r>
        <w:rPr>
          <w:rFonts w:ascii="宋体" w:hAnsi="宋体" w:cs="宋体" w:eastAsia="宋体" w:hint="default"/>
        </w:rPr>
        <w:t>2017 </w:t>
      </w:r>
      <w:r>
        <w:rPr>
          <w:spacing w:val="-7"/>
        </w:rPr>
        <w:t>年，为深入贯彻《中国制造</w:t>
      </w:r>
      <w:r>
        <w:rPr>
          <w:spacing w:val="-48"/>
        </w:rPr>
        <w:t> </w:t>
      </w:r>
      <w:r>
        <w:rPr>
          <w:rFonts w:ascii="宋体" w:hAnsi="宋体" w:cs="宋体" w:eastAsia="宋体" w:hint="default"/>
          <w:spacing w:val="-6"/>
        </w:rPr>
        <w:t>2025</w:t>
      </w:r>
      <w:r>
        <w:rPr>
          <w:spacing w:val="-6"/>
        </w:rPr>
        <w:t>》、《国务院关于积极推进“互联网+”行动的指导意见》、</w:t>
      </w:r>
    </w:p>
    <w:p>
      <w:pPr>
        <w:pStyle w:val="BodyText"/>
        <w:spacing w:line="237" w:lineRule="auto" w:before="2"/>
        <w:ind w:left="118" w:right="207"/>
        <w:jc w:val="both"/>
      </w:pPr>
      <w:r>
        <w:rPr>
          <w:spacing w:val="-1"/>
        </w:rPr>
        <w:t>《国务院关于深化制造业与互联网融合发展的指导意见》等国家战略，国家工信部制定了《软件</w:t>
      </w:r>
      <w:r>
        <w:rPr>
          <w:spacing w:val="-55"/>
        </w:rPr>
        <w:t> </w:t>
      </w:r>
      <w:r>
        <w:rPr>
          <w:spacing w:val="-55"/>
        </w:rPr>
      </w:r>
      <w:r>
        <w:rPr/>
        <w:t>和信息技术服务业发展规划（</w:t>
      </w:r>
      <w:r>
        <w:rPr>
          <w:rFonts w:ascii="宋体" w:hAnsi="宋体" w:cs="宋体" w:eastAsia="宋体" w:hint="default"/>
        </w:rPr>
        <w:t>2016-2020</w:t>
      </w:r>
      <w:r>
        <w:rPr>
          <w:rFonts w:ascii="宋体" w:hAnsi="宋体" w:cs="宋体" w:eastAsia="宋体" w:hint="default"/>
          <w:spacing w:val="5"/>
        </w:rPr>
        <w:t> </w:t>
      </w:r>
      <w:r>
        <w:rPr/>
        <w:t>年）》，明确指出将研究制定新形势下适应产业发展特</w:t>
      </w:r>
      <w:r>
        <w:rPr>
          <w:w w:val="100"/>
        </w:rPr>
        <w:t> </w:t>
      </w:r>
      <w:r>
        <w:rPr>
          <w:spacing w:val="-1"/>
        </w:rPr>
        <w:t>点的政策措施，加大对软件和信息技术服务业发展的财政资金支持，着力研发云计算、大数据、</w:t>
      </w:r>
      <w:r>
        <w:rPr>
          <w:spacing w:val="-55"/>
        </w:rPr>
        <w:t> </w:t>
      </w:r>
      <w:r>
        <w:rPr>
          <w:spacing w:val="-55"/>
        </w:rPr>
      </w:r>
      <w:r>
        <w:rPr/>
        <w:t>移动互联网、物联网等新兴领域关键软件产品和解决方案，加快培育新业态和新模式；</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w w:val="100"/>
        </w:rPr>
        <w:t> </w:t>
      </w:r>
      <w:r>
        <w:rPr/>
        <w:t>月，国家工信部印发《大数据产业发展规划（</w:t>
      </w:r>
      <w:r>
        <w:rPr>
          <w:rFonts w:ascii="宋体" w:hAnsi="宋体" w:cs="宋体" w:eastAsia="宋体" w:hint="default"/>
        </w:rPr>
        <w:t>2016-2020</w:t>
      </w:r>
      <w:r>
        <w:rPr>
          <w:rFonts w:ascii="宋体" w:hAnsi="宋体" w:cs="宋体" w:eastAsia="宋体" w:hint="default"/>
          <w:spacing w:val="6"/>
        </w:rPr>
        <w:t> </w:t>
      </w:r>
      <w:r>
        <w:rPr/>
        <w:t>年）》，指出将充分发挥国家科技计划</w:t>
      </w:r>
      <w:r>
        <w:rPr>
          <w:w w:val="100"/>
        </w:rPr>
        <w:t> </w:t>
      </w:r>
      <w:r>
        <w:rPr>
          <w:spacing w:val="-1"/>
        </w:rPr>
        <w:t>资金扶持政策的作用，鼓励设立大数据发展专项基金，支持大数据基础技术、重点产品、服务和</w:t>
      </w:r>
      <w:r>
        <w:rPr>
          <w:spacing w:val="-55"/>
        </w:rPr>
        <w:t> </w:t>
      </w:r>
      <w:r>
        <w:rPr>
          <w:spacing w:val="-55"/>
        </w:rPr>
      </w:r>
      <w:r>
        <w:rPr/>
        <w:t>应用的发展。</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月，国家工信部出台《云计算发展三年行动计划（</w:t>
      </w:r>
      <w:r>
        <w:rPr>
          <w:rFonts w:ascii="宋体" w:hAnsi="宋体" w:cs="宋体" w:eastAsia="宋体" w:hint="default"/>
        </w:rPr>
        <w:t>2017-2019</w:t>
      </w:r>
      <w:r>
        <w:rPr>
          <w:rFonts w:ascii="宋体" w:hAnsi="宋体" w:cs="宋体" w:eastAsia="宋体" w:hint="default"/>
          <w:spacing w:val="-54"/>
        </w:rPr>
        <w:t> </w:t>
      </w:r>
      <w:r>
        <w:rPr/>
        <w:t>年）》，指</w:t>
      </w:r>
      <w:r>
        <w:rPr>
          <w:w w:val="100"/>
        </w:rPr>
        <w:t> </w:t>
      </w:r>
      <w:r>
        <w:rPr>
          <w:spacing w:val="-1"/>
        </w:rPr>
        <w:t>出将支持软件企业向云计算转型、积极发展工业云服务和政务云应用等作为重点工作任务，加大</w:t>
      </w:r>
      <w:r>
        <w:rPr>
          <w:spacing w:val="-55"/>
        </w:rPr>
        <w:t> </w:t>
      </w:r>
      <w:r>
        <w:rPr>
          <w:spacing w:val="-55"/>
        </w:rPr>
      </w:r>
      <w:r>
        <w:rPr/>
        <w:t>对云计算企业的支持力度，推动我国云计算产业向高端化、国际化方向发展。</w:t>
      </w:r>
    </w:p>
    <w:p>
      <w:pPr>
        <w:pStyle w:val="BodyText"/>
        <w:spacing w:line="272" w:lineRule="exact" w:before="26"/>
        <w:ind w:left="118" w:right="206" w:firstLine="419"/>
        <w:jc w:val="left"/>
      </w:pPr>
      <w:r>
        <w:rPr>
          <w:spacing w:val="-2"/>
        </w:rPr>
        <w:t>随着上述产业政策的实施，我国软件和信息技术服务业呈现平稳较快增长。根据工信部的预</w:t>
      </w:r>
      <w:r>
        <w:rPr>
          <w:w w:val="100"/>
        </w:rPr>
        <w:t> </w:t>
      </w:r>
      <w:r>
        <w:rPr/>
        <w:t>测，到</w:t>
      </w:r>
      <w:r>
        <w:rPr>
          <w:spacing w:val="-54"/>
        </w:rPr>
        <w:t> </w:t>
      </w:r>
      <w:r>
        <w:rPr>
          <w:rFonts w:ascii="宋体" w:hAnsi="宋体" w:cs="宋体" w:eastAsia="宋体" w:hint="default"/>
        </w:rPr>
        <w:t>2020</w:t>
      </w:r>
      <w:r>
        <w:rPr>
          <w:rFonts w:ascii="宋体" w:hAnsi="宋体" w:cs="宋体" w:eastAsia="宋体" w:hint="default"/>
          <w:spacing w:val="-54"/>
        </w:rPr>
        <w:t> </w:t>
      </w:r>
      <w:r>
        <w:rPr/>
        <w:t>年，我国软件和信息化业务收入将突破</w:t>
      </w:r>
      <w:r>
        <w:rPr>
          <w:spacing w:val="-56"/>
        </w:rPr>
        <w:t> </w:t>
      </w:r>
      <w:r>
        <w:rPr>
          <w:rFonts w:ascii="宋体" w:hAnsi="宋体" w:cs="宋体" w:eastAsia="宋体" w:hint="default"/>
        </w:rPr>
        <w:t>8</w:t>
      </w:r>
      <w:r>
        <w:rPr>
          <w:rFonts w:ascii="宋体" w:hAnsi="宋体" w:cs="宋体" w:eastAsia="宋体" w:hint="default"/>
          <w:spacing w:val="-54"/>
        </w:rPr>
        <w:t> </w:t>
      </w:r>
      <w:r>
        <w:rPr/>
        <w:t>万亿元。</w:t>
      </w:r>
    </w:p>
    <w:p>
      <w:pPr>
        <w:spacing w:line="272" w:lineRule="exact" w:before="1"/>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）新一轮产业升级和科技革命为行业的发展提供了良好的机遇</w:t>
      </w:r>
      <w:r>
        <w:rPr>
          <w:rFonts w:ascii="宋体" w:hAnsi="宋体" w:cs="宋体" w:eastAsia="宋体" w:hint="default"/>
          <w:b/>
          <w:bCs/>
          <w:w w:val="100"/>
          <w:sz w:val="21"/>
          <w:szCs w:val="21"/>
        </w:rPr>
        <w:t> </w:t>
      </w:r>
      <w:r>
        <w:rPr>
          <w:rFonts w:ascii="宋体" w:hAnsi="宋体" w:cs="宋体" w:eastAsia="宋体" w:hint="default"/>
          <w:spacing w:val="-2"/>
          <w:sz w:val="21"/>
          <w:szCs w:val="21"/>
        </w:rPr>
        <w:t>“十三五”时期是我国全面建成小康社会决胜阶段。从世界范围看，全球新一轮科技革命和</w:t>
      </w:r>
    </w:p>
    <w:p>
      <w:pPr>
        <w:pStyle w:val="BodyText"/>
        <w:spacing w:line="272" w:lineRule="exact" w:before="1"/>
        <w:ind w:left="118" w:right="208"/>
        <w:jc w:val="both"/>
      </w:pPr>
      <w:r>
        <w:rPr>
          <w:spacing w:val="-1"/>
        </w:rPr>
        <w:t>产业变革持续深入，围绕技术路线主导权、价值链分工、产业生态的竞争日益激烈。发达国家在</w:t>
      </w:r>
      <w:r>
        <w:rPr>
          <w:spacing w:val="-55"/>
        </w:rPr>
        <w:t> </w:t>
      </w:r>
      <w:r>
        <w:rPr>
          <w:spacing w:val="-55"/>
        </w:rPr>
      </w:r>
      <w:r>
        <w:rPr>
          <w:spacing w:val="-1"/>
        </w:rPr>
        <w:t>工业互联网、智能制造、人工智能、大数据等领域加速战略布局，抢占未来发展主导权，给我国</w:t>
      </w:r>
    </w:p>
    <w:p>
      <w:pPr>
        <w:pStyle w:val="BodyText"/>
        <w:spacing w:line="272" w:lineRule="exact" w:before="1"/>
        <w:ind w:left="118" w:right="208"/>
        <w:jc w:val="both"/>
      </w:pPr>
      <w:r>
        <w:rPr>
          <w:spacing w:val="-1"/>
        </w:rPr>
        <w:t>软件和信息技术服务业跨越发展带来深刻影响。从国内形势看，我国经济发展进入新常态，发展</w:t>
      </w:r>
      <w:r>
        <w:rPr>
          <w:spacing w:val="-55"/>
        </w:rPr>
        <w:t> </w:t>
      </w:r>
      <w:r>
        <w:rPr>
          <w:spacing w:val="-55"/>
        </w:rPr>
      </w:r>
      <w:r>
        <w:rPr>
          <w:spacing w:val="-3"/>
        </w:rPr>
        <w:t>动力加快转换，以改革创新为核心的新动能加速孕育。中国制造</w:t>
      </w:r>
      <w:r>
        <w:rPr>
          <w:spacing w:val="27"/>
        </w:rPr>
        <w:t> </w:t>
      </w:r>
      <w:r>
        <w:rPr>
          <w:rFonts w:ascii="宋体" w:hAnsi="宋体" w:cs="宋体" w:eastAsia="宋体" w:hint="default"/>
          <w:spacing w:val="-3"/>
        </w:rPr>
        <w:t>2025</w:t>
      </w:r>
      <w:r>
        <w:rPr>
          <w:spacing w:val="-3"/>
        </w:rPr>
        <w:t>、“一带一路”、“互联网</w:t>
      </w:r>
    </w:p>
    <w:p>
      <w:pPr>
        <w:pStyle w:val="BodyText"/>
        <w:spacing w:line="272" w:lineRule="exact" w:before="1"/>
        <w:ind w:left="118" w:right="208"/>
        <w:jc w:val="both"/>
      </w:pPr>
      <w:r>
        <w:rPr>
          <w:spacing w:val="-9"/>
          <w:w w:val="100"/>
        </w:rPr>
        <w:t>+”行动计划、大数据、军民融合发展等国家战略的推进实施，以及国家网络安全保障的战略需求，</w:t>
      </w:r>
      <w:r>
        <w:rPr>
          <w:spacing w:val="-74"/>
          <w:w w:val="100"/>
        </w:rPr>
        <w:t> </w:t>
      </w:r>
      <w:r>
        <w:rPr>
          <w:spacing w:val="-74"/>
          <w:w w:val="100"/>
        </w:rPr>
      </w:r>
      <w:r>
        <w:rPr>
          <w:spacing w:val="-1"/>
        </w:rPr>
        <w:t>赋予软件和信息技术服务业新的使命和任务；强化科技创新引领作用，着力推进供给侧结构性改</w:t>
      </w:r>
    </w:p>
    <w:p>
      <w:pPr>
        <w:pStyle w:val="BodyText"/>
        <w:spacing w:line="272" w:lineRule="exact" w:before="2"/>
        <w:ind w:left="118" w:right="208"/>
        <w:jc w:val="both"/>
      </w:pPr>
      <w:r>
        <w:rPr>
          <w:spacing w:val="-1"/>
        </w:rPr>
        <w:t>革，深入推进大众创业万众创新，加快推动服务业优质高效发展等，在进一步激活软件和信息技</w:t>
      </w:r>
      <w:r>
        <w:rPr>
          <w:spacing w:val="-55"/>
        </w:rPr>
        <w:t> </w:t>
      </w:r>
      <w:r>
        <w:rPr>
          <w:spacing w:val="-55"/>
        </w:rPr>
      </w:r>
      <w:r>
        <w:rPr>
          <w:spacing w:val="-6"/>
          <w:w w:val="100"/>
        </w:rPr>
        <w:t>术服务业市场主体、提升产业层级提出新的更高要求的同时，也为行业的发展提供了良好的机遇。</w:t>
      </w:r>
    </w:p>
    <w:p>
      <w:pPr>
        <w:spacing w:line="272" w:lineRule="exact" w:before="1"/>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）全球产业格局深刻变化，市场竞争日益加剧</w:t>
      </w:r>
      <w:r>
        <w:rPr>
          <w:rFonts w:ascii="宋体" w:hAnsi="宋体" w:cs="宋体" w:eastAsia="宋体" w:hint="default"/>
          <w:b/>
          <w:bCs/>
          <w:w w:val="100"/>
          <w:sz w:val="21"/>
          <w:szCs w:val="21"/>
        </w:rPr>
        <w:t> </w:t>
      </w:r>
      <w:r>
        <w:rPr>
          <w:rFonts w:ascii="宋体" w:hAnsi="宋体" w:cs="宋体" w:eastAsia="宋体" w:hint="default"/>
          <w:spacing w:val="-2"/>
          <w:sz w:val="21"/>
          <w:szCs w:val="21"/>
        </w:rPr>
        <w:t>全球产业格局正发生深刻变化，围绕技术路线主导权、价值链分工、产业生态的竞争日益激</w:t>
      </w:r>
    </w:p>
    <w:p>
      <w:pPr>
        <w:pStyle w:val="BodyText"/>
        <w:spacing w:line="246" w:lineRule="exact"/>
        <w:ind w:left="118" w:right="96"/>
        <w:jc w:val="left"/>
      </w:pPr>
      <w:r>
        <w:rPr/>
        <w:t>烈，发达国家在工业互联网、智能制造、人工智能、大数据等领域加速战略布局，抢占未来发展</w:t>
      </w:r>
    </w:p>
    <w:p>
      <w:pPr>
        <w:pStyle w:val="BodyText"/>
        <w:spacing w:line="272" w:lineRule="exact" w:before="27"/>
        <w:ind w:left="118" w:right="208"/>
        <w:jc w:val="both"/>
      </w:pPr>
      <w:r>
        <w:rPr>
          <w:spacing w:val="-1"/>
        </w:rPr>
        <w:t>主导权，给我国软件和信息技术服务业跨越发展带来深刻影响。同时，来自国内同业及跨国公司</w:t>
      </w:r>
      <w:r>
        <w:rPr>
          <w:spacing w:val="-55"/>
        </w:rPr>
        <w:t> </w:t>
      </w:r>
      <w:r>
        <w:rPr>
          <w:spacing w:val="-55"/>
        </w:rPr>
      </w:r>
      <w:r>
        <w:rPr/>
        <w:t>的双重竞争日益加剧，为国内软件和信息技术服务企业的转型发展带来挑战。</w:t>
      </w:r>
    </w:p>
    <w:p>
      <w:pPr>
        <w:spacing w:line="240" w:lineRule="auto" w:before="10"/>
        <w:rPr>
          <w:rFonts w:ascii="宋体" w:hAnsi="宋体" w:cs="宋体" w:eastAsia="宋体" w:hint="default"/>
          <w:sz w:val="18"/>
          <w:szCs w:val="18"/>
        </w:rPr>
      </w:pPr>
    </w:p>
    <w:p>
      <w:pPr>
        <w:spacing w:before="0"/>
        <w:ind w:left="538" w:right="206" w:hanging="221"/>
        <w:jc w:val="left"/>
        <w:rPr>
          <w:rFonts w:ascii="宋体" w:hAnsi="宋体" w:cs="宋体" w:eastAsia="宋体" w:hint="default"/>
          <w:sz w:val="21"/>
          <w:szCs w:val="21"/>
        </w:rPr>
      </w:pPr>
      <w:r>
        <w:rPr>
          <w:rFonts w:ascii="宋体" w:hAnsi="宋体" w:cs="宋体" w:eastAsia="宋体" w:hint="default"/>
          <w:b/>
          <w:bCs/>
          <w:sz w:val="21"/>
          <w:szCs w:val="21"/>
        </w:rPr>
        <w:t>（二）报告期内公司整体经营情况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面对复杂多变、竞争激烈的市场环境，面向新的产业发展形势，公司坚持创新与全球化发展</w:t>
      </w:r>
    </w:p>
    <w:p>
      <w:pPr>
        <w:pStyle w:val="BodyText"/>
        <w:spacing w:line="274" w:lineRule="exact" w:before="22"/>
        <w:ind w:left="118" w:right="210"/>
        <w:jc w:val="both"/>
      </w:pPr>
      <w:r>
        <w:rPr>
          <w:spacing w:val="-3"/>
        </w:rPr>
        <w:t>策略，以自主知识资产为核心驱动，以核心业务的专业化、</w:t>
      </w:r>
      <w:r>
        <w:rPr>
          <w:rFonts w:ascii="宋体" w:hAnsi="宋体" w:cs="宋体" w:eastAsia="宋体" w:hint="default"/>
          <w:spacing w:val="-3"/>
        </w:rPr>
        <w:t>IP </w:t>
      </w:r>
      <w:r>
        <w:rPr>
          <w:spacing w:val="-3"/>
        </w:rPr>
        <w:t>化、互联网化为发展方向，持续推</w:t>
      </w:r>
      <w:r>
        <w:rPr>
          <w:spacing w:val="-79"/>
        </w:rPr>
        <w:t> </w:t>
      </w:r>
      <w:r>
        <w:rPr>
          <w:spacing w:val="-79"/>
        </w:rPr>
      </w:r>
      <w:r>
        <w:rPr/>
        <w:t>进核心业务、产业互联网业务和社会化互联网业务联动发展。</w:t>
      </w:r>
    </w:p>
    <w:p>
      <w:pPr>
        <w:pStyle w:val="BodyText"/>
        <w:spacing w:line="245" w:lineRule="exact"/>
        <w:ind w:left="538" w:right="96"/>
        <w:jc w:val="left"/>
      </w:pPr>
      <w:r>
        <w:rPr>
          <w:rFonts w:ascii="宋体" w:hAnsi="宋体" w:cs="宋体" w:eastAsia="宋体" w:hint="default"/>
        </w:rPr>
        <w:t>2017</w:t>
      </w:r>
      <w:r>
        <w:rPr>
          <w:rFonts w:ascii="宋体" w:hAnsi="宋体" w:cs="宋体" w:eastAsia="宋体" w:hint="default"/>
          <w:spacing w:val="-34"/>
        </w:rPr>
        <w:t> </w:t>
      </w:r>
      <w:r>
        <w:rPr>
          <w:spacing w:val="-3"/>
        </w:rPr>
        <w:t>年是公司实施《东软</w:t>
      </w:r>
      <w:r>
        <w:rPr>
          <w:spacing w:val="-34"/>
        </w:rPr>
        <w:t> </w:t>
      </w:r>
      <w:r>
        <w:rPr>
          <w:rFonts w:ascii="宋体" w:hAnsi="宋体" w:cs="宋体" w:eastAsia="宋体" w:hint="default"/>
        </w:rPr>
        <w:t>5.0</w:t>
      </w:r>
      <w:r>
        <w:rPr>
          <w:rFonts w:ascii="宋体" w:hAnsi="宋体" w:cs="宋体" w:eastAsia="宋体" w:hint="default"/>
          <w:spacing w:val="-31"/>
        </w:rPr>
        <w:t> </w:t>
      </w:r>
      <w:r>
        <w:rPr>
          <w:spacing w:val="-3"/>
        </w:rPr>
        <w:t>发展规划》的第二年，公司积极努力转变业务发展内涵，持续</w:t>
      </w:r>
    </w:p>
    <w:p>
      <w:pPr>
        <w:pStyle w:val="BodyText"/>
        <w:spacing w:line="274" w:lineRule="exact"/>
        <w:ind w:left="118" w:right="96"/>
        <w:jc w:val="left"/>
      </w:pPr>
      <w:r>
        <w:rPr/>
        <w:t>提高行业专业化水准，拉高软件业务增速，确立了东软</w:t>
      </w:r>
      <w:r>
        <w:rPr>
          <w:spacing w:val="-52"/>
        </w:rPr>
        <w:t> </w:t>
      </w:r>
      <w:r>
        <w:rPr>
          <w:rFonts w:ascii="宋体" w:hAnsi="宋体" w:cs="宋体" w:eastAsia="宋体" w:hint="default"/>
        </w:rPr>
        <w:t>5.0</w:t>
      </w:r>
      <w:r>
        <w:rPr>
          <w:rFonts w:ascii="宋体" w:hAnsi="宋体" w:cs="宋体" w:eastAsia="宋体" w:hint="default"/>
          <w:spacing w:val="-50"/>
        </w:rPr>
        <w:t> </w:t>
      </w:r>
      <w:r>
        <w:rPr/>
        <w:t>发展规划的业务增长曲线。公司聚焦</w:t>
      </w:r>
    </w:p>
    <w:p>
      <w:pPr>
        <w:spacing w:after="0" w:line="274" w:lineRule="exact"/>
        <w:jc w:val="left"/>
        <w:sectPr>
          <w:footerReference w:type="default" r:id="rId14"/>
          <w:pgSz w:w="11910" w:h="16840"/>
          <w:pgMar w:footer="1248" w:header="945" w:top="1300" w:bottom="1440" w:left="1680" w:right="1060"/>
          <w:pgNumType w:start="11"/>
        </w:sectPr>
      </w:pPr>
    </w:p>
    <w:p>
      <w:pPr>
        <w:spacing w:line="240" w:lineRule="auto" w:before="3"/>
        <w:rPr>
          <w:rFonts w:ascii="宋体" w:hAnsi="宋体" w:cs="宋体" w:eastAsia="宋体" w:hint="default"/>
          <w:sz w:val="11"/>
          <w:szCs w:val="11"/>
        </w:rPr>
      </w:pPr>
    </w:p>
    <w:p>
      <w:pPr>
        <w:pStyle w:val="BodyText"/>
        <w:spacing w:line="237" w:lineRule="auto" w:before="38"/>
        <w:ind w:left="118" w:right="99"/>
        <w:jc w:val="left"/>
      </w:pPr>
      <w:r>
        <w:rPr/>
        <w:t>在大健康、大汽车、智慧城市等领域，在各优势行业的领导者地位进一步巩固和提升，其中，区</w:t>
      </w:r>
      <w:r>
        <w:rPr>
          <w:spacing w:val="-97"/>
        </w:rPr>
        <w:t> </w:t>
      </w:r>
      <w:r>
        <w:rPr>
          <w:spacing w:val="-97"/>
        </w:rPr>
      </w:r>
      <w:r>
        <w:rPr/>
        <w:t>域卫生和医院信息化领域连续第</w:t>
      </w:r>
      <w:r>
        <w:rPr>
          <w:spacing w:val="-33"/>
        </w:rPr>
        <w:t> </w:t>
      </w:r>
      <w:r>
        <w:rPr>
          <w:rFonts w:ascii="宋体" w:hAnsi="宋体" w:cs="宋体" w:eastAsia="宋体" w:hint="default"/>
        </w:rPr>
        <w:t>7</w:t>
      </w:r>
      <w:r>
        <w:rPr>
          <w:rFonts w:ascii="宋体" w:hAnsi="宋体" w:cs="宋体" w:eastAsia="宋体" w:hint="default"/>
          <w:spacing w:val="-33"/>
        </w:rPr>
        <w:t> </w:t>
      </w:r>
      <w:r>
        <w:rPr/>
        <w:t>年保持市场占有率第一，社保业务市场份额超过</w:t>
      </w:r>
      <w:r>
        <w:rPr>
          <w:spacing w:val="-33"/>
        </w:rPr>
        <w:t> </w:t>
      </w:r>
      <w:r>
        <w:rPr>
          <w:rFonts w:ascii="宋体" w:hAnsi="宋体" w:cs="宋体" w:eastAsia="宋体" w:hint="default"/>
        </w:rPr>
        <w:t>50%</w:t>
      </w:r>
      <w:r>
        <w:rPr/>
        <w:t>，新能源</w:t>
      </w:r>
      <w:r>
        <w:rPr>
          <w:spacing w:val="-3"/>
          <w:w w:val="100"/>
        </w:rPr>
        <w:t> </w:t>
      </w:r>
      <w:r>
        <w:rPr>
          <w:spacing w:val="-6"/>
          <w:w w:val="100"/>
        </w:rPr>
        <w:t>汽车和汽车共享业务快速推进并占领市场，公司已与</w:t>
      </w:r>
      <w:r>
        <w:rPr>
          <w:spacing w:val="-43"/>
          <w:w w:val="100"/>
        </w:rPr>
        <w:t> </w:t>
      </w:r>
      <w:r>
        <w:rPr>
          <w:rFonts w:ascii="宋体" w:hAnsi="宋体" w:cs="宋体" w:eastAsia="宋体" w:hint="default"/>
          <w:w w:val="100"/>
        </w:rPr>
        <w:t>20</w:t>
      </w:r>
      <w:r>
        <w:rPr>
          <w:rFonts w:ascii="宋体" w:hAnsi="宋体" w:cs="宋体" w:eastAsia="宋体" w:hint="default"/>
          <w:spacing w:val="-46"/>
          <w:w w:val="100"/>
        </w:rPr>
        <w:t> </w:t>
      </w:r>
      <w:r>
        <w:rPr>
          <w:spacing w:val="-2"/>
          <w:w w:val="100"/>
        </w:rPr>
        <w:t>多个城市签署战略合作协议推进智慧城市、</w:t>
      </w:r>
      <w:r>
        <w:rPr>
          <w:spacing w:val="-102"/>
          <w:w w:val="100"/>
        </w:rPr>
        <w:t> </w:t>
      </w:r>
      <w:r>
        <w:rPr>
          <w:spacing w:val="-102"/>
          <w:w w:val="100"/>
        </w:rPr>
      </w:r>
      <w:r>
        <w:rPr/>
        <w:t>健康城市建设。报告期内，公司加大面向人工智能、物联网、区块链等战略方向的投入力度，进</w:t>
      </w:r>
      <w:r>
        <w:rPr>
          <w:spacing w:val="-97"/>
        </w:rPr>
        <w:t> </w:t>
      </w:r>
      <w:r>
        <w:rPr>
          <w:spacing w:val="-97"/>
        </w:rPr>
      </w:r>
      <w:r>
        <w:rPr>
          <w:spacing w:val="-7"/>
        </w:rPr>
        <w:t>一步提升组织级技术能力，持续推出基于云计算、大数据、物联网的知识资产，通过技术、平台、</w:t>
      </w:r>
      <w:r>
        <w:rPr>
          <w:spacing w:val="-12"/>
        </w:rPr>
        <w:t> </w:t>
      </w:r>
      <w:r>
        <w:rPr>
          <w:spacing w:val="-12"/>
        </w:rPr>
      </w:r>
      <w:r>
        <w:rPr/>
        <w:t>服务推动公司数字化转型，智能互联产品、平台产品与软件产品业务快速发展。在公司内部，持</w:t>
      </w:r>
      <w:r>
        <w:rPr>
          <w:spacing w:val="-97"/>
        </w:rPr>
        <w:t> </w:t>
      </w:r>
      <w:r>
        <w:rPr>
          <w:spacing w:val="-97"/>
        </w:rPr>
      </w:r>
      <w:r>
        <w:rPr>
          <w:spacing w:val="-6"/>
        </w:rPr>
        <w:t>续推动营销体系建设，省分、虚拟公司等分布式组织商业能力持续提升，进入高效运转期；同时，</w:t>
      </w:r>
      <w:r>
        <w:rPr>
          <w:spacing w:val="-52"/>
        </w:rPr>
        <w:t> </w:t>
      </w:r>
      <w:r>
        <w:rPr>
          <w:spacing w:val="-52"/>
        </w:rPr>
      </w:r>
      <w:r>
        <w:rPr/>
        <w:t>夯实现有多元化激励，持续探索创新激励机制，不断激发员工创业热情。</w:t>
      </w:r>
    </w:p>
    <w:p>
      <w:pPr>
        <w:pStyle w:val="BodyText"/>
        <w:spacing w:line="274" w:lineRule="exact" w:before="22"/>
        <w:ind w:left="118" w:right="308" w:firstLine="419"/>
        <w:jc w:val="both"/>
      </w:pPr>
      <w:r>
        <w:rPr/>
        <w:t>报告期内，公司实现营业收入</w:t>
      </w:r>
      <w:r>
        <w:rPr>
          <w:spacing w:val="-34"/>
        </w:rPr>
        <w:t> </w:t>
      </w:r>
      <w:r>
        <w:rPr>
          <w:rFonts w:ascii="宋体" w:hAnsi="宋体" w:cs="宋体" w:eastAsia="宋体" w:hint="default"/>
        </w:rPr>
        <w:t>713,113</w:t>
      </w:r>
      <w:r>
        <w:rPr>
          <w:rFonts w:ascii="宋体" w:hAnsi="宋体" w:cs="宋体" w:eastAsia="宋体" w:hint="default"/>
          <w:spacing w:val="-34"/>
        </w:rPr>
        <w:t> </w:t>
      </w:r>
      <w:r>
        <w:rPr/>
        <w:t>万元，同比下降</w:t>
      </w:r>
      <w:r>
        <w:rPr>
          <w:spacing w:val="-34"/>
        </w:rPr>
        <w:t> </w:t>
      </w:r>
      <w:r>
        <w:rPr>
          <w:rFonts w:ascii="宋体" w:hAnsi="宋体" w:cs="宋体" w:eastAsia="宋体" w:hint="default"/>
        </w:rPr>
        <w:t>7.81%</w:t>
      </w:r>
      <w:r>
        <w:rPr/>
        <w:t>；扣除本公司原控股子公司沈</w:t>
      </w:r>
      <w:r>
        <w:rPr>
          <w:w w:val="100"/>
        </w:rPr>
        <w:t> </w:t>
      </w:r>
      <w:r>
        <w:rPr>
          <w:spacing w:val="-1"/>
        </w:rPr>
        <w:t>阳东软医疗系统有限公司（以下简称“东软医疗”）、原间接控股子公司东软熙康控股有限公司</w:t>
      </w:r>
    </w:p>
    <w:p>
      <w:pPr>
        <w:pStyle w:val="BodyText"/>
        <w:spacing w:line="245" w:lineRule="exact"/>
        <w:ind w:left="118" w:right="0"/>
        <w:jc w:val="both"/>
      </w:pPr>
      <w:r>
        <w:rPr/>
        <w:t>（以下简称“熙康”）自</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日不再纳入公司合并财务报表范围的影响，同口径下，</w:t>
      </w:r>
    </w:p>
    <w:p>
      <w:pPr>
        <w:pStyle w:val="BodyText"/>
        <w:spacing w:line="237" w:lineRule="auto" w:before="2"/>
        <w:ind w:left="118" w:right="307"/>
        <w:jc w:val="both"/>
      </w:pPr>
      <w:r>
        <w:rPr/>
        <w:t>公司营业收入较上年同期增长</w:t>
      </w:r>
      <w:r>
        <w:rPr>
          <w:spacing w:val="-15"/>
        </w:rPr>
        <w:t> </w:t>
      </w:r>
      <w:r>
        <w:rPr>
          <w:rFonts w:ascii="宋体" w:hAnsi="宋体" w:cs="宋体" w:eastAsia="宋体" w:hint="default"/>
          <w:spacing w:val="-3"/>
        </w:rPr>
        <w:t>4.07%</w:t>
      </w:r>
      <w:r>
        <w:rPr>
          <w:spacing w:val="-3"/>
        </w:rPr>
        <w:t>；公司实现净利润（归属于上市公司股东的净利润）</w:t>
      </w:r>
      <w:r>
        <w:rPr>
          <w:rFonts w:ascii="宋体" w:hAnsi="宋体" w:cs="宋体" w:eastAsia="宋体" w:hint="default"/>
          <w:spacing w:val="-3"/>
        </w:rPr>
        <w:t>105,849</w:t>
      </w:r>
      <w:r>
        <w:rPr>
          <w:rFonts w:ascii="宋体" w:hAnsi="宋体" w:cs="宋体" w:eastAsia="宋体" w:hint="default"/>
          <w:spacing w:val="-89"/>
        </w:rPr>
        <w:t> </w:t>
      </w:r>
      <w:r>
        <w:rPr>
          <w:rFonts w:ascii="宋体" w:hAnsi="宋体" w:cs="宋体" w:eastAsia="宋体" w:hint="default"/>
          <w:spacing w:val="-89"/>
        </w:rPr>
      </w:r>
      <w:r>
        <w:rPr>
          <w:spacing w:val="-17"/>
          <w:w w:val="100"/>
        </w:rPr>
        <w:t>万元，同比下降</w:t>
      </w:r>
      <w:r>
        <w:rPr>
          <w:spacing w:val="-56"/>
          <w:w w:val="100"/>
        </w:rPr>
        <w:t> </w:t>
      </w:r>
      <w:r>
        <w:rPr>
          <w:rFonts w:ascii="宋体" w:hAnsi="宋体" w:cs="宋体" w:eastAsia="宋体" w:hint="default"/>
          <w:spacing w:val="-11"/>
          <w:w w:val="100"/>
        </w:rPr>
        <w:t>42.81%</w:t>
      </w:r>
      <w:r>
        <w:rPr>
          <w:spacing w:val="-11"/>
          <w:w w:val="100"/>
        </w:rPr>
        <w:t>；每股收益</w:t>
      </w:r>
      <w:r>
        <w:rPr>
          <w:spacing w:val="-56"/>
          <w:w w:val="100"/>
        </w:rPr>
        <w:t> </w:t>
      </w:r>
      <w:r>
        <w:rPr>
          <w:rFonts w:ascii="宋体" w:hAnsi="宋体" w:cs="宋体" w:eastAsia="宋体" w:hint="default"/>
          <w:spacing w:val="-1"/>
          <w:w w:val="100"/>
        </w:rPr>
        <w:t>0.86</w:t>
      </w:r>
      <w:r>
        <w:rPr>
          <w:rFonts w:ascii="宋体" w:hAnsi="宋体" w:cs="宋体" w:eastAsia="宋体" w:hint="default"/>
          <w:spacing w:val="-58"/>
          <w:w w:val="100"/>
        </w:rPr>
        <w:t> </w:t>
      </w:r>
      <w:r>
        <w:rPr>
          <w:spacing w:val="-19"/>
          <w:w w:val="100"/>
        </w:rPr>
        <w:t>元，同比下降</w:t>
      </w:r>
      <w:r>
        <w:rPr>
          <w:spacing w:val="-58"/>
          <w:w w:val="100"/>
        </w:rPr>
        <w:t> </w:t>
      </w:r>
      <w:r>
        <w:rPr>
          <w:rFonts w:ascii="宋体" w:hAnsi="宋体" w:cs="宋体" w:eastAsia="宋体" w:hint="default"/>
          <w:spacing w:val="-7"/>
          <w:w w:val="100"/>
        </w:rPr>
        <w:t>43.05%</w:t>
      </w:r>
      <w:r>
        <w:rPr>
          <w:spacing w:val="-7"/>
          <w:w w:val="100"/>
        </w:rPr>
        <w:t>；扣除非经常性损益后的净利润</w:t>
      </w:r>
      <w:r>
        <w:rPr>
          <w:spacing w:val="-56"/>
          <w:w w:val="100"/>
        </w:rPr>
        <w:t> </w:t>
      </w:r>
      <w:r>
        <w:rPr>
          <w:rFonts w:ascii="宋体" w:hAnsi="宋体" w:cs="宋体" w:eastAsia="宋体" w:hint="default"/>
          <w:spacing w:val="-1"/>
          <w:w w:val="100"/>
        </w:rPr>
        <w:t>23,648</w:t>
      </w:r>
      <w:r>
        <w:rPr>
          <w:rFonts w:ascii="宋体" w:hAnsi="宋体" w:cs="宋体" w:eastAsia="宋体" w:hint="default"/>
          <w:spacing w:val="-104"/>
          <w:w w:val="100"/>
        </w:rPr>
        <w:t> </w:t>
      </w:r>
      <w:r>
        <w:rPr>
          <w:rFonts w:ascii="宋体" w:hAnsi="宋体" w:cs="宋体" w:eastAsia="宋体" w:hint="default"/>
          <w:spacing w:val="-104"/>
          <w:w w:val="100"/>
        </w:rPr>
      </w:r>
      <w:r>
        <w:rPr/>
        <w:t>万元，同比增长</w:t>
      </w:r>
      <w:r>
        <w:rPr>
          <w:spacing w:val="5"/>
        </w:rPr>
        <w:t> </w:t>
      </w:r>
      <w:r>
        <w:rPr>
          <w:rFonts w:ascii="宋体" w:hAnsi="宋体" w:cs="宋体" w:eastAsia="宋体" w:hint="default"/>
        </w:rPr>
        <w:t>4.61%</w:t>
      </w:r>
      <w:r>
        <w:rPr/>
        <w:t>。如果将报告期内和去年同期同时扣除东软医疗、熙康、东软望海退出合</w:t>
      </w:r>
      <w:r>
        <w:rPr>
          <w:w w:val="100"/>
        </w:rPr>
        <w:t> </w:t>
      </w:r>
      <w:r>
        <w:rPr>
          <w:spacing w:val="-1"/>
        </w:rPr>
        <w:t>并财务报表范围确认的投资收益对公司净利润的影响后，同口径下，公司归属于上市公司股东的</w:t>
      </w:r>
      <w:r>
        <w:rPr>
          <w:spacing w:val="-55"/>
        </w:rPr>
        <w:t> </w:t>
      </w:r>
      <w:r>
        <w:rPr>
          <w:spacing w:val="-55"/>
        </w:rPr>
      </w:r>
      <w:r>
        <w:rPr/>
        <w:t>净利润同比增长</w:t>
      </w:r>
      <w:r>
        <w:rPr>
          <w:spacing w:val="-54"/>
        </w:rPr>
        <w:t> </w:t>
      </w:r>
      <w:r>
        <w:rPr>
          <w:rFonts w:ascii="宋体" w:hAnsi="宋体" w:cs="宋体" w:eastAsia="宋体" w:hint="default"/>
        </w:rPr>
        <w:t>11.93%</w:t>
      </w:r>
      <w:r>
        <w:rPr/>
        <w:t>。</w:t>
      </w:r>
    </w:p>
    <w:p>
      <w:pPr>
        <w:pStyle w:val="BodyText"/>
        <w:spacing w:line="237" w:lineRule="auto"/>
        <w:ind w:left="118" w:right="307" w:firstLine="419"/>
        <w:jc w:val="both"/>
      </w:pPr>
      <w:r>
        <w:rPr>
          <w:spacing w:val="-2"/>
        </w:rPr>
        <w:t>报告期内，公司各业务线的整体管理水平、创新与竞争能力、品牌美誉度与影响力不断获得</w:t>
      </w:r>
      <w:r>
        <w:rPr>
          <w:w w:val="100"/>
        </w:rPr>
        <w:t> </w:t>
      </w:r>
      <w:r>
        <w:rPr>
          <w:spacing w:val="-1"/>
        </w:rPr>
        <w:t>认可。公司参与建设工信部批准的国家动力电池创新中心，并作为依托单位参与建设车载智能终</w:t>
      </w:r>
      <w:r>
        <w:rPr>
          <w:spacing w:val="-55"/>
        </w:rPr>
        <w:t> </w:t>
      </w:r>
      <w:r>
        <w:rPr>
          <w:spacing w:val="-55"/>
        </w:rPr>
      </w:r>
      <w:r>
        <w:rPr>
          <w:spacing w:val="-3"/>
        </w:rPr>
        <w:t>端国家地方联合工程研究中心。东软业务基础平台</w:t>
      </w:r>
      <w:r>
        <w:rPr>
          <w:spacing w:val="-28"/>
        </w:rPr>
        <w:t> </w:t>
      </w:r>
      <w:r>
        <w:rPr>
          <w:rFonts w:ascii="宋体" w:hAnsi="宋体" w:cs="宋体" w:eastAsia="宋体" w:hint="default"/>
          <w:spacing w:val="-4"/>
        </w:rPr>
        <w:t>UniEAP</w:t>
      </w:r>
      <w:r>
        <w:rPr>
          <w:spacing w:val="-4"/>
        </w:rPr>
        <w:t>、云应用平台</w:t>
      </w:r>
      <w:r>
        <w:rPr>
          <w:spacing w:val="-25"/>
        </w:rPr>
        <w:t> </w:t>
      </w:r>
      <w:r>
        <w:rPr>
          <w:rFonts w:ascii="宋体" w:hAnsi="宋体" w:cs="宋体" w:eastAsia="宋体" w:hint="default"/>
          <w:spacing w:val="-4"/>
        </w:rPr>
        <w:t>SaCa</w:t>
      </w:r>
      <w:r>
        <w:rPr>
          <w:spacing w:val="-4"/>
        </w:rPr>
        <w:t>、大数据高级分析应</w:t>
      </w:r>
      <w:r>
        <w:rPr>
          <w:spacing w:val="-94"/>
        </w:rPr>
        <w:t> </w:t>
      </w:r>
      <w:r>
        <w:rPr>
          <w:spacing w:val="-94"/>
        </w:rPr>
      </w:r>
      <w:r>
        <w:rPr/>
        <w:t>用平台</w:t>
      </w:r>
      <w:r>
        <w:rPr>
          <w:spacing w:val="-33"/>
        </w:rPr>
        <w:t> </w:t>
      </w:r>
      <w:r>
        <w:rPr>
          <w:rFonts w:ascii="宋体" w:hAnsi="宋体" w:cs="宋体" w:eastAsia="宋体" w:hint="default"/>
        </w:rPr>
        <w:t>RealSight</w:t>
      </w:r>
      <w:r>
        <w:rPr>
          <w:rFonts w:ascii="宋体" w:hAnsi="宋体" w:cs="宋体" w:eastAsia="宋体" w:hint="default"/>
          <w:spacing w:val="-33"/>
        </w:rPr>
        <w:t> </w:t>
      </w:r>
      <w:r>
        <w:rPr/>
        <w:t>三大平台产品，以及东软大数据分析平台业务、</w:t>
      </w:r>
      <w:r>
        <w:rPr>
          <w:rFonts w:ascii="宋体" w:hAnsi="宋体" w:cs="宋体" w:eastAsia="宋体" w:hint="default"/>
        </w:rPr>
        <w:t>HCM</w:t>
      </w:r>
      <w:r>
        <w:rPr>
          <w:rFonts w:ascii="宋体" w:hAnsi="宋体" w:cs="宋体" w:eastAsia="宋体" w:hint="default"/>
          <w:spacing w:val="-35"/>
        </w:rPr>
        <w:t> </w:t>
      </w:r>
      <w:r>
        <w:rPr/>
        <w:t>产品、智能制造业务分别</w:t>
      </w:r>
      <w:r>
        <w:rPr>
          <w:w w:val="100"/>
        </w:rPr>
        <w:t> </w:t>
      </w:r>
      <w:r>
        <w:rPr/>
        <w:t>进入</w:t>
      </w:r>
      <w:r>
        <w:rPr>
          <w:spacing w:val="-50"/>
        </w:rPr>
        <w:t> </w:t>
      </w:r>
      <w:r>
        <w:rPr>
          <w:rFonts w:ascii="宋体" w:hAnsi="宋体" w:cs="宋体" w:eastAsia="宋体" w:hint="default"/>
        </w:rPr>
        <w:t>Gartner</w:t>
      </w:r>
      <w:r>
        <w:rPr>
          <w:rFonts w:ascii="宋体" w:hAnsi="宋体" w:cs="宋体" w:eastAsia="宋体" w:hint="default"/>
          <w:spacing w:val="-53"/>
        </w:rPr>
        <w:t> </w:t>
      </w:r>
      <w:r>
        <w:rPr/>
        <w:t>报告。东软“辽阳大健康模式”荣获</w:t>
      </w:r>
      <w:r>
        <w:rPr>
          <w:spacing w:val="-52"/>
        </w:rPr>
        <w:t> </w:t>
      </w:r>
      <w:r>
        <w:rPr>
          <w:rFonts w:ascii="宋体" w:hAnsi="宋体" w:cs="宋体" w:eastAsia="宋体" w:hint="default"/>
        </w:rPr>
        <w:t>IDC</w:t>
      </w:r>
      <w:r>
        <w:rPr>
          <w:rFonts w:ascii="宋体" w:hAnsi="宋体" w:cs="宋体" w:eastAsia="宋体" w:hint="default"/>
          <w:spacing w:val="-50"/>
        </w:rPr>
        <w:t> </w:t>
      </w:r>
      <w:r>
        <w:rPr/>
        <w:t>第二届“中国数字化转型领军用户奖”。</w:t>
      </w:r>
      <w:r>
        <w:rPr>
          <w:w w:val="100"/>
        </w:rPr>
        <w:t> </w:t>
      </w:r>
      <w:r>
        <w:rPr>
          <w:spacing w:val="-1"/>
        </w:rPr>
        <w:t>在第十三届中国上市公司董事会“金圆桌奖”的评选中，公司再次荣获“最佳董事会奖”。公司</w:t>
      </w:r>
      <w:r>
        <w:rPr>
          <w:spacing w:val="-56"/>
        </w:rPr>
        <w:t> </w:t>
      </w:r>
      <w:r>
        <w:rPr>
          <w:spacing w:val="-56"/>
        </w:rPr>
      </w:r>
      <w:r>
        <w:rPr>
          <w:spacing w:val="-2"/>
        </w:rPr>
        <w:t>主商标“</w:t>
      </w:r>
      <w:r>
        <w:rPr>
          <w:spacing w:val="-4"/>
        </w:rPr>
        <w:t> </w:t>
      </w:r>
      <w:r>
        <w:rPr>
          <w:spacing w:val="-4"/>
          <w:w w:val="100"/>
        </w:rPr>
        <w:drawing>
          <wp:inline distT="0" distB="0" distL="0" distR="0">
            <wp:extent cx="942975" cy="1333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942975" cy="133350"/>
                    </a:xfrm>
                    <a:prstGeom prst="rect">
                      <a:avLst/>
                    </a:prstGeom>
                  </pic:spPr>
                </pic:pic>
              </a:graphicData>
            </a:graphic>
          </wp:inline>
        </w:drawing>
      </w:r>
      <w:r>
        <w:rPr>
          <w:spacing w:val="-4"/>
          <w:w w:val="100"/>
        </w:rPr>
      </w:r>
      <w:r>
        <w:rPr/>
        <w:t>”在 </w:t>
      </w:r>
      <w:r>
        <w:rPr>
          <w:rFonts w:ascii="宋体" w:hAnsi="宋体" w:cs="宋体" w:eastAsia="宋体" w:hint="default"/>
        </w:rPr>
        <w:t>42</w:t>
      </w:r>
      <w:r>
        <w:rPr>
          <w:rFonts w:ascii="宋体" w:hAnsi="宋体" w:cs="宋体" w:eastAsia="宋体" w:hint="default"/>
          <w:spacing w:val="-62"/>
        </w:rPr>
        <w:t> </w:t>
      </w:r>
      <w:r>
        <w:rPr>
          <w:spacing w:val="-2"/>
        </w:rPr>
        <w:t>类计算机编程、计算机软件设计服务上，被国家工商总局认定</w:t>
      </w:r>
      <w:r>
        <w:rPr>
          <w:w w:val="100"/>
        </w:rPr>
        <w:t> </w:t>
      </w:r>
      <w:r>
        <w:rPr>
          <w:spacing w:val="-7"/>
        </w:rPr>
        <w:t>为“中国驰名商标”，再次获得国家对公司综合实力、品牌形象和影响力、知名度的认可和肯定。</w:t>
      </w:r>
    </w:p>
    <w:p>
      <w:pPr>
        <w:spacing w:line="240" w:lineRule="auto" w:before="9"/>
        <w:rPr>
          <w:rFonts w:ascii="宋体" w:hAnsi="宋体" w:cs="宋体" w:eastAsia="宋体" w:hint="default"/>
          <w:sz w:val="20"/>
          <w:szCs w:val="20"/>
        </w:rPr>
      </w:pPr>
    </w:p>
    <w:p>
      <w:pPr>
        <w:pStyle w:val="Heading4"/>
        <w:spacing w:line="240" w:lineRule="auto"/>
        <w:ind w:left="540" w:right="5768" w:hanging="224"/>
        <w:jc w:val="left"/>
        <w:rPr>
          <w:b w:val="0"/>
          <w:bCs w:val="0"/>
        </w:rPr>
      </w:pPr>
      <w:r>
        <w:rPr/>
        <w:t>（三）报告期内公司具体经营情况</w:t>
      </w:r>
      <w:r>
        <w:rPr>
          <w:w w:val="100"/>
        </w:rPr>
        <w:t> </w:t>
      </w:r>
      <w:r>
        <w:rPr>
          <w:rFonts w:ascii="宋体" w:hAnsi="宋体" w:cs="宋体" w:eastAsia="宋体" w:hint="default"/>
        </w:rPr>
        <w:t>1</w:t>
      </w:r>
      <w:r>
        <w:rPr/>
        <w:t>、医疗健康及社会保障</w:t>
      </w:r>
      <w:r>
        <w:rPr>
          <w:b w:val="0"/>
          <w:bCs w:val="0"/>
        </w:rPr>
      </w:r>
    </w:p>
    <w:p>
      <w:pPr>
        <w:pStyle w:val="BodyText"/>
        <w:spacing w:line="237" w:lineRule="auto"/>
        <w:ind w:left="118" w:right="309" w:firstLine="419"/>
        <w:jc w:val="both"/>
      </w:pPr>
      <w:r>
        <w:rPr>
          <w:spacing w:val="-2"/>
        </w:rPr>
        <w:t>东软业务覆盖卫健委、医院、医保、商保、民政、扶贫等行业领域，围绕医疗健康与社保多</w:t>
      </w:r>
      <w:r>
        <w:rPr>
          <w:w w:val="100"/>
        </w:rPr>
        <w:t> </w:t>
      </w:r>
      <w:r>
        <w:rPr>
          <w:spacing w:val="-1"/>
        </w:rPr>
        <w:t>行业解决方案的互联，致力于在新医改背景下的充分融合，打造大健康产业的全面、系统化的生</w:t>
      </w:r>
      <w:r>
        <w:rPr>
          <w:spacing w:val="-55"/>
        </w:rPr>
        <w:t> </w:t>
      </w:r>
      <w:r>
        <w:rPr>
          <w:spacing w:val="-55"/>
        </w:rPr>
      </w:r>
      <w:r>
        <w:rPr>
          <w:spacing w:val="-4"/>
        </w:rPr>
        <w:t>态系统，通过促进智能互联网</w:t>
      </w:r>
      <w:r>
        <w:rPr>
          <w:rFonts w:ascii="宋体" w:hAnsi="宋体" w:cs="宋体" w:eastAsia="宋体" w:hint="default"/>
          <w:spacing w:val="-4"/>
        </w:rPr>
        <w:t>+</w:t>
      </w:r>
      <w:r>
        <w:rPr>
          <w:spacing w:val="-4"/>
        </w:rPr>
        <w:t>的融合，助力医院信息化的快速发展，推进中国医疗体系改革。报</w:t>
      </w:r>
      <w:r>
        <w:rPr>
          <w:spacing w:val="-36"/>
        </w:rPr>
        <w:t> </w:t>
      </w:r>
      <w:r>
        <w:rPr>
          <w:spacing w:val="-36"/>
        </w:rPr>
      </w:r>
      <w:r>
        <w:rPr>
          <w:spacing w:val="-6"/>
        </w:rPr>
        <w:t>告期内，公司成立“东软智能医疗研究院”，通过</w:t>
      </w:r>
      <w:r>
        <w:rPr>
          <w:spacing w:val="-39"/>
        </w:rPr>
        <w:t> </w:t>
      </w:r>
      <w:r>
        <w:rPr>
          <w:rFonts w:ascii="宋体" w:hAnsi="宋体" w:cs="宋体" w:eastAsia="宋体" w:hint="default"/>
        </w:rPr>
        <w:t>IT</w:t>
      </w:r>
      <w:r>
        <w:rPr>
          <w:rFonts w:ascii="宋体" w:hAnsi="宋体" w:cs="宋体" w:eastAsia="宋体" w:hint="default"/>
          <w:spacing w:val="-40"/>
        </w:rPr>
        <w:t> </w:t>
      </w:r>
      <w:r>
        <w:rPr/>
        <w:t>技术与医疗行业的融合构建可持续的大健康</w:t>
      </w:r>
      <w:r>
        <w:rPr>
          <w:spacing w:val="-101"/>
        </w:rPr>
        <w:t> </w:t>
      </w:r>
      <w:r>
        <w:rPr>
          <w:spacing w:val="-101"/>
        </w:rPr>
      </w:r>
      <w:r>
        <w:rPr/>
        <w:t>产业新生态。</w:t>
      </w:r>
    </w:p>
    <w:p>
      <w:pPr>
        <w:pStyle w:val="BodyText"/>
        <w:spacing w:line="237" w:lineRule="auto" w:before="1"/>
        <w:ind w:left="118" w:right="307" w:firstLine="419"/>
        <w:jc w:val="both"/>
      </w:pPr>
      <w:r>
        <w:rPr>
          <w:spacing w:val="-7"/>
          <w:w w:val="100"/>
        </w:rPr>
        <w:t>在区域卫生和医院信息化领域，公司持续保持行业领导者地位，核心业务客户获取突飞猛进。</w:t>
      </w:r>
      <w:r>
        <w:rPr>
          <w:w w:val="100"/>
        </w:rPr>
        <w:t> </w:t>
      </w:r>
      <w:r>
        <w:rPr/>
        <w:t>根据</w:t>
      </w:r>
      <w:r>
        <w:rPr>
          <w:spacing w:val="-50"/>
        </w:rPr>
        <w:t> </w:t>
      </w:r>
      <w:r>
        <w:rPr>
          <w:rFonts w:ascii="宋体" w:hAnsi="宋体" w:cs="宋体" w:eastAsia="宋体" w:hint="default"/>
        </w:rPr>
        <w:t>IDC</w:t>
      </w:r>
      <w:r>
        <w:rPr>
          <w:rFonts w:ascii="宋体" w:hAnsi="宋体" w:cs="宋体" w:eastAsia="宋体" w:hint="default"/>
          <w:spacing w:val="-53"/>
        </w:rPr>
        <w:t> </w:t>
      </w:r>
      <w:r>
        <w:rPr/>
        <w:t>的行业分析报告，公司连续</w:t>
      </w:r>
      <w:r>
        <w:rPr>
          <w:spacing w:val="-50"/>
        </w:rPr>
        <w:t> </w:t>
      </w:r>
      <w:r>
        <w:rPr>
          <w:rFonts w:ascii="宋体" w:hAnsi="宋体" w:cs="宋体" w:eastAsia="宋体" w:hint="default"/>
        </w:rPr>
        <w:t>7</w:t>
      </w:r>
      <w:r>
        <w:rPr>
          <w:rFonts w:ascii="宋体" w:hAnsi="宋体" w:cs="宋体" w:eastAsia="宋体" w:hint="default"/>
          <w:spacing w:val="-53"/>
        </w:rPr>
        <w:t> </w:t>
      </w:r>
      <w:r>
        <w:rPr/>
        <w:t>年保持市场占有率第一，拥有行业最大客户群。截至报告</w:t>
      </w:r>
      <w:r>
        <w:rPr>
          <w:w w:val="100"/>
        </w:rPr>
        <w:t> </w:t>
      </w:r>
      <w:r>
        <w:rPr>
          <w:spacing w:val="-7"/>
        </w:rPr>
        <w:t>期末，公司累计服务医院客户</w:t>
      </w:r>
      <w:r>
        <w:rPr>
          <w:spacing w:val="-35"/>
        </w:rPr>
        <w:t> </w:t>
      </w:r>
      <w:r>
        <w:rPr>
          <w:rFonts w:ascii="宋体" w:hAnsi="宋体" w:cs="宋体" w:eastAsia="宋体" w:hint="default"/>
        </w:rPr>
        <w:t>2,000</w:t>
      </w:r>
      <w:r>
        <w:rPr>
          <w:rFonts w:ascii="宋体" w:hAnsi="宋体" w:cs="宋体" w:eastAsia="宋体" w:hint="default"/>
          <w:spacing w:val="-35"/>
        </w:rPr>
        <w:t> </w:t>
      </w:r>
      <w:r>
        <w:rPr>
          <w:spacing w:val="-8"/>
        </w:rPr>
        <w:t>余家，覆盖全国三级医院</w:t>
      </w:r>
      <w:r>
        <w:rPr>
          <w:spacing w:val="-35"/>
        </w:rPr>
        <w:t> </w:t>
      </w:r>
      <w:r>
        <w:rPr>
          <w:rFonts w:ascii="宋体" w:hAnsi="宋体" w:cs="宋体" w:eastAsia="宋体" w:hint="default"/>
        </w:rPr>
        <w:t>400</w:t>
      </w:r>
      <w:r>
        <w:rPr>
          <w:rFonts w:ascii="宋体" w:hAnsi="宋体" w:cs="宋体" w:eastAsia="宋体" w:hint="default"/>
          <w:spacing w:val="-38"/>
        </w:rPr>
        <w:t> </w:t>
      </w:r>
      <w:r>
        <w:rPr>
          <w:spacing w:val="-7"/>
        </w:rPr>
        <w:t>余家，区域卫生业务覆盖国家、</w:t>
      </w:r>
    </w:p>
    <w:p>
      <w:pPr>
        <w:pStyle w:val="BodyText"/>
        <w:spacing w:line="237" w:lineRule="auto"/>
        <w:ind w:left="118" w:right="307"/>
        <w:jc w:val="both"/>
      </w:pPr>
      <w:r>
        <w:rPr>
          <w:spacing w:val="-12"/>
        </w:rPr>
        <w:t>省、市、县四级平台，服务基层医疗机构</w:t>
      </w:r>
      <w:r>
        <w:rPr>
          <w:spacing w:val="-39"/>
        </w:rPr>
        <w:t> </w:t>
      </w:r>
      <w:r>
        <w:rPr>
          <w:rFonts w:ascii="宋体" w:hAnsi="宋体" w:cs="宋体" w:eastAsia="宋体" w:hint="default"/>
        </w:rPr>
        <w:t>23,000</w:t>
      </w:r>
      <w:r>
        <w:rPr>
          <w:rFonts w:ascii="宋体" w:hAnsi="宋体" w:cs="宋体" w:eastAsia="宋体" w:hint="default"/>
          <w:spacing w:val="-39"/>
        </w:rPr>
        <w:t> </w:t>
      </w:r>
      <w:r>
        <w:rPr>
          <w:spacing w:val="-9"/>
        </w:rPr>
        <w:t>余家，覆盖人口达</w:t>
      </w:r>
      <w:r>
        <w:rPr>
          <w:spacing w:val="-39"/>
        </w:rPr>
        <w:t> </w:t>
      </w:r>
      <w:r>
        <w:rPr>
          <w:rFonts w:ascii="宋体" w:hAnsi="宋体" w:cs="宋体" w:eastAsia="宋体" w:hint="default"/>
        </w:rPr>
        <w:t>3.9</w:t>
      </w:r>
      <w:r>
        <w:rPr>
          <w:rFonts w:ascii="宋体" w:hAnsi="宋体" w:cs="宋体" w:eastAsia="宋体" w:hint="default"/>
          <w:spacing w:val="-42"/>
        </w:rPr>
        <w:t> </w:t>
      </w:r>
      <w:r>
        <w:rPr>
          <w:spacing w:val="-7"/>
        </w:rPr>
        <w:t>亿人。在医院信息化领域，</w:t>
      </w:r>
      <w:r>
        <w:rPr>
          <w:spacing w:val="-99"/>
        </w:rPr>
        <w:t> </w:t>
      </w:r>
      <w:r>
        <w:rPr>
          <w:spacing w:val="-99"/>
        </w:rPr>
      </w:r>
      <w:r>
        <w:rPr>
          <w:spacing w:val="-2"/>
          <w:w w:val="100"/>
        </w:rPr>
        <w:t>公司自主知识产权的医院信息平台</w:t>
      </w:r>
      <w:r>
        <w:rPr>
          <w:spacing w:val="-50"/>
          <w:w w:val="100"/>
        </w:rPr>
        <w:t> </w:t>
      </w:r>
      <w:r>
        <w:rPr>
          <w:rFonts w:ascii="宋体" w:hAnsi="宋体" w:cs="宋体" w:eastAsia="宋体" w:hint="default"/>
          <w:spacing w:val="-1"/>
          <w:w w:val="100"/>
        </w:rPr>
        <w:t>V3.0</w:t>
      </w:r>
      <w:r>
        <w:rPr>
          <w:rFonts w:ascii="宋体" w:hAnsi="宋体" w:cs="宋体" w:eastAsia="宋体" w:hint="default"/>
          <w:spacing w:val="-52"/>
          <w:w w:val="100"/>
        </w:rPr>
        <w:t> </w:t>
      </w:r>
      <w:r>
        <w:rPr>
          <w:w w:val="100"/>
        </w:rPr>
        <w:t>通过</w:t>
      </w:r>
      <w:r>
        <w:rPr>
          <w:spacing w:val="-52"/>
          <w:w w:val="100"/>
        </w:rPr>
        <w:t> </w:t>
      </w:r>
      <w:r>
        <w:rPr>
          <w:rFonts w:ascii="宋体" w:hAnsi="宋体" w:cs="宋体" w:eastAsia="宋体" w:hint="default"/>
          <w:w w:val="100"/>
        </w:rPr>
        <w:t>IHE</w:t>
      </w:r>
      <w:r>
        <w:rPr>
          <w:rFonts w:ascii="宋体" w:hAnsi="宋体" w:cs="宋体" w:eastAsia="宋体" w:hint="default"/>
          <w:spacing w:val="-52"/>
          <w:w w:val="100"/>
        </w:rPr>
        <w:t> </w:t>
      </w:r>
      <w:r>
        <w:rPr>
          <w:spacing w:val="-6"/>
          <w:w w:val="100"/>
        </w:rPr>
        <w:t>中国测试认证，产品竞争力和标准支持程度获得</w:t>
      </w:r>
      <w:r>
        <w:rPr>
          <w:w w:val="100"/>
        </w:rPr>
        <w:t> </w:t>
      </w:r>
      <w:r>
        <w:rPr>
          <w:spacing w:val="-1"/>
        </w:rPr>
        <w:t>认可，东软核心业务系统的市场占有率和美誉度持续提升，中标中山大学肿瘤防治中心、南京市</w:t>
      </w:r>
      <w:r>
        <w:rPr>
          <w:spacing w:val="-55"/>
        </w:rPr>
        <w:t> </w:t>
      </w:r>
      <w:r>
        <w:rPr>
          <w:spacing w:val="-55"/>
        </w:rPr>
      </w:r>
      <w:r>
        <w:rPr>
          <w:spacing w:val="-1"/>
        </w:rPr>
        <w:t>儿童医院等客户业务，与澳门镜湖医院深化合作成立“智慧医院联合研发基地”。报告期内，公</w:t>
      </w:r>
      <w:r>
        <w:rPr>
          <w:spacing w:val="-55"/>
        </w:rPr>
        <w:t> </w:t>
      </w:r>
      <w:r>
        <w:rPr>
          <w:spacing w:val="-55"/>
        </w:rPr>
      </w:r>
      <w:r>
        <w:rPr/>
        <w:t>司助力河北省人民医院通过 </w:t>
      </w:r>
      <w:r>
        <w:rPr>
          <w:rFonts w:ascii="宋体" w:hAnsi="宋体" w:cs="宋体" w:eastAsia="宋体" w:hint="default"/>
        </w:rPr>
        <w:t>HIMSS EMRAM</w:t>
      </w:r>
      <w:r>
        <w:rPr/>
        <w:t>（住院）六级评审，宁波市鄞州区第二医院通过</w:t>
      </w:r>
      <w:r>
        <w:rPr>
          <w:spacing w:val="3"/>
        </w:rPr>
        <w:t> </w:t>
      </w:r>
      <w:r>
        <w:rPr>
          <w:rFonts w:ascii="宋体" w:hAnsi="宋体" w:cs="宋体" w:eastAsia="宋体" w:hint="default"/>
        </w:rPr>
        <w:t>HIMSS</w:t>
      </w:r>
      <w:r>
        <w:rPr>
          <w:rFonts w:ascii="宋体" w:hAnsi="宋体" w:cs="宋体" w:eastAsia="宋体" w:hint="default"/>
          <w:w w:val="100"/>
        </w:rPr>
        <w:t> </w:t>
      </w:r>
      <w:r>
        <w:rPr>
          <w:rFonts w:ascii="宋体" w:hAnsi="宋体" w:cs="宋体" w:eastAsia="宋体" w:hint="default"/>
          <w:spacing w:val="-4"/>
        </w:rPr>
        <w:t>EMRAM</w:t>
      </w:r>
      <w:r>
        <w:rPr>
          <w:spacing w:val="-4"/>
        </w:rPr>
        <w:t>（住院）七级评审。在区域卫生领域，公司打造优质客户生态圈及分级诊疗样板示范，承接</w:t>
      </w:r>
      <w:r>
        <w:rPr>
          <w:spacing w:val="-26"/>
        </w:rPr>
        <w:t> </w:t>
      </w:r>
      <w:r>
        <w:rPr>
          <w:spacing w:val="-26"/>
        </w:rPr>
      </w:r>
      <w:r>
        <w:rPr>
          <w:spacing w:val="-1"/>
        </w:rPr>
        <w:t>湖南省卫健委、江苏省卫健委、普洱市卫健委等客户业务。报告期内，公司推出线上线下互动的</w:t>
      </w:r>
      <w:r>
        <w:rPr>
          <w:spacing w:val="-55"/>
        </w:rPr>
        <w:t> </w:t>
      </w:r>
      <w:r>
        <w:rPr>
          <w:spacing w:val="-55"/>
        </w:rPr>
      </w:r>
      <w:r>
        <w:rPr>
          <w:spacing w:val="-1"/>
        </w:rPr>
        <w:t>整合医疗</w:t>
      </w:r>
      <w:r>
        <w:rPr>
          <w:rFonts w:ascii="宋体" w:hAnsi="宋体" w:cs="宋体" w:eastAsia="宋体" w:hint="default"/>
          <w:spacing w:val="-1"/>
        </w:rPr>
        <w:t>/</w:t>
      </w:r>
      <w:r>
        <w:rPr>
          <w:spacing w:val="-1"/>
        </w:rPr>
        <w:t>医联体</w:t>
      </w:r>
      <w:r>
        <w:rPr>
          <w:rFonts w:ascii="宋体" w:hAnsi="宋体" w:cs="宋体" w:eastAsia="宋体" w:hint="default"/>
          <w:spacing w:val="-1"/>
        </w:rPr>
        <w:t>/</w:t>
      </w:r>
      <w:r>
        <w:rPr>
          <w:spacing w:val="-1"/>
        </w:rPr>
        <w:t>医共体的“一站式”分级诊疗解决方案，在大同市、临沧市临翔区应用后成效</w:t>
      </w:r>
      <w:r>
        <w:rPr>
          <w:spacing w:val="-56"/>
        </w:rPr>
        <w:t> </w:t>
      </w:r>
      <w:r>
        <w:rPr>
          <w:spacing w:val="-56"/>
        </w:rPr>
      </w:r>
      <w:r>
        <w:rPr>
          <w:spacing w:val="-1"/>
        </w:rPr>
        <w:t>显著。在医疗互联网领域，公司承接“辽宁省医学影像云”项目，与联众医疗、中国电信深度联</w:t>
      </w:r>
      <w:r>
        <w:rPr>
          <w:spacing w:val="-55"/>
        </w:rPr>
        <w:t> </w:t>
      </w:r>
      <w:r>
        <w:rPr>
          <w:spacing w:val="-55"/>
        </w:rPr>
      </w:r>
      <w:r>
        <w:rPr>
          <w:spacing w:val="-4"/>
        </w:rPr>
        <w:t>合，以“互联网</w:t>
      </w:r>
      <w:r>
        <w:rPr>
          <w:rFonts w:ascii="宋体" w:hAnsi="宋体" w:cs="宋体" w:eastAsia="宋体" w:hint="default"/>
          <w:spacing w:val="-4"/>
        </w:rPr>
        <w:t>+</w:t>
      </w:r>
      <w:r>
        <w:rPr>
          <w:spacing w:val="-4"/>
        </w:rPr>
        <w:t>健康医疗”模式推动省市县医疗一体化建设。公司积极参与国家级“精准医学大</w:t>
      </w:r>
      <w:r>
        <w:rPr>
          <w:spacing w:val="-33"/>
        </w:rPr>
        <w:t> </w:t>
      </w:r>
      <w:r>
        <w:rPr>
          <w:spacing w:val="-33"/>
        </w:rPr>
      </w:r>
      <w:r>
        <w:rPr>
          <w:spacing w:val="-1"/>
        </w:rPr>
        <w:t>数据平台”建设，并承接国家科技部恶性肿瘤大数据分析应用系统项目。“大象就医”商保理赔</w:t>
      </w:r>
      <w:r>
        <w:rPr>
          <w:spacing w:val="-54"/>
        </w:rPr>
        <w:t> </w:t>
      </w:r>
      <w:r>
        <w:rPr>
          <w:spacing w:val="-54"/>
        </w:rPr>
      </w:r>
      <w:r>
        <w:rPr/>
        <w:t>快通道产品顺利上线。</w:t>
      </w:r>
    </w:p>
    <w:p>
      <w:pPr>
        <w:pStyle w:val="BodyText"/>
        <w:spacing w:line="237" w:lineRule="auto" w:before="1"/>
        <w:ind w:left="118" w:right="307" w:firstLine="419"/>
        <w:jc w:val="both"/>
      </w:pPr>
      <w:r>
        <w:rPr>
          <w:spacing w:val="-4"/>
        </w:rPr>
        <w:t>在医院运营及医疗生态价值链管理领域，子公司东软望海保持在医院</w:t>
      </w:r>
      <w:r>
        <w:rPr>
          <w:spacing w:val="-8"/>
        </w:rPr>
        <w:t> </w:t>
      </w:r>
      <w:r>
        <w:rPr>
          <w:rFonts w:ascii="宋体" w:hAnsi="宋体" w:cs="宋体" w:eastAsia="宋体" w:hint="default"/>
          <w:spacing w:val="-8"/>
        </w:rPr>
        <w:t>HRP</w:t>
      </w:r>
      <w:r>
        <w:rPr>
          <w:spacing w:val="-8"/>
        </w:rPr>
        <w:t>、医院成本一体化、</w:t>
      </w:r>
      <w:r>
        <w:rPr>
          <w:w w:val="100"/>
        </w:rPr>
        <w:t> </w:t>
      </w:r>
      <w:r>
        <w:rPr/>
        <w:t>医疗卫生资源监管等领域的优势地位，推出全新系列产品</w:t>
      </w:r>
      <w:r>
        <w:rPr>
          <w:spacing w:val="-60"/>
        </w:rPr>
        <w:t> </w:t>
      </w:r>
      <w:r>
        <w:rPr>
          <w:rFonts w:ascii="宋体" w:hAnsi="宋体" w:cs="宋体" w:eastAsia="宋体" w:hint="default"/>
        </w:rPr>
        <w:t>OES</w:t>
      </w:r>
      <w:r>
        <w:rPr/>
        <w:t>（</w:t>
      </w:r>
      <w:r>
        <w:rPr>
          <w:rFonts w:ascii="宋体" w:hAnsi="宋体" w:cs="宋体" w:eastAsia="宋体" w:hint="default"/>
        </w:rPr>
        <w:t>Operation</w:t>
      </w:r>
      <w:r>
        <w:rPr>
          <w:rFonts w:ascii="宋体" w:hAnsi="宋体" w:cs="宋体" w:eastAsia="宋体" w:hint="default"/>
          <w:spacing w:val="-60"/>
        </w:rPr>
        <w:t> </w:t>
      </w:r>
      <w:r>
        <w:rPr>
          <w:rFonts w:ascii="宋体" w:hAnsi="宋体" w:cs="宋体" w:eastAsia="宋体" w:hint="default"/>
        </w:rPr>
        <w:t>Effective</w:t>
      </w:r>
      <w:r>
        <w:rPr>
          <w:rFonts w:ascii="宋体" w:hAnsi="宋体" w:cs="宋体" w:eastAsia="宋体" w:hint="default"/>
          <w:spacing w:val="-60"/>
        </w:rPr>
        <w:t> </w:t>
      </w:r>
      <w:r>
        <w:rPr>
          <w:rFonts w:ascii="宋体" w:hAnsi="宋体" w:cs="宋体" w:eastAsia="宋体" w:hint="default"/>
          <w:spacing w:val="-5"/>
        </w:rPr>
        <w:t>System</w:t>
      </w:r>
      <w:r>
        <w:rPr>
          <w:spacing w:val="-5"/>
        </w:rPr>
        <w:t>），</w:t>
      </w:r>
      <w:r>
        <w:rPr>
          <w:spacing w:val="-15"/>
          <w:w w:val="100"/>
        </w:rPr>
        <w:t> </w:t>
      </w:r>
      <w:r>
        <w:rPr/>
        <w:t>发布供应宝平台</w:t>
      </w:r>
      <w:r>
        <w:rPr>
          <w:spacing w:val="-52"/>
        </w:rPr>
        <w:t> </w:t>
      </w:r>
      <w:r>
        <w:rPr>
          <w:rFonts w:ascii="宋体" w:hAnsi="宋体" w:cs="宋体" w:eastAsia="宋体" w:hint="default"/>
        </w:rPr>
        <w:t>2.0</w:t>
      </w:r>
      <w:r>
        <w:rPr>
          <w:rFonts w:ascii="宋体" w:hAnsi="宋体" w:cs="宋体" w:eastAsia="宋体" w:hint="default"/>
          <w:spacing w:val="-54"/>
        </w:rPr>
        <w:t> </w:t>
      </w:r>
      <w:r>
        <w:rPr/>
        <w:t>版本，并已签约</w:t>
      </w:r>
      <w:r>
        <w:rPr>
          <w:spacing w:val="-51"/>
        </w:rPr>
        <w:t> </w:t>
      </w:r>
      <w:r>
        <w:rPr>
          <w:rFonts w:ascii="宋体" w:hAnsi="宋体" w:cs="宋体" w:eastAsia="宋体" w:hint="default"/>
        </w:rPr>
        <w:t>500</w:t>
      </w:r>
      <w:r>
        <w:rPr>
          <w:rFonts w:ascii="宋体" w:hAnsi="宋体" w:cs="宋体" w:eastAsia="宋体" w:hint="default"/>
          <w:spacing w:val="-54"/>
        </w:rPr>
        <w:t> </w:t>
      </w:r>
      <w:r>
        <w:rPr/>
        <w:t>余家医院、约</w:t>
      </w:r>
      <w:r>
        <w:rPr>
          <w:spacing w:val="-53"/>
        </w:rPr>
        <w:t> </w:t>
      </w:r>
      <w:r>
        <w:rPr>
          <w:rFonts w:ascii="宋体" w:hAnsi="宋体" w:cs="宋体" w:eastAsia="宋体" w:hint="default"/>
        </w:rPr>
        <w:t>10,000</w:t>
      </w:r>
      <w:r>
        <w:rPr>
          <w:rFonts w:ascii="宋体" w:hAnsi="宋体" w:cs="宋体" w:eastAsia="宋体" w:hint="default"/>
          <w:spacing w:val="-54"/>
        </w:rPr>
        <w:t> </w:t>
      </w:r>
      <w:r>
        <w:rPr/>
        <w:t>家供应商。在智能</w:t>
      </w:r>
      <w:r>
        <w:rPr>
          <w:spacing w:val="-53"/>
        </w:rPr>
        <w:t> </w:t>
      </w:r>
      <w:r>
        <w:rPr>
          <w:rFonts w:ascii="宋体" w:hAnsi="宋体" w:cs="宋体" w:eastAsia="宋体" w:hint="default"/>
        </w:rPr>
        <w:t>DRGs</w:t>
      </w:r>
      <w:r>
        <w:rPr>
          <w:rFonts w:ascii="宋体" w:hAnsi="宋体" w:cs="宋体" w:eastAsia="宋体" w:hint="default"/>
          <w:spacing w:val="-51"/>
        </w:rPr>
        <w:t> </w:t>
      </w:r>
      <w:r>
        <w:rPr/>
        <w:t>领域，公</w:t>
      </w:r>
    </w:p>
    <w:p>
      <w:pPr>
        <w:spacing w:after="0" w:line="237" w:lineRule="auto"/>
        <w:jc w:val="both"/>
        <w:sectPr>
          <w:pgSz w:w="11910" w:h="16840"/>
          <w:pgMar w:header="945" w:footer="1248" w:top="1300" w:bottom="1440" w:left="1680" w:right="960"/>
        </w:sectPr>
      </w:pPr>
    </w:p>
    <w:p>
      <w:pPr>
        <w:spacing w:line="240" w:lineRule="auto" w:before="3"/>
        <w:rPr>
          <w:rFonts w:ascii="宋体" w:hAnsi="宋体" w:cs="宋体" w:eastAsia="宋体" w:hint="default"/>
          <w:sz w:val="11"/>
          <w:szCs w:val="11"/>
        </w:rPr>
      </w:pPr>
    </w:p>
    <w:p>
      <w:pPr>
        <w:pStyle w:val="BodyText"/>
        <w:spacing w:line="237" w:lineRule="auto" w:before="38"/>
        <w:ind w:left="118" w:right="207"/>
        <w:jc w:val="both"/>
      </w:pPr>
      <w:r>
        <w:rPr>
          <w:spacing w:val="-1"/>
        </w:rPr>
        <w:t>司创新推出政府和医院解决方案并迅速占领市场，报告期内签约多个省市卫健委客户。公司以数</w:t>
      </w:r>
      <w:r>
        <w:rPr>
          <w:spacing w:val="-55"/>
        </w:rPr>
        <w:t> </w:t>
      </w:r>
      <w:r>
        <w:rPr>
          <w:spacing w:val="-55"/>
        </w:rPr>
      </w:r>
      <w:r>
        <w:rPr/>
        <w:t>据运营为核心进行战略转型，完成供应链管理及金融、智能</w:t>
      </w:r>
      <w:r>
        <w:rPr>
          <w:spacing w:val="-51"/>
        </w:rPr>
        <w:t> </w:t>
      </w:r>
      <w:r>
        <w:rPr>
          <w:rFonts w:ascii="宋体" w:hAnsi="宋体" w:cs="宋体" w:eastAsia="宋体" w:hint="default"/>
        </w:rPr>
        <w:t>DRG</w:t>
      </w:r>
      <w:r>
        <w:rPr>
          <w:rFonts w:ascii="宋体" w:hAnsi="宋体" w:cs="宋体" w:eastAsia="宋体" w:hint="default"/>
          <w:spacing w:val="-49"/>
        </w:rPr>
        <w:t> </w:t>
      </w:r>
      <w:r>
        <w:rPr/>
        <w:t>及支付管理、医疗成本云、人力</w:t>
      </w:r>
      <w:r>
        <w:rPr>
          <w:w w:val="100"/>
        </w:rPr>
        <w:t> </w:t>
      </w:r>
      <w:r>
        <w:rPr/>
        <w:t>资本与绩效云管理等生态业务部署。</w:t>
      </w:r>
    </w:p>
    <w:p>
      <w:pPr>
        <w:pStyle w:val="BodyText"/>
        <w:spacing w:line="237" w:lineRule="auto" w:before="1"/>
        <w:ind w:left="118" w:right="208" w:firstLine="419"/>
        <w:jc w:val="both"/>
      </w:pPr>
      <w:r>
        <w:rPr>
          <w:spacing w:val="-2"/>
        </w:rPr>
        <w:t>在医疗保险管理领域，公司利用在行业内多年的经验累积和优势资源，与技术相结合，搭建</w:t>
      </w:r>
      <w:r>
        <w:rPr>
          <w:w w:val="100"/>
        </w:rPr>
        <w:t> </w:t>
      </w:r>
      <w:r>
        <w:rPr>
          <w:spacing w:val="-1"/>
        </w:rPr>
        <w:t>领域平台，聚焦优势产品与服务，构建以东软为核心的良性生态，构建集中式和一体化的保险管</w:t>
      </w:r>
      <w:r>
        <w:rPr>
          <w:spacing w:val="-55"/>
        </w:rPr>
        <w:t> </w:t>
      </w:r>
      <w:r>
        <w:rPr>
          <w:spacing w:val="-55"/>
        </w:rPr>
      </w:r>
      <w:r>
        <w:rPr>
          <w:spacing w:val="-1"/>
        </w:rPr>
        <w:t>理经办平台，实现基于医保大数据的智能化医疗服务监控和费用控制模型建立并提供相关服务。</w:t>
      </w:r>
      <w:r>
        <w:rPr>
          <w:spacing w:val="-55"/>
        </w:rPr>
        <w:t> </w:t>
      </w:r>
      <w:r>
        <w:rPr>
          <w:spacing w:val="-55"/>
        </w:rPr>
      </w:r>
      <w:r>
        <w:rPr>
          <w:spacing w:val="-1"/>
        </w:rPr>
        <w:t>报告期内，公司承接西宁医保监控、保山城乡一体化等医保控费业务，签约国元农业保险、云南</w:t>
      </w:r>
      <w:r>
        <w:rPr>
          <w:spacing w:val="-55"/>
        </w:rPr>
        <w:t> </w:t>
      </w:r>
      <w:r>
        <w:rPr>
          <w:spacing w:val="-55"/>
        </w:rPr>
      </w:r>
      <w:r>
        <w:rPr>
          <w:spacing w:val="-1"/>
        </w:rPr>
        <w:t>鸿翔、成都莲合等公司的医保结算项目，与多家保险公司合作开展医保商保系统对接同步结算，</w:t>
      </w:r>
      <w:r>
        <w:rPr>
          <w:spacing w:val="-55"/>
        </w:rPr>
        <w:t> </w:t>
      </w:r>
      <w:r>
        <w:rPr>
          <w:spacing w:val="-55"/>
        </w:rPr>
      </w:r>
      <w:r>
        <w:rPr>
          <w:spacing w:val="-11"/>
          <w:w w:val="100"/>
        </w:rPr>
        <w:t>全面打开市场。公司承接</w:t>
      </w:r>
      <w:r>
        <w:rPr>
          <w:spacing w:val="-71"/>
          <w:w w:val="100"/>
        </w:rPr>
        <w:t> </w:t>
      </w:r>
      <w:r>
        <w:rPr>
          <w:rFonts w:ascii="宋体" w:hAnsi="宋体" w:cs="宋体" w:eastAsia="宋体" w:hint="default"/>
          <w:spacing w:val="-2"/>
          <w:w w:val="100"/>
        </w:rPr>
        <w:t>12</w:t>
      </w:r>
      <w:r>
        <w:rPr>
          <w:rFonts w:ascii="宋体" w:hAnsi="宋体" w:cs="宋体" w:eastAsia="宋体" w:hint="default"/>
          <w:spacing w:val="-72"/>
          <w:w w:val="100"/>
        </w:rPr>
        <w:t> </w:t>
      </w:r>
      <w:r>
        <w:rPr>
          <w:spacing w:val="-8"/>
          <w:w w:val="100"/>
        </w:rPr>
        <w:t>个省的异地就医结算平台建设，为超过</w:t>
      </w:r>
      <w:r>
        <w:rPr>
          <w:spacing w:val="-74"/>
          <w:w w:val="100"/>
        </w:rPr>
        <w:t> </w:t>
      </w:r>
      <w:r>
        <w:rPr>
          <w:rFonts w:ascii="宋体" w:hAnsi="宋体" w:cs="宋体" w:eastAsia="宋体" w:hint="default"/>
          <w:w w:val="100"/>
        </w:rPr>
        <w:t>150</w:t>
      </w:r>
      <w:r>
        <w:rPr>
          <w:rFonts w:ascii="宋体" w:hAnsi="宋体" w:cs="宋体" w:eastAsia="宋体" w:hint="default"/>
          <w:spacing w:val="-72"/>
          <w:w w:val="100"/>
        </w:rPr>
        <w:t> </w:t>
      </w:r>
      <w:r>
        <w:rPr>
          <w:spacing w:val="-2"/>
          <w:w w:val="100"/>
        </w:rPr>
        <w:t>个地市提供平台接入服务。</w:t>
      </w:r>
    </w:p>
    <w:p>
      <w:pPr>
        <w:pStyle w:val="BodyText"/>
        <w:spacing w:line="272" w:lineRule="exact" w:before="26"/>
        <w:ind w:left="538" w:right="206" w:hanging="420"/>
        <w:jc w:val="left"/>
      </w:pPr>
      <w:r>
        <w:rPr/>
        <w:t>公司推出医药服务业务，客户覆盖</w:t>
      </w:r>
      <w:r>
        <w:rPr>
          <w:spacing w:val="-52"/>
        </w:rPr>
        <w:t> </w:t>
      </w:r>
      <w:r>
        <w:rPr>
          <w:rFonts w:ascii="宋体" w:hAnsi="宋体" w:cs="宋体" w:eastAsia="宋体" w:hint="default"/>
        </w:rPr>
        <w:t>20</w:t>
      </w:r>
      <w:r>
        <w:rPr>
          <w:rFonts w:ascii="宋体" w:hAnsi="宋体" w:cs="宋体" w:eastAsia="宋体" w:hint="default"/>
          <w:spacing w:val="-53"/>
        </w:rPr>
        <w:t> </w:t>
      </w:r>
      <w:r>
        <w:rPr/>
        <w:t>多个省及</w:t>
      </w:r>
      <w:r>
        <w:rPr>
          <w:spacing w:val="-53"/>
        </w:rPr>
        <w:t> </w:t>
      </w:r>
      <w:r>
        <w:rPr>
          <w:rFonts w:ascii="宋体" w:hAnsi="宋体" w:cs="宋体" w:eastAsia="宋体" w:hint="default"/>
        </w:rPr>
        <w:t>120</w:t>
      </w:r>
      <w:r>
        <w:rPr>
          <w:rFonts w:ascii="宋体" w:hAnsi="宋体" w:cs="宋体" w:eastAsia="宋体" w:hint="default"/>
          <w:spacing w:val="-55"/>
        </w:rPr>
        <w:t> </w:t>
      </w:r>
      <w:r>
        <w:rPr/>
        <w:t>多个城市。</w:t>
      </w:r>
      <w:r>
        <w:rPr>
          <w:w w:val="100"/>
        </w:rPr>
        <w:t> </w:t>
      </w:r>
      <w:r>
        <w:rPr>
          <w:spacing w:val="-2"/>
        </w:rPr>
        <w:t>报告期内，公司面向医院自助服务的一体机业务快速发展，医疗自助一体机市场占有率份额</w:t>
      </w:r>
    </w:p>
    <w:p>
      <w:pPr>
        <w:pStyle w:val="BodyText"/>
        <w:spacing w:line="272" w:lineRule="exact" w:before="1"/>
        <w:ind w:left="118" w:right="208"/>
        <w:jc w:val="both"/>
      </w:pPr>
      <w:r>
        <w:rPr/>
        <w:t>排行第一，覆盖</w:t>
      </w:r>
      <w:r>
        <w:rPr>
          <w:spacing w:val="-51"/>
        </w:rPr>
        <w:t> </w:t>
      </w:r>
      <w:r>
        <w:rPr>
          <w:rFonts w:ascii="宋体" w:hAnsi="宋体" w:cs="宋体" w:eastAsia="宋体" w:hint="default"/>
        </w:rPr>
        <w:t>25</w:t>
      </w:r>
      <w:r>
        <w:rPr>
          <w:rFonts w:ascii="宋体" w:hAnsi="宋体" w:cs="宋体" w:eastAsia="宋体" w:hint="default"/>
          <w:spacing w:val="-53"/>
        </w:rPr>
        <w:t> </w:t>
      </w:r>
      <w:r>
        <w:rPr/>
        <w:t>省、</w:t>
      </w:r>
      <w:r>
        <w:rPr>
          <w:rFonts w:ascii="宋体" w:hAnsi="宋体" w:cs="宋体" w:eastAsia="宋体" w:hint="default"/>
        </w:rPr>
        <w:t>400</w:t>
      </w:r>
      <w:r>
        <w:rPr>
          <w:rFonts w:ascii="宋体" w:hAnsi="宋体" w:cs="宋体" w:eastAsia="宋体" w:hint="default"/>
          <w:spacing w:val="-50"/>
        </w:rPr>
        <w:t> </w:t>
      </w:r>
      <w:r>
        <w:rPr/>
        <w:t>家医院、</w:t>
      </w:r>
      <w:r>
        <w:rPr>
          <w:rFonts w:ascii="宋体" w:hAnsi="宋体" w:cs="宋体" w:eastAsia="宋体" w:hint="default"/>
        </w:rPr>
        <w:t>100</w:t>
      </w:r>
      <w:r>
        <w:rPr>
          <w:rFonts w:ascii="宋体" w:hAnsi="宋体" w:cs="宋体" w:eastAsia="宋体" w:hint="default"/>
          <w:spacing w:val="-53"/>
        </w:rPr>
        <w:t> </w:t>
      </w:r>
      <w:r>
        <w:rPr/>
        <w:t>家三甲医院。在银医业务领域，与多家银行合作，拓展</w:t>
      </w:r>
      <w:r>
        <w:rPr>
          <w:w w:val="100"/>
        </w:rPr>
        <w:t> </w:t>
      </w:r>
      <w:r>
        <w:rPr>
          <w:spacing w:val="-1"/>
        </w:rPr>
        <w:t>西安交大二附院、第四军医大学西京医院、广西南溪山医院等多家大型三甲医院，业务持续快速</w:t>
      </w:r>
    </w:p>
    <w:p>
      <w:pPr>
        <w:pStyle w:val="BodyText"/>
        <w:spacing w:line="272" w:lineRule="exact" w:before="1"/>
        <w:ind w:left="118" w:right="98"/>
        <w:jc w:val="left"/>
      </w:pPr>
      <w:r>
        <w:rPr>
          <w:spacing w:val="-6"/>
        </w:rPr>
        <w:t>增长，东软</w:t>
      </w:r>
      <w:r>
        <w:rPr>
          <w:spacing w:val="-39"/>
        </w:rPr>
        <w:t> </w:t>
      </w:r>
      <w:r>
        <w:rPr>
          <w:rFonts w:ascii="宋体" w:hAnsi="宋体" w:cs="宋体" w:eastAsia="宋体" w:hint="default"/>
        </w:rPr>
        <w:t>Ubione</w:t>
      </w:r>
      <w:r>
        <w:rPr>
          <w:rFonts w:ascii="宋体" w:hAnsi="宋体" w:cs="宋体" w:eastAsia="宋体" w:hint="default"/>
          <w:spacing w:val="-39"/>
        </w:rPr>
        <w:t> </w:t>
      </w:r>
      <w:r>
        <w:rPr>
          <w:spacing w:val="-4"/>
        </w:rPr>
        <w:t>智慧病区在武汉中南医院正式上线，面向银行、大型商超、第三方支付等的销</w:t>
      </w:r>
      <w:r>
        <w:rPr>
          <w:spacing w:val="-70"/>
        </w:rPr>
        <w:t> </w:t>
      </w:r>
      <w:r>
        <w:rPr>
          <w:spacing w:val="-70"/>
        </w:rPr>
      </w:r>
      <w:r>
        <w:rPr>
          <w:spacing w:val="-12"/>
          <w:w w:val="100"/>
        </w:rPr>
        <w:t>售与覆盖业务开始逐步放量。报告期内，东软</w:t>
      </w:r>
      <w:r>
        <w:rPr>
          <w:w w:val="100"/>
        </w:rPr>
        <w:t> </w:t>
      </w:r>
      <w:r>
        <w:rPr>
          <w:rFonts w:ascii="宋体" w:hAnsi="宋体" w:cs="宋体" w:eastAsia="宋体" w:hint="default"/>
          <w:spacing w:val="-1"/>
          <w:w w:val="100"/>
        </w:rPr>
        <w:t>Ubione</w:t>
      </w:r>
      <w:r>
        <w:rPr>
          <w:rFonts w:ascii="宋体" w:hAnsi="宋体" w:cs="宋体" w:eastAsia="宋体" w:hint="default"/>
          <w:spacing w:val="-77"/>
          <w:w w:val="100"/>
        </w:rPr>
        <w:t> </w:t>
      </w:r>
      <w:r>
        <w:rPr>
          <w:spacing w:val="-2"/>
          <w:w w:val="100"/>
        </w:rPr>
        <w:t>系列智能设备获得“中国创新设计红星奖”、</w:t>
      </w:r>
    </w:p>
    <w:p>
      <w:pPr>
        <w:pStyle w:val="BodyText"/>
        <w:spacing w:line="272" w:lineRule="exact" w:before="1"/>
        <w:ind w:left="538" w:right="206" w:hanging="420"/>
        <w:jc w:val="left"/>
      </w:pPr>
      <w:r>
        <w:rPr/>
        <w:t>“2017</w:t>
      </w:r>
      <w:r>
        <w:rPr>
          <w:spacing w:val="-54"/>
        </w:rPr>
        <w:t> </w:t>
      </w:r>
      <w:r>
        <w:rPr/>
        <w:t>最</w:t>
      </w:r>
      <w:r>
        <w:rPr>
          <w:spacing w:val="-54"/>
        </w:rPr>
        <w:t> </w:t>
      </w:r>
      <w:r>
        <w:rPr>
          <w:rFonts w:ascii="宋体" w:hAnsi="宋体" w:cs="宋体" w:eastAsia="宋体" w:hint="default"/>
        </w:rPr>
        <w:t>IN</w:t>
      </w:r>
      <w:r>
        <w:rPr>
          <w:rFonts w:ascii="宋体" w:hAnsi="宋体" w:cs="宋体" w:eastAsia="宋体" w:hint="default"/>
          <w:spacing w:val="-54"/>
        </w:rPr>
        <w:t> </w:t>
      </w:r>
      <w:r>
        <w:rPr/>
        <w:t>数字医疗解决方案—医院信息化领域</w:t>
      </w:r>
      <w:r>
        <w:rPr>
          <w:spacing w:val="-56"/>
        </w:rPr>
        <w:t> </w:t>
      </w:r>
      <w:r>
        <w:rPr/>
        <w:t>TOP10”。</w:t>
      </w:r>
      <w:r>
        <w:rPr>
          <w:w w:val="100"/>
        </w:rPr>
        <w:t> </w:t>
      </w:r>
      <w:r>
        <w:rPr>
          <w:spacing w:val="-2"/>
        </w:rPr>
        <w:t>在人力资源和社会保障行业，公司通过多渠道、全方位的软件服务与多功能服务终端等信息</w:t>
      </w:r>
    </w:p>
    <w:p>
      <w:pPr>
        <w:pStyle w:val="BodyText"/>
        <w:spacing w:line="272" w:lineRule="exact" w:before="1"/>
        <w:ind w:left="118" w:right="207"/>
        <w:jc w:val="both"/>
      </w:pPr>
      <w:r>
        <w:rPr>
          <w:spacing w:val="-7"/>
        </w:rPr>
        <w:t>技术，为中国各省、市、区、县等提供人力资源与社会保障相关服务，以改善中国社会保障体系。</w:t>
      </w:r>
      <w:r>
        <w:rPr>
          <w:spacing w:val="-12"/>
        </w:rPr>
        <w:t> </w:t>
      </w:r>
      <w:r>
        <w:rPr>
          <w:spacing w:val="-12"/>
        </w:rPr>
      </w:r>
      <w:r>
        <w:rPr/>
        <w:t>截至报告期末，公司业务覆盖国家人社部、</w:t>
      </w:r>
      <w:r>
        <w:rPr>
          <w:rFonts w:ascii="宋体" w:hAnsi="宋体" w:cs="宋体" w:eastAsia="宋体" w:hint="default"/>
        </w:rPr>
        <w:t>19</w:t>
      </w:r>
      <w:r>
        <w:rPr>
          <w:rFonts w:ascii="宋体" w:hAnsi="宋体" w:cs="宋体" w:eastAsia="宋体" w:hint="default"/>
          <w:spacing w:val="-34"/>
        </w:rPr>
        <w:t> </w:t>
      </w:r>
      <w:r>
        <w:rPr/>
        <w:t>省厅、</w:t>
      </w:r>
      <w:r>
        <w:rPr>
          <w:rFonts w:ascii="宋体" w:hAnsi="宋体" w:cs="宋体" w:eastAsia="宋体" w:hint="default"/>
        </w:rPr>
        <w:t>174</w:t>
      </w:r>
      <w:r>
        <w:rPr>
          <w:rFonts w:ascii="宋体" w:hAnsi="宋体" w:cs="宋体" w:eastAsia="宋体" w:hint="default"/>
          <w:spacing w:val="-34"/>
        </w:rPr>
        <w:t> </w:t>
      </w:r>
      <w:r>
        <w:rPr/>
        <w:t>市局，市场份额超过</w:t>
      </w:r>
      <w:r>
        <w:rPr>
          <w:spacing w:val="-32"/>
        </w:rPr>
        <w:t> </w:t>
      </w:r>
      <w:r>
        <w:rPr>
          <w:rFonts w:ascii="宋体" w:hAnsi="宋体" w:cs="宋体" w:eastAsia="宋体" w:hint="default"/>
        </w:rPr>
        <w:t>50%</w:t>
      </w:r>
      <w:r>
        <w:rPr/>
        <w:t>，覆盖人群超</w:t>
      </w:r>
      <w:r>
        <w:rPr>
          <w:w w:val="100"/>
        </w:rPr>
        <w:t> </w:t>
      </w:r>
      <w:r>
        <w:rPr/>
        <w:t>过</w:t>
      </w:r>
      <w:r>
        <w:rPr>
          <w:spacing w:val="-44"/>
        </w:rPr>
        <w:t> </w:t>
      </w:r>
      <w:r>
        <w:rPr>
          <w:rFonts w:ascii="宋体" w:hAnsi="宋体" w:cs="宋体" w:eastAsia="宋体" w:hint="default"/>
        </w:rPr>
        <w:t>6</w:t>
      </w:r>
      <w:r>
        <w:rPr>
          <w:rFonts w:ascii="宋体" w:hAnsi="宋体" w:cs="宋体" w:eastAsia="宋体" w:hint="default"/>
          <w:spacing w:val="-44"/>
        </w:rPr>
        <w:t> </w:t>
      </w:r>
      <w:r>
        <w:rPr>
          <w:spacing w:val="-4"/>
        </w:rPr>
        <w:t>亿，参保单位数量超过</w:t>
      </w:r>
      <w:r>
        <w:rPr>
          <w:spacing w:val="-42"/>
        </w:rPr>
        <w:t> </w:t>
      </w:r>
      <w:r>
        <w:rPr>
          <w:rFonts w:ascii="宋体" w:hAnsi="宋体" w:cs="宋体" w:eastAsia="宋体" w:hint="default"/>
        </w:rPr>
        <w:t>1,000</w:t>
      </w:r>
      <w:r>
        <w:rPr>
          <w:rFonts w:ascii="宋体" w:hAnsi="宋体" w:cs="宋体" w:eastAsia="宋体" w:hint="default"/>
          <w:spacing w:val="-44"/>
        </w:rPr>
        <w:t> </w:t>
      </w:r>
      <w:r>
        <w:rPr>
          <w:spacing w:val="-4"/>
        </w:rPr>
        <w:t>万，医疗两定数量超过</w:t>
      </w:r>
      <w:r>
        <w:rPr>
          <w:spacing w:val="-44"/>
        </w:rPr>
        <w:t> </w:t>
      </w:r>
      <w:r>
        <w:rPr>
          <w:rFonts w:ascii="宋体" w:hAnsi="宋体" w:cs="宋体" w:eastAsia="宋体" w:hint="default"/>
        </w:rPr>
        <w:t>16</w:t>
      </w:r>
      <w:r>
        <w:rPr>
          <w:rFonts w:ascii="宋体" w:hAnsi="宋体" w:cs="宋体" w:eastAsia="宋体" w:hint="default"/>
          <w:spacing w:val="-46"/>
        </w:rPr>
        <w:t> </w:t>
      </w:r>
      <w:r>
        <w:rPr>
          <w:spacing w:val="-5"/>
        </w:rPr>
        <w:t>万。报告期内，公司持续巩固市场领</w:t>
      </w:r>
    </w:p>
    <w:p>
      <w:pPr>
        <w:pStyle w:val="BodyText"/>
        <w:spacing w:line="272" w:lineRule="exact" w:before="1"/>
        <w:ind w:left="118" w:right="207"/>
        <w:jc w:val="both"/>
      </w:pPr>
      <w:r>
        <w:rPr>
          <w:spacing w:val="-1"/>
        </w:rPr>
        <w:t>导者地位，签约河南人社、广州人社、吉林人社等多个城市，承接宜昌、本溪、锦州等地“智慧</w:t>
      </w:r>
      <w:r>
        <w:rPr>
          <w:spacing w:val="-55"/>
        </w:rPr>
        <w:t> </w:t>
      </w:r>
      <w:r>
        <w:rPr>
          <w:spacing w:val="-55"/>
        </w:rPr>
      </w:r>
      <w:r>
        <w:rPr>
          <w:spacing w:val="-1"/>
        </w:rPr>
        <w:t>人社”项目，以及常州、无锡、芜湖、柳州等地金保项目，机关保业务拓展辽宁、青海、湖北、</w:t>
      </w:r>
    </w:p>
    <w:p>
      <w:pPr>
        <w:pStyle w:val="BodyText"/>
        <w:spacing w:line="272" w:lineRule="exact" w:before="1"/>
        <w:ind w:left="118" w:right="207"/>
        <w:jc w:val="both"/>
      </w:pPr>
      <w:r>
        <w:rPr>
          <w:spacing w:val="-9"/>
        </w:rPr>
        <w:t>江西等省。在扶贫领域，公司扶贫领域平台</w:t>
      </w:r>
      <w:r>
        <w:rPr>
          <w:rFonts w:ascii="宋体" w:hAnsi="宋体" w:cs="宋体" w:eastAsia="宋体" w:hint="default"/>
          <w:spacing w:val="-9"/>
        </w:rPr>
        <w:t>+</w:t>
      </w:r>
      <w:r>
        <w:rPr>
          <w:spacing w:val="-9"/>
        </w:rPr>
        <w:t>产品模式初见成效，承接国务院扶贫办及山西、江西、</w:t>
      </w:r>
      <w:r>
        <w:rPr>
          <w:spacing w:val="-22"/>
        </w:rPr>
        <w:t> </w:t>
      </w:r>
      <w:r>
        <w:rPr>
          <w:spacing w:val="-22"/>
        </w:rPr>
      </w:r>
      <w:r>
        <w:rPr>
          <w:spacing w:val="-1"/>
        </w:rPr>
        <w:t>四川、贵州、辽宁等多个省级客户。在民政行业，公司签约国家民政部福彩和慈善中国、石家庄</w:t>
      </w:r>
    </w:p>
    <w:p>
      <w:pPr>
        <w:pStyle w:val="BodyText"/>
        <w:spacing w:line="272" w:lineRule="exact" w:before="2"/>
        <w:ind w:left="118" w:right="208"/>
        <w:jc w:val="both"/>
        <w:rPr>
          <w:rFonts w:ascii="宋体" w:hAnsi="宋体" w:cs="宋体" w:eastAsia="宋体" w:hint="default"/>
        </w:rPr>
      </w:pPr>
      <w:r>
        <w:rPr/>
        <w:t>市智慧养老管理平台等项目。在人社公共服务领域，公司“智慧人社</w:t>
      </w:r>
      <w:r>
        <w:rPr>
          <w:spacing w:val="6"/>
        </w:rPr>
        <w:t> </w:t>
      </w:r>
      <w:r>
        <w:rPr/>
        <w:t>app”成功在盘锦、临沂等</w:t>
      </w:r>
      <w:r>
        <w:rPr>
          <w:w w:val="100"/>
        </w:rPr>
        <w:t> </w:t>
      </w:r>
      <w:r>
        <w:rPr/>
        <w:t>地市人社开展“互联网+”服务；“养老生存认证</w:t>
      </w:r>
      <w:r>
        <w:rPr>
          <w:spacing w:val="-52"/>
        </w:rPr>
        <w:t> </w:t>
      </w:r>
      <w:r>
        <w:rPr/>
        <w:t>app”覆盖宁夏、山东、广东、江苏等</w:t>
      </w:r>
      <w:r>
        <w:rPr>
          <w:spacing w:val="-52"/>
        </w:rPr>
        <w:t> </w:t>
      </w:r>
      <w:r>
        <w:rPr>
          <w:rFonts w:ascii="宋体" w:hAnsi="宋体" w:cs="宋体" w:eastAsia="宋体" w:hint="default"/>
        </w:rPr>
        <w:t>10</w:t>
      </w:r>
      <w:r>
        <w:rPr>
          <w:rFonts w:ascii="宋体" w:hAnsi="宋体" w:cs="宋体" w:eastAsia="宋体" w:hint="default"/>
          <w:spacing w:val="-52"/>
        </w:rPr>
        <w:t> </w:t>
      </w:r>
      <w:r>
        <w:rPr/>
        <w:t>省</w:t>
      </w:r>
      <w:r>
        <w:rPr>
          <w:spacing w:val="-55"/>
        </w:rPr>
        <w:t> </w:t>
      </w:r>
      <w:r>
        <w:rPr>
          <w:rFonts w:ascii="宋体" w:hAnsi="宋体" w:cs="宋体" w:eastAsia="宋体" w:hint="default"/>
        </w:rPr>
        <w:t>18</w:t>
      </w:r>
    </w:p>
    <w:p>
      <w:pPr>
        <w:pStyle w:val="BodyText"/>
        <w:spacing w:line="247" w:lineRule="exact"/>
        <w:ind w:left="118" w:right="0"/>
        <w:jc w:val="both"/>
      </w:pPr>
      <w:r>
        <w:rPr>
          <w:spacing w:val="-3"/>
        </w:rPr>
        <w:t>地市，覆盖退休职工</w:t>
      </w:r>
      <w:r>
        <w:rPr>
          <w:spacing w:val="-43"/>
        </w:rPr>
        <w:t> </w:t>
      </w:r>
      <w:r>
        <w:rPr>
          <w:rFonts w:ascii="宋体" w:hAnsi="宋体" w:cs="宋体" w:eastAsia="宋体" w:hint="default"/>
        </w:rPr>
        <w:t>80</w:t>
      </w:r>
      <w:r>
        <w:rPr>
          <w:rFonts w:ascii="宋体" w:hAnsi="宋体" w:cs="宋体" w:eastAsia="宋体" w:hint="default"/>
          <w:spacing w:val="-44"/>
        </w:rPr>
        <w:t> </w:t>
      </w:r>
      <w:r>
        <w:rPr>
          <w:spacing w:val="-3"/>
        </w:rPr>
        <w:t>万人；“全民参保登记</w:t>
      </w:r>
      <w:r>
        <w:rPr>
          <w:spacing w:val="-43"/>
        </w:rPr>
        <w:t> </w:t>
      </w:r>
      <w:r>
        <w:rPr>
          <w:spacing w:val="-3"/>
        </w:rPr>
        <w:t>app”覆盖辽宁、山东、浙江等</w:t>
      </w:r>
      <w:r>
        <w:rPr>
          <w:spacing w:val="-43"/>
        </w:rPr>
        <w:t> </w:t>
      </w:r>
      <w:r>
        <w:rPr>
          <w:rFonts w:ascii="宋体" w:hAnsi="宋体" w:cs="宋体" w:eastAsia="宋体" w:hint="default"/>
        </w:rPr>
        <w:t>5</w:t>
      </w:r>
      <w:r>
        <w:rPr>
          <w:rFonts w:ascii="宋体" w:hAnsi="宋体" w:cs="宋体" w:eastAsia="宋体" w:hint="default"/>
          <w:spacing w:val="-45"/>
        </w:rPr>
        <w:t> </w:t>
      </w:r>
      <w:r>
        <w:rPr/>
        <w:t>省</w:t>
      </w:r>
      <w:r>
        <w:rPr>
          <w:spacing w:val="-43"/>
        </w:rPr>
        <w:t> </w:t>
      </w:r>
      <w:r>
        <w:rPr>
          <w:rFonts w:ascii="宋体" w:hAnsi="宋体" w:cs="宋体" w:eastAsia="宋体" w:hint="default"/>
        </w:rPr>
        <w:t>9</w:t>
      </w:r>
      <w:r>
        <w:rPr>
          <w:rFonts w:ascii="宋体" w:hAnsi="宋体" w:cs="宋体" w:eastAsia="宋体" w:hint="default"/>
          <w:spacing w:val="-43"/>
        </w:rPr>
        <w:t> </w:t>
      </w:r>
      <w:r>
        <w:rPr>
          <w:spacing w:val="-4"/>
        </w:rPr>
        <w:t>地市，完成</w:t>
      </w:r>
    </w:p>
    <w:p>
      <w:pPr>
        <w:pStyle w:val="BodyText"/>
        <w:spacing w:line="237" w:lineRule="auto"/>
        <w:ind w:left="118" w:right="207"/>
        <w:jc w:val="both"/>
      </w:pPr>
      <w:r>
        <w:rPr/>
        <w:t>登记</w:t>
      </w:r>
      <w:r>
        <w:rPr>
          <w:spacing w:val="-31"/>
        </w:rPr>
        <w:t> </w:t>
      </w:r>
      <w:r>
        <w:rPr>
          <w:rFonts w:ascii="宋体" w:hAnsi="宋体" w:cs="宋体" w:eastAsia="宋体" w:hint="default"/>
        </w:rPr>
        <w:t>75</w:t>
      </w:r>
      <w:r>
        <w:rPr>
          <w:rFonts w:ascii="宋体" w:hAnsi="宋体" w:cs="宋体" w:eastAsia="宋体" w:hint="default"/>
          <w:spacing w:val="-31"/>
        </w:rPr>
        <w:t> </w:t>
      </w:r>
      <w:r>
        <w:rPr>
          <w:spacing w:val="-4"/>
        </w:rPr>
        <w:t>万笔。报告期内，社保一体机在定点药店拓展销售，社保定点产品拓展本溪、徐州等多个</w:t>
      </w:r>
      <w:r>
        <w:rPr>
          <w:spacing w:val="-96"/>
        </w:rPr>
        <w:t> </w:t>
      </w:r>
      <w:r>
        <w:rPr>
          <w:spacing w:val="-96"/>
        </w:rPr>
      </w:r>
      <w:r>
        <w:rPr>
          <w:spacing w:val="-1"/>
        </w:rPr>
        <w:t>城市，业务快速发展。在政务云领域，公司自主研发的社保电子文档管理系统成功在常州投入应</w:t>
      </w:r>
      <w:r>
        <w:rPr>
          <w:spacing w:val="-55"/>
        </w:rPr>
        <w:t> </w:t>
      </w:r>
      <w:r>
        <w:rPr>
          <w:spacing w:val="-55"/>
        </w:rPr>
      </w:r>
      <w:r>
        <w:rPr>
          <w:spacing w:val="-4"/>
        </w:rPr>
        <w:t>用。报告期内，东软与腾讯云在南宁、柳州、广州等项目进行深度合作，形成腾讯云平台</w:t>
      </w:r>
      <w:r>
        <w:rPr>
          <w:rFonts w:ascii="宋体" w:hAnsi="宋体" w:cs="宋体" w:eastAsia="宋体" w:hint="default"/>
          <w:spacing w:val="-4"/>
        </w:rPr>
        <w:t>+</w:t>
      </w:r>
      <w:r>
        <w:rPr>
          <w:spacing w:val="-4"/>
        </w:rPr>
        <w:t>东软人</w:t>
      </w:r>
      <w:r>
        <w:rPr>
          <w:spacing w:val="-39"/>
        </w:rPr>
        <w:t> </w:t>
      </w:r>
      <w:r>
        <w:rPr>
          <w:spacing w:val="-39"/>
        </w:rPr>
      </w:r>
      <w:r>
        <w:rPr/>
        <w:t>社解决方案合作新模式。</w:t>
      </w:r>
    </w:p>
    <w:p>
      <w:pPr>
        <w:pStyle w:val="BodyText"/>
        <w:spacing w:line="274" w:lineRule="exact" w:before="22"/>
        <w:ind w:left="538" w:right="206" w:firstLine="2"/>
        <w:jc w:val="left"/>
      </w:pPr>
      <w:r>
        <w:rPr>
          <w:rFonts w:ascii="宋体" w:hAnsi="宋体" w:cs="宋体" w:eastAsia="宋体" w:hint="default"/>
          <w:b/>
          <w:bCs/>
        </w:rPr>
        <w:t>2</w:t>
      </w:r>
      <w:r>
        <w:rPr>
          <w:rFonts w:ascii="宋体" w:hAnsi="宋体" w:cs="宋体" w:eastAsia="宋体" w:hint="default"/>
          <w:b/>
          <w:bCs/>
        </w:rPr>
        <w:t>、智能汽车互联</w:t>
      </w:r>
      <w:r>
        <w:rPr>
          <w:rFonts w:ascii="宋体" w:hAnsi="宋体" w:cs="宋体" w:eastAsia="宋体" w:hint="default"/>
          <w:b/>
          <w:bCs/>
          <w:w w:val="100"/>
        </w:rPr>
        <w:t> </w:t>
      </w:r>
      <w:r>
        <w:rPr>
          <w:spacing w:val="-7"/>
          <w:w w:val="100"/>
        </w:rPr>
        <w:t>东软是全球领先的汽车电子服务供应商，在汽车电子业务领域，经过二十多年的积累与发展，</w:t>
      </w:r>
    </w:p>
    <w:p>
      <w:pPr>
        <w:pStyle w:val="BodyText"/>
        <w:spacing w:line="245" w:lineRule="exact"/>
        <w:ind w:left="118" w:right="0"/>
        <w:jc w:val="both"/>
      </w:pPr>
      <w:r>
        <w:rPr/>
        <w:t>公司建立了与众多国内国际车厂、国际汽车电子厂商的长期合作，积累了丰富的经验和技术，构</w:t>
      </w:r>
    </w:p>
    <w:p>
      <w:pPr>
        <w:pStyle w:val="BodyText"/>
        <w:spacing w:line="272" w:lineRule="exact" w:before="27"/>
        <w:ind w:left="118" w:right="208"/>
        <w:jc w:val="both"/>
      </w:pPr>
      <w:r>
        <w:rPr>
          <w:spacing w:val="-1"/>
        </w:rPr>
        <w:t>建了由分布在中国、德国、日本的三千余名优秀人才组成的汽车电子软件研发团队，无论在技术</w:t>
      </w:r>
      <w:r>
        <w:rPr>
          <w:spacing w:val="-55"/>
        </w:rPr>
        <w:t> </w:t>
      </w:r>
      <w:r>
        <w:rPr>
          <w:spacing w:val="-55"/>
        </w:rPr>
      </w:r>
      <w:r>
        <w:rPr/>
        <w:t>与市场份额都处于市场领先地位。在全球前</w:t>
      </w:r>
      <w:r>
        <w:rPr>
          <w:spacing w:val="-58"/>
        </w:rPr>
        <w:t> </w:t>
      </w:r>
      <w:r>
        <w:rPr>
          <w:rFonts w:ascii="宋体" w:hAnsi="宋体" w:cs="宋体" w:eastAsia="宋体" w:hint="default"/>
        </w:rPr>
        <w:t>30</w:t>
      </w:r>
      <w:r>
        <w:rPr>
          <w:rFonts w:ascii="宋体" w:hAnsi="宋体" w:cs="宋体" w:eastAsia="宋体" w:hint="default"/>
          <w:spacing w:val="-58"/>
        </w:rPr>
        <w:t> </w:t>
      </w:r>
      <w:r>
        <w:rPr/>
        <w:t>大汽车厂商中，</w:t>
      </w:r>
      <w:r>
        <w:rPr>
          <w:rFonts w:ascii="宋体" w:hAnsi="宋体" w:cs="宋体" w:eastAsia="宋体" w:hint="default"/>
        </w:rPr>
        <w:t>85%</w:t>
      </w:r>
      <w:r>
        <w:rPr/>
        <w:t>使用了东软的软件与服务。</w:t>
      </w:r>
    </w:p>
    <w:p>
      <w:pPr>
        <w:pStyle w:val="BodyText"/>
        <w:spacing w:line="272" w:lineRule="exact" w:before="2"/>
        <w:ind w:left="118" w:right="208" w:firstLine="419"/>
        <w:jc w:val="both"/>
      </w:pPr>
      <w:r>
        <w:rPr>
          <w:spacing w:val="-2"/>
        </w:rPr>
        <w:t>东软作为车载系统整体供应商，车载量产业务已覆盖国内绝大多数车厂，报告期内再次签约</w:t>
      </w:r>
      <w:r>
        <w:rPr>
          <w:w w:val="100"/>
        </w:rPr>
        <w:t> </w:t>
      </w:r>
      <w:r>
        <w:rPr>
          <w:spacing w:val="-1"/>
        </w:rPr>
        <w:t>上汽通用、华晨宝马、吉利等车厂，并在原有客户基础上进行横向发展与纵向整合，基于平台与</w:t>
      </w:r>
    </w:p>
    <w:p>
      <w:pPr>
        <w:pStyle w:val="BodyText"/>
        <w:spacing w:line="272" w:lineRule="exact" w:before="1"/>
        <w:ind w:left="118" w:right="208"/>
        <w:jc w:val="both"/>
      </w:pPr>
      <w:r>
        <w:rPr>
          <w:spacing w:val="-1"/>
        </w:rPr>
        <w:t>标准提供软件与服务，通过大数据、云服务、</w:t>
      </w:r>
      <w:r>
        <w:rPr>
          <w:rFonts w:ascii="宋体" w:hAnsi="宋体" w:cs="宋体" w:eastAsia="宋体" w:hint="default"/>
          <w:spacing w:val="-1"/>
        </w:rPr>
        <w:t>AI</w:t>
      </w:r>
      <w:r>
        <w:rPr>
          <w:spacing w:val="-1"/>
        </w:rPr>
        <w:t>、车联网平台等深度布局大汽车生态系统。公司</w:t>
      </w:r>
      <w:r>
        <w:rPr>
          <w:spacing w:val="-55"/>
        </w:rPr>
        <w:t> </w:t>
      </w:r>
      <w:r>
        <w:rPr>
          <w:spacing w:val="-55"/>
        </w:rPr>
      </w:r>
      <w:r>
        <w:rPr/>
        <w:t>持续提升和丰富车载信息娱乐、</w:t>
      </w:r>
      <w:r>
        <w:rPr>
          <w:rFonts w:ascii="宋体" w:hAnsi="宋体" w:cs="宋体" w:eastAsia="宋体" w:hint="default"/>
        </w:rPr>
        <w:t>T-Box</w:t>
      </w:r>
      <w:r>
        <w:rPr/>
        <w:t>、</w:t>
      </w:r>
      <w:r>
        <w:rPr>
          <w:rFonts w:ascii="宋体" w:hAnsi="宋体" w:cs="宋体" w:eastAsia="宋体" w:hint="default"/>
        </w:rPr>
        <w:t>Telematics</w:t>
      </w:r>
      <w:r>
        <w:rPr>
          <w:rFonts w:ascii="宋体" w:hAnsi="宋体" w:cs="宋体" w:eastAsia="宋体" w:hint="default"/>
          <w:spacing w:val="4"/>
        </w:rPr>
        <w:t> </w:t>
      </w:r>
      <w:r>
        <w:rPr/>
        <w:t>车联网、手机车机互联、车载信息安全等自</w:t>
      </w:r>
      <w:r>
        <w:rPr>
          <w:w w:val="100"/>
        </w:rPr>
        <w:t> </w:t>
      </w:r>
      <w:r>
        <w:rPr/>
        <w:t>有产品，</w:t>
      </w:r>
      <w:r>
        <w:rPr>
          <w:rFonts w:ascii="宋体" w:hAnsi="宋体" w:cs="宋体" w:eastAsia="宋体" w:hint="default"/>
        </w:rPr>
        <w:t>C-Box</w:t>
      </w:r>
      <w:r>
        <w:rPr>
          <w:rFonts w:ascii="宋体" w:hAnsi="宋体" w:cs="宋体" w:eastAsia="宋体" w:hint="default"/>
          <w:spacing w:val="-33"/>
        </w:rPr>
        <w:t> </w:t>
      </w:r>
      <w:r>
        <w:rPr/>
        <w:t>产品拓展沃尔沃、一汽大众、上海大众等优质客户。报告期内，公司与</w:t>
      </w:r>
      <w:r>
        <w:rPr>
          <w:spacing w:val="-33"/>
        </w:rPr>
        <w:t> </w:t>
      </w:r>
      <w:r>
        <w:rPr>
          <w:rFonts w:ascii="宋体" w:hAnsi="宋体" w:cs="宋体" w:eastAsia="宋体" w:hint="default"/>
        </w:rPr>
        <w:t>Intel</w:t>
      </w:r>
      <w:r>
        <w:rPr>
          <w:rFonts w:ascii="宋体" w:hAnsi="宋体" w:cs="宋体" w:eastAsia="宋体" w:hint="default"/>
          <w:spacing w:val="-34"/>
        </w:rPr>
        <w:t> </w:t>
      </w:r>
      <w:r>
        <w:rPr/>
        <w:t>合</w:t>
      </w:r>
    </w:p>
    <w:p>
      <w:pPr>
        <w:pStyle w:val="BodyText"/>
        <w:spacing w:line="272" w:lineRule="exact" w:before="1"/>
        <w:ind w:left="118" w:right="208"/>
        <w:jc w:val="both"/>
      </w:pPr>
      <w:r>
        <w:rPr>
          <w:spacing w:val="-1"/>
        </w:rPr>
        <w:t>作研发并发布新一代智能驾驶舱平台“C4</w:t>
      </w:r>
      <w:r>
        <w:rPr>
          <w:rFonts w:ascii="宋体" w:hAnsi="宋体" w:cs="宋体" w:eastAsia="宋体" w:hint="default"/>
          <w:spacing w:val="-1"/>
        </w:rPr>
        <w:t>-</w:t>
      </w:r>
      <w:r>
        <w:rPr>
          <w:spacing w:val="-1"/>
        </w:rPr>
        <w:t>Alfus”，可支持虚拟化，并无缝支持车载信息娱乐系</w:t>
      </w:r>
      <w:r>
        <w:rPr>
          <w:spacing w:val="-55"/>
        </w:rPr>
        <w:t> </w:t>
      </w:r>
      <w:r>
        <w:rPr>
          <w:spacing w:val="-55"/>
        </w:rPr>
      </w:r>
      <w:r>
        <w:rPr>
          <w:spacing w:val="-6"/>
        </w:rPr>
        <w:t>统、数字仪表以及车载导航仪等多个高清屏幕的使用和互动。公司进一步加强与阿尔派、</w:t>
      </w:r>
      <w:r>
        <w:rPr>
          <w:rFonts w:ascii="宋体" w:hAnsi="宋体" w:cs="宋体" w:eastAsia="宋体" w:hint="default"/>
          <w:spacing w:val="-6"/>
        </w:rPr>
        <w:t>Harman</w:t>
      </w:r>
      <w:r>
        <w:rPr>
          <w:spacing w:val="-6"/>
        </w:rPr>
        <w:t>、</w:t>
      </w:r>
    </w:p>
    <w:p>
      <w:pPr>
        <w:pStyle w:val="BodyText"/>
        <w:spacing w:line="272" w:lineRule="exact" w:before="1"/>
        <w:ind w:left="538" w:right="206" w:hanging="420"/>
        <w:jc w:val="left"/>
      </w:pPr>
      <w:r>
        <w:rPr/>
        <w:t>电装等客户的深层次合作，保持在汽车电子业务领域的市场领先地位。</w:t>
      </w:r>
      <w:r>
        <w:rPr>
          <w:w w:val="100"/>
        </w:rPr>
        <w:t> </w:t>
      </w:r>
      <w:r>
        <w:rPr>
          <w:spacing w:val="-2"/>
        </w:rPr>
        <w:t>在新能源汽车领域，子公司东软睿驰持续优化和完善智能充电产品、动力电池包、动力电池</w:t>
      </w:r>
    </w:p>
    <w:p>
      <w:pPr>
        <w:pStyle w:val="BodyText"/>
        <w:spacing w:line="272" w:lineRule="exact" w:before="1"/>
        <w:ind w:left="118" w:right="208"/>
        <w:jc w:val="both"/>
      </w:pPr>
      <w:r>
        <w:rPr>
          <w:spacing w:val="-1"/>
        </w:rPr>
        <w:t>管理系统等产品，与吉利汽车等多家车厂展开深入密切的合作，业务实现突破和快速发展。报告</w:t>
      </w:r>
      <w:r>
        <w:rPr>
          <w:spacing w:val="-55"/>
        </w:rPr>
        <w:t> </w:t>
      </w:r>
      <w:r>
        <w:rPr>
          <w:spacing w:val="-55"/>
        </w:rPr>
      </w:r>
      <w:r>
        <w:rPr>
          <w:spacing w:val="-1"/>
        </w:rPr>
        <w:t>期内，东软睿驰与本田结成战略合作伙伴关系，将在电动车和共享出行领域开展深度合作。“氢</w:t>
      </w:r>
    </w:p>
    <w:p>
      <w:pPr>
        <w:pStyle w:val="BodyText"/>
        <w:spacing w:line="272" w:lineRule="exact" w:before="1"/>
        <w:ind w:left="538" w:right="206" w:hanging="420"/>
        <w:jc w:val="left"/>
        <w:rPr>
          <w:rFonts w:ascii="宋体" w:hAnsi="宋体" w:cs="宋体" w:eastAsia="宋体" w:hint="default"/>
        </w:rPr>
      </w:pPr>
      <w:r>
        <w:rPr/>
        <w:t>氪出行”作为“车共享”的实践者，提供按需用车的分时租赁服务，现已覆盖超过</w:t>
      </w:r>
      <w:r>
        <w:rPr>
          <w:spacing w:val="-53"/>
        </w:rPr>
        <w:t> </w:t>
      </w:r>
      <w:r>
        <w:rPr>
          <w:rFonts w:ascii="宋体" w:hAnsi="宋体" w:cs="宋体" w:eastAsia="宋体" w:hint="default"/>
        </w:rPr>
        <w:t>20</w:t>
      </w:r>
      <w:r>
        <w:rPr>
          <w:rFonts w:ascii="宋体" w:hAnsi="宋体" w:cs="宋体" w:eastAsia="宋体" w:hint="default"/>
          <w:spacing w:val="-56"/>
        </w:rPr>
        <w:t> </w:t>
      </w:r>
      <w:r>
        <w:rPr/>
        <w:t>座城市。</w:t>
      </w:r>
      <w:r>
        <w:rPr>
          <w:w w:val="100"/>
        </w:rPr>
        <w:t> </w:t>
      </w:r>
      <w:r>
        <w:rPr>
          <w:spacing w:val="-3"/>
        </w:rPr>
        <w:t>在高级辅助驾驶系统和自动驾驶领域，东软睿驰持续提升</w:t>
      </w:r>
      <w:r>
        <w:rPr>
          <w:spacing w:val="-31"/>
        </w:rPr>
        <w:t> </w:t>
      </w:r>
      <w:r>
        <w:rPr>
          <w:rFonts w:ascii="宋体" w:hAnsi="宋体" w:cs="宋体" w:eastAsia="宋体" w:hint="default"/>
        </w:rPr>
        <w:t>ADAS</w:t>
      </w:r>
      <w:r>
        <w:rPr>
          <w:rFonts w:ascii="宋体" w:hAnsi="宋体" w:cs="宋体" w:eastAsia="宋体" w:hint="default"/>
          <w:spacing w:val="-31"/>
        </w:rPr>
        <w:t> </w:t>
      </w:r>
      <w:r>
        <w:rPr>
          <w:spacing w:val="-4"/>
        </w:rPr>
        <w:t>高级辅助驾驶系统、基于</w:t>
      </w:r>
      <w:r>
        <w:rPr>
          <w:spacing w:val="-31"/>
        </w:rPr>
        <w:t> </w:t>
      </w:r>
      <w:r>
        <w:rPr>
          <w:rFonts w:ascii="宋体" w:hAnsi="宋体" w:cs="宋体" w:eastAsia="宋体" w:hint="default"/>
        </w:rPr>
        <w:t>V2X</w:t>
      </w:r>
    </w:p>
    <w:p>
      <w:pPr>
        <w:pStyle w:val="BodyText"/>
        <w:spacing w:line="249" w:lineRule="exact"/>
        <w:ind w:left="118" w:right="0"/>
        <w:jc w:val="both"/>
      </w:pPr>
      <w:r>
        <w:rPr>
          <w:spacing w:val="-2"/>
        </w:rPr>
        <w:t>通信技术产品的解决方案“VeTalk”等高级驾驶辅助系统产品线，</w:t>
      </w:r>
      <w:r>
        <w:rPr>
          <w:rFonts w:ascii="宋体" w:hAnsi="宋体" w:cs="宋体" w:eastAsia="宋体" w:hint="default"/>
          <w:spacing w:val="-2"/>
        </w:rPr>
        <w:t>ADAS</w:t>
      </w:r>
      <w:r>
        <w:rPr>
          <w:rFonts w:ascii="宋体" w:hAnsi="宋体" w:cs="宋体" w:eastAsia="宋体" w:hint="default"/>
          <w:spacing w:val="20"/>
        </w:rPr>
        <w:t> </w:t>
      </w:r>
      <w:r>
        <w:rPr>
          <w:spacing w:val="-6"/>
        </w:rPr>
        <w:t>业务签约东风、一汽、北</w:t>
      </w:r>
      <w:r>
        <w:rPr/>
      </w:r>
    </w:p>
    <w:p>
      <w:pPr>
        <w:spacing w:after="0" w:line="249" w:lineRule="exact"/>
        <w:jc w:val="both"/>
        <w:sectPr>
          <w:pgSz w:w="11910" w:h="16840"/>
          <w:pgMar w:header="945" w:footer="1248" w:top="1300" w:bottom="1440" w:left="1680" w:right="1060"/>
        </w:sectPr>
      </w:pPr>
    </w:p>
    <w:p>
      <w:pPr>
        <w:spacing w:line="240" w:lineRule="auto" w:before="3"/>
        <w:rPr>
          <w:rFonts w:ascii="宋体" w:hAnsi="宋体" w:cs="宋体" w:eastAsia="宋体" w:hint="default"/>
          <w:sz w:val="11"/>
          <w:szCs w:val="11"/>
        </w:rPr>
      </w:pPr>
    </w:p>
    <w:p>
      <w:pPr>
        <w:pStyle w:val="BodyText"/>
        <w:spacing w:line="237" w:lineRule="auto" w:before="38"/>
        <w:ind w:left="118" w:right="100"/>
        <w:jc w:val="left"/>
      </w:pPr>
      <w:r>
        <w:rPr/>
        <w:t>汽银翔、宇通、华晨等众多车厂客户。报告期内，公司发布新一代自动驾驶产品—基于</w:t>
      </w:r>
      <w:r>
        <w:rPr>
          <w:spacing w:val="-46"/>
        </w:rPr>
        <w:t> </w:t>
      </w:r>
      <w:r>
        <w:rPr>
          <w:rFonts w:ascii="宋体" w:hAnsi="宋体" w:cs="宋体" w:eastAsia="宋体" w:hint="default"/>
        </w:rPr>
        <w:t>NXP</w:t>
      </w:r>
      <w:r>
        <w:rPr>
          <w:rFonts w:ascii="宋体" w:hAnsi="宋体" w:cs="宋体" w:eastAsia="宋体" w:hint="default"/>
          <w:spacing w:val="-49"/>
        </w:rPr>
        <w:t> </w:t>
      </w:r>
      <w:r>
        <w:rPr>
          <w:spacing w:val="-3"/>
        </w:rPr>
        <w:t>最新</w:t>
      </w:r>
      <w:r>
        <w:rPr>
          <w:spacing w:val="-3"/>
          <w:w w:val="100"/>
        </w:rPr>
        <w:t> </w:t>
      </w:r>
      <w:r>
        <w:rPr/>
        <w:t>自动驾驶芯片</w:t>
      </w:r>
      <w:r>
        <w:rPr>
          <w:spacing w:val="-52"/>
        </w:rPr>
        <w:t> </w:t>
      </w:r>
      <w:r>
        <w:rPr>
          <w:rFonts w:ascii="宋体" w:hAnsi="宋体" w:cs="宋体" w:eastAsia="宋体" w:hint="default"/>
        </w:rPr>
        <w:t>S32V</w:t>
      </w:r>
      <w:r>
        <w:rPr>
          <w:rFonts w:ascii="宋体" w:hAnsi="宋体" w:cs="宋体" w:eastAsia="宋体" w:hint="default"/>
          <w:spacing w:val="-50"/>
        </w:rPr>
        <w:t> </w:t>
      </w:r>
      <w:r>
        <w:rPr/>
        <w:t>的自动驾驶中央域控制器，可实现自动紧急刹车（</w:t>
      </w:r>
      <w:r>
        <w:rPr>
          <w:rFonts w:ascii="宋体" w:hAnsi="宋体" w:cs="宋体" w:eastAsia="宋体" w:hint="default"/>
        </w:rPr>
        <w:t>AEB</w:t>
      </w:r>
      <w:r>
        <w:rPr/>
        <w:t>）、车道保持（</w:t>
      </w:r>
      <w:r>
        <w:rPr>
          <w:rFonts w:ascii="宋体" w:hAnsi="宋体" w:cs="宋体" w:eastAsia="宋体" w:hint="default"/>
        </w:rPr>
        <w:t>LKA</w:t>
      </w:r>
      <w:r>
        <w:rPr/>
        <w:t>）、</w:t>
      </w:r>
      <w:r>
        <w:rPr>
          <w:w w:val="100"/>
        </w:rPr>
        <w:t> </w:t>
      </w:r>
      <w:r>
        <w:rPr>
          <w:spacing w:val="-4"/>
        </w:rPr>
        <w:t>高速公路辅助（</w:t>
      </w:r>
      <w:r>
        <w:rPr>
          <w:rFonts w:ascii="宋体" w:hAnsi="宋体" w:cs="宋体" w:eastAsia="宋体" w:hint="default"/>
          <w:spacing w:val="-4"/>
        </w:rPr>
        <w:t>HWA</w:t>
      </w:r>
      <w:r>
        <w:rPr>
          <w:spacing w:val="-4"/>
        </w:rPr>
        <w:t>）、交通拥堵辅助（</w:t>
      </w:r>
      <w:r>
        <w:rPr>
          <w:rFonts w:ascii="宋体" w:hAnsi="宋体" w:cs="宋体" w:eastAsia="宋体" w:hint="default"/>
          <w:spacing w:val="-4"/>
        </w:rPr>
        <w:t>TJA</w:t>
      </w:r>
      <w:r>
        <w:rPr>
          <w:spacing w:val="-4"/>
        </w:rPr>
        <w:t>）、自动泊车（</w:t>
      </w:r>
      <w:r>
        <w:rPr>
          <w:rFonts w:ascii="宋体" w:hAnsi="宋体" w:cs="宋体" w:eastAsia="宋体" w:hint="default"/>
          <w:spacing w:val="-4"/>
        </w:rPr>
        <w:t>APA</w:t>
      </w:r>
      <w:r>
        <w:rPr>
          <w:spacing w:val="-4"/>
        </w:rPr>
        <w:t>）等自动驾驶功能，有效提升紧急</w:t>
      </w:r>
      <w:r>
        <w:rPr>
          <w:spacing w:val="-23"/>
        </w:rPr>
        <w:t> </w:t>
      </w:r>
      <w:r>
        <w:rPr>
          <w:spacing w:val="-23"/>
        </w:rPr>
      </w:r>
      <w:r>
        <w:rPr/>
        <w:t>情况下的行车安全。</w:t>
      </w:r>
    </w:p>
    <w:p>
      <w:pPr>
        <w:pStyle w:val="BodyText"/>
        <w:spacing w:line="237" w:lineRule="auto"/>
        <w:ind w:left="118" w:right="208" w:firstLine="419"/>
        <w:jc w:val="both"/>
      </w:pPr>
      <w:r>
        <w:rPr>
          <w:spacing w:val="-2"/>
        </w:rPr>
        <w:t>在专注于技术的同时，公司积极参与行业联盟和国家标准的制定。报告期内，公司成为国家</w:t>
      </w:r>
      <w:r>
        <w:rPr>
          <w:w w:val="100"/>
        </w:rPr>
        <w:t> </w:t>
      </w:r>
      <w:r>
        <w:rPr>
          <w:spacing w:val="-1"/>
        </w:rPr>
        <w:t>汽车电子安全国标牵头制定单位，获得国家层面对东软车载技术、网络安全技术和综合实力的高</w:t>
      </w:r>
      <w:r>
        <w:rPr>
          <w:spacing w:val="-55"/>
        </w:rPr>
        <w:t> </w:t>
      </w:r>
      <w:r>
        <w:rPr>
          <w:spacing w:val="-55"/>
        </w:rPr>
      </w:r>
      <w:r>
        <w:rPr>
          <w:spacing w:val="-1"/>
        </w:rPr>
        <w:t>度认可。同时，东软还代表国家参与联合国国际汽车信息安全标准法规提案建设，也是国际车联</w:t>
      </w:r>
      <w:r>
        <w:rPr>
          <w:spacing w:val="-55"/>
        </w:rPr>
        <w:t> </w:t>
      </w:r>
      <w:r>
        <w:rPr>
          <w:spacing w:val="-55"/>
        </w:rPr>
      </w:r>
      <w:r>
        <w:rPr>
          <w:spacing w:val="-1"/>
        </w:rPr>
        <w:t>网安全标准制定中唯一的中国企业。子公司东软睿驰已经成为中国汽车工业协会智能网联汽车信</w:t>
      </w:r>
      <w:r>
        <w:rPr>
          <w:spacing w:val="-55"/>
        </w:rPr>
        <w:t> </w:t>
      </w:r>
      <w:r>
        <w:rPr>
          <w:spacing w:val="-55"/>
        </w:rPr>
      </w:r>
      <w:r>
        <w:rPr>
          <w:spacing w:val="-1"/>
        </w:rPr>
        <w:t>息安全与数据共享工作组的组长单位、国家动力电池创新中心成员、互联互通充电联盟成员，并</w:t>
      </w:r>
      <w:r>
        <w:rPr>
          <w:spacing w:val="-55"/>
        </w:rPr>
        <w:t> </w:t>
      </w:r>
      <w:r>
        <w:rPr>
          <w:spacing w:val="-55"/>
        </w:rPr>
      </w:r>
      <w:r>
        <w:rPr>
          <w:spacing w:val="-1"/>
        </w:rPr>
        <w:t>参与电池管理系统功能安全国家标准、电动车互联互通国家标准的制定。同时，东软睿驰积极参</w:t>
      </w:r>
      <w:r>
        <w:rPr>
          <w:spacing w:val="-55"/>
        </w:rPr>
        <w:t> </w:t>
      </w:r>
      <w:r>
        <w:rPr>
          <w:spacing w:val="-55"/>
        </w:rPr>
      </w:r>
      <w:r>
        <w:rPr>
          <w:spacing w:val="-2"/>
          <w:w w:val="100"/>
        </w:rPr>
        <w:t>与制定国际</w:t>
      </w:r>
      <w:r>
        <w:rPr>
          <w:spacing w:val="-50"/>
          <w:w w:val="100"/>
        </w:rPr>
        <w:t> </w:t>
      </w:r>
      <w:r>
        <w:rPr>
          <w:rFonts w:ascii="宋体" w:hAnsi="宋体" w:cs="宋体" w:eastAsia="宋体" w:hint="default"/>
          <w:spacing w:val="-1"/>
          <w:w w:val="100"/>
        </w:rPr>
        <w:t>ISO15118</w:t>
      </w:r>
      <w:r>
        <w:rPr>
          <w:rFonts w:ascii="宋体" w:hAnsi="宋体" w:cs="宋体" w:eastAsia="宋体" w:hint="default"/>
          <w:spacing w:val="-50"/>
          <w:w w:val="100"/>
        </w:rPr>
        <w:t> </w:t>
      </w:r>
      <w:r>
        <w:rPr>
          <w:spacing w:val="-6"/>
          <w:w w:val="100"/>
        </w:rPr>
        <w:t>标准以及电动汽车无线充电系统特殊要求、基于</w:t>
      </w:r>
      <w:r>
        <w:rPr>
          <w:spacing w:val="-52"/>
          <w:w w:val="100"/>
        </w:rPr>
        <w:t> </w:t>
      </w:r>
      <w:r>
        <w:rPr>
          <w:rFonts w:ascii="宋体" w:hAnsi="宋体" w:cs="宋体" w:eastAsia="宋体" w:hint="default"/>
          <w:w w:val="100"/>
        </w:rPr>
        <w:t>PLC</w:t>
      </w:r>
      <w:r>
        <w:rPr>
          <w:rFonts w:ascii="宋体" w:hAnsi="宋体" w:cs="宋体" w:eastAsia="宋体" w:hint="default"/>
          <w:spacing w:val="-52"/>
          <w:w w:val="100"/>
        </w:rPr>
        <w:t> </w:t>
      </w:r>
      <w:r>
        <w:rPr>
          <w:spacing w:val="-2"/>
          <w:w w:val="100"/>
        </w:rPr>
        <w:t>技术的电动汽车充电通</w:t>
      </w:r>
      <w:r>
        <w:rPr>
          <w:w w:val="100"/>
        </w:rPr>
        <w:t> </w:t>
      </w:r>
      <w:r>
        <w:rPr/>
        <w:t>信技术要求、道路车辆功能安全标准、电动汽车用仪表等多项国家标准，打造行业领先地位。</w:t>
      </w:r>
    </w:p>
    <w:p>
      <w:pPr>
        <w:pStyle w:val="BodyText"/>
        <w:spacing w:line="274" w:lineRule="exact" w:before="23"/>
        <w:ind w:left="538" w:right="206" w:firstLine="2"/>
        <w:jc w:val="left"/>
      </w:pPr>
      <w:r>
        <w:rPr>
          <w:rFonts w:ascii="宋体" w:hAnsi="宋体" w:cs="宋体" w:eastAsia="宋体" w:hint="default"/>
          <w:b/>
          <w:bCs/>
        </w:rPr>
        <w:t>3</w:t>
      </w:r>
      <w:r>
        <w:rPr>
          <w:rFonts w:ascii="宋体" w:hAnsi="宋体" w:cs="宋体" w:eastAsia="宋体" w:hint="default"/>
          <w:b/>
          <w:bCs/>
        </w:rPr>
        <w:t>、智慧城市</w:t>
      </w:r>
      <w:r>
        <w:rPr>
          <w:rFonts w:ascii="宋体" w:hAnsi="宋体" w:cs="宋体" w:eastAsia="宋体" w:hint="default"/>
          <w:b/>
          <w:bCs/>
          <w:w w:val="100"/>
        </w:rPr>
        <w:t> </w:t>
      </w:r>
      <w:r>
        <w:rPr>
          <w:spacing w:val="-7"/>
        </w:rPr>
        <w:t>公司致力于推进“智慧云城市”战略，构建了集咨询规划、建设实施、运维服务于一体的“以</w:t>
      </w:r>
    </w:p>
    <w:p>
      <w:pPr>
        <w:pStyle w:val="BodyText"/>
        <w:spacing w:line="245" w:lineRule="exact"/>
        <w:ind w:left="118" w:right="96"/>
        <w:jc w:val="left"/>
      </w:pPr>
      <w:r>
        <w:rPr/>
        <w:t>大数据为核心的新型智慧城市”业务框架，利用云计算、大数据、移动互联网等新技术，成功构</w:t>
      </w:r>
    </w:p>
    <w:p>
      <w:pPr>
        <w:pStyle w:val="BodyText"/>
        <w:spacing w:line="237" w:lineRule="auto" w:before="2"/>
        <w:ind w:left="118" w:right="208"/>
        <w:jc w:val="both"/>
      </w:pPr>
      <w:r>
        <w:rPr>
          <w:spacing w:val="-1"/>
        </w:rPr>
        <w:t>建了覆盖政府、企业、社区、家庭和个人的产业集群，打造了惠民、兴业、优政的智慧云城市解</w:t>
      </w:r>
      <w:r>
        <w:rPr>
          <w:spacing w:val="-55"/>
        </w:rPr>
        <w:t> </w:t>
      </w:r>
      <w:r>
        <w:rPr>
          <w:spacing w:val="-55"/>
        </w:rPr>
      </w:r>
      <w:r>
        <w:rPr>
          <w:spacing w:val="-1"/>
        </w:rPr>
        <w:t>决方案与服务。报告期内，公司通过“工信部安全可靠联合攻关（骨干）企业”认定，入围“党</w:t>
      </w:r>
      <w:r>
        <w:rPr>
          <w:spacing w:val="-55"/>
        </w:rPr>
        <w:t> </w:t>
      </w:r>
      <w:r>
        <w:rPr>
          <w:spacing w:val="-55"/>
        </w:rPr>
      </w:r>
      <w:r>
        <w:rPr>
          <w:spacing w:val="-1"/>
        </w:rPr>
        <w:t>政机关电子公文系统安全可靠应用试点集成商”。公司承接烟台、丹东、哈尔滨、抚顺、湘潭等</w:t>
      </w:r>
      <w:r>
        <w:rPr>
          <w:spacing w:val="-55"/>
        </w:rPr>
        <w:t> </w:t>
      </w:r>
      <w:r>
        <w:rPr>
          <w:spacing w:val="-55"/>
        </w:rPr>
      </w:r>
      <w:r>
        <w:rPr>
          <w:spacing w:val="-1"/>
        </w:rPr>
        <w:t>多地智慧城市项目，积极参与城市整体规划和顶层设计，加速技术和商业模式创新，不断提升公</w:t>
      </w:r>
      <w:r>
        <w:rPr>
          <w:spacing w:val="-55"/>
        </w:rPr>
        <w:t> </w:t>
      </w:r>
      <w:r>
        <w:rPr>
          <w:spacing w:val="-55"/>
        </w:rPr>
      </w:r>
      <w:r>
        <w:rPr/>
        <w:t>司在优势行业的市场份额和领先地位。</w:t>
      </w:r>
    </w:p>
    <w:p>
      <w:pPr>
        <w:pStyle w:val="BodyText"/>
        <w:spacing w:line="237" w:lineRule="auto" w:before="1"/>
        <w:ind w:left="118" w:right="207" w:firstLine="419"/>
        <w:jc w:val="both"/>
      </w:pPr>
      <w:r>
        <w:rPr>
          <w:spacing w:val="-2"/>
        </w:rPr>
        <w:t>东软积极打造智慧政务系统，让政府服务更可及，让监管更智慧。公司在继续夯实面向政府</w:t>
      </w:r>
      <w:r>
        <w:rPr>
          <w:w w:val="100"/>
        </w:rPr>
        <w:t> </w:t>
      </w:r>
      <w:r>
        <w:rPr>
          <w:spacing w:val="-4"/>
        </w:rPr>
        <w:t>的行业信息化业务的同时，迅速抓住了以“互联网</w:t>
      </w:r>
      <w:r>
        <w:rPr>
          <w:rFonts w:ascii="宋体" w:hAnsi="宋体" w:cs="宋体" w:eastAsia="宋体" w:hint="default"/>
          <w:spacing w:val="-4"/>
        </w:rPr>
        <w:t>+</w:t>
      </w:r>
      <w:r>
        <w:rPr>
          <w:spacing w:val="-4"/>
        </w:rPr>
        <w:t>政务服务”为代表的新业态发展机遇，推出了</w:t>
      </w:r>
      <w:r>
        <w:rPr>
          <w:spacing w:val="-35"/>
        </w:rPr>
        <w:t> </w:t>
      </w:r>
      <w:r>
        <w:rPr>
          <w:spacing w:val="-35"/>
        </w:rPr>
      </w:r>
      <w:r>
        <w:rPr>
          <w:spacing w:val="-2"/>
        </w:rPr>
        <w:t>面向信息惠民的“一号一窗一网”、“便民一卡通”、“智慧社区”等便民服务解决方案；为引</w:t>
      </w:r>
      <w:r>
        <w:rPr>
          <w:spacing w:val="-15"/>
        </w:rPr>
        <w:t> </w:t>
      </w:r>
      <w:r>
        <w:rPr>
          <w:spacing w:val="-15"/>
        </w:rPr>
      </w:r>
      <w:r>
        <w:rPr>
          <w:spacing w:val="2"/>
        </w:rPr>
        <w:t>领我国政府信息化从“电子政务”到“智慧政务”的发展趋势，公司在“基础信息资源库”及</w:t>
      </w:r>
      <w:r>
        <w:rPr>
          <w:spacing w:val="12"/>
        </w:rPr>
        <w:t> </w:t>
      </w:r>
      <w:r>
        <w:rPr>
          <w:spacing w:val="12"/>
        </w:rPr>
      </w:r>
      <w:r>
        <w:rPr>
          <w:spacing w:val="-1"/>
        </w:rPr>
        <w:t>“政务信息资源共享与开放”方面加大研发投入，同时坚决提升“政务大数据综合应用”及“领</w:t>
      </w:r>
      <w:r>
        <w:rPr>
          <w:spacing w:val="-56"/>
        </w:rPr>
        <w:t> </w:t>
      </w:r>
      <w:r>
        <w:rPr>
          <w:spacing w:val="-56"/>
        </w:rPr>
      </w:r>
      <w:r>
        <w:rPr>
          <w:spacing w:val="-1"/>
        </w:rPr>
        <w:t>域知识智能应用”的业务发展优先度，推出了以大数据为核心助力政府治理模式创新的产品与服</w:t>
      </w:r>
      <w:r>
        <w:rPr>
          <w:spacing w:val="-56"/>
        </w:rPr>
        <w:t> </w:t>
      </w:r>
      <w:r>
        <w:rPr>
          <w:spacing w:val="-56"/>
        </w:rPr>
      </w:r>
      <w:r>
        <w:rPr>
          <w:spacing w:val="-6"/>
        </w:rPr>
        <w:t>务，持续提升公司在“优政”领域的市场竞争位序。报告期内，公司投资设立“生活空间（上海）</w:t>
      </w:r>
      <w:r>
        <w:rPr>
          <w:spacing w:val="-53"/>
        </w:rPr>
        <w:t> </w:t>
      </w:r>
      <w:r>
        <w:rPr>
          <w:spacing w:val="-53"/>
        </w:rPr>
      </w:r>
      <w:r>
        <w:rPr>
          <w:spacing w:val="-1"/>
        </w:rPr>
        <w:t>数据技术服务有限公司”，以数据技术改善民生服务为场景，基于房产、交通、就业、医疗等民</w:t>
      </w:r>
      <w:r>
        <w:rPr>
          <w:spacing w:val="-55"/>
        </w:rPr>
        <w:t> </w:t>
      </w:r>
      <w:r>
        <w:rPr>
          <w:spacing w:val="-55"/>
        </w:rPr>
      </w:r>
      <w:r>
        <w:rPr/>
        <w:t>生数据的政务大数据，为城市民生提供专业的数据分析与服务。</w:t>
      </w:r>
    </w:p>
    <w:p>
      <w:pPr>
        <w:pStyle w:val="BodyText"/>
        <w:spacing w:line="237" w:lineRule="auto"/>
        <w:ind w:left="118" w:right="208" w:firstLine="419"/>
        <w:jc w:val="both"/>
      </w:pPr>
      <w:r>
        <w:rPr>
          <w:spacing w:val="-2"/>
        </w:rPr>
        <w:t>报告期内，公司在智慧政务领域取得良好进展，与各政务系统开展紧密合作。在电子政务领</w:t>
      </w:r>
      <w:r>
        <w:rPr>
          <w:w w:val="100"/>
        </w:rPr>
        <w:t> </w:t>
      </w:r>
      <w:r>
        <w:rPr>
          <w:spacing w:val="-4"/>
        </w:rPr>
        <w:t>域，公司中标河北互联网</w:t>
      </w:r>
      <w:r>
        <w:rPr>
          <w:rFonts w:ascii="宋体" w:hAnsi="宋体" w:cs="宋体" w:eastAsia="宋体" w:hint="default"/>
          <w:spacing w:val="-4"/>
        </w:rPr>
        <w:t>+</w:t>
      </w:r>
      <w:r>
        <w:rPr>
          <w:spacing w:val="-4"/>
        </w:rPr>
        <w:t>政务服务项目、全国信用信息共享平台二期、最高检电子检务工程核心</w:t>
      </w:r>
      <w:r>
        <w:rPr>
          <w:spacing w:val="-33"/>
        </w:rPr>
        <w:t> </w:t>
      </w:r>
      <w:r>
        <w:rPr>
          <w:spacing w:val="-33"/>
        </w:rPr>
      </w:r>
      <w:r>
        <w:rPr>
          <w:spacing w:val="-1"/>
        </w:rPr>
        <w:t>系统等项目，巩固了工商领域一体化数据平台的优势地位。在公检法行业，公司承建的“国家人</w:t>
      </w:r>
      <w:r>
        <w:rPr>
          <w:spacing w:val="-55"/>
        </w:rPr>
        <w:t> </w:t>
      </w:r>
      <w:r>
        <w:rPr>
          <w:spacing w:val="-55"/>
        </w:rPr>
      </w:r>
      <w:r>
        <w:rPr>
          <w:spacing w:val="-1"/>
        </w:rPr>
        <w:t>口基础信息库建设软件系统开发项目”上线运行，同时中标国家最高检应用支撑平台项目，签约</w:t>
      </w:r>
      <w:r>
        <w:rPr>
          <w:spacing w:val="-55"/>
        </w:rPr>
        <w:t> </w:t>
      </w:r>
      <w:r>
        <w:rPr>
          <w:spacing w:val="-55"/>
        </w:rPr>
      </w:r>
      <w:r>
        <w:rPr>
          <w:spacing w:val="-1"/>
        </w:rPr>
        <w:t>辽宁公安、贵州公安、广东高法等客户。在不动产管理领域，公司承接国家国土资源部、住建部</w:t>
      </w:r>
      <w:r>
        <w:rPr>
          <w:spacing w:val="-55"/>
        </w:rPr>
        <w:t> </w:t>
      </w:r>
      <w:r>
        <w:rPr>
          <w:spacing w:val="-55"/>
        </w:rPr>
      </w:r>
      <w:r>
        <w:rPr>
          <w:spacing w:val="-6"/>
        </w:rPr>
        <w:t>及多个省市项目。在财税领域，公司签约国家税务总局及广东、河南等省业务。在知识产权领域，</w:t>
      </w:r>
      <w:r>
        <w:rPr>
          <w:spacing w:val="-52"/>
        </w:rPr>
        <w:t> </w:t>
      </w:r>
      <w:r>
        <w:rPr>
          <w:spacing w:val="-52"/>
        </w:rPr>
      </w:r>
      <w:r>
        <w:rPr>
          <w:spacing w:val="-1"/>
        </w:rPr>
        <w:t>承接国家专利局项目，专利智能化检索系统顺利上线。在环保领域，公司经过多年的实践推广，</w:t>
      </w:r>
      <w:r>
        <w:rPr>
          <w:spacing w:val="-55"/>
        </w:rPr>
        <w:t> </w:t>
      </w:r>
      <w:r>
        <w:rPr>
          <w:spacing w:val="-55"/>
        </w:rPr>
      </w:r>
      <w:r>
        <w:rPr>
          <w:spacing w:val="-1"/>
        </w:rPr>
        <w:t>形成了检测场（站）、市级、省级等机动车尾气排放监管解决方案，推出机动车尾气遥感监测仪</w:t>
      </w:r>
      <w:r>
        <w:rPr>
          <w:spacing w:val="-55"/>
        </w:rPr>
        <w:t> </w:t>
      </w:r>
      <w:r>
        <w:rPr>
          <w:spacing w:val="-55"/>
        </w:rPr>
      </w:r>
      <w:r>
        <w:rPr>
          <w:spacing w:val="-9"/>
        </w:rPr>
        <w:t>产品，并快速占领市场。报告期内，公司中标部委首个“互联网</w:t>
      </w:r>
      <w:r>
        <w:rPr>
          <w:rFonts w:ascii="宋体" w:hAnsi="宋体" w:cs="宋体" w:eastAsia="宋体" w:hint="default"/>
          <w:spacing w:val="-9"/>
        </w:rPr>
        <w:t>+</w:t>
      </w:r>
      <w:r>
        <w:rPr>
          <w:spacing w:val="-9"/>
        </w:rPr>
        <w:t>环保部政务”项目，签约辽宁省、</w:t>
      </w:r>
      <w:r>
        <w:rPr>
          <w:spacing w:val="-24"/>
        </w:rPr>
        <w:t> </w:t>
      </w:r>
      <w:r>
        <w:rPr>
          <w:spacing w:val="-24"/>
        </w:rPr>
      </w:r>
      <w:r>
        <w:rPr>
          <w:spacing w:val="-1"/>
        </w:rPr>
        <w:t>昆明市等地环境监测中心。在食品安全领域，公司中标江苏省食药监三期项目，切入用户核心业</w:t>
      </w:r>
      <w:r>
        <w:rPr>
          <w:spacing w:val="-55"/>
        </w:rPr>
        <w:t> </w:t>
      </w:r>
      <w:r>
        <w:rPr>
          <w:spacing w:val="-55"/>
        </w:rPr>
      </w:r>
      <w:r>
        <w:rPr/>
        <w:t>务系统，吉林、延安、渭南肉菜溯源项目进展顺利。</w:t>
      </w:r>
    </w:p>
    <w:p>
      <w:pPr>
        <w:pStyle w:val="BodyText"/>
        <w:spacing w:line="237" w:lineRule="auto"/>
        <w:ind w:left="118" w:right="98" w:firstLine="419"/>
        <w:jc w:val="left"/>
      </w:pPr>
      <w:r>
        <w:rPr/>
        <w:t>东软积极为电信运营商提供物联网链接平台、业务管控平台、云计算平台、大数据基础平台</w:t>
      </w:r>
      <w:r>
        <w:rPr>
          <w:w w:val="100"/>
        </w:rPr>
        <w:t> </w:t>
      </w:r>
      <w:r>
        <w:rPr/>
        <w:t>和信息安全平台，助力电信运营商全面布局智慧城市基础设施建设和运营支撑。公司持续探索区</w:t>
      </w:r>
      <w:r>
        <w:rPr>
          <w:spacing w:val="-97"/>
        </w:rPr>
        <w:t> </w:t>
      </w:r>
      <w:r>
        <w:rPr>
          <w:spacing w:val="-97"/>
        </w:rPr>
      </w:r>
      <w:r>
        <w:rPr/>
        <w:t>块链等新技术在电信领域的应用，设计并推出“微服务”架构并已通过认证。报告期内，公司签</w:t>
      </w:r>
      <w:r>
        <w:rPr>
          <w:spacing w:val="-97"/>
        </w:rPr>
        <w:t> </w:t>
      </w:r>
      <w:r>
        <w:rPr>
          <w:spacing w:val="-97"/>
        </w:rPr>
      </w:r>
      <w:r>
        <w:rPr/>
        <w:t>约中国联通总部及全国</w:t>
      </w:r>
      <w:r>
        <w:rPr>
          <w:spacing w:val="-40"/>
        </w:rPr>
        <w:t> </w:t>
      </w:r>
      <w:r>
        <w:rPr>
          <w:rFonts w:ascii="宋体" w:hAnsi="宋体" w:cs="宋体" w:eastAsia="宋体" w:hint="default"/>
        </w:rPr>
        <w:t>15</w:t>
      </w:r>
      <w:r>
        <w:rPr>
          <w:rFonts w:ascii="宋体" w:hAnsi="宋体" w:cs="宋体" w:eastAsia="宋体" w:hint="default"/>
          <w:spacing w:val="-44"/>
        </w:rPr>
        <w:t> </w:t>
      </w:r>
      <w:r>
        <w:rPr>
          <w:spacing w:val="-5"/>
        </w:rPr>
        <w:t>省业务，积极构建一体化服务平台。公司持续拓展与中国电信在新一代</w:t>
      </w:r>
      <w:r>
        <w:rPr>
          <w:spacing w:val="-75"/>
        </w:rPr>
        <w:t> </w:t>
      </w:r>
      <w:r>
        <w:rPr>
          <w:spacing w:val="-75"/>
        </w:rPr>
      </w:r>
      <w:r>
        <w:rPr>
          <w:rFonts w:ascii="宋体" w:hAnsi="宋体" w:cs="宋体" w:eastAsia="宋体" w:hint="default"/>
        </w:rPr>
        <w:t>CRM</w:t>
      </w:r>
      <w:r>
        <w:rPr>
          <w:rFonts w:ascii="宋体" w:hAnsi="宋体" w:cs="宋体" w:eastAsia="宋体" w:hint="default"/>
          <w:spacing w:val="-50"/>
        </w:rPr>
        <w:t> </w:t>
      </w:r>
      <w:r>
        <w:rPr/>
        <w:t>平台、集采服务、</w:t>
      </w:r>
      <w:r>
        <w:rPr>
          <w:rFonts w:ascii="宋体" w:hAnsi="宋体" w:cs="宋体" w:eastAsia="宋体" w:hint="default"/>
        </w:rPr>
        <w:t>BSS</w:t>
      </w:r>
      <w:r>
        <w:rPr>
          <w:rFonts w:ascii="宋体" w:hAnsi="宋体" w:cs="宋体" w:eastAsia="宋体" w:hint="default"/>
          <w:spacing w:val="-50"/>
        </w:rPr>
        <w:t> </w:t>
      </w:r>
      <w:r>
        <w:rPr/>
        <w:t>等领域业务，签约中国电信总部、云计算分公司及河北、陕西、上海、</w:t>
      </w:r>
      <w:r>
        <w:rPr>
          <w:w w:val="100"/>
        </w:rPr>
        <w:t> </w:t>
      </w:r>
      <w:r>
        <w:rPr>
          <w:spacing w:val="-5"/>
        </w:rPr>
        <w:t>云南等地业务，签约中国电信总部、研究院及</w:t>
      </w:r>
      <w:r>
        <w:rPr>
          <w:spacing w:val="-41"/>
        </w:rPr>
        <w:t> </w:t>
      </w:r>
      <w:r>
        <w:rPr>
          <w:rFonts w:ascii="宋体" w:hAnsi="宋体" w:cs="宋体" w:eastAsia="宋体" w:hint="default"/>
        </w:rPr>
        <w:t>17</w:t>
      </w:r>
      <w:r>
        <w:rPr>
          <w:rFonts w:ascii="宋体" w:hAnsi="宋体" w:cs="宋体" w:eastAsia="宋体" w:hint="default"/>
          <w:spacing w:val="-38"/>
        </w:rPr>
        <w:t> </w:t>
      </w:r>
      <w:r>
        <w:rPr>
          <w:spacing w:val="-3"/>
        </w:rPr>
        <w:t>省业务。公司与核心客户中国移动的合作进一步</w:t>
      </w:r>
      <w:r>
        <w:rPr>
          <w:spacing w:val="-69"/>
        </w:rPr>
        <w:t> </w:t>
      </w:r>
      <w:r>
        <w:rPr>
          <w:spacing w:val="-69"/>
        </w:rPr>
      </w:r>
      <w:r>
        <w:rPr/>
        <w:t>深化，咪咕公司、物联网公司、信息技术公司和中移在线等专业公司业务规模大幅度扩大。在云</w:t>
      </w:r>
      <w:r>
        <w:rPr>
          <w:spacing w:val="-98"/>
        </w:rPr>
        <w:t> </w:t>
      </w:r>
      <w:r>
        <w:rPr>
          <w:spacing w:val="-98"/>
        </w:rPr>
      </w:r>
      <w:r>
        <w:rPr/>
        <w:t>计算方面，不断提升与中国移动“大云”业务合作的深度和广度，同时继续巩固在中国移动私有</w:t>
      </w:r>
      <w:r>
        <w:rPr>
          <w:spacing w:val="-97"/>
        </w:rPr>
        <w:t> </w:t>
      </w:r>
      <w:r>
        <w:rPr>
          <w:spacing w:val="-97"/>
        </w:rPr>
      </w:r>
      <w:r>
        <w:rPr/>
        <w:t>云领先地位，签约苏州研究院等专业化公司，推动湖北、江西、云南等省云业务全面提速。在创</w:t>
      </w:r>
      <w:r>
        <w:rPr>
          <w:spacing w:val="-97"/>
        </w:rPr>
        <w:t> </w:t>
      </w:r>
      <w:r>
        <w:rPr>
          <w:spacing w:val="-97"/>
        </w:rPr>
      </w:r>
      <w:r>
        <w:rPr/>
        <w:t>新领域，围绕中国移动“大连接”战略，在核心网、物联网、支撑网等领域推出电信云，物联网</w:t>
      </w:r>
    </w:p>
    <w:p>
      <w:pPr>
        <w:spacing w:after="0" w:line="237" w:lineRule="auto"/>
        <w:jc w:val="left"/>
        <w:sectPr>
          <w:pgSz w:w="11910" w:h="16840"/>
          <w:pgMar w:header="945" w:footer="1248" w:top="1300" w:bottom="1440" w:left="1680" w:right="1060"/>
        </w:sectPr>
      </w:pPr>
    </w:p>
    <w:p>
      <w:pPr>
        <w:spacing w:line="240" w:lineRule="auto" w:before="3"/>
        <w:rPr>
          <w:rFonts w:ascii="宋体" w:hAnsi="宋体" w:cs="宋体" w:eastAsia="宋体" w:hint="default"/>
          <w:sz w:val="11"/>
          <w:szCs w:val="11"/>
        </w:rPr>
      </w:pPr>
    </w:p>
    <w:p>
      <w:pPr>
        <w:pStyle w:val="BodyText"/>
        <w:spacing w:line="237" w:lineRule="auto" w:before="38"/>
        <w:ind w:left="118" w:right="207"/>
        <w:jc w:val="both"/>
      </w:pPr>
      <w:r>
        <w:rPr/>
        <w:t>安全能力平台，智能安全脱敏等新平台与方案；承接中国移动</w:t>
      </w:r>
      <w:r>
        <w:rPr>
          <w:spacing w:val="-49"/>
        </w:rPr>
        <w:t> </w:t>
      </w:r>
      <w:r>
        <w:rPr>
          <w:rFonts w:ascii="宋体" w:hAnsi="宋体" w:cs="宋体" w:eastAsia="宋体" w:hint="default"/>
        </w:rPr>
        <w:t>MEC</w:t>
      </w:r>
      <w:r>
        <w:rPr>
          <w:rFonts w:ascii="宋体" w:hAnsi="宋体" w:cs="宋体" w:eastAsia="宋体" w:hint="default"/>
          <w:spacing w:val="-51"/>
        </w:rPr>
        <w:t> </w:t>
      </w:r>
      <w:r>
        <w:rPr/>
        <w:t>应用管理研发工作，积极布局</w:t>
      </w:r>
      <w:r>
        <w:rPr>
          <w:w w:val="100"/>
        </w:rPr>
        <w:t> </w:t>
      </w:r>
      <w:r>
        <w:rPr>
          <w:rFonts w:ascii="宋体" w:hAnsi="宋体" w:cs="宋体" w:eastAsia="宋体" w:hint="default"/>
        </w:rPr>
        <w:t>5G</w:t>
      </w:r>
      <w:r>
        <w:rPr>
          <w:rFonts w:ascii="宋体" w:hAnsi="宋体" w:cs="宋体" w:eastAsia="宋体" w:hint="default"/>
          <w:spacing w:val="-51"/>
        </w:rPr>
        <w:t> </w:t>
      </w:r>
      <w:r>
        <w:rPr/>
        <w:t>业务；开拓下一代客服平台、</w:t>
      </w:r>
      <w:r>
        <w:rPr>
          <w:rFonts w:ascii="宋体" w:hAnsi="宋体" w:cs="宋体" w:eastAsia="宋体" w:hint="default"/>
        </w:rPr>
        <w:t>NFV</w:t>
      </w:r>
      <w:r>
        <w:rPr>
          <w:rFonts w:ascii="宋体" w:hAnsi="宋体" w:cs="宋体" w:eastAsia="宋体" w:hint="default"/>
          <w:spacing w:val="-51"/>
        </w:rPr>
        <w:t> </w:t>
      </w:r>
      <w:r>
        <w:rPr/>
        <w:t>电信云融合网关等新领域。在安全感知领域，基于大数据、</w:t>
      </w:r>
      <w:r>
        <w:rPr>
          <w:w w:val="100"/>
        </w:rPr>
        <w:t> </w:t>
      </w:r>
      <w:r>
        <w:rPr>
          <w:spacing w:val="-1"/>
        </w:rPr>
        <w:t>机器学习洞察业务发展态势，持续推出垃圾短信、骚扰电话、不良信息等治理方案，构建更加智</w:t>
      </w:r>
      <w:r>
        <w:rPr>
          <w:spacing w:val="-56"/>
        </w:rPr>
        <w:t> </w:t>
      </w:r>
      <w:r>
        <w:rPr>
          <w:spacing w:val="-56"/>
        </w:rPr>
      </w:r>
      <w:r>
        <w:rPr/>
        <w:t>能、更加安全的通信管道。报告期内，公司承建</w:t>
      </w:r>
      <w:r>
        <w:rPr>
          <w:spacing w:val="-50"/>
        </w:rPr>
        <w:t> </w:t>
      </w:r>
      <w:r>
        <w:rPr>
          <w:rFonts w:ascii="宋体" w:hAnsi="宋体" w:cs="宋体" w:eastAsia="宋体" w:hint="default"/>
        </w:rPr>
        <w:t>4</w:t>
      </w:r>
      <w:r>
        <w:rPr>
          <w:rFonts w:ascii="宋体" w:hAnsi="宋体" w:cs="宋体" w:eastAsia="宋体" w:hint="default"/>
          <w:spacing w:val="-49"/>
        </w:rPr>
        <w:t> </w:t>
      </w:r>
      <w:r>
        <w:rPr/>
        <w:t>个优质虚拟运营商的业务支撑平台，持续开拓</w:t>
      </w:r>
      <w:r>
        <w:rPr>
          <w:w w:val="100"/>
        </w:rPr>
        <w:t> </w:t>
      </w:r>
      <w:r>
        <w:rPr/>
        <w:t>虚拟运营商市场。</w:t>
      </w:r>
    </w:p>
    <w:p>
      <w:pPr>
        <w:pStyle w:val="BodyText"/>
        <w:spacing w:line="237" w:lineRule="auto" w:before="1"/>
        <w:ind w:left="118" w:right="208" w:firstLine="419"/>
        <w:jc w:val="both"/>
      </w:pPr>
      <w:r>
        <w:rPr>
          <w:spacing w:val="-2"/>
        </w:rPr>
        <w:t>东软积极布局智慧能源，构建能源互联网商业生态，通过不断的创新重构能源行业的内部管</w:t>
      </w:r>
      <w:r>
        <w:rPr>
          <w:w w:val="100"/>
        </w:rPr>
        <w:t> </w:t>
      </w:r>
      <w:r>
        <w:rPr>
          <w:spacing w:val="-1"/>
        </w:rPr>
        <w:t>理、重构产业链，帮助整个行业实现跨越式的发展，支撑城市新能源产业发展和城市环境保护健</w:t>
      </w:r>
      <w:r>
        <w:rPr>
          <w:spacing w:val="-55"/>
        </w:rPr>
        <w:t> </w:t>
      </w:r>
      <w:r>
        <w:rPr>
          <w:spacing w:val="-55"/>
        </w:rPr>
      </w:r>
      <w:r>
        <w:rPr>
          <w:spacing w:val="-1"/>
        </w:rPr>
        <w:t>康发展。在电力行业，公司持续加强与国家电网、南方电网等核心客户的深度合作，签约新疆兵</w:t>
      </w:r>
      <w:r>
        <w:rPr>
          <w:spacing w:val="-55"/>
        </w:rPr>
        <w:t> </w:t>
      </w:r>
      <w:r>
        <w:rPr>
          <w:spacing w:val="-55"/>
        </w:rPr>
      </w:r>
      <w:r>
        <w:rPr>
          <w:spacing w:val="-1"/>
        </w:rPr>
        <w:t>团、西昌电力等地方电力客户，并开拓江西和惠、河南郑州航空港等售电公司客户，促进了平台</w:t>
      </w:r>
      <w:r>
        <w:rPr>
          <w:spacing w:val="-56"/>
        </w:rPr>
        <w:t> </w:t>
      </w:r>
      <w:r>
        <w:rPr>
          <w:spacing w:val="-56"/>
        </w:rPr>
      </w:r>
      <w:r>
        <w:rPr>
          <w:spacing w:val="-1"/>
        </w:rPr>
        <w:t>化售电软件的实际应用，为后续规模化拓展开放电力市场打下了基础。在石油石化、水务燃气领</w:t>
      </w:r>
      <w:r>
        <w:rPr>
          <w:spacing w:val="-55"/>
        </w:rPr>
        <w:t> </w:t>
      </w:r>
      <w:r>
        <w:rPr>
          <w:spacing w:val="-55"/>
        </w:rPr>
      </w:r>
      <w:r>
        <w:rPr/>
        <w:t>域，公司进一步加强与关键客户的合作和互动，持续探索和推进全产业链业务布局。</w:t>
      </w:r>
    </w:p>
    <w:p>
      <w:pPr>
        <w:pStyle w:val="BodyText"/>
        <w:spacing w:line="237" w:lineRule="auto" w:before="1"/>
        <w:ind w:left="118" w:right="207" w:firstLine="419"/>
        <w:jc w:val="both"/>
      </w:pPr>
      <w:r>
        <w:rPr>
          <w:spacing w:val="-4"/>
        </w:rPr>
        <w:t>东软在智慧金融业务领域不断创新，积极构建“互联网</w:t>
      </w:r>
      <w:r>
        <w:rPr>
          <w:rFonts w:ascii="宋体" w:hAnsi="宋体" w:cs="宋体" w:eastAsia="宋体" w:hint="default"/>
          <w:spacing w:val="-4"/>
        </w:rPr>
        <w:t>+</w:t>
      </w:r>
      <w:r>
        <w:rPr>
          <w:spacing w:val="-4"/>
        </w:rPr>
        <w:t>金融”业务的运营服务体系，夯实金</w:t>
      </w:r>
      <w:r>
        <w:rPr>
          <w:w w:val="100"/>
        </w:rPr>
        <w:t> </w:t>
      </w:r>
      <w:r>
        <w:rPr>
          <w:spacing w:val="-1"/>
        </w:rPr>
        <w:t>融科技能力，聚焦银行服务与产品创新业务建设、互联网保险行业解决方案。在银行业务领域，</w:t>
      </w:r>
      <w:r>
        <w:rPr>
          <w:spacing w:val="-55"/>
        </w:rPr>
        <w:t> </w:t>
      </w:r>
      <w:r>
        <w:rPr>
          <w:spacing w:val="-55"/>
        </w:rPr>
      </w:r>
      <w:r>
        <w:rPr>
          <w:spacing w:val="-1"/>
        </w:rPr>
        <w:t>公司加强与中国人民银行、中国银联等客户的深入合作，业务覆盖工商银行、浦发银行、广发银</w:t>
      </w:r>
      <w:r>
        <w:rPr>
          <w:spacing w:val="-55"/>
        </w:rPr>
        <w:t> </w:t>
      </w:r>
      <w:r>
        <w:rPr>
          <w:spacing w:val="-55"/>
        </w:rPr>
      </w:r>
      <w:r>
        <w:rPr>
          <w:spacing w:val="-6"/>
        </w:rPr>
        <w:t>行、华夏银行、兴业银行等多家国有银行、股份制商业银行、城商行、农商行。在保险业务领域，</w:t>
      </w:r>
      <w:r>
        <w:rPr>
          <w:spacing w:val="-51"/>
        </w:rPr>
        <w:t> </w:t>
      </w:r>
      <w:r>
        <w:rPr>
          <w:spacing w:val="-51"/>
        </w:rPr>
      </w:r>
      <w:r>
        <w:rPr>
          <w:spacing w:val="-1"/>
        </w:rPr>
        <w:t>公司保持与太平洋保险、中国人保等关键客户的长期合作关系，创新保险产品“睿保”平台得到</w:t>
      </w:r>
      <w:r>
        <w:rPr>
          <w:spacing w:val="-55"/>
        </w:rPr>
        <w:t> </w:t>
      </w:r>
      <w:r>
        <w:rPr>
          <w:spacing w:val="-55"/>
        </w:rPr>
      </w:r>
      <w:r>
        <w:rPr>
          <w:spacing w:val="-1"/>
        </w:rPr>
        <w:t>快速发展，以“互联网保险”为主的产业互联网业务形成规模。在证券行业领域，公司业务覆盖</w:t>
      </w:r>
      <w:r>
        <w:rPr>
          <w:spacing w:val="-55"/>
        </w:rPr>
        <w:t> </w:t>
      </w:r>
      <w:r>
        <w:rPr>
          <w:spacing w:val="-55"/>
        </w:rPr>
      </w:r>
      <w:r>
        <w:rPr>
          <w:spacing w:val="-1"/>
        </w:rPr>
        <w:t>上海证券交易所、上海黄金交易所、上海期货交易所、中国证券登记结算公司等重要客户，并承</w:t>
      </w:r>
      <w:r>
        <w:rPr>
          <w:spacing w:val="-55"/>
        </w:rPr>
        <w:t> </w:t>
      </w:r>
      <w:r>
        <w:rPr>
          <w:spacing w:val="-55"/>
        </w:rPr>
      </w:r>
      <w:r>
        <w:rPr>
          <w:spacing w:val="-1"/>
        </w:rPr>
        <w:t>接海通证券、国信证券等客户项目。在金融领域的区块链业务、人工智能和大数据业务也开始布</w:t>
      </w:r>
      <w:r>
        <w:rPr>
          <w:spacing w:val="-55"/>
        </w:rPr>
        <w:t> </w:t>
      </w:r>
      <w:r>
        <w:rPr>
          <w:spacing w:val="-55"/>
        </w:rPr>
      </w:r>
      <w:r>
        <w:rPr/>
        <w:t>局和突破。</w:t>
      </w:r>
    </w:p>
    <w:p>
      <w:pPr>
        <w:pStyle w:val="BodyText"/>
        <w:spacing w:line="237" w:lineRule="auto" w:before="1"/>
        <w:ind w:left="118" w:right="208" w:firstLine="419"/>
        <w:jc w:val="both"/>
      </w:pPr>
      <w:r>
        <w:rPr>
          <w:spacing w:val="-2"/>
        </w:rPr>
        <w:t>东软在智慧教育领域，助力教育体系全面构建数字化、网络化、智能化的现代教育系统，以</w:t>
      </w:r>
      <w:r>
        <w:rPr>
          <w:w w:val="100"/>
        </w:rPr>
        <w:t> </w:t>
      </w:r>
      <w:r>
        <w:rPr>
          <w:spacing w:val="-1"/>
        </w:rPr>
        <w:t>教育信息化促进教育现代化，用信息技术改变传统模式。报告期内，公司完成了“智慧学院”平</w:t>
      </w:r>
      <w:r>
        <w:rPr>
          <w:spacing w:val="-55"/>
        </w:rPr>
        <w:t> </w:t>
      </w:r>
      <w:r>
        <w:rPr>
          <w:spacing w:val="-55"/>
        </w:rPr>
      </w:r>
      <w:r>
        <w:rPr>
          <w:spacing w:val="-1"/>
        </w:rPr>
        <w:t>台的研发，在华中科技大学进行试点，并承接武汉理工大学、中国地质大学、山东大学等高等院</w:t>
      </w:r>
      <w:r>
        <w:rPr>
          <w:spacing w:val="-55"/>
        </w:rPr>
        <w:t> </w:t>
      </w:r>
      <w:r>
        <w:rPr>
          <w:spacing w:val="-55"/>
        </w:rPr>
      </w:r>
      <w:r>
        <w:rPr>
          <w:spacing w:val="-1"/>
        </w:rPr>
        <w:t>校信息化项目。在教育互联网业务领域，公司推出“睿云”云阅卷平台、智能化作业系统、新高</w:t>
      </w:r>
      <w:r>
        <w:rPr>
          <w:spacing w:val="-55"/>
        </w:rPr>
        <w:t> </w:t>
      </w:r>
      <w:r>
        <w:rPr>
          <w:spacing w:val="-55"/>
        </w:rPr>
      </w:r>
      <w:r>
        <w:rPr>
          <w:spacing w:val="-1"/>
        </w:rPr>
        <w:t>考智能辅助选科等新产品，业务覆盖河南、湖北、吉林、辽宁、山西、西藏、青海等省，累计注</w:t>
      </w:r>
      <w:r>
        <w:rPr>
          <w:spacing w:val="-55"/>
        </w:rPr>
        <w:t> </w:t>
      </w:r>
      <w:r>
        <w:rPr>
          <w:spacing w:val="-55"/>
        </w:rPr>
      </w:r>
      <w:r>
        <w:rPr/>
        <w:t>册用户超过</w:t>
      </w:r>
      <w:r>
        <w:rPr>
          <w:spacing w:val="-51"/>
        </w:rPr>
        <w:t> </w:t>
      </w:r>
      <w:r>
        <w:rPr>
          <w:rFonts w:ascii="宋体" w:hAnsi="宋体" w:cs="宋体" w:eastAsia="宋体" w:hint="default"/>
        </w:rPr>
        <w:t>300</w:t>
      </w:r>
      <w:r>
        <w:rPr>
          <w:rFonts w:ascii="宋体" w:hAnsi="宋体" w:cs="宋体" w:eastAsia="宋体" w:hint="default"/>
          <w:spacing w:val="-53"/>
        </w:rPr>
        <w:t> </w:t>
      </w:r>
      <w:r>
        <w:rPr/>
        <w:t>万。</w:t>
      </w:r>
    </w:p>
    <w:p>
      <w:pPr>
        <w:pStyle w:val="BodyText"/>
        <w:spacing w:line="237" w:lineRule="auto" w:before="1"/>
        <w:ind w:left="118" w:right="98" w:firstLine="419"/>
        <w:jc w:val="left"/>
      </w:pPr>
      <w:r>
        <w:rPr>
          <w:spacing w:val="-7"/>
        </w:rPr>
        <w:t>东软在智慧交通领域，立足“以人为本”的理念，统筹考虑“人、车、路、环境”四类因素，</w:t>
      </w:r>
      <w:r>
        <w:rPr>
          <w:w w:val="100"/>
        </w:rPr>
        <w:t> </w:t>
      </w:r>
      <w:r>
        <w:rPr/>
        <w:t>构建一整套涵盖城市交通管理、高速公路、轨道交通、车联网、航空等领域的大交通解决方案，</w:t>
      </w:r>
      <w:r>
        <w:rPr>
          <w:spacing w:val="-97"/>
        </w:rPr>
        <w:t> </w:t>
      </w:r>
      <w:r>
        <w:rPr>
          <w:spacing w:val="-97"/>
        </w:rPr>
      </w:r>
      <w:r>
        <w:rPr/>
        <w:t>为绿色、便捷、快速、高效的交通出行提供智慧的信息化解决方案。公司作为中国首个空中互联</w:t>
      </w:r>
      <w:r>
        <w:rPr>
          <w:spacing w:val="-98"/>
        </w:rPr>
        <w:t> </w:t>
      </w:r>
      <w:r>
        <w:rPr>
          <w:spacing w:val="-98"/>
        </w:rPr>
      </w:r>
      <w:r>
        <w:rPr/>
        <w:t>网产业联盟的成员单位，持续巩固与国航、深航等核心客户的长期合作关系，国航、深航移动客</w:t>
      </w:r>
      <w:r>
        <w:rPr>
          <w:spacing w:val="-97"/>
        </w:rPr>
        <w:t> </w:t>
      </w:r>
      <w:r>
        <w:rPr>
          <w:spacing w:val="-97"/>
        </w:rPr>
      </w:r>
      <w:r>
        <w:rPr/>
        <w:t>户端运营良好，社会化互联网合作运营模式拓展到山东航空、西部机场等客户，民航电商平台产</w:t>
      </w:r>
      <w:r>
        <w:rPr>
          <w:spacing w:val="-97"/>
        </w:rPr>
        <w:t> </w:t>
      </w:r>
      <w:r>
        <w:rPr>
          <w:spacing w:val="-97"/>
        </w:rPr>
      </w:r>
      <w:r>
        <w:rPr/>
        <w:t>品实现规模化发展。轨道交通网络运营控制中心（</w:t>
      </w:r>
      <w:r>
        <w:rPr>
          <w:rFonts w:ascii="宋体" w:hAnsi="宋体" w:cs="宋体" w:eastAsia="宋体" w:hint="default"/>
        </w:rPr>
        <w:t>NOCC</w:t>
      </w:r>
      <w:r>
        <w:rPr/>
        <w:t>）核心软件陆续中标深圳、温州、无锡、</w:t>
      </w:r>
      <w:r>
        <w:rPr>
          <w:spacing w:val="-98"/>
        </w:rPr>
        <w:t> </w:t>
      </w:r>
      <w:r>
        <w:rPr>
          <w:spacing w:val="-98"/>
        </w:rPr>
      </w:r>
      <w:r>
        <w:rPr/>
        <w:t>青岛、西安等大额信息化项目，并进入苏州轨道、沈阳地铁、西安地铁和青岛地铁，竞争力进一</w:t>
      </w:r>
      <w:r>
        <w:rPr>
          <w:spacing w:val="-98"/>
        </w:rPr>
        <w:t> </w:t>
      </w:r>
      <w:r>
        <w:rPr>
          <w:spacing w:val="-98"/>
        </w:rPr>
      </w:r>
      <w:r>
        <w:rPr/>
        <w:t>步提升。东软云警产品目前已应用于</w:t>
      </w:r>
      <w:r>
        <w:rPr>
          <w:spacing w:val="-50"/>
        </w:rPr>
        <w:t> </w:t>
      </w:r>
      <w:r>
        <w:rPr>
          <w:rFonts w:ascii="宋体" w:hAnsi="宋体" w:cs="宋体" w:eastAsia="宋体" w:hint="default"/>
        </w:rPr>
        <w:t>50</w:t>
      </w:r>
      <w:r>
        <w:rPr>
          <w:rFonts w:ascii="宋体" w:hAnsi="宋体" w:cs="宋体" w:eastAsia="宋体" w:hint="default"/>
          <w:spacing w:val="-50"/>
        </w:rPr>
        <w:t> </w:t>
      </w:r>
      <w:r>
        <w:rPr/>
        <w:t>多个城市，在宁波、潍坊的市场份额和影响力持续扩大，</w:t>
      </w:r>
      <w:r>
        <w:rPr>
          <w:w w:val="100"/>
        </w:rPr>
        <w:t> </w:t>
      </w:r>
      <w:r>
        <w:rPr/>
        <w:t>同时承接丽水、珠海、绵阳等多地业务，政法公安业务快速铺开。</w:t>
      </w:r>
    </w:p>
    <w:p>
      <w:pPr>
        <w:pStyle w:val="BodyText"/>
        <w:spacing w:line="274" w:lineRule="exact" w:before="22"/>
        <w:ind w:left="538" w:right="206" w:firstLine="2"/>
        <w:jc w:val="left"/>
      </w:pPr>
      <w:r>
        <w:rPr>
          <w:rFonts w:ascii="宋体" w:hAnsi="宋体" w:cs="宋体" w:eastAsia="宋体" w:hint="default"/>
          <w:b/>
          <w:bCs/>
        </w:rPr>
        <w:t>4</w:t>
      </w:r>
      <w:r>
        <w:rPr>
          <w:rFonts w:ascii="宋体" w:hAnsi="宋体" w:cs="宋体" w:eastAsia="宋体" w:hint="default"/>
          <w:b/>
          <w:bCs/>
        </w:rPr>
        <w:t>、企业互联及其他</w:t>
      </w:r>
      <w:r>
        <w:rPr>
          <w:rFonts w:ascii="宋体" w:hAnsi="宋体" w:cs="宋体" w:eastAsia="宋体" w:hint="default"/>
          <w:b/>
          <w:bCs/>
          <w:w w:val="100"/>
        </w:rPr>
        <w:t> </w:t>
      </w:r>
      <w:r>
        <w:rPr>
          <w:spacing w:val="-7"/>
          <w:w w:val="100"/>
        </w:rPr>
        <w:t>在企业互联及智能化管理领域，公司聚焦重点行业和关键客户，持续推动解决方案的专业化、</w:t>
      </w:r>
    </w:p>
    <w:p>
      <w:pPr>
        <w:pStyle w:val="BodyText"/>
        <w:spacing w:line="245" w:lineRule="exact"/>
        <w:ind w:left="118" w:right="96"/>
        <w:jc w:val="left"/>
      </w:pPr>
      <w:r>
        <w:rPr>
          <w:rFonts w:ascii="宋体" w:hAnsi="宋体" w:cs="宋体" w:eastAsia="宋体" w:hint="default"/>
        </w:rPr>
        <w:t>IP</w:t>
      </w:r>
      <w:r>
        <w:rPr>
          <w:rFonts w:ascii="宋体" w:hAnsi="宋体" w:cs="宋体" w:eastAsia="宋体" w:hint="default"/>
          <w:spacing w:val="17"/>
        </w:rPr>
        <w:t> </w:t>
      </w:r>
      <w:r>
        <w:rPr>
          <w:spacing w:val="-3"/>
        </w:rPr>
        <w:t>化发展，同时打造了覆盖智能商务、智能监管、智能制造的智能化管理体系，以信息技术服务</w:t>
      </w:r>
    </w:p>
    <w:p>
      <w:pPr>
        <w:pStyle w:val="BodyText"/>
        <w:spacing w:line="237" w:lineRule="auto" w:before="2"/>
        <w:ind w:left="118" w:right="96"/>
        <w:jc w:val="left"/>
      </w:pPr>
      <w:r>
        <w:rPr>
          <w:spacing w:val="-1"/>
        </w:rPr>
        <w:t>于企业转型及产业优化升级。报告期内，公司持续加强与海尔、海信、美的、万达、万科、</w:t>
      </w:r>
      <w:r>
        <w:rPr>
          <w:rFonts w:ascii="宋体" w:hAnsi="宋体" w:cs="宋体" w:eastAsia="宋体" w:hint="default"/>
          <w:spacing w:val="-1"/>
        </w:rPr>
        <w:t>TCL</w:t>
      </w:r>
      <w:r>
        <w:rPr>
          <w:spacing w:val="-1"/>
        </w:rPr>
        <w:t>、</w:t>
      </w:r>
      <w:r>
        <w:rPr>
          <w:spacing w:val="-52"/>
        </w:rPr>
        <w:t> </w:t>
      </w:r>
      <w:r>
        <w:rPr/>
        <w:t>奥克斯等核心客户的合作。在烟草行业，公司聚焦烟草新一代营销、大数据智能应用、智慧物流</w:t>
      </w:r>
      <w:r>
        <w:rPr>
          <w:spacing w:val="-97"/>
        </w:rPr>
        <w:t> </w:t>
      </w:r>
      <w:r>
        <w:rPr>
          <w:spacing w:val="-97"/>
        </w:rPr>
      </w:r>
      <w:r>
        <w:rPr/>
        <w:t>等核心业务，签约国家烟草总局以及浙江烟草、江苏烟草、河北烟草等客户。在数字媒体领域，</w:t>
      </w:r>
      <w:r>
        <w:rPr>
          <w:spacing w:val="-97"/>
        </w:rPr>
        <w:t> </w:t>
      </w:r>
      <w:r>
        <w:rPr>
          <w:spacing w:val="-97"/>
        </w:rPr>
      </w:r>
      <w:r>
        <w:rPr/>
        <w:t>公司签约中央电视台、广州电视台、东方明珠新媒体、百视通网络等客户。报告期内，公司中标</w:t>
      </w:r>
      <w:r>
        <w:rPr>
          <w:spacing w:val="-97"/>
        </w:rPr>
        <w:t> </w:t>
      </w:r>
      <w:r>
        <w:rPr>
          <w:spacing w:val="-97"/>
        </w:rPr>
      </w:r>
      <w:r>
        <w:rPr>
          <w:spacing w:val="-3"/>
        </w:rPr>
        <w:t>中国航发集团智能工厂项目，东软“智能工厂解决方案”入选国家工信部《</w:t>
      </w:r>
      <w:r>
        <w:rPr>
          <w:rFonts w:ascii="宋体" w:hAnsi="宋体" w:cs="宋体" w:eastAsia="宋体" w:hint="default"/>
          <w:spacing w:val="-3"/>
        </w:rPr>
        <w:t>2017</w:t>
      </w:r>
      <w:r>
        <w:rPr>
          <w:rFonts w:ascii="宋体" w:hAnsi="宋体" w:cs="宋体" w:eastAsia="宋体" w:hint="default"/>
          <w:spacing w:val="-35"/>
        </w:rPr>
        <w:t> </w:t>
      </w:r>
      <w:r>
        <w:rPr/>
        <w:t>年制造业与互联</w:t>
      </w:r>
      <w:r>
        <w:rPr>
          <w:spacing w:val="-63"/>
        </w:rPr>
        <w:t> </w:t>
      </w:r>
      <w:r>
        <w:rPr>
          <w:spacing w:val="-63"/>
        </w:rPr>
      </w:r>
      <w:r>
        <w:rPr/>
        <w:t>网融合发展试点示范项目名单》，具有积极的创新和示范效应。</w:t>
      </w:r>
    </w:p>
    <w:p>
      <w:pPr>
        <w:pStyle w:val="BodyText"/>
        <w:spacing w:line="237" w:lineRule="auto"/>
        <w:ind w:left="118" w:right="207" w:firstLine="419"/>
        <w:jc w:val="both"/>
      </w:pPr>
      <w:r>
        <w:rPr>
          <w:spacing w:val="-2"/>
        </w:rPr>
        <w:t>在产品领域，公司持续加强研发投入，持续推出基于云计算、大数据、物联网的知识资产，</w:t>
      </w:r>
      <w:r>
        <w:rPr>
          <w:w w:val="100"/>
        </w:rPr>
        <w:t> </w:t>
      </w:r>
      <w:r>
        <w:rPr>
          <w:rFonts w:ascii="宋体" w:hAnsi="宋体" w:cs="宋体" w:eastAsia="宋体" w:hint="default"/>
          <w:spacing w:val="-3"/>
        </w:rPr>
        <w:t>UniEAP</w:t>
      </w:r>
      <w:r>
        <w:rPr>
          <w:spacing w:val="-3"/>
        </w:rPr>
        <w:t>、</w:t>
      </w:r>
      <w:r>
        <w:rPr>
          <w:rFonts w:ascii="宋体" w:hAnsi="宋体" w:cs="宋体" w:eastAsia="宋体" w:hint="default"/>
          <w:spacing w:val="-3"/>
        </w:rPr>
        <w:t>SaCa</w:t>
      </w:r>
      <w:r>
        <w:rPr>
          <w:spacing w:val="-3"/>
        </w:rPr>
        <w:t>、</w:t>
      </w:r>
      <w:r>
        <w:rPr>
          <w:rFonts w:ascii="宋体" w:hAnsi="宋体" w:cs="宋体" w:eastAsia="宋体" w:hint="default"/>
          <w:spacing w:val="-3"/>
        </w:rPr>
        <w:t>RealSight </w:t>
      </w:r>
      <w:r>
        <w:rPr>
          <w:spacing w:val="-5"/>
        </w:rPr>
        <w:t>等平台产品快速增长，在宏观经济、金融、民生、医疗、教育、交通、</w:t>
      </w:r>
      <w:r>
        <w:rPr>
          <w:spacing w:val="-90"/>
        </w:rPr>
        <w:t> </w:t>
      </w:r>
      <w:r>
        <w:rPr>
          <w:spacing w:val="-90"/>
        </w:rPr>
      </w:r>
      <w:r>
        <w:rPr>
          <w:spacing w:val="-1"/>
        </w:rPr>
        <w:t>新媒体等多个行业领域全面发展，积极拓展省级合作伙伴，市场地位持续提升。报告期内，业务</w:t>
      </w:r>
      <w:r>
        <w:rPr>
          <w:spacing w:val="-55"/>
        </w:rPr>
        <w:t> </w:t>
      </w:r>
      <w:r>
        <w:rPr>
          <w:spacing w:val="-55"/>
        </w:rPr>
      </w:r>
      <w:r>
        <w:rPr/>
        <w:t>基础平台</w:t>
      </w:r>
      <w:r>
        <w:rPr>
          <w:spacing w:val="-45"/>
        </w:rPr>
        <w:t> </w:t>
      </w:r>
      <w:r>
        <w:rPr>
          <w:rFonts w:ascii="宋体" w:hAnsi="宋体" w:cs="宋体" w:eastAsia="宋体" w:hint="default"/>
        </w:rPr>
        <w:t>SaCa</w:t>
      </w:r>
      <w:r>
        <w:rPr>
          <w:rFonts w:ascii="宋体" w:hAnsi="宋体" w:cs="宋体" w:eastAsia="宋体" w:hint="default"/>
          <w:spacing w:val="-45"/>
        </w:rPr>
        <w:t> </w:t>
      </w:r>
      <w:r>
        <w:rPr>
          <w:rFonts w:ascii="宋体" w:hAnsi="宋体" w:cs="宋体" w:eastAsia="宋体" w:hint="default"/>
        </w:rPr>
        <w:t>DeepCogni</w:t>
      </w:r>
      <w:r>
        <w:rPr>
          <w:rFonts w:ascii="宋体" w:hAnsi="宋体" w:cs="宋体" w:eastAsia="宋体" w:hint="default"/>
          <w:spacing w:val="-47"/>
        </w:rPr>
        <w:t> </w:t>
      </w:r>
      <w:r>
        <w:rPr>
          <w:spacing w:val="-4"/>
        </w:rPr>
        <w:t>获科学技术奖、科技进步优秀奖，东软</w:t>
      </w:r>
      <w:r>
        <w:rPr>
          <w:spacing w:val="-45"/>
        </w:rPr>
        <w:t> </w:t>
      </w:r>
      <w:r>
        <w:rPr>
          <w:rFonts w:ascii="宋体" w:hAnsi="宋体" w:cs="宋体" w:eastAsia="宋体" w:hint="default"/>
        </w:rPr>
        <w:t>RealSight</w:t>
      </w:r>
      <w:r>
        <w:rPr>
          <w:rFonts w:ascii="宋体" w:hAnsi="宋体" w:cs="宋体" w:eastAsia="宋体" w:hint="default"/>
          <w:spacing w:val="-47"/>
        </w:rPr>
        <w:t> </w:t>
      </w:r>
      <w:r>
        <w:rPr>
          <w:spacing w:val="-3"/>
        </w:rPr>
        <w:t>入选国家工信部《大</w:t>
      </w:r>
      <w:r>
        <w:rPr>
          <w:spacing w:val="-101"/>
        </w:rPr>
        <w:t> </w:t>
      </w:r>
      <w:r>
        <w:rPr>
          <w:spacing w:val="-101"/>
        </w:rPr>
      </w:r>
      <w:r>
        <w:rPr>
          <w:spacing w:val="-5"/>
        </w:rPr>
        <w:t>数据优秀产品、服务和应用解决方案案例集》。在</w:t>
      </w:r>
      <w:r>
        <w:rPr>
          <w:spacing w:val="-26"/>
        </w:rPr>
        <w:t> </w:t>
      </w:r>
      <w:r>
        <w:rPr>
          <w:rFonts w:ascii="宋体" w:hAnsi="宋体" w:cs="宋体" w:eastAsia="宋体" w:hint="default"/>
        </w:rPr>
        <w:t>E-HR</w:t>
      </w:r>
      <w:r>
        <w:rPr>
          <w:rFonts w:ascii="宋体" w:hAnsi="宋体" w:cs="宋体" w:eastAsia="宋体" w:hint="default"/>
          <w:spacing w:val="-28"/>
        </w:rPr>
        <w:t> </w:t>
      </w:r>
      <w:r>
        <w:rPr>
          <w:spacing w:val="-3"/>
        </w:rPr>
        <w:t>领域，公司在中国人力资源管理软件年度</w:t>
      </w:r>
      <w:r>
        <w:rPr>
          <w:spacing w:val="-95"/>
        </w:rPr>
        <w:t> </w:t>
      </w:r>
      <w:r>
        <w:rPr>
          <w:spacing w:val="-95"/>
        </w:rPr>
      </w:r>
      <w:r>
        <w:rPr>
          <w:spacing w:val="-1"/>
        </w:rPr>
        <w:t>市场占有率第一，签约中央国债登记结算、天津银行、万达集团、中信银行等客户。在档案管理</w:t>
      </w:r>
    </w:p>
    <w:p>
      <w:pPr>
        <w:spacing w:after="0" w:line="237" w:lineRule="auto"/>
        <w:jc w:val="both"/>
        <w:sectPr>
          <w:pgSz w:w="11910" w:h="16840"/>
          <w:pgMar w:header="945" w:footer="1248" w:top="1300" w:bottom="1440" w:left="1680" w:right="1060"/>
        </w:sectPr>
      </w:pPr>
    </w:p>
    <w:p>
      <w:pPr>
        <w:spacing w:line="240" w:lineRule="auto" w:before="3"/>
        <w:rPr>
          <w:rFonts w:ascii="宋体" w:hAnsi="宋体" w:cs="宋体" w:eastAsia="宋体" w:hint="default"/>
          <w:sz w:val="11"/>
          <w:szCs w:val="11"/>
        </w:rPr>
      </w:pPr>
    </w:p>
    <w:p>
      <w:pPr>
        <w:pStyle w:val="BodyText"/>
        <w:spacing w:line="240" w:lineRule="auto" w:before="36"/>
        <w:ind w:left="118" w:right="99"/>
        <w:jc w:val="left"/>
      </w:pPr>
      <w:r>
        <w:rPr>
          <w:spacing w:val="-1"/>
        </w:rPr>
        <w:t>领域，公司承接青海、哈尔滨、内蒙古、杭州等多地档案局业务，签约富力地产、浙江省能源集</w:t>
      </w:r>
      <w:r>
        <w:rPr>
          <w:spacing w:val="-55"/>
        </w:rPr>
        <w:t> </w:t>
      </w:r>
      <w:r>
        <w:rPr>
          <w:spacing w:val="-55"/>
        </w:rPr>
      </w:r>
      <w:r>
        <w:rPr/>
        <w:t>团等客户。</w:t>
      </w:r>
    </w:p>
    <w:p>
      <w:pPr>
        <w:pStyle w:val="BodyText"/>
        <w:spacing w:line="237" w:lineRule="auto"/>
        <w:ind w:left="118" w:right="198" w:firstLine="419"/>
        <w:jc w:val="left"/>
      </w:pPr>
      <w:r>
        <w:rPr/>
        <w:t>在</w:t>
      </w:r>
      <w:r>
        <w:rPr>
          <w:spacing w:val="-47"/>
        </w:rPr>
        <w:t> </w:t>
      </w:r>
      <w:r>
        <w:rPr>
          <w:rFonts w:ascii="宋体" w:hAnsi="宋体" w:cs="宋体" w:eastAsia="宋体" w:hint="default"/>
        </w:rPr>
        <w:t>BPO</w:t>
      </w:r>
      <w:r>
        <w:rPr>
          <w:rFonts w:ascii="宋体" w:hAnsi="宋体" w:cs="宋体" w:eastAsia="宋体" w:hint="default"/>
          <w:spacing w:val="-50"/>
        </w:rPr>
        <w:t> </w:t>
      </w:r>
      <w:r>
        <w:rPr/>
        <w:t>业务领域，公司积极布局云护航、中小企业服务平台、跨境电商及垂直电商业务，探</w:t>
      </w:r>
      <w:r>
        <w:rPr>
          <w:w w:val="100"/>
        </w:rPr>
        <w:t> </w:t>
      </w:r>
      <w:r>
        <w:rPr/>
        <w:t>索在智能服务与大数据方面的技术创新，完成微信服务平台及自动化运维工具的开发并在多个项</w:t>
      </w:r>
      <w:r>
        <w:rPr>
          <w:spacing w:val="-97"/>
        </w:rPr>
        <w:t> </w:t>
      </w:r>
      <w:r>
        <w:rPr>
          <w:spacing w:val="-97"/>
        </w:rPr>
      </w:r>
      <w:r>
        <w:rPr/>
        <w:t>目中应用。在</w:t>
      </w:r>
      <w:r>
        <w:rPr>
          <w:spacing w:val="-50"/>
        </w:rPr>
        <w:t> </w:t>
      </w:r>
      <w:r>
        <w:rPr>
          <w:rFonts w:ascii="宋体" w:hAnsi="宋体" w:cs="宋体" w:eastAsia="宋体" w:hint="default"/>
        </w:rPr>
        <w:t>IT</w:t>
      </w:r>
      <w:r>
        <w:rPr>
          <w:rFonts w:ascii="宋体" w:hAnsi="宋体" w:cs="宋体" w:eastAsia="宋体" w:hint="default"/>
          <w:spacing w:val="-50"/>
        </w:rPr>
        <w:t> </w:t>
      </w:r>
      <w:r>
        <w:rPr/>
        <w:t>基础设施建设与服务领域，公司持续与大商所、百年人寿等客户保持深度合作，</w:t>
      </w:r>
      <w:r>
        <w:rPr>
          <w:w w:val="100"/>
        </w:rPr>
        <w:t> </w:t>
      </w:r>
      <w:r>
        <w:rPr/>
        <w:t>数据中心管理软件产品签约中国移动哈尔滨云基地、呼和浩特云基地及华夏银行、昆仑银行等客</w:t>
      </w:r>
      <w:r>
        <w:rPr>
          <w:spacing w:val="-97"/>
        </w:rPr>
        <w:t> </w:t>
      </w:r>
      <w:r>
        <w:rPr>
          <w:spacing w:val="-97"/>
        </w:rPr>
      </w:r>
      <w:r>
        <w:rPr>
          <w:spacing w:val="-5"/>
        </w:rPr>
        <w:t>户。针对企业的机房基础环境和</w:t>
      </w:r>
      <w:r>
        <w:rPr>
          <w:spacing w:val="-36"/>
        </w:rPr>
        <w:t> </w:t>
      </w:r>
      <w:r>
        <w:rPr>
          <w:rFonts w:ascii="宋体" w:hAnsi="宋体" w:cs="宋体" w:eastAsia="宋体" w:hint="default"/>
        </w:rPr>
        <w:t>IT</w:t>
      </w:r>
      <w:r>
        <w:rPr>
          <w:rFonts w:ascii="宋体" w:hAnsi="宋体" w:cs="宋体" w:eastAsia="宋体" w:hint="default"/>
          <w:spacing w:val="-39"/>
        </w:rPr>
        <w:t> </w:t>
      </w:r>
      <w:r>
        <w:rPr>
          <w:spacing w:val="-4"/>
        </w:rPr>
        <w:t>环境进行集中监控和远程运维的“云护航业务”在云南、河北</w:t>
      </w:r>
      <w:r>
        <w:rPr>
          <w:spacing w:val="-62"/>
        </w:rPr>
        <w:t> </w:t>
      </w:r>
      <w:r>
        <w:rPr>
          <w:spacing w:val="-62"/>
        </w:rPr>
      </w:r>
      <w:r>
        <w:rPr/>
        <w:t>等省落地。在国内中小企业云服务方面，公司承接上海、湖北等地客户业务。</w:t>
      </w:r>
    </w:p>
    <w:p>
      <w:pPr>
        <w:spacing w:line="240" w:lineRule="auto" w:before="10"/>
        <w:rPr>
          <w:rFonts w:ascii="宋体" w:hAnsi="宋体" w:cs="宋体" w:eastAsia="宋体" w:hint="default"/>
          <w:sz w:val="22"/>
          <w:szCs w:val="22"/>
        </w:rPr>
      </w:pPr>
    </w:p>
    <w:p>
      <w:pPr>
        <w:pStyle w:val="BodyText"/>
        <w:spacing w:line="272" w:lineRule="exact"/>
        <w:ind w:left="538" w:right="99" w:firstLine="2"/>
        <w:jc w:val="left"/>
      </w:pPr>
      <w:r>
        <w:rPr>
          <w:rFonts w:ascii="宋体" w:hAnsi="宋体" w:cs="宋体" w:eastAsia="宋体" w:hint="default"/>
          <w:b/>
          <w:bCs/>
        </w:rPr>
        <w:t>（四）技术创新情况</w:t>
      </w:r>
      <w:r>
        <w:rPr>
          <w:rFonts w:ascii="宋体" w:hAnsi="宋体" w:cs="宋体" w:eastAsia="宋体" w:hint="default"/>
          <w:b/>
          <w:bCs/>
          <w:w w:val="100"/>
        </w:rPr>
        <w:t> </w:t>
      </w:r>
      <w:r>
        <w:rPr>
          <w:spacing w:val="-2"/>
        </w:rPr>
        <w:t>东软将“超越技术”作为公司的经营思想和品牌承诺，以软件技术为核心，始终坚持“开放</w:t>
      </w:r>
    </w:p>
    <w:p>
      <w:pPr>
        <w:pStyle w:val="BodyText"/>
        <w:spacing w:line="272" w:lineRule="exact" w:before="1"/>
        <w:ind w:left="118" w:right="304"/>
        <w:jc w:val="left"/>
      </w:pPr>
      <w:r>
        <w:rPr>
          <w:spacing w:val="-1"/>
        </w:rPr>
        <w:t>式创新”战略，对内建立公司级、事业部级的两级研发体系，不断寻找可持续高速发展的技术与</w:t>
      </w:r>
      <w:r>
        <w:rPr>
          <w:spacing w:val="-55"/>
        </w:rPr>
        <w:t> </w:t>
      </w:r>
      <w:r>
        <w:rPr>
          <w:spacing w:val="-55"/>
        </w:rPr>
      </w:r>
      <w:r>
        <w:rPr>
          <w:spacing w:val="-6"/>
          <w:w w:val="100"/>
        </w:rPr>
        <w:t>商业模式；对外通过联盟与合作的创新来获得更多的资源和更快的成长，建立创新卓越方法体系，</w:t>
      </w:r>
    </w:p>
    <w:p>
      <w:pPr>
        <w:pStyle w:val="BodyText"/>
        <w:spacing w:line="272" w:lineRule="exact" w:before="1"/>
        <w:ind w:left="538" w:right="99" w:hanging="420"/>
        <w:jc w:val="left"/>
      </w:pPr>
      <w:r>
        <w:rPr/>
        <w:t>使创新成为公司文化。</w:t>
      </w:r>
      <w:r>
        <w:rPr>
          <w:w w:val="100"/>
        </w:rPr>
        <w:t> </w:t>
      </w:r>
      <w:r>
        <w:rPr>
          <w:spacing w:val="-2"/>
        </w:rPr>
        <w:t>自成立以来，公司始终立足于社会发展与客户需求，每年投入大量资源开展面向未来的新业</w:t>
      </w:r>
    </w:p>
    <w:p>
      <w:pPr>
        <w:pStyle w:val="BodyText"/>
        <w:spacing w:line="272" w:lineRule="exact" w:before="1"/>
        <w:ind w:left="118" w:right="304"/>
        <w:jc w:val="left"/>
      </w:pPr>
      <w:r>
        <w:rPr>
          <w:spacing w:val="-3"/>
        </w:rPr>
        <w:t>务、新产品、新技术、新方法的研究。</w:t>
      </w:r>
      <w:r>
        <w:rPr>
          <w:rFonts w:ascii="宋体" w:hAnsi="宋体" w:cs="宋体" w:eastAsia="宋体" w:hint="default"/>
          <w:spacing w:val="-3"/>
        </w:rPr>
        <w:t>2017</w:t>
      </w:r>
      <w:r>
        <w:rPr>
          <w:rFonts w:ascii="宋体" w:hAnsi="宋体" w:cs="宋体" w:eastAsia="宋体" w:hint="default"/>
          <w:spacing w:val="-39"/>
        </w:rPr>
        <w:t> </w:t>
      </w:r>
      <w:r>
        <w:rPr/>
        <w:t>年是公司实施《东软</w:t>
      </w:r>
      <w:r>
        <w:rPr>
          <w:spacing w:val="-39"/>
        </w:rPr>
        <w:t> </w:t>
      </w:r>
      <w:r>
        <w:rPr>
          <w:rFonts w:ascii="宋体" w:hAnsi="宋体" w:cs="宋体" w:eastAsia="宋体" w:hint="default"/>
        </w:rPr>
        <w:t>5.0</w:t>
      </w:r>
      <w:r>
        <w:rPr>
          <w:rFonts w:ascii="宋体" w:hAnsi="宋体" w:cs="宋体" w:eastAsia="宋体" w:hint="default"/>
          <w:spacing w:val="-39"/>
        </w:rPr>
        <w:t> </w:t>
      </w:r>
      <w:r>
        <w:rPr>
          <w:spacing w:val="-3"/>
        </w:rPr>
        <w:t>发展规划》的第二年，是东</w:t>
      </w:r>
      <w:r>
        <w:rPr>
          <w:spacing w:val="-98"/>
        </w:rPr>
        <w:t> </w:t>
      </w:r>
      <w:r>
        <w:rPr>
          <w:spacing w:val="-98"/>
        </w:rPr>
      </w:r>
      <w:r>
        <w:rPr>
          <w:spacing w:val="-4"/>
        </w:rPr>
        <w:t>软第五轮增长提速的一年。公司各级组织坚持创新与全球化发展策略，以自主 </w:t>
      </w:r>
      <w:r>
        <w:rPr>
          <w:rFonts w:ascii="宋体" w:hAnsi="宋体" w:cs="宋体" w:eastAsia="宋体" w:hint="default"/>
        </w:rPr>
        <w:t>IP</w:t>
      </w:r>
      <w:r>
        <w:rPr>
          <w:rFonts w:ascii="宋体" w:hAnsi="宋体" w:cs="宋体" w:eastAsia="宋体" w:hint="default"/>
          <w:spacing w:val="-24"/>
        </w:rPr>
        <w:t> </w:t>
      </w:r>
      <w:r>
        <w:rPr>
          <w:spacing w:val="-6"/>
        </w:rPr>
        <w:t>为核心，驱动业</w:t>
      </w:r>
    </w:p>
    <w:p>
      <w:pPr>
        <w:pStyle w:val="BodyText"/>
        <w:spacing w:line="272" w:lineRule="exact" w:before="1"/>
        <w:ind w:left="118" w:right="308"/>
        <w:jc w:val="both"/>
      </w:pPr>
      <w:r>
        <w:rPr/>
        <w:t>务的专业化、</w:t>
      </w:r>
      <w:r>
        <w:rPr>
          <w:rFonts w:ascii="宋体" w:hAnsi="宋体" w:cs="宋体" w:eastAsia="宋体" w:hint="default"/>
        </w:rPr>
        <w:t>IP</w:t>
      </w:r>
      <w:r>
        <w:rPr>
          <w:rFonts w:ascii="宋体" w:hAnsi="宋体" w:cs="宋体" w:eastAsia="宋体" w:hint="default"/>
          <w:spacing w:val="-14"/>
        </w:rPr>
        <w:t> </w:t>
      </w:r>
      <w:r>
        <w:rPr>
          <w:spacing w:val="-3"/>
        </w:rPr>
        <w:t>化、互联网化发展，在行业解决方案、智能互联产品、平台、云与数据服务等业</w:t>
      </w:r>
      <w:r>
        <w:rPr>
          <w:spacing w:val="-89"/>
        </w:rPr>
        <w:t> </w:t>
      </w:r>
      <w:r>
        <w:rPr>
          <w:spacing w:val="-89"/>
        </w:rPr>
      </w:r>
      <w:r>
        <w:rPr>
          <w:spacing w:val="-1"/>
        </w:rPr>
        <w:t>务领域继续加大研发投入的力度，创新和积累可驱动业务持续增长的知识资产，推动企业价值与</w:t>
      </w:r>
      <w:r>
        <w:rPr>
          <w:spacing w:val="-55"/>
        </w:rPr>
        <w:t> </w:t>
      </w:r>
      <w:r>
        <w:rPr>
          <w:spacing w:val="-55"/>
        </w:rPr>
      </w:r>
      <w:r>
        <w:rPr/>
        <w:t>社会责任的共同实现。</w:t>
      </w:r>
    </w:p>
    <w:p>
      <w:pPr>
        <w:pStyle w:val="BodyText"/>
        <w:spacing w:line="272" w:lineRule="exact" w:before="1"/>
        <w:ind w:left="118" w:right="99" w:firstLine="419"/>
        <w:jc w:val="left"/>
      </w:pPr>
      <w:r>
        <w:rPr/>
        <w:t>报告期内，研发投入以“价值导向，资产驱动”为原则，聚焦核心业务，集中投入共性技术</w:t>
      </w:r>
      <w:r>
        <w:rPr>
          <w:w w:val="100"/>
        </w:rPr>
        <w:t> </w:t>
      </w:r>
      <w:r>
        <w:rPr>
          <w:spacing w:val="-4"/>
        </w:rPr>
        <w:t>平台、领域应用平台和创新业务。重点投入 </w:t>
      </w:r>
      <w:r>
        <w:rPr>
          <w:rFonts w:ascii="宋体" w:hAnsi="宋体" w:cs="宋体" w:eastAsia="宋体" w:hint="default"/>
          <w:spacing w:val="-3"/>
        </w:rPr>
        <w:t>C4-Alfus</w:t>
      </w:r>
      <w:r>
        <w:rPr>
          <w:spacing w:val="-3"/>
        </w:rPr>
        <w:t>、</w:t>
      </w:r>
      <w:r>
        <w:rPr>
          <w:rFonts w:ascii="宋体" w:hAnsi="宋体" w:cs="宋体" w:eastAsia="宋体" w:hint="default"/>
          <w:spacing w:val="-3"/>
        </w:rPr>
        <w:t>e-Janus</w:t>
      </w:r>
      <w:r>
        <w:rPr>
          <w:spacing w:val="-3"/>
        </w:rPr>
        <w:t>，</w:t>
      </w:r>
      <w:r>
        <w:rPr>
          <w:rFonts w:ascii="宋体" w:hAnsi="宋体" w:cs="宋体" w:eastAsia="宋体" w:hint="default"/>
          <w:spacing w:val="-3"/>
        </w:rPr>
        <w:t>VeTalk</w:t>
      </w:r>
      <w:r>
        <w:rPr>
          <w:spacing w:val="-3"/>
        </w:rPr>
        <w:t>、</w:t>
      </w:r>
      <w:r>
        <w:rPr>
          <w:rFonts w:ascii="宋体" w:hAnsi="宋体" w:cs="宋体" w:eastAsia="宋体" w:hint="default"/>
          <w:spacing w:val="-3"/>
        </w:rPr>
        <w:t>Ve5</w:t>
      </w:r>
      <w:r>
        <w:rPr>
          <w:rFonts w:ascii="宋体" w:hAnsi="宋体" w:cs="宋体" w:eastAsia="宋体" w:hint="default"/>
          <w:spacing w:val="-48"/>
        </w:rPr>
        <w:t> </w:t>
      </w:r>
      <w:r>
        <w:rPr/>
        <w:t>等下一代车载数字</w:t>
      </w:r>
    </w:p>
    <w:p>
      <w:pPr>
        <w:pStyle w:val="BodyText"/>
        <w:spacing w:line="272" w:lineRule="exact" w:before="1"/>
        <w:ind w:left="118" w:right="99"/>
        <w:jc w:val="left"/>
      </w:pPr>
      <w:r>
        <w:rPr>
          <w:spacing w:val="-6"/>
          <w:w w:val="100"/>
        </w:rPr>
        <w:t>化产品研发，推动社会实现安全</w:t>
      </w:r>
      <w:r>
        <w:rPr>
          <w:rFonts w:ascii="宋体" w:hAnsi="宋体" w:cs="宋体" w:eastAsia="宋体" w:hint="default"/>
          <w:spacing w:val="-6"/>
          <w:w w:val="100"/>
        </w:rPr>
        <w:t>/</w:t>
      </w:r>
      <w:r>
        <w:rPr>
          <w:spacing w:val="-6"/>
          <w:w w:val="100"/>
        </w:rPr>
        <w:t>舒适</w:t>
      </w:r>
      <w:r>
        <w:rPr>
          <w:rFonts w:ascii="宋体" w:hAnsi="宋体" w:cs="宋体" w:eastAsia="宋体" w:hint="default"/>
          <w:spacing w:val="-6"/>
          <w:w w:val="100"/>
        </w:rPr>
        <w:t>/</w:t>
      </w:r>
      <w:r>
        <w:rPr>
          <w:spacing w:val="-6"/>
          <w:w w:val="100"/>
        </w:rPr>
        <w:t>绿色</w:t>
      </w:r>
      <w:r>
        <w:rPr>
          <w:rFonts w:ascii="宋体" w:hAnsi="宋体" w:cs="宋体" w:eastAsia="宋体" w:hint="default"/>
          <w:spacing w:val="-6"/>
          <w:w w:val="100"/>
        </w:rPr>
        <w:t>/</w:t>
      </w:r>
      <w:r>
        <w:rPr>
          <w:spacing w:val="-6"/>
          <w:w w:val="100"/>
        </w:rPr>
        <w:t>按需的驾驶与出行体验；投入政府数据资源共享平台、</w:t>
      </w:r>
      <w:r>
        <w:rPr>
          <w:spacing w:val="-96"/>
          <w:w w:val="100"/>
        </w:rPr>
        <w:t> </w:t>
      </w:r>
      <w:r>
        <w:rPr>
          <w:spacing w:val="-96"/>
          <w:w w:val="100"/>
        </w:rPr>
      </w:r>
      <w:r>
        <w:rPr/>
        <w:t>跨行业数据融合分析服务，打破影响社会民生的公共数据资源的信息孤岛，推动实现共享格局，</w:t>
      </w:r>
    </w:p>
    <w:p>
      <w:pPr>
        <w:pStyle w:val="BodyText"/>
        <w:spacing w:line="272" w:lineRule="exact" w:before="2"/>
        <w:ind w:left="118" w:right="99"/>
        <w:jc w:val="left"/>
      </w:pPr>
      <w:r>
        <w:rPr>
          <w:spacing w:val="-7"/>
          <w:w w:val="100"/>
        </w:rPr>
        <w:t>挖掘蕴含的商业价值与社会价值；投入云</w:t>
      </w:r>
      <w:r>
        <w:rPr>
          <w:spacing w:val="-74"/>
          <w:w w:val="100"/>
        </w:rPr>
        <w:t> </w:t>
      </w:r>
      <w:r>
        <w:rPr>
          <w:rFonts w:ascii="宋体" w:hAnsi="宋体" w:cs="宋体" w:eastAsia="宋体" w:hint="default"/>
          <w:w w:val="100"/>
        </w:rPr>
        <w:t>HIS</w:t>
      </w:r>
      <w:r>
        <w:rPr>
          <w:rFonts w:ascii="宋体" w:hAnsi="宋体" w:cs="宋体" w:eastAsia="宋体" w:hint="default"/>
          <w:spacing w:val="-76"/>
          <w:w w:val="100"/>
        </w:rPr>
        <w:t> </w:t>
      </w:r>
      <w:r>
        <w:rPr>
          <w:spacing w:val="-2"/>
          <w:w w:val="100"/>
        </w:rPr>
        <w:t>医疗卫生信息管理系统</w:t>
      </w:r>
      <w:r>
        <w:rPr>
          <w:spacing w:val="-74"/>
          <w:w w:val="100"/>
        </w:rPr>
        <w:t> </w:t>
      </w:r>
      <w:r>
        <w:rPr>
          <w:rFonts w:ascii="宋体" w:hAnsi="宋体" w:cs="宋体" w:eastAsia="宋体" w:hint="default"/>
          <w:spacing w:val="-10"/>
          <w:w w:val="100"/>
        </w:rPr>
        <w:t>V3.0</w:t>
      </w:r>
      <w:r>
        <w:rPr>
          <w:spacing w:val="-10"/>
          <w:w w:val="100"/>
        </w:rPr>
        <w:t>、血液透析诊疗系统</w:t>
      </w:r>
      <w:r>
        <w:rPr>
          <w:spacing w:val="-73"/>
          <w:w w:val="100"/>
        </w:rPr>
        <w:t> </w:t>
      </w:r>
      <w:r>
        <w:rPr>
          <w:rFonts w:ascii="宋体" w:hAnsi="宋体" w:cs="宋体" w:eastAsia="宋体" w:hint="default"/>
          <w:spacing w:val="-2"/>
          <w:w w:val="100"/>
        </w:rPr>
        <w:t>V1.0</w:t>
      </w:r>
      <w:r>
        <w:rPr>
          <w:spacing w:val="-2"/>
          <w:w w:val="100"/>
        </w:rPr>
        <w:t>、</w:t>
      </w:r>
      <w:r>
        <w:rPr>
          <w:spacing w:val="-103"/>
          <w:w w:val="100"/>
        </w:rPr>
        <w:t> </w:t>
      </w:r>
      <w:r>
        <w:rPr>
          <w:rFonts w:ascii="宋体" w:hAnsi="宋体" w:cs="宋体" w:eastAsia="宋体" w:hint="default"/>
        </w:rPr>
        <w:t>C-BUS</w:t>
      </w:r>
      <w:r>
        <w:rPr>
          <w:rFonts w:ascii="宋体" w:hAnsi="宋体" w:cs="宋体" w:eastAsia="宋体" w:hint="default"/>
          <w:spacing w:val="-51"/>
        </w:rPr>
        <w:t> </w:t>
      </w:r>
      <w:r>
        <w:rPr/>
        <w:t>临床设备集成平台</w:t>
      </w:r>
      <w:r>
        <w:rPr>
          <w:spacing w:val="-4"/>
        </w:rPr>
        <w:t> </w:t>
      </w:r>
      <w:r>
        <w:rPr>
          <w:rFonts w:ascii="宋体" w:hAnsi="宋体" w:cs="宋体" w:eastAsia="宋体" w:hint="default"/>
        </w:rPr>
        <w:t>V1.0</w:t>
      </w:r>
      <w:r>
        <w:rPr/>
        <w:t>、</w:t>
      </w:r>
      <w:r>
        <w:rPr>
          <w:rFonts w:ascii="宋体" w:hAnsi="宋体" w:cs="宋体" w:eastAsia="宋体" w:hint="default"/>
        </w:rPr>
        <w:t>E-Care</w:t>
      </w:r>
      <w:r>
        <w:rPr>
          <w:rFonts w:ascii="宋体" w:hAnsi="宋体" w:cs="宋体" w:eastAsia="宋体" w:hint="default"/>
          <w:spacing w:val="-51"/>
        </w:rPr>
        <w:t> </w:t>
      </w:r>
      <w:r>
        <w:rPr/>
        <w:t>重症监护系统</w:t>
      </w:r>
      <w:r>
        <w:rPr>
          <w:spacing w:val="-51"/>
        </w:rPr>
        <w:t> </w:t>
      </w:r>
      <w:r>
        <w:rPr>
          <w:rFonts w:ascii="宋体" w:hAnsi="宋体" w:cs="宋体" w:eastAsia="宋体" w:hint="default"/>
        </w:rPr>
        <w:t>V1.0</w:t>
      </w:r>
      <w:r>
        <w:rPr/>
        <w:t>、临床护理一体化产品</w:t>
      </w:r>
      <w:r>
        <w:rPr>
          <w:spacing w:val="-51"/>
        </w:rPr>
        <w:t> </w:t>
      </w:r>
      <w:r>
        <w:rPr>
          <w:rFonts w:ascii="宋体" w:hAnsi="宋体" w:cs="宋体" w:eastAsia="宋体" w:hint="default"/>
        </w:rPr>
        <w:t>V1.0</w:t>
      </w:r>
      <w:r>
        <w:rPr/>
        <w:t>、职业年</w:t>
      </w:r>
    </w:p>
    <w:p>
      <w:pPr>
        <w:pStyle w:val="BodyText"/>
        <w:spacing w:line="272" w:lineRule="exact" w:before="1"/>
        <w:ind w:left="118" w:right="99"/>
        <w:jc w:val="left"/>
      </w:pPr>
      <w:r>
        <w:rPr>
          <w:spacing w:val="-1"/>
        </w:rPr>
        <w:t>金管理系统等领域应用平台的研发，为百姓生活息息相关的医疗、社会保障等多个领域建设基础</w:t>
      </w:r>
      <w:r>
        <w:rPr>
          <w:spacing w:val="-55"/>
        </w:rPr>
        <w:t> </w:t>
      </w:r>
      <w:r>
        <w:rPr>
          <w:spacing w:val="-55"/>
        </w:rPr>
      </w:r>
      <w:r>
        <w:rPr>
          <w:spacing w:val="-1"/>
        </w:rPr>
        <w:t>平台，并通过产品及云服务的模式有效改善民生；同时，运营基于社交化、大数据的企业知识社</w:t>
      </w:r>
    </w:p>
    <w:p>
      <w:pPr>
        <w:pStyle w:val="BodyText"/>
        <w:spacing w:line="272" w:lineRule="exact" w:before="1"/>
        <w:ind w:left="538" w:right="302" w:hanging="420"/>
        <w:jc w:val="left"/>
      </w:pPr>
      <w:r>
        <w:rPr/>
        <w:t>区</w:t>
      </w:r>
      <w:r>
        <w:rPr>
          <w:spacing w:val="-54"/>
        </w:rPr>
        <w:t> </w:t>
      </w:r>
      <w:r>
        <w:rPr>
          <w:rFonts w:ascii="宋体" w:hAnsi="宋体" w:cs="宋体" w:eastAsia="宋体" w:hint="default"/>
        </w:rPr>
        <w:t>Ohwyaa</w:t>
      </w:r>
      <w:r>
        <w:rPr/>
        <w:t>，帮助用户推动知识共享、沉淀无形资产、塑造创新的文化氛围。</w:t>
      </w:r>
      <w:r>
        <w:rPr>
          <w:w w:val="100"/>
        </w:rPr>
        <w:t> </w:t>
      </w:r>
      <w:r>
        <w:rPr/>
        <w:t>与此同时，公司持续提升</w:t>
      </w:r>
      <w:r>
        <w:rPr>
          <w:spacing w:val="-52"/>
        </w:rPr>
        <w:t> </w:t>
      </w:r>
      <w:r>
        <w:rPr>
          <w:rFonts w:ascii="宋体" w:hAnsi="宋体" w:cs="宋体" w:eastAsia="宋体" w:hint="default"/>
        </w:rPr>
        <w:t>SaCa</w:t>
      </w:r>
      <w:r>
        <w:rPr>
          <w:rFonts w:ascii="宋体" w:hAnsi="宋体" w:cs="宋体" w:eastAsia="宋体" w:hint="default"/>
          <w:spacing w:val="-50"/>
        </w:rPr>
        <w:t> </w:t>
      </w:r>
      <w:r>
        <w:rPr/>
        <w:t>云应用平台和</w:t>
      </w:r>
      <w:r>
        <w:rPr>
          <w:spacing w:val="-52"/>
        </w:rPr>
        <w:t> </w:t>
      </w:r>
      <w:r>
        <w:rPr>
          <w:rFonts w:ascii="宋体" w:hAnsi="宋体" w:cs="宋体" w:eastAsia="宋体" w:hint="default"/>
        </w:rPr>
        <w:t>UniEAP</w:t>
      </w:r>
      <w:r>
        <w:rPr>
          <w:rFonts w:ascii="宋体" w:hAnsi="宋体" w:cs="宋体" w:eastAsia="宋体" w:hint="default"/>
          <w:spacing w:val="-50"/>
        </w:rPr>
        <w:t> </w:t>
      </w:r>
      <w:r>
        <w:rPr/>
        <w:t>业务基础平台的竞争力，并投入研发新</w:t>
      </w:r>
    </w:p>
    <w:p>
      <w:pPr>
        <w:pStyle w:val="BodyText"/>
        <w:spacing w:line="272" w:lineRule="exact" w:before="1"/>
        <w:ind w:left="118" w:right="99"/>
        <w:jc w:val="left"/>
      </w:pPr>
      <w:r>
        <w:rPr/>
        <w:t>的产品组合，包括支持微服务与</w:t>
      </w:r>
      <w:r>
        <w:rPr>
          <w:spacing w:val="-54"/>
        </w:rPr>
        <w:t> </w:t>
      </w:r>
      <w:r>
        <w:rPr>
          <w:rFonts w:ascii="宋体" w:hAnsi="宋体" w:cs="宋体" w:eastAsia="宋体" w:hint="default"/>
        </w:rPr>
        <w:t>DevOps</w:t>
      </w:r>
      <w:r>
        <w:rPr>
          <w:rFonts w:ascii="宋体" w:hAnsi="宋体" w:cs="宋体" w:eastAsia="宋体" w:hint="default"/>
          <w:spacing w:val="-56"/>
        </w:rPr>
        <w:t> </w:t>
      </w:r>
      <w:r>
        <w:rPr/>
        <w:t>的</w:t>
      </w:r>
      <w:r>
        <w:rPr>
          <w:spacing w:val="-54"/>
        </w:rPr>
        <w:t> </w:t>
      </w:r>
      <w:r>
        <w:rPr>
          <w:rFonts w:ascii="宋体" w:hAnsi="宋体" w:cs="宋体" w:eastAsia="宋体" w:hint="default"/>
        </w:rPr>
        <w:t>SaCa</w:t>
      </w:r>
      <w:r>
        <w:rPr>
          <w:rFonts w:ascii="宋体" w:hAnsi="宋体" w:cs="宋体" w:eastAsia="宋体" w:hint="default"/>
          <w:spacing w:val="-22"/>
        </w:rPr>
        <w:t> </w:t>
      </w:r>
      <w:r>
        <w:rPr>
          <w:rFonts w:ascii="宋体" w:hAnsi="宋体" w:cs="宋体" w:eastAsia="宋体" w:hint="default"/>
        </w:rPr>
        <w:t>ACAP</w:t>
      </w:r>
      <w:r>
        <w:rPr>
          <w:rFonts w:ascii="宋体" w:hAnsi="宋体" w:cs="宋体" w:eastAsia="宋体" w:hint="default"/>
          <w:spacing w:val="-53"/>
        </w:rPr>
        <w:t> </w:t>
      </w:r>
      <w:r>
        <w:rPr/>
        <w:t>敏捷云应用平台、</w:t>
      </w:r>
      <w:r>
        <w:rPr>
          <w:rFonts w:ascii="宋体" w:hAnsi="宋体" w:cs="宋体" w:eastAsia="宋体" w:hint="default"/>
        </w:rPr>
        <w:t>SaCa</w:t>
      </w:r>
      <w:r>
        <w:rPr>
          <w:rFonts w:ascii="宋体" w:hAnsi="宋体" w:cs="宋体" w:eastAsia="宋体" w:hint="default"/>
          <w:spacing w:val="-22"/>
        </w:rPr>
        <w:t> </w:t>
      </w:r>
      <w:r>
        <w:rPr>
          <w:rFonts w:ascii="宋体" w:hAnsi="宋体" w:cs="宋体" w:eastAsia="宋体" w:hint="default"/>
        </w:rPr>
        <w:t>SNAP</w:t>
      </w:r>
      <w:r>
        <w:rPr>
          <w:rFonts w:ascii="宋体" w:hAnsi="宋体" w:cs="宋体" w:eastAsia="宋体" w:hint="default"/>
          <w:spacing w:val="-53"/>
        </w:rPr>
        <w:t> </w:t>
      </w:r>
      <w:r>
        <w:rPr/>
        <w:t>企业社交化协</w:t>
      </w:r>
      <w:r>
        <w:rPr>
          <w:w w:val="100"/>
        </w:rPr>
        <w:t> </w:t>
      </w:r>
      <w:r>
        <w:rPr/>
        <w:t>作平台、</w:t>
      </w:r>
      <w:r>
        <w:rPr>
          <w:rFonts w:ascii="宋体" w:hAnsi="宋体" w:cs="宋体" w:eastAsia="宋体" w:hint="default"/>
        </w:rPr>
        <w:t>SaCa</w:t>
      </w:r>
      <w:r>
        <w:rPr>
          <w:rFonts w:ascii="宋体" w:hAnsi="宋体" w:cs="宋体" w:eastAsia="宋体" w:hint="default"/>
          <w:spacing w:val="-2"/>
        </w:rPr>
        <w:t> </w:t>
      </w:r>
      <w:r>
        <w:rPr>
          <w:rFonts w:ascii="宋体" w:hAnsi="宋体" w:cs="宋体" w:eastAsia="宋体" w:hint="default"/>
        </w:rPr>
        <w:t>RealRec</w:t>
      </w:r>
      <w:r>
        <w:rPr>
          <w:rFonts w:ascii="宋体" w:hAnsi="宋体" w:cs="宋体" w:eastAsia="宋体" w:hint="default"/>
          <w:spacing w:val="-4"/>
        </w:rPr>
        <w:t> </w:t>
      </w:r>
      <w:r>
        <w:rPr/>
        <w:t>数据科学平台、</w:t>
      </w:r>
      <w:r>
        <w:rPr>
          <w:rFonts w:ascii="宋体" w:hAnsi="宋体" w:cs="宋体" w:eastAsia="宋体" w:hint="default"/>
        </w:rPr>
        <w:t>SaCa</w:t>
      </w:r>
      <w:r>
        <w:rPr>
          <w:rFonts w:ascii="宋体" w:hAnsi="宋体" w:cs="宋体" w:eastAsia="宋体" w:hint="default"/>
          <w:spacing w:val="-2"/>
        </w:rPr>
        <w:t> </w:t>
      </w:r>
      <w:r>
        <w:rPr>
          <w:rFonts w:ascii="宋体" w:hAnsi="宋体" w:cs="宋体" w:eastAsia="宋体" w:hint="default"/>
        </w:rPr>
        <w:t>DeepCongi</w:t>
      </w:r>
      <w:r>
        <w:rPr>
          <w:rFonts w:ascii="宋体" w:hAnsi="宋体" w:cs="宋体" w:eastAsia="宋体" w:hint="default"/>
          <w:spacing w:val="-49"/>
        </w:rPr>
        <w:t> </w:t>
      </w:r>
      <w:r>
        <w:rPr/>
        <w:t>知识服务平台、</w:t>
      </w:r>
      <w:r>
        <w:rPr>
          <w:rFonts w:ascii="宋体" w:hAnsi="宋体" w:cs="宋体" w:eastAsia="宋体" w:hint="default"/>
        </w:rPr>
        <w:t>SaCa</w:t>
      </w:r>
      <w:r>
        <w:rPr>
          <w:rFonts w:ascii="宋体" w:hAnsi="宋体" w:cs="宋体" w:eastAsia="宋体" w:hint="default"/>
          <w:spacing w:val="-4"/>
        </w:rPr>
        <w:t> </w:t>
      </w:r>
      <w:r>
        <w:rPr>
          <w:rFonts w:ascii="宋体" w:hAnsi="宋体" w:cs="宋体" w:eastAsia="宋体" w:hint="default"/>
        </w:rPr>
        <w:t>DataInsight</w:t>
      </w:r>
      <w:r>
        <w:rPr>
          <w:rFonts w:ascii="宋体" w:hAnsi="宋体" w:cs="宋体" w:eastAsia="宋体" w:hint="default"/>
          <w:spacing w:val="-49"/>
        </w:rPr>
        <w:t> </w:t>
      </w:r>
      <w:r>
        <w:rPr/>
        <w:t>数据</w:t>
      </w:r>
    </w:p>
    <w:p>
      <w:pPr>
        <w:pStyle w:val="BodyText"/>
        <w:spacing w:line="272" w:lineRule="exact" w:before="1"/>
        <w:ind w:left="118" w:right="99"/>
        <w:jc w:val="left"/>
      </w:pPr>
      <w:r>
        <w:rPr>
          <w:spacing w:val="-3"/>
        </w:rPr>
        <w:t>分析平台等，推动并支撑企业数字化转型，帮助企业拥抱互联网。其中</w:t>
      </w:r>
      <w:r>
        <w:rPr>
          <w:spacing w:val="-40"/>
        </w:rPr>
        <w:t> </w:t>
      </w:r>
      <w:r>
        <w:rPr>
          <w:rFonts w:ascii="宋体" w:hAnsi="宋体" w:cs="宋体" w:eastAsia="宋体" w:hint="default"/>
        </w:rPr>
        <w:t>SaCa</w:t>
      </w:r>
      <w:r>
        <w:rPr>
          <w:rFonts w:ascii="宋体" w:hAnsi="宋体" w:cs="宋体" w:eastAsia="宋体" w:hint="default"/>
          <w:spacing w:val="-42"/>
        </w:rPr>
        <w:t> </w:t>
      </w:r>
      <w:r>
        <w:rPr>
          <w:rFonts w:ascii="宋体" w:hAnsi="宋体" w:cs="宋体" w:eastAsia="宋体" w:hint="default"/>
        </w:rPr>
        <w:t>RealRec</w:t>
      </w:r>
      <w:r>
        <w:rPr>
          <w:rFonts w:ascii="宋体" w:hAnsi="宋体" w:cs="宋体" w:eastAsia="宋体" w:hint="default"/>
          <w:spacing w:val="-39"/>
        </w:rPr>
        <w:t> </w:t>
      </w:r>
      <w:r>
        <w:rPr/>
        <w:t>已经走进高</w:t>
      </w:r>
      <w:r>
        <w:rPr>
          <w:spacing w:val="-100"/>
        </w:rPr>
        <w:t> </w:t>
      </w:r>
      <w:r>
        <w:rPr>
          <w:spacing w:val="-100"/>
        </w:rPr>
      </w:r>
      <w:r>
        <w:rPr>
          <w:spacing w:val="-1"/>
        </w:rPr>
        <w:t>校的大数据分析课堂，帮助在校大学生快速培养大数据领域的开发与实践能力。围绕客户智能、</w:t>
      </w:r>
    </w:p>
    <w:p>
      <w:pPr>
        <w:pStyle w:val="BodyText"/>
        <w:spacing w:line="272" w:lineRule="exact" w:before="1"/>
        <w:ind w:left="118" w:right="99"/>
        <w:jc w:val="left"/>
      </w:pPr>
      <w:r>
        <w:rPr>
          <w:rFonts w:ascii="宋体" w:hAnsi="宋体" w:cs="宋体" w:eastAsia="宋体" w:hint="default"/>
        </w:rPr>
        <w:t>IoT</w:t>
      </w:r>
      <w:r>
        <w:rPr>
          <w:rFonts w:ascii="宋体" w:hAnsi="宋体" w:cs="宋体" w:eastAsia="宋体" w:hint="default"/>
          <w:spacing w:val="-33"/>
        </w:rPr>
        <w:t> </w:t>
      </w:r>
      <w:r>
        <w:rPr/>
        <w:t>智能、运维智能领域，投入大数据分析关键支撑技术与应用平台产品</w:t>
      </w:r>
      <w:r>
        <w:rPr>
          <w:spacing w:val="-33"/>
        </w:rPr>
        <w:t> </w:t>
      </w:r>
      <w:r>
        <w:rPr>
          <w:rFonts w:ascii="宋体" w:hAnsi="宋体" w:cs="宋体" w:eastAsia="宋体" w:hint="default"/>
        </w:rPr>
        <w:t>RealSight</w:t>
      </w:r>
      <w:r>
        <w:rPr>
          <w:rFonts w:ascii="宋体" w:hAnsi="宋体" w:cs="宋体" w:eastAsia="宋体" w:hint="default"/>
          <w:spacing w:val="-33"/>
        </w:rPr>
        <w:t> </w:t>
      </w:r>
      <w:r>
        <w:rPr/>
        <w:t>的研发，助</w:t>
      </w:r>
      <w:r>
        <w:rPr>
          <w:w w:val="100"/>
        </w:rPr>
        <w:t> </w:t>
      </w:r>
      <w:r>
        <w:rPr/>
        <w:t>力客户深刻洞察大数据蕴含的价值。基于以上积累，开展平台云服务业务，提供碎片化表单顷刻</w:t>
      </w:r>
    </w:p>
    <w:p>
      <w:pPr>
        <w:pStyle w:val="BodyText"/>
        <w:spacing w:line="272" w:lineRule="exact" w:before="2"/>
        <w:ind w:left="118" w:right="99"/>
        <w:jc w:val="left"/>
      </w:pPr>
      <w:r>
        <w:rPr/>
        <w:t>应用、社交化协作</w:t>
      </w:r>
      <w:r>
        <w:rPr>
          <w:spacing w:val="-53"/>
        </w:rPr>
        <w:t> </w:t>
      </w:r>
      <w:r>
        <w:rPr>
          <w:rFonts w:ascii="宋体" w:hAnsi="宋体" w:cs="宋体" w:eastAsia="宋体" w:hint="default"/>
        </w:rPr>
        <w:t>SNAP</w:t>
      </w:r>
      <w:r>
        <w:rPr/>
        <w:t>、可视化图表图表秀、可视化分析</w:t>
      </w:r>
      <w:r>
        <w:rPr>
          <w:spacing w:val="-52"/>
        </w:rPr>
        <w:t> </w:t>
      </w:r>
      <w:r>
        <w:rPr>
          <w:rFonts w:ascii="宋体" w:hAnsi="宋体" w:cs="宋体" w:eastAsia="宋体" w:hint="default"/>
        </w:rPr>
        <w:t>DataViz</w:t>
      </w:r>
      <w:r>
        <w:rPr/>
        <w:t>、知识社区</w:t>
      </w:r>
      <w:r>
        <w:rPr>
          <w:spacing w:val="-52"/>
        </w:rPr>
        <w:t> </w:t>
      </w:r>
      <w:r>
        <w:rPr>
          <w:rFonts w:ascii="宋体" w:hAnsi="宋体" w:cs="宋体" w:eastAsia="宋体" w:hint="default"/>
        </w:rPr>
        <w:t>Ohwyaa</w:t>
      </w:r>
      <w:r>
        <w:rPr>
          <w:rFonts w:ascii="宋体" w:hAnsi="宋体" w:cs="宋体" w:eastAsia="宋体" w:hint="default"/>
          <w:spacing w:val="-52"/>
        </w:rPr>
        <w:t> </w:t>
      </w:r>
      <w:r>
        <w:rPr/>
        <w:t>等云服务，</w:t>
      </w:r>
      <w:r>
        <w:rPr>
          <w:w w:val="100"/>
        </w:rPr>
        <w:t> </w:t>
      </w:r>
      <w:r>
        <w:rPr/>
        <w:t>帮助组织或个人按需构建业务系统或应用软件。</w:t>
      </w:r>
    </w:p>
    <w:p>
      <w:pPr>
        <w:pStyle w:val="BodyText"/>
        <w:spacing w:line="272" w:lineRule="exact" w:before="1"/>
        <w:ind w:left="118" w:right="308" w:firstLine="419"/>
        <w:jc w:val="both"/>
      </w:pPr>
      <w:r>
        <w:rPr>
          <w:rFonts w:ascii="宋体" w:hAnsi="宋体" w:cs="宋体" w:eastAsia="宋体" w:hint="default"/>
        </w:rPr>
        <w:t>2017</w:t>
      </w:r>
      <w:r>
        <w:rPr>
          <w:rFonts w:ascii="宋体" w:hAnsi="宋体" w:cs="宋体" w:eastAsia="宋体" w:hint="default"/>
          <w:spacing w:val="-38"/>
        </w:rPr>
        <w:t> </w:t>
      </w:r>
      <w:r>
        <w:rPr>
          <w:spacing w:val="-3"/>
        </w:rPr>
        <w:t>年，公司正式发布东软解决方案高效性策略实施框架</w:t>
      </w:r>
      <w:r>
        <w:rPr>
          <w:spacing w:val="-35"/>
        </w:rPr>
        <w:t> </w:t>
      </w:r>
      <w:r>
        <w:rPr/>
        <w:t>NeuSA™</w:t>
      </w:r>
      <w:r>
        <w:rPr>
          <w:spacing w:val="-35"/>
        </w:rPr>
        <w:t> </w:t>
      </w:r>
      <w:r>
        <w:rPr>
          <w:spacing w:val="-3"/>
        </w:rPr>
        <w:t>2.0，为东软的开放与协作</w:t>
      </w:r>
      <w:r>
        <w:rPr>
          <w:w w:val="100"/>
        </w:rPr>
        <w:t> </w:t>
      </w:r>
      <w:r>
        <w:rPr>
          <w:spacing w:val="-1"/>
        </w:rPr>
        <w:t>式创新提供与时俱进的实践指导。公司设立的软件架构国家重点实验室经历了运行期的第二个年</w:t>
      </w:r>
      <w:r>
        <w:rPr>
          <w:spacing w:val="-55"/>
        </w:rPr>
        <w:t> </w:t>
      </w:r>
      <w:r>
        <w:rPr>
          <w:spacing w:val="-55"/>
        </w:rPr>
      </w:r>
      <w:r>
        <w:rPr>
          <w:spacing w:val="-1"/>
        </w:rPr>
        <w:t>头，在软件架构体系、共性技术与平台、方法与工具等方面开展了基础性与前瞻性的研究，推动</w:t>
      </w:r>
    </w:p>
    <w:p>
      <w:pPr>
        <w:pStyle w:val="BodyText"/>
        <w:spacing w:line="272" w:lineRule="exact" w:before="1"/>
        <w:ind w:left="118" w:right="99"/>
        <w:jc w:val="left"/>
      </w:pPr>
      <w:r>
        <w:rPr>
          <w:spacing w:val="-1"/>
        </w:rPr>
        <w:t>了业界、特别是我国软件产业的发展。并通过实验室网站，面向全社会提供相关领域的知识普及</w:t>
      </w:r>
      <w:r>
        <w:rPr>
          <w:spacing w:val="-55"/>
        </w:rPr>
        <w:t> </w:t>
      </w:r>
      <w:r>
        <w:rPr>
          <w:spacing w:val="-55"/>
        </w:rPr>
      </w:r>
      <w:r>
        <w:rPr>
          <w:spacing w:val="-1"/>
        </w:rPr>
        <w:t>与研究引领职能。作为软件架构国家重点实验室的研究方向之一，持续投入应对人口老龄化的认</w:t>
      </w:r>
    </w:p>
    <w:p>
      <w:pPr>
        <w:pStyle w:val="BodyText"/>
        <w:spacing w:line="272" w:lineRule="exact" w:before="1"/>
        <w:ind w:left="118" w:right="307"/>
        <w:jc w:val="left"/>
      </w:pPr>
      <w:r>
        <w:rPr/>
        <w:t>知</w:t>
      </w:r>
      <w:r>
        <w:rPr>
          <w:spacing w:val="-51"/>
        </w:rPr>
        <w:t> </w:t>
      </w:r>
      <w:r>
        <w:rPr>
          <w:rFonts w:ascii="宋体" w:hAnsi="宋体" w:cs="宋体" w:eastAsia="宋体" w:hint="default"/>
        </w:rPr>
        <w:t>IoT</w:t>
      </w:r>
      <w:r>
        <w:rPr>
          <w:rFonts w:ascii="宋体" w:hAnsi="宋体" w:cs="宋体" w:eastAsia="宋体" w:hint="default"/>
          <w:spacing w:val="-53"/>
        </w:rPr>
        <w:t> </w:t>
      </w:r>
      <w:r>
        <w:rPr/>
        <w:t>关键技术研究，结合人工智能、物联网、大数据、认知计算等新兴技术，探索解决老龄化</w:t>
      </w:r>
      <w:r>
        <w:rPr>
          <w:spacing w:val="-3"/>
          <w:w w:val="100"/>
        </w:rPr>
        <w:t> </w:t>
      </w:r>
      <w:r>
        <w:rPr>
          <w:spacing w:val="-1"/>
        </w:rPr>
        <w:t>社会的突出问题。作为软件架构国家重点实验室的垂直研究领域，筹建智能医疗研究院，通过将</w:t>
      </w:r>
    </w:p>
    <w:p>
      <w:pPr>
        <w:pStyle w:val="BodyText"/>
        <w:spacing w:line="272" w:lineRule="exact" w:before="1"/>
        <w:ind w:left="118" w:right="99"/>
        <w:jc w:val="left"/>
      </w:pPr>
      <w:r>
        <w:rPr>
          <w:spacing w:val="-7"/>
        </w:rPr>
        <w:t>人工智能、大数据技术与医疗知识的融合，为个性化、精准、高效的医疗服务，医院的卓越运行，</w:t>
      </w:r>
      <w:r>
        <w:rPr>
          <w:spacing w:val="-14"/>
        </w:rPr>
        <w:t> </w:t>
      </w:r>
      <w:r>
        <w:rPr>
          <w:spacing w:val="-14"/>
        </w:rPr>
      </w:r>
      <w:r>
        <w:rPr/>
        <w:t>以及医疗体系改革提供创新的方法，服务于人类健康与医疗事业的发展。</w:t>
      </w:r>
    </w:p>
    <w:p>
      <w:pPr>
        <w:pStyle w:val="BodyText"/>
        <w:spacing w:line="272" w:lineRule="exact" w:before="1"/>
        <w:ind w:left="118" w:right="99" w:firstLine="419"/>
        <w:jc w:val="left"/>
      </w:pPr>
      <w:r>
        <w:rPr>
          <w:spacing w:val="-2"/>
        </w:rPr>
        <w:t>目前，公司已经建立起全方位的知识产权保护体系，形成了商标、专利、软件著作权、信息</w:t>
      </w:r>
      <w:r>
        <w:rPr>
          <w:w w:val="100"/>
        </w:rPr>
        <w:t> </w:t>
      </w:r>
      <w:r>
        <w:rPr>
          <w:spacing w:val="-1"/>
        </w:rPr>
        <w:t>安全四位一体的保护框架。公司科学规范的知识产权管理体系得到主管部门的认可和好评。截至</w:t>
      </w:r>
    </w:p>
    <w:p>
      <w:pPr>
        <w:pStyle w:val="BodyText"/>
        <w:spacing w:line="249" w:lineRule="exact"/>
        <w:ind w:left="118" w:right="99"/>
        <w:jc w:val="left"/>
      </w:pPr>
      <w:r>
        <w:rPr>
          <w:rFonts w:ascii="宋体" w:hAnsi="宋体" w:cs="宋体" w:eastAsia="宋体" w:hint="default"/>
        </w:rPr>
        <w:t>2017</w:t>
      </w:r>
      <w:r>
        <w:rPr>
          <w:rFonts w:ascii="宋体" w:hAnsi="宋体" w:cs="宋体" w:eastAsia="宋体" w:hint="default"/>
          <w:spacing w:val="-48"/>
        </w:rPr>
        <w:t> </w:t>
      </w:r>
      <w:r>
        <w:rPr>
          <w:spacing w:val="-3"/>
        </w:rPr>
        <w:t>年末，公司共申请专利</w:t>
      </w:r>
      <w:r>
        <w:rPr>
          <w:spacing w:val="-46"/>
        </w:rPr>
        <w:t> </w:t>
      </w:r>
      <w:r>
        <w:rPr>
          <w:rFonts w:ascii="宋体" w:hAnsi="宋体" w:cs="宋体" w:eastAsia="宋体" w:hint="default"/>
        </w:rPr>
        <w:t>1,364</w:t>
      </w:r>
      <w:r>
        <w:rPr>
          <w:rFonts w:ascii="宋体" w:hAnsi="宋体" w:cs="宋体" w:eastAsia="宋体" w:hint="default"/>
          <w:spacing w:val="-46"/>
        </w:rPr>
        <w:t> </w:t>
      </w:r>
      <w:r>
        <w:rPr>
          <w:spacing w:val="-4"/>
        </w:rPr>
        <w:t>件，已授权</w:t>
      </w:r>
      <w:r>
        <w:rPr>
          <w:spacing w:val="-46"/>
        </w:rPr>
        <w:t> </w:t>
      </w:r>
      <w:r>
        <w:rPr>
          <w:rFonts w:ascii="宋体" w:hAnsi="宋体" w:cs="宋体" w:eastAsia="宋体" w:hint="default"/>
        </w:rPr>
        <w:t>383</w:t>
      </w:r>
      <w:r>
        <w:rPr>
          <w:rFonts w:ascii="宋体" w:hAnsi="宋体" w:cs="宋体" w:eastAsia="宋体" w:hint="default"/>
          <w:spacing w:val="-48"/>
        </w:rPr>
        <w:t> </w:t>
      </w:r>
      <w:r>
        <w:rPr>
          <w:spacing w:val="-3"/>
        </w:rPr>
        <w:t>件；登记软件著作权</w:t>
      </w:r>
      <w:r>
        <w:rPr>
          <w:spacing w:val="-46"/>
        </w:rPr>
        <w:t> </w:t>
      </w:r>
      <w:r>
        <w:rPr>
          <w:rFonts w:ascii="宋体" w:hAnsi="宋体" w:cs="宋体" w:eastAsia="宋体" w:hint="default"/>
        </w:rPr>
        <w:t>1,079</w:t>
      </w:r>
      <w:r>
        <w:rPr>
          <w:rFonts w:ascii="宋体" w:hAnsi="宋体" w:cs="宋体" w:eastAsia="宋体" w:hint="default"/>
          <w:spacing w:val="-45"/>
        </w:rPr>
        <w:t> </w:t>
      </w:r>
      <w:r>
        <w:rPr>
          <w:spacing w:val="-3"/>
        </w:rPr>
        <w:t>件；申请国内外商</w:t>
      </w:r>
    </w:p>
    <w:p>
      <w:pPr>
        <w:spacing w:after="0" w:line="249" w:lineRule="exact"/>
        <w:jc w:val="left"/>
        <w:sectPr>
          <w:pgSz w:w="11910" w:h="16840"/>
          <w:pgMar w:header="945" w:footer="1248" w:top="1300" w:bottom="1440" w:left="1680" w:right="960"/>
        </w:sectPr>
      </w:pPr>
    </w:p>
    <w:p>
      <w:pPr>
        <w:spacing w:line="240" w:lineRule="auto" w:before="3"/>
        <w:rPr>
          <w:rFonts w:ascii="宋体" w:hAnsi="宋体" w:cs="宋体" w:eastAsia="宋体" w:hint="default"/>
          <w:sz w:val="11"/>
          <w:szCs w:val="11"/>
        </w:rPr>
      </w:pPr>
    </w:p>
    <w:p>
      <w:pPr>
        <w:pStyle w:val="BodyText"/>
        <w:spacing w:line="240" w:lineRule="auto" w:before="36"/>
        <w:ind w:right="226"/>
        <w:jc w:val="left"/>
      </w:pPr>
      <w:r>
        <w:rPr/>
        <w:t>标</w:t>
      </w:r>
      <w:r>
        <w:rPr>
          <w:spacing w:val="-52"/>
        </w:rPr>
        <w:t> </w:t>
      </w:r>
      <w:r>
        <w:rPr>
          <w:rFonts w:ascii="宋体" w:hAnsi="宋体" w:cs="宋体" w:eastAsia="宋体" w:hint="default"/>
        </w:rPr>
        <w:t>563</w:t>
      </w:r>
      <w:r>
        <w:rPr>
          <w:rFonts w:ascii="宋体" w:hAnsi="宋体" w:cs="宋体" w:eastAsia="宋体" w:hint="default"/>
          <w:spacing w:val="-52"/>
        </w:rPr>
        <w:t> </w:t>
      </w:r>
      <w:r>
        <w:rPr/>
        <w:t>件，已获得注册</w:t>
      </w:r>
      <w:r>
        <w:rPr>
          <w:spacing w:val="-52"/>
        </w:rPr>
        <w:t> </w:t>
      </w:r>
      <w:r>
        <w:rPr>
          <w:rFonts w:ascii="宋体" w:hAnsi="宋体" w:cs="宋体" w:eastAsia="宋体" w:hint="default"/>
        </w:rPr>
        <w:t>410</w:t>
      </w:r>
      <w:r>
        <w:rPr>
          <w:rFonts w:ascii="宋体" w:hAnsi="宋体" w:cs="宋体" w:eastAsia="宋体" w:hint="default"/>
          <w:spacing w:val="-52"/>
        </w:rPr>
        <w:t> </w:t>
      </w:r>
      <w:r>
        <w:rPr/>
        <w:t>件。这些知识产权的获取，有力地保护了公司的核心业务，对公司保</w:t>
      </w:r>
      <w:r>
        <w:rPr>
          <w:w w:val="100"/>
        </w:rPr>
        <w:t> </w:t>
      </w:r>
      <w:r>
        <w:rPr>
          <w:spacing w:val="-2"/>
        </w:rPr>
        <w:t>持国内市场领先地位、积极开拓国际市场、打造自身核心竞争力起到了重要的保障和推动作用。</w:t>
      </w:r>
    </w:p>
    <w:p>
      <w:pPr>
        <w:spacing w:line="240" w:lineRule="auto" w:before="3"/>
        <w:rPr>
          <w:rFonts w:ascii="宋体" w:hAnsi="宋体" w:cs="宋体" w:eastAsia="宋体" w:hint="default"/>
          <w:sz w:val="25"/>
          <w:szCs w:val="25"/>
        </w:rPr>
      </w:pPr>
    </w:p>
    <w:p>
      <w:pPr>
        <w:spacing w:line="290" w:lineRule="auto" w:before="0"/>
        <w:ind w:left="638" w:right="226"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参见“一、经营情况讨论与分析”中“（二）报告期内公司整体经营情况”。</w:t>
      </w:r>
    </w:p>
    <w:p>
      <w:pPr>
        <w:pStyle w:val="Heading4"/>
        <w:spacing w:line="240" w:lineRule="auto" w:before="14"/>
        <w:ind w:right="276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6"/>
        </w:rPr>
        <w:t> </w:t>
      </w:r>
      <w:r>
        <w:rPr/>
        <w:t>主营业务分析</w:t>
      </w:r>
      <w:r>
        <w:rPr>
          <w:b w:val="0"/>
          <w:bCs w:val="0"/>
        </w:rPr>
      </w:r>
    </w:p>
    <w:p>
      <w:pPr>
        <w:pStyle w:val="Heading4"/>
        <w:spacing w:line="240" w:lineRule="auto" w:before="56"/>
        <w:ind w:right="2760"/>
        <w:jc w:val="left"/>
        <w:rPr>
          <w:b w:val="0"/>
          <w:bCs w:val="0"/>
        </w:rPr>
      </w:pPr>
      <w:r>
        <w:rPr>
          <w:rFonts w:ascii="宋体" w:hAnsi="宋体" w:cs="宋体" w:eastAsia="宋体" w:hint="default"/>
        </w:rPr>
        <w:t>1.</w:t>
      </w:r>
      <w:r>
        <w:rPr>
          <w:rFonts w:ascii="宋体" w:hAnsi="宋体" w:cs="宋体" w:eastAsia="宋体" w:hint="default"/>
          <w:spacing w:val="-38"/>
        </w:rPr>
        <w:t> </w:t>
      </w:r>
      <w:r>
        <w:rPr/>
        <w:t>利润表及现金流量表相关科目变动分析表和成本分析</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7,131,134,732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7,734,848,084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4,875,381,229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5,370,495,535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612,043,389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690,886,154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-11.41</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1,438,442,360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1,481,239,422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52,913,499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16,767,784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215.57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167,745,717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147,252,418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13.92</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-2,162,515,195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-1,058,113,816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1,482,568,197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1,072,019,683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38.30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959,398,652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879,694,179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45" w:footer="1248" w:top="1300" w:bottom="1440" w:left="1580" w:right="1040"/>
        </w:sectPr>
      </w:pPr>
    </w:p>
    <w:p>
      <w:pPr>
        <w:pStyle w:val="Heading4"/>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32"/>
        </w:rPr>
        <w:t> </w:t>
      </w:r>
      <w:r>
        <w:rPr/>
        <w:t>收入和成本分析</w:t>
      </w:r>
      <w:r>
        <w:rPr>
          <w:b w:val="0"/>
          <w:bCs w:val="0"/>
        </w:rPr>
      </w:r>
    </w:p>
    <w:p>
      <w:pPr>
        <w:pStyle w:val="BodyText"/>
        <w:spacing w:line="272" w:lineRule="exact" w:before="86"/>
        <w:ind w:right="0"/>
        <w:jc w:val="left"/>
      </w:pPr>
      <w:r>
        <w:rPr/>
        <w:t>√适用</w:t>
      </w:r>
      <w:r>
        <w:rPr>
          <w:spacing w:val="-2"/>
        </w:rPr>
        <w:t> </w:t>
      </w:r>
      <w:r>
        <w:rPr/>
        <w:t>□不适用</w:t>
      </w:r>
      <w:r>
        <w:rPr>
          <w:w w:val="100"/>
        </w:rPr>
        <w:t> </w:t>
      </w:r>
      <w:r>
        <w:rPr>
          <w:spacing w:val="-2"/>
        </w:rPr>
        <w:t>本年收入和成本分析情况如下：</w:t>
      </w:r>
    </w:p>
    <w:p>
      <w:pPr>
        <w:pStyle w:val="Heading4"/>
        <w:spacing w:line="240" w:lineRule="auto" w:before="34"/>
        <w:ind w:right="0"/>
        <w:jc w:val="left"/>
        <w:rPr>
          <w:b w:val="0"/>
          <w:bCs w:val="0"/>
        </w:rPr>
      </w:pPr>
      <w:r>
        <w:rPr>
          <w:spacing w:val="-1"/>
        </w:rPr>
        <w:t>（</w:t>
      </w:r>
      <w:r>
        <w:rPr>
          <w:rFonts w:ascii="宋体" w:hAnsi="宋体" w:cs="宋体" w:eastAsia="宋体" w:hint="default"/>
          <w:spacing w:val="-1"/>
        </w:rPr>
        <w:t>1</w:t>
      </w:r>
      <w:r>
        <w:rPr>
          <w:spacing w:val="-1"/>
        </w:rPr>
        <w:t>）主营业务分行业、分产品、分地区情况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4333" w:space="240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81"/>
        <w:gridCol w:w="1582"/>
        <w:gridCol w:w="1582"/>
        <w:gridCol w:w="1179"/>
        <w:gridCol w:w="1178"/>
        <w:gridCol w:w="1179"/>
        <w:gridCol w:w="1169"/>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91"/>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5" w:right="16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13" w:right="16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医疗健康</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2" w:lineRule="exact" w:before="27"/>
              <w:ind w:left="103" w:right="57"/>
              <w:jc w:val="left"/>
              <w:rPr>
                <w:rFonts w:ascii="宋体" w:hAnsi="宋体" w:cs="宋体" w:eastAsia="宋体" w:hint="default"/>
                <w:sz w:val="21"/>
                <w:szCs w:val="21"/>
              </w:rPr>
            </w:pPr>
            <w:r>
              <w:rPr>
                <w:rFonts w:ascii="宋体" w:hAnsi="宋体" w:cs="宋体" w:eastAsia="宋体" w:hint="default"/>
                <w:spacing w:val="29"/>
                <w:sz w:val="21"/>
                <w:szCs w:val="21"/>
              </w:rPr>
              <w:t>及社会保</w:t>
            </w:r>
            <w:r>
              <w:rPr>
                <w:rFonts w:ascii="宋体" w:hAnsi="宋体" w:cs="宋体" w:eastAsia="宋体" w:hint="default"/>
                <w:spacing w:val="-97"/>
                <w:sz w:val="21"/>
                <w:szCs w:val="21"/>
              </w:rPr>
              <w:t> </w:t>
            </w:r>
            <w:r>
              <w:rPr>
                <w:rFonts w:ascii="宋体" w:hAnsi="宋体" w:cs="宋体" w:eastAsia="宋体" w:hint="default"/>
                <w:sz w:val="21"/>
                <w:szCs w:val="21"/>
              </w:rPr>
              <w:t>障</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1,614,637,443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996,546,516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38.28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14.61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5"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3.82</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智能汽车</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1,158,154,133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894,537,139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22.76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5.85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2.49</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2,174,407,030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1,519,443,117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30.12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-4.84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-7.20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1.78</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企业互联</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2,183,936,126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1,464,854,457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32.93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5.77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3.81</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9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92"/>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163" w:right="16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160" w:right="16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8" w:right="156"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自主软件、</w:t>
            </w:r>
          </w:p>
          <w:p>
            <w:pPr>
              <w:pStyle w:val="TableParagraph"/>
              <w:spacing w:line="272" w:lineRule="exact" w:before="27"/>
              <w:ind w:left="103" w:right="57"/>
              <w:jc w:val="left"/>
              <w:rPr>
                <w:rFonts w:ascii="宋体" w:hAnsi="宋体" w:cs="宋体" w:eastAsia="宋体" w:hint="default"/>
                <w:sz w:val="21"/>
                <w:szCs w:val="21"/>
              </w:rPr>
            </w:pPr>
            <w:r>
              <w:rPr>
                <w:rFonts w:ascii="宋体" w:hAnsi="宋体" w:cs="宋体" w:eastAsia="宋体" w:hint="default"/>
                <w:spacing w:val="29"/>
                <w:sz w:val="21"/>
                <w:szCs w:val="21"/>
              </w:rPr>
              <w:t>产品及服</w:t>
            </w:r>
            <w:r>
              <w:rPr>
                <w:rFonts w:ascii="宋体" w:hAnsi="宋体" w:cs="宋体" w:eastAsia="宋体" w:hint="default"/>
                <w:spacing w:val="-97"/>
                <w:sz w:val="21"/>
                <w:szCs w:val="21"/>
              </w:rPr>
              <w:t> </w:t>
            </w:r>
            <w:r>
              <w:rPr>
                <w:rFonts w:ascii="宋体" w:hAnsi="宋体" w:cs="宋体" w:eastAsia="宋体" w:hint="default"/>
                <w:sz w:val="21"/>
                <w:szCs w:val="21"/>
              </w:rPr>
              <w:t>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5,770,963,325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3,732,330,742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-5.87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0.17</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1,277,023,497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1,115,033,915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12.68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-16.06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-18.68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2.81</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16"/>
          <w:szCs w:val="16"/>
        </w:rPr>
      </w:pPr>
    </w:p>
    <w:tbl>
      <w:tblPr>
        <w:tblW w:w="0" w:type="auto"/>
        <w:jc w:val="left"/>
        <w:tblInd w:w="845" w:type="dxa"/>
        <w:tblLayout w:type="fixed"/>
        <w:tblCellMar>
          <w:top w:w="0" w:type="dxa"/>
          <w:left w:w="0" w:type="dxa"/>
          <w:bottom w:w="0" w:type="dxa"/>
          <w:right w:w="0" w:type="dxa"/>
        </w:tblCellMar>
        <w:tblLook w:val="01E0"/>
      </w:tblPr>
      <w:tblGrid>
        <w:gridCol w:w="1181"/>
        <w:gridCol w:w="1582"/>
        <w:gridCol w:w="1582"/>
        <w:gridCol w:w="1179"/>
        <w:gridCol w:w="1178"/>
        <w:gridCol w:w="1179"/>
        <w:gridCol w:w="1169"/>
      </w:tblGrid>
      <w:tr>
        <w:trPr>
          <w:trHeight w:val="557"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物业广告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83,147,910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28,016,572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66.31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0.96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17.06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4.63</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92"/>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15" w:right="161"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13" w:right="16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1,463,925,841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988,372,139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32.48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-14.80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-17.91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2.56</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1,121,921,651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769,838,076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31.38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2.49</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863,547,530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558,028,318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35.38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-15.14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-18.04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2.29</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617,646,405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426,946,001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30.88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-15.90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-13.77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1.71</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555,694,075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371,456,396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33.15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3.30</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631" w:right="0"/>
              <w:jc w:val="left"/>
              <w:rPr>
                <w:rFonts w:ascii="Cambria Math" w:hAnsi="Cambria Math" w:cs="Cambria Math" w:eastAsia="Cambria Math"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Cambria Math" w:hAnsi="Cambria Math" w:cs="Cambria Math" w:eastAsia="Cambria Math" w:hint="default"/>
                <w:sz w:val="15"/>
                <w:szCs w:val="15"/>
              </w:rPr>
              <w:t>1</w:t>
            </w:r>
          </w:p>
          <w:p>
            <w:pPr>
              <w:pStyle w:val="TableParagraph"/>
              <w:spacing w:line="137" w:lineRule="exact"/>
              <w:ind w:left="208"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398,502,864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273,708,657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31.32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-5.89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2.01</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343,495,429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195,956,008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42.95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18.49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15.57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1.44</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264,236,507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180,756,189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31.59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0.81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1.85</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1,502,164,430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1,110,319,445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26.09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-7.15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1.39</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left="958" w:right="148"/>
        <w:jc w:val="left"/>
      </w:pPr>
      <w:r>
        <w:rPr/>
        <w:t>主营业务分行业、分产品、分地区情况的说明</w:t>
      </w:r>
    </w:p>
    <w:p>
      <w:pPr>
        <w:pStyle w:val="BodyText"/>
        <w:spacing w:line="272" w:lineRule="exact"/>
        <w:ind w:left="958" w:right="148"/>
        <w:jc w:val="left"/>
      </w:pPr>
      <w:r>
        <w:rPr/>
        <w:t>√适用</w:t>
      </w:r>
      <w:r>
        <w:rPr>
          <w:spacing w:val="-1"/>
        </w:rPr>
        <w:t> </w:t>
      </w:r>
      <w:r>
        <w:rPr/>
        <w:t>□不适用</w:t>
      </w:r>
    </w:p>
    <w:p>
      <w:pPr>
        <w:pStyle w:val="BodyText"/>
        <w:spacing w:line="273" w:lineRule="exact"/>
        <w:ind w:left="958" w:right="148"/>
        <w:jc w:val="left"/>
      </w:pPr>
      <w:r>
        <w:rPr/>
        <w:t>注</w:t>
      </w:r>
      <w:r>
        <w:rPr>
          <w:spacing w:val="-55"/>
        </w:rPr>
        <w:t> </w:t>
      </w:r>
      <w:r>
        <w:rPr>
          <w:rFonts w:ascii="宋体" w:hAnsi="宋体" w:cs="宋体" w:eastAsia="宋体" w:hint="default"/>
        </w:rPr>
        <w:t>1</w:t>
      </w:r>
      <w:r>
        <w:rPr/>
        <w:t>：山东大区，包含新疆、山东、山西。</w:t>
      </w:r>
    </w:p>
    <w:p>
      <w:pPr>
        <w:spacing w:line="240" w:lineRule="auto" w:before="3"/>
        <w:rPr>
          <w:rFonts w:ascii="宋体" w:hAnsi="宋体" w:cs="宋体" w:eastAsia="宋体" w:hint="default"/>
          <w:sz w:val="25"/>
          <w:szCs w:val="25"/>
        </w:rPr>
      </w:pPr>
    </w:p>
    <w:p>
      <w:pPr>
        <w:pStyle w:val="Heading4"/>
        <w:spacing w:line="240" w:lineRule="auto"/>
        <w:ind w:left="958" w:right="148"/>
        <w:jc w:val="left"/>
        <w:rPr>
          <w:b w:val="0"/>
          <w:bCs w:val="0"/>
        </w:rPr>
      </w:pPr>
      <w:r>
        <w:rPr/>
        <w:t>（</w:t>
      </w:r>
      <w:r>
        <w:rPr>
          <w:rFonts w:ascii="宋体" w:hAnsi="宋体" w:cs="宋体" w:eastAsia="宋体" w:hint="default"/>
        </w:rPr>
        <w:t>2</w:t>
      </w:r>
      <w:r>
        <w:rPr/>
        <w:t>）产销量情况分析表</w:t>
      </w:r>
      <w:r>
        <w:rPr>
          <w:b w:val="0"/>
          <w:bCs w:val="0"/>
        </w:rPr>
      </w:r>
    </w:p>
    <w:p>
      <w:pPr>
        <w:pStyle w:val="BodyText"/>
        <w:spacing w:line="240" w:lineRule="auto" w:before="58"/>
        <w:ind w:left="958" w:right="14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left="958" w:right="148"/>
        <w:jc w:val="left"/>
        <w:rPr>
          <w:b w:val="0"/>
          <w:bCs w:val="0"/>
        </w:rPr>
      </w:pPr>
      <w:r>
        <w:rPr/>
        <w:t>（</w:t>
      </w:r>
      <w:r>
        <w:rPr>
          <w:rFonts w:ascii="宋体" w:hAnsi="宋体" w:cs="宋体" w:eastAsia="宋体" w:hint="default"/>
        </w:rPr>
        <w:t>3</w:t>
      </w:r>
      <w:r>
        <w:rPr/>
        <w:t>）成本分析表</w:t>
      </w:r>
      <w:r>
        <w:rPr>
          <w:b w:val="0"/>
          <w:bCs w:val="0"/>
        </w:rPr>
      </w:r>
    </w:p>
    <w:p>
      <w:pPr>
        <w:pStyle w:val="BodyText"/>
        <w:spacing w:line="240" w:lineRule="auto" w:before="56"/>
        <w:ind w:left="0" w:right="7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80"/>
        <w:gridCol w:w="2117"/>
        <w:gridCol w:w="1706"/>
        <w:gridCol w:w="855"/>
        <w:gridCol w:w="1699"/>
        <w:gridCol w:w="997"/>
        <w:gridCol w:w="991"/>
        <w:gridCol w:w="658"/>
      </w:tblGrid>
      <w:tr>
        <w:trPr>
          <w:trHeight w:val="281" w:hRule="exact"/>
        </w:trPr>
        <w:tc>
          <w:tcPr>
            <w:tcW w:w="1030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z w:val="21"/>
                <w:szCs w:val="21"/>
              </w:rPr>
              <w:t>分行业</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2" w:right="11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z w:val="21"/>
                <w:szCs w:val="21"/>
              </w:rPr>
              <w:t>医疗健康及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社会保障</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人工成本、项目分包</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费、差旅费、资产折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旧摊销等</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996,546,516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923,329,842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7.93</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322"/>
              <w:jc w:val="left"/>
              <w:rPr>
                <w:rFonts w:ascii="宋体" w:hAnsi="宋体" w:cs="宋体" w:eastAsia="宋体" w:hint="default"/>
                <w:sz w:val="21"/>
                <w:szCs w:val="21"/>
              </w:rPr>
            </w:pPr>
            <w:r>
              <w:rPr>
                <w:rFonts w:ascii="宋体" w:hAnsi="宋体" w:cs="宋体" w:eastAsia="宋体" w:hint="default"/>
                <w:sz w:val="21"/>
                <w:szCs w:val="21"/>
              </w:rPr>
              <w:t>智能汽车</w:t>
            </w:r>
            <w:r>
              <w:rPr>
                <w:rFonts w:ascii="宋体" w:hAnsi="宋体" w:cs="宋体" w:eastAsia="宋体" w:hint="default"/>
                <w:w w:val="100"/>
                <w:sz w:val="21"/>
                <w:szCs w:val="21"/>
              </w:rPr>
              <w:t> </w:t>
            </w:r>
            <w:r>
              <w:rPr>
                <w:rFonts w:ascii="宋体" w:hAnsi="宋体" w:cs="宋体" w:eastAsia="宋体" w:hint="default"/>
                <w:sz w:val="21"/>
                <w:szCs w:val="21"/>
              </w:rPr>
              <w:t>互联</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人工成本、项目分包</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费、差旅费、资产折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旧摊销等</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894,537,139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18.35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872,292,195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2.55</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1"/>
                <w:sz w:val="21"/>
                <w:szCs w:val="21"/>
              </w:rPr>
              <w:t>智慧城市</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人工成本、项目分包</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费、差旅费、资产折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旧摊销等</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1,519,443,117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31.17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1,637,244,975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-7.20</w:t>
            </w: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pgSz w:w="11910" w:h="16840"/>
          <w:pgMar w:header="945" w:footer="1248" w:top="1300" w:bottom="1440" w:left="840" w:right="540"/>
        </w:sectPr>
      </w:pPr>
    </w:p>
    <w:p>
      <w:pPr>
        <w:spacing w:line="240" w:lineRule="auto" w:before="8"/>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1280"/>
        <w:gridCol w:w="422"/>
        <w:gridCol w:w="1695"/>
        <w:gridCol w:w="103"/>
        <w:gridCol w:w="1603"/>
        <w:gridCol w:w="855"/>
        <w:gridCol w:w="1699"/>
        <w:gridCol w:w="997"/>
        <w:gridCol w:w="991"/>
        <w:gridCol w:w="658"/>
      </w:tblGrid>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02"/>
              <w:jc w:val="left"/>
              <w:rPr>
                <w:rFonts w:ascii="宋体" w:hAnsi="宋体" w:cs="宋体" w:eastAsia="宋体" w:hint="default"/>
                <w:sz w:val="21"/>
                <w:szCs w:val="21"/>
              </w:rPr>
            </w:pPr>
            <w:r>
              <w:rPr>
                <w:rFonts w:ascii="宋体" w:hAnsi="宋体" w:cs="宋体" w:eastAsia="宋体" w:hint="default"/>
                <w:sz w:val="21"/>
                <w:szCs w:val="21"/>
              </w:rPr>
              <w:t>企业互联及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其他</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人工成本、项目分包</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费、差旅费、资产折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旧摊销等</w:t>
            </w: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sz w:val="21"/>
              </w:rPr>
              <w:t>1,464,854,457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30.04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1,463,453,761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0.10</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2"/>
              <w:jc w:val="left"/>
              <w:rPr>
                <w:rFonts w:ascii="宋体" w:hAnsi="宋体" w:cs="宋体" w:eastAsia="宋体" w:hint="default"/>
                <w:sz w:val="11"/>
                <w:szCs w:val="11"/>
              </w:rPr>
            </w:pPr>
            <w:r>
              <w:rPr>
                <w:rFonts w:ascii="宋体" w:hAnsi="宋体" w:cs="宋体" w:eastAsia="宋体" w:hint="default"/>
                <w:sz w:val="21"/>
                <w:szCs w:val="21"/>
              </w:rPr>
              <w:t>医疗设备及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position w:val="-10"/>
                <w:sz w:val="21"/>
                <w:szCs w:val="21"/>
              </w:rPr>
              <w:t>熙康</w:t>
            </w:r>
            <w:r>
              <w:rPr>
                <w:rFonts w:ascii="宋体" w:hAnsi="宋体" w:cs="宋体" w:eastAsia="宋体" w:hint="default"/>
                <w:sz w:val="11"/>
                <w:szCs w:val="11"/>
              </w:rPr>
              <w:t>注</w:t>
            </w:r>
            <w:r>
              <w:rPr>
                <w:rFonts w:ascii="宋体" w:hAnsi="宋体" w:cs="宋体" w:eastAsia="宋体" w:hint="default"/>
                <w:spacing w:val="-26"/>
                <w:sz w:val="11"/>
                <w:szCs w:val="11"/>
              </w:rPr>
              <w:t> </w:t>
            </w:r>
            <w:r>
              <w:rPr>
                <w:rFonts w:ascii="宋体" w:hAnsi="宋体" w:cs="宋体" w:eastAsia="宋体" w:hint="default"/>
                <w:sz w:val="11"/>
                <w:szCs w:val="11"/>
              </w:rPr>
              <w:t>1</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人工成本、项目分</w:t>
            </w:r>
          </w:p>
          <w:p>
            <w:pPr>
              <w:pStyle w:val="TableParagraph"/>
              <w:spacing w:line="272" w:lineRule="exact" w:before="27"/>
              <w:ind w:left="100" w:right="280"/>
              <w:jc w:val="left"/>
              <w:rPr>
                <w:rFonts w:ascii="宋体" w:hAnsi="宋体" w:cs="宋体" w:eastAsia="宋体" w:hint="default"/>
                <w:sz w:val="21"/>
                <w:szCs w:val="21"/>
              </w:rPr>
            </w:pPr>
            <w:r>
              <w:rPr>
                <w:rFonts w:ascii="宋体" w:hAnsi="宋体" w:cs="宋体" w:eastAsia="宋体" w:hint="default"/>
                <w:spacing w:val="2"/>
                <w:sz w:val="21"/>
                <w:szCs w:val="21"/>
              </w:rPr>
              <w:t>包费、差旅费、资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产折旧摊销等</w:t>
            </w:r>
          </w:p>
        </w:tc>
        <w:tc>
          <w:tcPr>
            <w:tcW w:w="1706"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474,174,762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5"/>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2" w:right="11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0"/>
              <w:jc w:val="left"/>
              <w:rPr>
                <w:rFonts w:ascii="宋体" w:hAnsi="宋体" w:cs="宋体" w:eastAsia="宋体" w:hint="default"/>
                <w:sz w:val="21"/>
                <w:szCs w:val="21"/>
              </w:rPr>
            </w:pPr>
            <w:r>
              <w:rPr>
                <w:rFonts w:ascii="宋体" w:hAnsi="宋体" w:cs="宋体" w:eastAsia="宋体" w:hint="default"/>
                <w:sz w:val="21"/>
                <w:szCs w:val="21"/>
              </w:rPr>
              <w:t>自主软件、产品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及服务</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104"/>
                <w:w w:val="100"/>
                <w:sz w:val="21"/>
                <w:szCs w:val="21"/>
              </w:rPr>
              <w:t>、</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分</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4"/>
                <w:sz w:val="21"/>
                <w:szCs w:val="21"/>
              </w:rPr>
              <w:t>包费、差旅费、资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产折旧摊销等</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3,732,330,742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76.55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3,975,464,102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74.02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-6.12</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104"/>
                <w:w w:val="100"/>
                <w:sz w:val="21"/>
                <w:szCs w:val="21"/>
              </w:rPr>
              <w:t>、</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分</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4"/>
                <w:sz w:val="21"/>
                <w:szCs w:val="21"/>
              </w:rPr>
              <w:t>包费、差旅费、资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产折旧摊销等</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1,115,033,915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22.87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1,371,098,238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25.53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-18.68</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物业广告</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104"/>
                <w:w w:val="100"/>
                <w:sz w:val="21"/>
                <w:szCs w:val="21"/>
              </w:rPr>
              <w:t>、</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分</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4"/>
                <w:sz w:val="21"/>
                <w:szCs w:val="21"/>
              </w:rPr>
              <w:t>包费、差旅费、资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产折旧摊销等</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28,016,572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23,933,195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17.06</w:t>
            </w: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958" w:right="148"/>
        <w:jc w:val="left"/>
      </w:pPr>
      <w:r>
        <w:rPr/>
        <w:t>成本分析其他情况说明</w:t>
      </w:r>
    </w:p>
    <w:p>
      <w:pPr>
        <w:pStyle w:val="BodyText"/>
        <w:spacing w:line="273" w:lineRule="exact"/>
        <w:ind w:left="958" w:right="148"/>
        <w:jc w:val="left"/>
      </w:pPr>
      <w:r>
        <w:rPr/>
        <w:t>√适用</w:t>
      </w:r>
      <w:r>
        <w:rPr>
          <w:spacing w:val="-1"/>
        </w:rPr>
        <w:t> </w:t>
      </w:r>
      <w:r>
        <w:rPr/>
        <w:t>□不适用</w:t>
      </w:r>
    </w:p>
    <w:p>
      <w:pPr>
        <w:pStyle w:val="BodyText"/>
        <w:spacing w:line="273" w:lineRule="exact"/>
        <w:ind w:left="958" w:right="148"/>
        <w:jc w:val="left"/>
      </w:pPr>
      <w:r>
        <w:rPr/>
        <w:t>注</w:t>
      </w:r>
      <w:r>
        <w:rPr>
          <w:spacing w:val="-44"/>
        </w:rPr>
        <w:t> </w:t>
      </w:r>
      <w:r>
        <w:rPr>
          <w:rFonts w:ascii="宋体" w:hAnsi="宋体" w:cs="宋体" w:eastAsia="宋体" w:hint="default"/>
        </w:rPr>
        <w:t>1</w:t>
      </w:r>
      <w:r>
        <w:rPr/>
        <w:t>：鉴于东软医疗、熙康自</w:t>
      </w:r>
      <w:r>
        <w:rPr>
          <w:spacing w:val="-44"/>
        </w:rPr>
        <w:t> </w:t>
      </w:r>
      <w:r>
        <w:rPr>
          <w:rFonts w:ascii="宋体" w:hAnsi="宋体" w:cs="宋体" w:eastAsia="宋体" w:hint="default"/>
        </w:rPr>
        <w:t>2016</w:t>
      </w:r>
      <w:r>
        <w:rPr>
          <w:rFonts w:ascii="宋体" w:hAnsi="宋体" w:cs="宋体" w:eastAsia="宋体" w:hint="default"/>
          <w:spacing w:val="-47"/>
        </w:rPr>
        <w:t> </w:t>
      </w:r>
      <w:r>
        <w:rPr/>
        <w:t>年</w:t>
      </w:r>
      <w:r>
        <w:rPr>
          <w:spacing w:val="-46"/>
        </w:rPr>
        <w:t> </w:t>
      </w:r>
      <w:r>
        <w:rPr>
          <w:rFonts w:ascii="宋体" w:hAnsi="宋体" w:cs="宋体" w:eastAsia="宋体" w:hint="default"/>
        </w:rPr>
        <w:t>7</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日起不再纳入本公司合并报表范围，上述“医疗设</w:t>
      </w:r>
    </w:p>
    <w:p>
      <w:pPr>
        <w:pStyle w:val="BodyText"/>
        <w:spacing w:line="274" w:lineRule="exact"/>
        <w:ind w:left="958" w:right="148"/>
        <w:jc w:val="left"/>
      </w:pPr>
      <w:r>
        <w:rPr/>
        <w:t>备及熙康”相关数据为</w:t>
      </w:r>
      <w:r>
        <w:rPr>
          <w:spacing w:val="-54"/>
        </w:rPr>
        <w:t> </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1-7</w:t>
      </w:r>
      <w:r>
        <w:rPr>
          <w:rFonts w:ascii="宋体" w:hAnsi="宋体" w:cs="宋体" w:eastAsia="宋体" w:hint="default"/>
          <w:spacing w:val="-57"/>
        </w:rPr>
        <w:t> </w:t>
      </w:r>
      <w:r>
        <w:rPr/>
        <w:t>月的数据。</w:t>
      </w:r>
    </w:p>
    <w:p>
      <w:pPr>
        <w:spacing w:line="240" w:lineRule="auto" w:before="3"/>
        <w:rPr>
          <w:rFonts w:ascii="宋体" w:hAnsi="宋体" w:cs="宋体" w:eastAsia="宋体" w:hint="default"/>
          <w:sz w:val="25"/>
          <w:szCs w:val="25"/>
        </w:rPr>
      </w:pPr>
    </w:p>
    <w:p>
      <w:pPr>
        <w:pStyle w:val="Heading4"/>
        <w:spacing w:line="240" w:lineRule="auto"/>
        <w:ind w:left="958" w:right="148"/>
        <w:jc w:val="left"/>
        <w:rPr>
          <w:b w:val="0"/>
          <w:bCs w:val="0"/>
        </w:rPr>
      </w:pPr>
      <w:r>
        <w:rPr/>
        <w:t>（</w:t>
      </w:r>
      <w:r>
        <w:rPr>
          <w:rFonts w:ascii="宋体" w:hAnsi="宋体" w:cs="宋体" w:eastAsia="宋体" w:hint="default"/>
        </w:rPr>
        <w:t>4</w:t>
      </w:r>
      <w:r>
        <w:rPr/>
        <w:t>）主要销售客户及主要供应商情况</w:t>
      </w:r>
      <w:r>
        <w:rPr>
          <w:b w:val="0"/>
          <w:bCs w:val="0"/>
        </w:rPr>
      </w:r>
    </w:p>
    <w:p>
      <w:pPr>
        <w:pStyle w:val="BodyText"/>
        <w:spacing w:line="274" w:lineRule="exact" w:before="56"/>
        <w:ind w:left="958" w:right="148"/>
        <w:jc w:val="left"/>
      </w:pPr>
      <w:r>
        <w:rPr/>
        <w:t>√适用</w:t>
      </w:r>
      <w:r>
        <w:rPr>
          <w:spacing w:val="-1"/>
        </w:rPr>
        <w:t> </w:t>
      </w:r>
      <w:r>
        <w:rPr/>
        <w:t>□不适用</w:t>
      </w:r>
    </w:p>
    <w:p>
      <w:pPr>
        <w:pStyle w:val="BodyText"/>
        <w:spacing w:line="272" w:lineRule="exact" w:before="27"/>
        <w:ind w:left="958" w:right="148" w:firstLine="419"/>
        <w:jc w:val="left"/>
      </w:pPr>
      <w:r>
        <w:rPr/>
        <w:t>前五名客户销售额</w:t>
      </w:r>
      <w:r>
        <w:rPr>
          <w:spacing w:val="-38"/>
        </w:rPr>
        <w:t> </w:t>
      </w:r>
      <w:r>
        <w:rPr>
          <w:rFonts w:ascii="宋体" w:hAnsi="宋体" w:cs="宋体" w:eastAsia="宋体" w:hint="default"/>
        </w:rPr>
        <w:t>110,124</w:t>
      </w:r>
      <w:r>
        <w:rPr>
          <w:rFonts w:ascii="宋体" w:hAnsi="宋体" w:cs="宋体" w:eastAsia="宋体" w:hint="default"/>
          <w:spacing w:val="-39"/>
        </w:rPr>
        <w:t> </w:t>
      </w:r>
      <w:r>
        <w:rPr>
          <w:spacing w:val="-4"/>
        </w:rPr>
        <w:t>万元，占年度销售总额</w:t>
      </w:r>
      <w:r>
        <w:rPr>
          <w:spacing w:val="-39"/>
        </w:rPr>
        <w:t> </w:t>
      </w:r>
      <w:r>
        <w:rPr>
          <w:rFonts w:ascii="宋体" w:hAnsi="宋体" w:cs="宋体" w:eastAsia="宋体" w:hint="default"/>
          <w:spacing w:val="-3"/>
        </w:rPr>
        <w:t>15.44%</w:t>
      </w:r>
      <w:r>
        <w:rPr>
          <w:spacing w:val="-3"/>
        </w:rPr>
        <w:t>；其中前五名客户销售额中关联方</w:t>
      </w:r>
      <w:r>
        <w:rPr>
          <w:w w:val="100"/>
        </w:rPr>
        <w:t> </w:t>
      </w:r>
      <w:r>
        <w:rPr/>
        <w:t>销售额</w:t>
      </w:r>
      <w:r>
        <w:rPr>
          <w:spacing w:val="-54"/>
        </w:rPr>
        <w:t> </w:t>
      </w:r>
      <w:r>
        <w:rPr>
          <w:rFonts w:ascii="宋体" w:hAnsi="宋体" w:cs="宋体" w:eastAsia="宋体" w:hint="default"/>
        </w:rPr>
        <w:t>18,952</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2.66</w:t>
      </w:r>
      <w:r>
        <w:rPr>
          <w:rFonts w:ascii="宋体" w:hAnsi="宋体" w:cs="宋体" w:eastAsia="宋体" w:hint="default"/>
          <w:spacing w:val="-2"/>
        </w:rPr>
        <w:t> </w:t>
      </w:r>
      <w:r>
        <w:rPr>
          <w:rFonts w:ascii="宋体" w:hAnsi="宋体" w:cs="宋体" w:eastAsia="宋体" w:hint="default"/>
        </w:rPr>
        <w:t>%</w:t>
      </w:r>
      <w:r>
        <w:rPr/>
        <w:t>。</w:t>
      </w:r>
    </w:p>
    <w:p>
      <w:pPr>
        <w:spacing w:line="240" w:lineRule="auto" w:before="11"/>
        <w:rPr>
          <w:rFonts w:ascii="宋体" w:hAnsi="宋体" w:cs="宋体" w:eastAsia="宋体" w:hint="default"/>
          <w:sz w:val="20"/>
          <w:szCs w:val="20"/>
        </w:rPr>
      </w:pPr>
    </w:p>
    <w:p>
      <w:pPr>
        <w:pStyle w:val="BodyText"/>
        <w:spacing w:line="272" w:lineRule="exact"/>
        <w:ind w:left="958" w:right="725" w:firstLine="419"/>
        <w:jc w:val="left"/>
      </w:pPr>
      <w:r>
        <w:rPr/>
        <w:t>前五名供应商采购额</w:t>
      </w:r>
      <w:r>
        <w:rPr>
          <w:spacing w:val="-35"/>
        </w:rPr>
        <w:t> </w:t>
      </w:r>
      <w:r>
        <w:rPr>
          <w:rFonts w:ascii="宋体" w:hAnsi="宋体" w:cs="宋体" w:eastAsia="宋体" w:hint="default"/>
        </w:rPr>
        <w:t>60,544</w:t>
      </w:r>
      <w:r>
        <w:rPr>
          <w:rFonts w:ascii="宋体" w:hAnsi="宋体" w:cs="宋体" w:eastAsia="宋体" w:hint="default"/>
          <w:spacing w:val="-33"/>
        </w:rPr>
        <w:t> </w:t>
      </w:r>
      <w:r>
        <w:rPr/>
        <w:t>万元，占年度采购总额</w:t>
      </w:r>
      <w:r>
        <w:rPr>
          <w:spacing w:val="-33"/>
        </w:rPr>
        <w:t> </w:t>
      </w:r>
      <w:r>
        <w:rPr>
          <w:rFonts w:ascii="宋体" w:hAnsi="宋体" w:cs="宋体" w:eastAsia="宋体" w:hint="default"/>
        </w:rPr>
        <w:t>34.98%</w:t>
      </w:r>
      <w:r>
        <w:rPr/>
        <w:t>；其中前五名供应商采购额中关</w:t>
      </w:r>
      <w:r>
        <w:rPr>
          <w:w w:val="100"/>
        </w:rPr>
        <w:t> </w:t>
      </w:r>
      <w:r>
        <w:rPr/>
        <w:t>联方采购额</w:t>
      </w:r>
      <w:r>
        <w:rPr>
          <w:spacing w:val="-54"/>
        </w:rPr>
        <w:t> </w:t>
      </w:r>
      <w:r>
        <w:rPr>
          <w:rFonts w:ascii="宋体" w:hAnsi="宋体" w:cs="宋体" w:eastAsia="宋体" w:hint="default"/>
        </w:rPr>
        <w:t>12,726</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7.35%</w:t>
      </w:r>
      <w:r>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45" w:footer="1248" w:top="1300" w:bottom="1440" w:left="840" w:right="540"/>
        </w:sectPr>
      </w:pPr>
    </w:p>
    <w:p>
      <w:pPr>
        <w:pStyle w:val="Heading4"/>
        <w:spacing w:line="240" w:lineRule="auto" w:before="36"/>
        <w:ind w:left="937" w:right="851"/>
        <w:jc w:val="center"/>
        <w:rPr>
          <w:b w:val="0"/>
          <w:bCs w:val="0"/>
        </w:rPr>
      </w:pPr>
      <w:r>
        <w:rPr>
          <w:rFonts w:ascii="宋体" w:hAnsi="宋体" w:cs="宋体" w:eastAsia="宋体" w:hint="default"/>
        </w:rPr>
        <w:t>3.</w:t>
      </w:r>
      <w:r>
        <w:rPr>
          <w:rFonts w:ascii="宋体" w:hAnsi="宋体" w:cs="宋体" w:eastAsia="宋体" w:hint="default"/>
          <w:spacing w:val="-34"/>
        </w:rPr>
        <w:t> </w:t>
      </w:r>
      <w:r>
        <w:rPr/>
        <w:t>费用</w:t>
      </w:r>
      <w:r>
        <w:rPr>
          <w:b w:val="0"/>
          <w:bCs w:val="0"/>
        </w:rPr>
      </w:r>
    </w:p>
    <w:p>
      <w:pPr>
        <w:pStyle w:val="BodyText"/>
        <w:spacing w:line="240" w:lineRule="auto" w:before="58"/>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w:t>
      </w:r>
      <w:r>
        <w:rPr>
          <w:spacing w:val="1"/>
        </w:rPr>
        <w:t> </w:t>
      </w:r>
      <w:r>
        <w:rPr/>
        <w:t>币种：人民币</w:t>
      </w:r>
    </w:p>
    <w:p>
      <w:pPr>
        <w:spacing w:after="0" w:line="240" w:lineRule="auto"/>
        <w:jc w:val="left"/>
        <w:sectPr>
          <w:type w:val="continuous"/>
          <w:pgSz w:w="11910" w:h="16840"/>
          <w:pgMar w:top="1580" w:bottom="280" w:left="840" w:right="540"/>
          <w:cols w:num="2" w:equalWidth="0">
            <w:col w:w="2535" w:space="4092"/>
            <w:col w:w="3903"/>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399"/>
        <w:gridCol w:w="1685"/>
        <w:gridCol w:w="1702"/>
        <w:gridCol w:w="1550"/>
        <w:gridCol w:w="1429"/>
        <w:gridCol w:w="1274"/>
      </w:tblGrid>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8"/>
                <w:sz w:val="21"/>
                <w:szCs w:val="21"/>
              </w:rPr>
              <w:t>变动比例（</w:t>
            </w:r>
            <w:r>
              <w:rPr>
                <w:rFonts w:ascii="宋体" w:hAnsi="宋体" w:cs="宋体" w:eastAsia="宋体" w:hint="default"/>
                <w:b/>
                <w:bCs/>
                <w:spacing w:val="-8"/>
                <w:sz w:val="21"/>
                <w:szCs w:val="21"/>
              </w:rPr>
              <w:t>%</w:t>
            </w:r>
            <w:r>
              <w:rPr>
                <w:rFonts w:ascii="宋体" w:hAnsi="宋体" w:cs="宋体" w:eastAsia="宋体" w:hint="default"/>
                <w:b/>
                <w:bCs/>
                <w:spacing w:val="-8"/>
                <w:sz w:val="21"/>
                <w:szCs w:val="21"/>
              </w:rPr>
              <w:t>）</w:t>
            </w:r>
            <w:r>
              <w:rPr>
                <w:rFonts w:ascii="宋体" w:hAnsi="宋体" w:cs="宋体" w:eastAsia="宋体" w:hint="default"/>
                <w:spacing w:val="-8"/>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281"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612,043,389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690,886,154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-78,842,765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-11.41</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1,438,442,360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1,481,239,422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-42,797,062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52,913,499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16,767,784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36,145,715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147,052,379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183,312,320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-36,259,941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-19.78</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958" w:right="148"/>
        <w:jc w:val="left"/>
      </w:pPr>
      <w:r>
        <w:rPr/>
        <w:t>变动说明：</w:t>
      </w:r>
    </w:p>
    <w:p>
      <w:pPr>
        <w:pStyle w:val="BodyText"/>
        <w:spacing w:line="240" w:lineRule="auto"/>
        <w:ind w:left="958" w:right="727"/>
        <w:jc w:val="left"/>
      </w:pPr>
      <w:r>
        <w:rPr/>
        <w:t>注：财务费用较上年同期增加</w:t>
      </w:r>
      <w:r>
        <w:rPr>
          <w:spacing w:val="-34"/>
        </w:rPr>
        <w:t> </w:t>
      </w:r>
      <w:r>
        <w:rPr>
          <w:rFonts w:ascii="宋体" w:hAnsi="宋体" w:cs="宋体" w:eastAsia="宋体" w:hint="default"/>
        </w:rPr>
        <w:t>3,615</w:t>
      </w:r>
      <w:r>
        <w:rPr>
          <w:rFonts w:ascii="宋体" w:hAnsi="宋体" w:cs="宋体" w:eastAsia="宋体" w:hint="default"/>
          <w:spacing w:val="-36"/>
        </w:rPr>
        <w:t> </w:t>
      </w:r>
      <w:r>
        <w:rPr/>
        <w:t>万元，增长</w:t>
      </w:r>
      <w:r>
        <w:rPr>
          <w:spacing w:val="-34"/>
        </w:rPr>
        <w:t> </w:t>
      </w:r>
      <w:r>
        <w:rPr>
          <w:rFonts w:ascii="宋体" w:hAnsi="宋体" w:cs="宋体" w:eastAsia="宋体" w:hint="default"/>
        </w:rPr>
        <w:t>215.57%</w:t>
      </w:r>
      <w:r>
        <w:rPr/>
        <w:t>，主要由于报告期内因汇率变动使汇兑</w:t>
      </w:r>
      <w:r>
        <w:rPr>
          <w:w w:val="100"/>
        </w:rPr>
        <w:t> </w:t>
      </w:r>
      <w:r>
        <w:rPr/>
        <w:t>损益同比变动影响所致。</w:t>
      </w:r>
    </w:p>
    <w:p>
      <w:pPr>
        <w:spacing w:after="0" w:line="240" w:lineRule="auto"/>
        <w:jc w:val="left"/>
        <w:sectPr>
          <w:type w:val="continuous"/>
          <w:pgSz w:w="11910" w:h="16840"/>
          <w:pgMar w:top="1580" w:bottom="280" w:left="840" w:right="540"/>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7"/>
          <w:pgSz w:w="11910" w:h="16840"/>
          <w:pgMar w:footer="1248" w:header="945" w:top="1300" w:bottom="1440" w:left="1340" w:right="800"/>
        </w:sectPr>
      </w:pPr>
    </w:p>
    <w:p>
      <w:pPr>
        <w:pStyle w:val="Heading4"/>
        <w:spacing w:line="290" w:lineRule="auto" w:before="36"/>
        <w:ind w:left="458" w:right="186"/>
        <w:jc w:val="left"/>
        <w:rPr>
          <w:b w:val="0"/>
          <w:bCs w:val="0"/>
        </w:rPr>
      </w:pPr>
      <w:r>
        <w:rPr>
          <w:rFonts w:ascii="宋体" w:hAnsi="宋体" w:cs="宋体" w:eastAsia="宋体" w:hint="default"/>
        </w:rPr>
        <w:t>4.</w:t>
      </w:r>
      <w:r>
        <w:rPr>
          <w:rFonts w:ascii="宋体" w:hAnsi="宋体" w:cs="宋体" w:eastAsia="宋体" w:hint="default"/>
          <w:spacing w:val="-34"/>
        </w:rPr>
        <w:t> </w:t>
      </w:r>
      <w:r>
        <w:rPr/>
        <w:t>研发投入</w:t>
      </w:r>
      <w:r>
        <w:rPr>
          <w:w w:val="100"/>
        </w:rPr>
        <w:t> </w:t>
      </w:r>
      <w:r>
        <w:rPr/>
        <w:t>研发投入情况表</w:t>
      </w:r>
      <w:r>
        <w:rPr>
          <w:b w:val="0"/>
          <w:bCs w:val="0"/>
        </w:rPr>
      </w:r>
    </w:p>
    <w:p>
      <w:pPr>
        <w:pStyle w:val="BodyText"/>
        <w:tabs>
          <w:tab w:pos="1300" w:val="left" w:leader="none"/>
        </w:tabs>
        <w:spacing w:line="240" w:lineRule="auto" w:before="12"/>
        <w:ind w:left="45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458" w:right="0"/>
        <w:jc w:val="left"/>
      </w:pPr>
      <w:r>
        <w:rPr/>
        <w:t>单位：元</w:t>
      </w:r>
    </w:p>
    <w:p>
      <w:pPr>
        <w:spacing w:after="0" w:line="240" w:lineRule="auto"/>
        <w:jc w:val="left"/>
        <w:sectPr>
          <w:type w:val="continuous"/>
          <w:pgSz w:w="11910" w:h="16840"/>
          <w:pgMar w:top="1580" w:bottom="280" w:left="1340" w:right="800"/>
          <w:cols w:num="2" w:equalWidth="0">
            <w:col w:w="2141" w:space="5853"/>
            <w:col w:w="1776"/>
          </w:cols>
        </w:sectPr>
      </w:pPr>
    </w:p>
    <w:p>
      <w:pPr>
        <w:spacing w:line="240" w:lineRule="auto" w:before="4"/>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835,722,122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123,676,530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959,398,652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13,341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79.86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12.89</w:t>
            </w:r>
          </w:p>
        </w:tc>
      </w:tr>
    </w:tbl>
    <w:p>
      <w:pPr>
        <w:pStyle w:val="BodyText"/>
        <w:spacing w:line="240" w:lineRule="auto" w:before="26"/>
        <w:ind w:left="458" w:right="464"/>
        <w:jc w:val="left"/>
      </w:pPr>
      <w:r>
        <w:rPr/>
        <w:t>情况说明</w:t>
      </w:r>
    </w:p>
    <w:p>
      <w:pPr>
        <w:pStyle w:val="BodyText"/>
        <w:spacing w:line="240" w:lineRule="auto" w:before="56"/>
        <w:ind w:left="458" w:right="464"/>
        <w:jc w:val="left"/>
      </w:pPr>
      <w:r>
        <w:rPr/>
        <w:t>√适用</w:t>
      </w:r>
      <w:r>
        <w:rPr>
          <w:spacing w:val="-1"/>
        </w:rPr>
        <w:t> </w:t>
      </w:r>
      <w:r>
        <w:rPr/>
        <w:t>□不适用</w:t>
      </w:r>
    </w:p>
    <w:p>
      <w:pPr>
        <w:pStyle w:val="BodyText"/>
        <w:spacing w:line="272" w:lineRule="exact" w:before="86"/>
        <w:ind w:left="458" w:right="464" w:firstLine="419"/>
        <w:jc w:val="left"/>
      </w:pPr>
      <w:r>
        <w:rPr>
          <w:spacing w:val="-9"/>
          <w:w w:val="100"/>
        </w:rPr>
        <w:t>报告期内，公司的研发支出总额为</w:t>
      </w:r>
      <w:r>
        <w:rPr>
          <w:spacing w:val="-47"/>
          <w:w w:val="100"/>
        </w:rPr>
        <w:t> </w:t>
      </w:r>
      <w:r>
        <w:rPr>
          <w:rFonts w:ascii="宋体" w:hAnsi="宋体" w:cs="宋体" w:eastAsia="宋体" w:hint="default"/>
          <w:spacing w:val="-1"/>
          <w:w w:val="100"/>
        </w:rPr>
        <w:t>95,940</w:t>
      </w:r>
      <w:r>
        <w:rPr>
          <w:rFonts w:ascii="宋体" w:hAnsi="宋体" w:cs="宋体" w:eastAsia="宋体" w:hint="default"/>
          <w:spacing w:val="-51"/>
          <w:w w:val="100"/>
        </w:rPr>
        <w:t> </w:t>
      </w:r>
      <w:r>
        <w:rPr>
          <w:spacing w:val="-16"/>
          <w:w w:val="100"/>
        </w:rPr>
        <w:t>万元，同比增长</w:t>
      </w:r>
      <w:r>
        <w:rPr>
          <w:spacing w:val="-48"/>
          <w:w w:val="100"/>
        </w:rPr>
        <w:t> </w:t>
      </w:r>
      <w:r>
        <w:rPr>
          <w:rFonts w:ascii="宋体" w:hAnsi="宋体" w:cs="宋体" w:eastAsia="宋体" w:hint="default"/>
          <w:spacing w:val="-9"/>
          <w:w w:val="100"/>
        </w:rPr>
        <w:t>9.06%</w:t>
      </w:r>
      <w:r>
        <w:rPr>
          <w:spacing w:val="-9"/>
          <w:w w:val="100"/>
        </w:rPr>
        <w:t>，占营业收入比例为</w:t>
      </w:r>
      <w:r>
        <w:rPr>
          <w:spacing w:val="-47"/>
          <w:w w:val="100"/>
        </w:rPr>
        <w:t> </w:t>
      </w:r>
      <w:r>
        <w:rPr>
          <w:rFonts w:ascii="宋体" w:hAnsi="宋体" w:cs="宋体" w:eastAsia="宋体" w:hint="default"/>
          <w:spacing w:val="-1"/>
          <w:w w:val="100"/>
        </w:rPr>
        <w:t>13.45%</w:t>
      </w:r>
      <w:r>
        <w:rPr>
          <w:spacing w:val="-1"/>
          <w:w w:val="100"/>
        </w:rPr>
        <w:t>，</w:t>
      </w:r>
      <w:r>
        <w:rPr>
          <w:w w:val="100"/>
        </w:rPr>
        <w:t> </w:t>
      </w:r>
      <w:r>
        <w:rPr/>
        <w:t>同比上升</w:t>
      </w:r>
      <w:r>
        <w:rPr>
          <w:spacing w:val="-53"/>
        </w:rPr>
        <w:t> </w:t>
      </w:r>
      <w:r>
        <w:rPr>
          <w:rFonts w:ascii="宋体" w:hAnsi="宋体" w:cs="宋体" w:eastAsia="宋体" w:hint="default"/>
        </w:rPr>
        <w:t>2.08</w:t>
      </w:r>
      <w:r>
        <w:rPr>
          <w:rFonts w:ascii="宋体" w:hAnsi="宋体" w:cs="宋体" w:eastAsia="宋体" w:hint="default"/>
          <w:spacing w:val="-55"/>
        </w:rPr>
        <w:t> </w:t>
      </w:r>
      <w:r>
        <w:rPr/>
        <w:t>个百分点。</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40" w:right="800"/>
        </w:sectPr>
      </w:pPr>
    </w:p>
    <w:p>
      <w:pPr>
        <w:pStyle w:val="Heading4"/>
        <w:spacing w:line="240" w:lineRule="auto" w:before="36"/>
        <w:ind w:left="458" w:right="-18"/>
        <w:jc w:val="left"/>
        <w:rPr>
          <w:b w:val="0"/>
          <w:bCs w:val="0"/>
        </w:rPr>
      </w:pPr>
      <w:r>
        <w:rPr>
          <w:rFonts w:ascii="宋体" w:hAnsi="宋体" w:cs="宋体" w:eastAsia="宋体" w:hint="default"/>
        </w:rPr>
        <w:t>5.</w:t>
      </w:r>
      <w:r>
        <w:rPr>
          <w:rFonts w:ascii="宋体" w:hAnsi="宋体" w:cs="宋体" w:eastAsia="宋体" w:hint="default"/>
          <w:spacing w:val="-34"/>
        </w:rPr>
        <w:t> </w:t>
      </w:r>
      <w:r>
        <w:rPr/>
        <w:t>现金流</w:t>
      </w:r>
      <w:r>
        <w:rPr>
          <w:b w:val="0"/>
          <w:bCs w:val="0"/>
        </w:rPr>
      </w:r>
    </w:p>
    <w:p>
      <w:pPr>
        <w:pStyle w:val="BodyText"/>
        <w:spacing w:line="240" w:lineRule="auto" w:before="58"/>
        <w:ind w:left="4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458" w:right="0"/>
        <w:jc w:val="left"/>
      </w:pPr>
      <w:r>
        <w:rPr/>
        <w:t>单位：元</w:t>
      </w:r>
      <w:r>
        <w:rPr>
          <w:spacing w:val="1"/>
        </w:rPr>
        <w:t> </w:t>
      </w:r>
      <w:r>
        <w:rPr/>
        <w:t>币种：人民币</w:t>
      </w:r>
    </w:p>
    <w:p>
      <w:pPr>
        <w:spacing w:after="0" w:line="240" w:lineRule="auto"/>
        <w:jc w:val="left"/>
        <w:sectPr>
          <w:type w:val="continuous"/>
          <w:pgSz w:w="11910" w:h="16840"/>
          <w:pgMar w:top="1580" w:bottom="280" w:left="1340" w:right="800"/>
          <w:cols w:num="2" w:equalWidth="0">
            <w:col w:w="2035" w:space="4592"/>
            <w:col w:w="3143"/>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28"/>
        <w:gridCol w:w="1781"/>
        <w:gridCol w:w="1702"/>
        <w:gridCol w:w="1711"/>
        <w:gridCol w:w="1460"/>
        <w:gridCol w:w="1140"/>
      </w:tblGrid>
      <w:tr>
        <w:trPr>
          <w:trHeight w:val="45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36"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96"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hAnsi="宋体" w:cs="宋体" w:eastAsia="宋体" w:hint="default"/>
                <w:b/>
                <w:bCs/>
                <w:spacing w:val="-4"/>
                <w:sz w:val="21"/>
                <w:szCs w:val="21"/>
              </w:rPr>
              <w:t>变动比例（</w:t>
            </w:r>
            <w:r>
              <w:rPr>
                <w:rFonts w:ascii="宋体" w:hAnsi="宋体" w:cs="宋体" w:eastAsia="宋体" w:hint="default"/>
                <w:b/>
                <w:bCs/>
                <w:spacing w:val="-4"/>
                <w:sz w:val="21"/>
                <w:szCs w:val="21"/>
              </w:rPr>
              <w:t>%</w:t>
            </w:r>
            <w:r>
              <w:rPr>
                <w:rFonts w:ascii="宋体" w:hAnsi="宋体" w:cs="宋体" w:eastAsia="宋体" w:hint="default"/>
                <w:b/>
                <w:bCs/>
                <w:spacing w:val="-4"/>
                <w:sz w:val="21"/>
                <w:szCs w:val="21"/>
              </w:rPr>
              <w:t>）</w:t>
            </w:r>
            <w:r>
              <w:rPr>
                <w:rFonts w:ascii="宋体" w:hAnsi="宋体" w:cs="宋体" w:eastAsia="宋体" w:hint="default"/>
                <w:spacing w:val="-4"/>
                <w:sz w:val="21"/>
                <w:szCs w:val="21"/>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55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167,745,717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147,252,418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20,493,299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-2,162,515,195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-1,058,113,816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-1,104,401,379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1,482,568,197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1,072,019,683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410,548,514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38.30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458" w:right="0"/>
        <w:jc w:val="both"/>
      </w:pPr>
      <w:r>
        <w:rPr/>
        <w:t>变动说明：</w:t>
      </w:r>
    </w:p>
    <w:p>
      <w:pPr>
        <w:pStyle w:val="BodyText"/>
        <w:spacing w:line="272" w:lineRule="exact" w:before="27"/>
        <w:ind w:left="458" w:right="464"/>
        <w:jc w:val="left"/>
      </w:pPr>
      <w:r>
        <w:rPr/>
        <w:t>（</w:t>
      </w:r>
      <w:r>
        <w:rPr>
          <w:rFonts w:ascii="宋体" w:hAnsi="宋体" w:cs="宋体" w:eastAsia="宋体" w:hint="default"/>
        </w:rPr>
        <w:t>1</w:t>
      </w:r>
      <w:r>
        <w:rPr/>
        <w:t>）经营活动产生的现金流量净额较上年同期增加</w:t>
      </w:r>
      <w:r>
        <w:rPr>
          <w:spacing w:val="-35"/>
        </w:rPr>
        <w:t> </w:t>
      </w:r>
      <w:r>
        <w:rPr>
          <w:rFonts w:ascii="宋体" w:hAnsi="宋体" w:cs="宋体" w:eastAsia="宋体" w:hint="default"/>
        </w:rPr>
        <w:t>2,049</w:t>
      </w:r>
      <w:r>
        <w:rPr>
          <w:rFonts w:ascii="宋体" w:hAnsi="宋体" w:cs="宋体" w:eastAsia="宋体" w:hint="default"/>
          <w:spacing w:val="-33"/>
        </w:rPr>
        <w:t> </w:t>
      </w:r>
      <w:r>
        <w:rPr/>
        <w:t>万元，增长</w:t>
      </w:r>
      <w:r>
        <w:rPr>
          <w:spacing w:val="-33"/>
        </w:rPr>
        <w:t> </w:t>
      </w:r>
      <w:r>
        <w:rPr>
          <w:rFonts w:ascii="宋体" w:hAnsi="宋体" w:cs="宋体" w:eastAsia="宋体" w:hint="default"/>
        </w:rPr>
        <w:t>13.92%</w:t>
      </w:r>
      <w:r>
        <w:rPr/>
        <w:t>，扣除合并范围变</w:t>
      </w:r>
      <w:r>
        <w:rPr>
          <w:w w:val="100"/>
        </w:rPr>
        <w:t> </w:t>
      </w:r>
      <w:r>
        <w:rPr/>
        <w:t>化的影响外，主要由于报告期内销售商品、提供劳务收到的现金较上年同期增加所致；</w:t>
      </w:r>
    </w:p>
    <w:p>
      <w:pPr>
        <w:pStyle w:val="BodyText"/>
        <w:spacing w:line="247" w:lineRule="exact"/>
        <w:ind w:left="458" w:right="0"/>
        <w:jc w:val="both"/>
      </w:pPr>
      <w:r>
        <w:rPr>
          <w:spacing w:val="-1"/>
          <w:w w:val="100"/>
        </w:rPr>
        <w:t>（</w:t>
      </w:r>
      <w:r>
        <w:rPr>
          <w:rFonts w:ascii="宋体" w:hAnsi="宋体" w:cs="宋体" w:eastAsia="宋体" w:hint="default"/>
          <w:w w:val="100"/>
        </w:rPr>
        <w:t>2</w:t>
      </w:r>
      <w:r>
        <w:rPr>
          <w:spacing w:val="-3"/>
          <w:w w:val="100"/>
        </w:rPr>
        <w:t>）</w:t>
      </w:r>
      <w:r>
        <w:rPr>
          <w:w w:val="100"/>
        </w:rPr>
        <w:t>投资</w:t>
      </w:r>
      <w:r>
        <w:rPr>
          <w:spacing w:val="-3"/>
          <w:w w:val="100"/>
        </w:rPr>
        <w:t>活</w:t>
      </w:r>
      <w:r>
        <w:rPr>
          <w:w w:val="100"/>
        </w:rPr>
        <w:t>动</w:t>
      </w:r>
      <w:r>
        <w:rPr>
          <w:spacing w:val="-3"/>
          <w:w w:val="100"/>
        </w:rPr>
        <w:t>产</w:t>
      </w:r>
      <w:r>
        <w:rPr>
          <w:w w:val="100"/>
        </w:rPr>
        <w:t>生</w:t>
      </w:r>
      <w:r>
        <w:rPr>
          <w:spacing w:val="-3"/>
          <w:w w:val="100"/>
        </w:rPr>
        <w:t>的</w:t>
      </w:r>
      <w:r>
        <w:rPr>
          <w:w w:val="100"/>
        </w:rPr>
        <w:t>现</w:t>
      </w:r>
      <w:r>
        <w:rPr>
          <w:spacing w:val="-3"/>
          <w:w w:val="100"/>
        </w:rPr>
        <w:t>金</w:t>
      </w:r>
      <w:r>
        <w:rPr>
          <w:w w:val="100"/>
        </w:rPr>
        <w:t>流</w:t>
      </w:r>
      <w:r>
        <w:rPr>
          <w:spacing w:val="-3"/>
          <w:w w:val="100"/>
        </w:rPr>
        <w:t>量</w:t>
      </w:r>
      <w:r>
        <w:rPr>
          <w:w w:val="100"/>
        </w:rPr>
        <w:t>净额</w:t>
      </w:r>
      <w:r>
        <w:rPr>
          <w:spacing w:val="-3"/>
          <w:w w:val="100"/>
        </w:rPr>
        <w:t>较</w:t>
      </w:r>
      <w:r>
        <w:rPr>
          <w:w w:val="100"/>
        </w:rPr>
        <w:t>上</w:t>
      </w:r>
      <w:r>
        <w:rPr>
          <w:spacing w:val="-3"/>
          <w:w w:val="100"/>
        </w:rPr>
        <w:t>年</w:t>
      </w:r>
      <w:r>
        <w:rPr>
          <w:w w:val="100"/>
        </w:rPr>
        <w:t>同</w:t>
      </w:r>
      <w:r>
        <w:rPr>
          <w:spacing w:val="-3"/>
          <w:w w:val="100"/>
        </w:rPr>
        <w:t>期减</w:t>
      </w:r>
      <w:r>
        <w:rPr>
          <w:w w:val="100"/>
        </w:rPr>
        <w:t>少</w:t>
      </w:r>
      <w:r>
        <w:rPr>
          <w:spacing w:val="-52"/>
        </w:rPr>
        <w:t> </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440</w:t>
      </w:r>
      <w:r>
        <w:rPr>
          <w:rFonts w:ascii="宋体" w:hAnsi="宋体" w:cs="宋体" w:eastAsia="宋体" w:hint="default"/>
          <w:spacing w:val="-53"/>
        </w:rPr>
        <w:t> </w:t>
      </w:r>
      <w:r>
        <w:rPr>
          <w:spacing w:val="-3"/>
          <w:w w:val="100"/>
        </w:rPr>
        <w:t>万元</w:t>
      </w:r>
      <w:r>
        <w:rPr>
          <w:spacing w:val="-92"/>
          <w:w w:val="100"/>
        </w:rPr>
        <w:t>，</w:t>
      </w:r>
      <w:r>
        <w:rPr>
          <w:spacing w:val="-3"/>
          <w:w w:val="100"/>
        </w:rPr>
        <w:t>主</w:t>
      </w:r>
      <w:r>
        <w:rPr>
          <w:w w:val="100"/>
        </w:rPr>
        <w:t>要</w:t>
      </w:r>
      <w:r>
        <w:rPr>
          <w:spacing w:val="-3"/>
          <w:w w:val="100"/>
        </w:rPr>
        <w:t>由</w:t>
      </w:r>
      <w:r>
        <w:rPr>
          <w:w w:val="100"/>
        </w:rPr>
        <w:t>于</w:t>
      </w:r>
      <w:r>
        <w:rPr>
          <w:spacing w:val="-3"/>
          <w:w w:val="100"/>
        </w:rPr>
        <w:t>报</w:t>
      </w:r>
      <w:r>
        <w:rPr>
          <w:w w:val="100"/>
        </w:rPr>
        <w:t>告</w:t>
      </w:r>
      <w:r>
        <w:rPr>
          <w:spacing w:val="-3"/>
          <w:w w:val="100"/>
        </w:rPr>
        <w:t>期</w:t>
      </w:r>
      <w:r>
        <w:rPr>
          <w:w w:val="100"/>
        </w:rPr>
        <w:t>内本</w:t>
      </w:r>
      <w:r>
        <w:rPr>
          <w:spacing w:val="-3"/>
          <w:w w:val="100"/>
        </w:rPr>
        <w:t>公</w:t>
      </w:r>
      <w:r>
        <w:rPr>
          <w:w w:val="100"/>
        </w:rPr>
        <w:t>司</w:t>
      </w:r>
      <w:r>
        <w:rPr>
          <w:spacing w:val="-3"/>
          <w:w w:val="100"/>
        </w:rPr>
        <w:t>及</w:t>
      </w:r>
      <w:r>
        <w:rPr>
          <w:w w:val="100"/>
        </w:rPr>
        <w:t>子</w:t>
      </w:r>
    </w:p>
    <w:p>
      <w:pPr>
        <w:pStyle w:val="BodyText"/>
        <w:spacing w:line="237" w:lineRule="auto"/>
        <w:ind w:left="458" w:right="467"/>
        <w:jc w:val="both"/>
      </w:pPr>
      <w:r>
        <w:rPr>
          <w:spacing w:val="-2"/>
          <w:w w:val="100"/>
        </w:rPr>
        <w:t>公司根据资金情况购买银行理财产品于报告期内到期收回净额较上年同期增加</w:t>
      </w:r>
      <w:r>
        <w:rPr>
          <w:spacing w:val="-42"/>
          <w:w w:val="100"/>
        </w:rPr>
        <w:t> </w:t>
      </w:r>
      <w:r>
        <w:rPr>
          <w:rFonts w:ascii="宋体" w:hAnsi="宋体" w:cs="宋体" w:eastAsia="宋体" w:hint="default"/>
          <w:spacing w:val="-1"/>
          <w:w w:val="100"/>
        </w:rPr>
        <w:t>38,412</w:t>
      </w:r>
      <w:r>
        <w:rPr>
          <w:rFonts w:ascii="宋体" w:hAnsi="宋体" w:cs="宋体" w:eastAsia="宋体" w:hint="default"/>
          <w:spacing w:val="-46"/>
          <w:w w:val="100"/>
        </w:rPr>
        <w:t> </w:t>
      </w:r>
      <w:r>
        <w:rPr>
          <w:spacing w:val="-20"/>
          <w:w w:val="100"/>
        </w:rPr>
        <w:t>万元，以及</w:t>
      </w:r>
      <w:r>
        <w:rPr>
          <w:spacing w:val="-102"/>
          <w:w w:val="100"/>
        </w:rPr>
        <w:t> </w:t>
      </w:r>
      <w:r>
        <w:rPr>
          <w:spacing w:val="-102"/>
          <w:w w:val="100"/>
        </w:rPr>
      </w:r>
      <w:r>
        <w:rPr>
          <w:spacing w:val="-1"/>
        </w:rPr>
        <w:t>本公司原控股子公司东软望海不再纳入合并报表范围，丧失控制权日其持有的现金及现金等价物</w:t>
      </w:r>
      <w:r>
        <w:rPr>
          <w:spacing w:val="-55"/>
        </w:rPr>
        <w:t> </w:t>
      </w:r>
      <w:r>
        <w:rPr>
          <w:spacing w:val="-55"/>
        </w:rPr>
      </w:r>
      <w:r>
        <w:rPr/>
        <w:t>余额的现金流出为</w:t>
      </w:r>
      <w:r>
        <w:rPr>
          <w:spacing w:val="-55"/>
        </w:rPr>
        <w:t> </w:t>
      </w:r>
      <w:r>
        <w:rPr>
          <w:rFonts w:ascii="宋体" w:hAnsi="宋体" w:cs="宋体" w:eastAsia="宋体" w:hint="default"/>
        </w:rPr>
        <w:t>105,615</w:t>
      </w:r>
      <w:r>
        <w:rPr>
          <w:rFonts w:ascii="宋体" w:hAnsi="宋体" w:cs="宋体" w:eastAsia="宋体" w:hint="default"/>
          <w:spacing w:val="-54"/>
        </w:rPr>
        <w:t> </w:t>
      </w:r>
      <w:r>
        <w:rPr/>
        <w:t>万元；</w:t>
      </w:r>
    </w:p>
    <w:p>
      <w:pPr>
        <w:pStyle w:val="BodyText"/>
        <w:spacing w:line="272" w:lineRule="exact" w:before="58"/>
        <w:ind w:left="458" w:right="463"/>
        <w:jc w:val="left"/>
      </w:pPr>
      <w:r>
        <w:rPr>
          <w:sz w:val="24"/>
          <w:szCs w:val="24"/>
        </w:rPr>
        <w:t>（</w:t>
      </w:r>
      <w:r>
        <w:rPr>
          <w:rFonts w:ascii="宋体" w:hAnsi="宋体" w:cs="宋体" w:eastAsia="宋体" w:hint="default"/>
          <w:sz w:val="24"/>
          <w:szCs w:val="24"/>
        </w:rPr>
        <w:t>3</w:t>
      </w:r>
      <w:r>
        <w:rPr>
          <w:sz w:val="24"/>
          <w:szCs w:val="24"/>
        </w:rPr>
        <w:t>）</w:t>
      </w:r>
      <w:r>
        <w:rPr/>
        <w:t>筹资活动产生的现金流量净额较上年同期增加 </w:t>
      </w:r>
      <w:r>
        <w:rPr>
          <w:rFonts w:ascii="宋体" w:hAnsi="宋体" w:cs="宋体" w:eastAsia="宋体" w:hint="default"/>
        </w:rPr>
        <w:t>41,055 </w:t>
      </w:r>
      <w:r>
        <w:rPr/>
        <w:t>万元，增长</w:t>
      </w:r>
      <w:r>
        <w:rPr>
          <w:spacing w:val="-70"/>
        </w:rPr>
        <w:t> </w:t>
      </w:r>
      <w:r>
        <w:rPr>
          <w:rFonts w:ascii="宋体" w:hAnsi="宋体" w:cs="宋体" w:eastAsia="宋体" w:hint="default"/>
        </w:rPr>
        <w:t>38.30%</w:t>
      </w:r>
      <w:r>
        <w:rPr/>
        <w:t>，主要由于报告</w:t>
      </w:r>
      <w:r>
        <w:rPr>
          <w:w w:val="100"/>
        </w:rPr>
        <w:t> </w:t>
      </w:r>
      <w:r>
        <w:rPr/>
        <w:t>期内本公司原控股子公司东软望海收到其他股东的增资款</w:t>
      </w:r>
      <w:r>
        <w:rPr>
          <w:spacing w:val="-49"/>
        </w:rPr>
        <w:t> </w:t>
      </w:r>
      <w:r>
        <w:rPr>
          <w:rFonts w:ascii="宋体" w:hAnsi="宋体" w:cs="宋体" w:eastAsia="宋体" w:hint="default"/>
        </w:rPr>
        <w:t>146,747</w:t>
      </w:r>
      <w:r>
        <w:rPr>
          <w:rFonts w:ascii="宋体" w:hAnsi="宋体" w:cs="宋体" w:eastAsia="宋体" w:hint="default"/>
          <w:spacing w:val="-52"/>
        </w:rPr>
        <w:t> </w:t>
      </w:r>
      <w:r>
        <w:rPr/>
        <w:t>万元以及上年同期东软望海收</w:t>
      </w:r>
    </w:p>
    <w:p>
      <w:pPr>
        <w:pStyle w:val="BodyText"/>
        <w:spacing w:line="246" w:lineRule="exact"/>
        <w:ind w:left="458" w:right="0"/>
        <w:jc w:val="both"/>
      </w:pPr>
      <w:r>
        <w:rPr/>
        <w:t>到其他股东的增资款</w:t>
      </w:r>
      <w:r>
        <w:rPr>
          <w:spacing w:val="-56"/>
        </w:rPr>
        <w:t> </w:t>
      </w:r>
      <w:r>
        <w:rPr>
          <w:rFonts w:ascii="宋体" w:hAnsi="宋体" w:cs="宋体" w:eastAsia="宋体" w:hint="default"/>
        </w:rPr>
        <w:t>22,500</w:t>
      </w:r>
      <w:r>
        <w:rPr>
          <w:rFonts w:ascii="宋体" w:hAnsi="宋体" w:cs="宋体" w:eastAsia="宋体" w:hint="default"/>
          <w:spacing w:val="-55"/>
        </w:rPr>
        <w:t> </w:t>
      </w:r>
      <w:r>
        <w:rPr/>
        <w:t>万元，东软医疗和熙康引进投资者收到增资款</w:t>
      </w:r>
      <w:r>
        <w:rPr>
          <w:spacing w:val="-56"/>
        </w:rPr>
        <w:t> </w:t>
      </w:r>
      <w:r>
        <w:rPr>
          <w:rFonts w:ascii="宋体" w:hAnsi="宋体" w:cs="宋体" w:eastAsia="宋体" w:hint="default"/>
        </w:rPr>
        <w:t>77,597</w:t>
      </w:r>
      <w:r>
        <w:rPr>
          <w:rFonts w:ascii="宋体" w:hAnsi="宋体" w:cs="宋体" w:eastAsia="宋体" w:hint="default"/>
          <w:spacing w:val="-58"/>
        </w:rPr>
        <w:t> </w:t>
      </w:r>
      <w:r>
        <w:rPr/>
        <w:t>万元。</w:t>
      </w:r>
    </w:p>
    <w:p>
      <w:pPr>
        <w:spacing w:line="240" w:lineRule="auto" w:before="3"/>
        <w:rPr>
          <w:rFonts w:ascii="宋体" w:hAnsi="宋体" w:cs="宋体" w:eastAsia="宋体" w:hint="default"/>
          <w:sz w:val="25"/>
          <w:szCs w:val="25"/>
        </w:rPr>
      </w:pPr>
    </w:p>
    <w:p>
      <w:pPr>
        <w:pStyle w:val="Heading4"/>
        <w:spacing w:line="240" w:lineRule="auto"/>
        <w:ind w:left="45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非主营业务导致利润重大变化的说明</w:t>
      </w:r>
      <w:r>
        <w:rPr>
          <w:b w:val="0"/>
          <w:bCs w:val="0"/>
        </w:rPr>
      </w:r>
    </w:p>
    <w:p>
      <w:pPr>
        <w:pStyle w:val="BodyText"/>
        <w:spacing w:line="273" w:lineRule="exact" w:before="58"/>
        <w:ind w:left="458" w:right="0"/>
        <w:jc w:val="both"/>
      </w:pPr>
      <w:r>
        <w:rPr/>
        <w:t>√适用</w:t>
      </w:r>
      <w:r>
        <w:rPr>
          <w:spacing w:val="-1"/>
        </w:rPr>
        <w:t> </w:t>
      </w:r>
      <w:r>
        <w:rPr/>
        <w:t>□不适用</w:t>
      </w:r>
    </w:p>
    <w:p>
      <w:pPr>
        <w:pStyle w:val="BodyText"/>
        <w:spacing w:line="237" w:lineRule="auto"/>
        <w:ind w:left="458" w:right="467" w:firstLine="419"/>
        <w:jc w:val="both"/>
      </w:pPr>
      <w:r>
        <w:rPr/>
        <w:t>公司</w:t>
      </w:r>
      <w:r>
        <w:rPr>
          <w:spacing w:val="-32"/>
        </w:rPr>
        <w:t> </w:t>
      </w:r>
      <w:r>
        <w:rPr>
          <w:rFonts w:ascii="宋体" w:hAnsi="宋体" w:cs="宋体" w:eastAsia="宋体" w:hint="default"/>
        </w:rPr>
        <w:t>2017</w:t>
      </w:r>
      <w:r>
        <w:rPr>
          <w:rFonts w:ascii="宋体" w:hAnsi="宋体" w:cs="宋体" w:eastAsia="宋体" w:hint="default"/>
          <w:spacing w:val="-35"/>
        </w:rPr>
        <w:t> </w:t>
      </w:r>
      <w:r>
        <w:rPr/>
        <w:t>年度累计实现归属于上市公司股东的净利润与上年同期相比下降</w:t>
      </w:r>
      <w:r>
        <w:rPr>
          <w:spacing w:val="-34"/>
        </w:rPr>
        <w:t> </w:t>
      </w:r>
      <w:r>
        <w:rPr>
          <w:rFonts w:ascii="宋体" w:hAnsi="宋体" w:cs="宋体" w:eastAsia="宋体" w:hint="default"/>
        </w:rPr>
        <w:t>42.81%</w:t>
      </w:r>
      <w:r>
        <w:rPr/>
        <w:t>，主要由</w:t>
      </w:r>
      <w:r>
        <w:rPr>
          <w:w w:val="100"/>
        </w:rPr>
        <w:t> </w:t>
      </w:r>
      <w:r>
        <w:rPr>
          <w:spacing w:val="-1"/>
        </w:rPr>
        <w:t>于上年同期东软医疗、熙康引进投资者第二次交割完成后，本公司不再拥有对东软医疗、熙康的</w:t>
      </w:r>
      <w:r>
        <w:rPr>
          <w:spacing w:val="-55"/>
        </w:rPr>
        <w:t> </w:t>
      </w:r>
      <w:r>
        <w:rPr>
          <w:spacing w:val="-55"/>
        </w:rPr>
      </w:r>
      <w:r>
        <w:rPr/>
        <w:t>控制权，公司自</w:t>
      </w:r>
      <w:r>
        <w:rPr>
          <w:spacing w:val="-52"/>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日起不再将东软医疗、熙康纳入公司的合并财务报表范围，公司</w:t>
      </w:r>
      <w:r>
        <w:rPr>
          <w:w w:val="100"/>
        </w:rPr>
        <w:t> </w:t>
      </w:r>
      <w:r>
        <w:rPr>
          <w:spacing w:val="-1"/>
        </w:rPr>
        <w:t>确认对东软医疗、熙康的税后股权转让收益、因其他投资方的增资使得本投资方持股比例下降确</w:t>
      </w:r>
      <w:r>
        <w:rPr>
          <w:spacing w:val="-55"/>
        </w:rPr>
        <w:t> </w:t>
      </w:r>
      <w:r>
        <w:rPr>
          <w:spacing w:val="-55"/>
        </w:rPr>
      </w:r>
      <w:r>
        <w:rPr/>
        <w:t>认的收益及对其剩余股权按公允价值重估收益等收益合计</w:t>
      </w:r>
      <w:r>
        <w:rPr>
          <w:spacing w:val="-49"/>
        </w:rPr>
        <w:t> </w:t>
      </w:r>
      <w:r>
        <w:rPr>
          <w:rFonts w:ascii="宋体" w:hAnsi="宋体" w:cs="宋体" w:eastAsia="宋体" w:hint="default"/>
        </w:rPr>
        <w:t>151,987</w:t>
      </w:r>
      <w:r>
        <w:rPr>
          <w:rFonts w:ascii="宋体" w:hAnsi="宋体" w:cs="宋体" w:eastAsia="宋体" w:hint="default"/>
          <w:spacing w:val="-52"/>
        </w:rPr>
        <w:t> </w:t>
      </w:r>
      <w:r>
        <w:rPr/>
        <w:t>万元，其他具体内容详见本公</w:t>
      </w:r>
    </w:p>
    <w:p>
      <w:pPr>
        <w:pStyle w:val="BodyText"/>
        <w:spacing w:line="272" w:lineRule="exact"/>
        <w:ind w:left="458" w:right="0"/>
        <w:jc w:val="both"/>
      </w:pPr>
      <w:r>
        <w:rPr/>
        <w:t>司分别于</w:t>
      </w:r>
      <w:r>
        <w:rPr>
          <w:spacing w:val="-50"/>
        </w:rPr>
        <w:t> </w:t>
      </w:r>
      <w:r>
        <w:rPr>
          <w:rFonts w:ascii="宋体" w:hAnsi="宋体" w:cs="宋体" w:eastAsia="宋体" w:hint="default"/>
        </w:rPr>
        <w:t>2016</w:t>
      </w:r>
      <w:r>
        <w:rPr>
          <w:rFonts w:ascii="宋体" w:hAnsi="宋体" w:cs="宋体" w:eastAsia="宋体" w:hint="default"/>
          <w:spacing w:val="-53"/>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w:t>
      </w:r>
      <w:r>
        <w:rPr>
          <w:spacing w:val="-49"/>
        </w:rPr>
        <w:t> </w:t>
      </w:r>
      <w:r>
        <w:rPr>
          <w:rFonts w:ascii="宋体" w:hAnsi="宋体" w:cs="宋体" w:eastAsia="宋体" w:hint="default"/>
        </w:rPr>
        <w:t>27</w:t>
      </w:r>
      <w:r>
        <w:rPr>
          <w:rFonts w:ascii="宋体" w:hAnsi="宋体" w:cs="宋体" w:eastAsia="宋体" w:hint="default"/>
          <w:spacing w:val="-53"/>
        </w:rPr>
        <w:t> </w:t>
      </w:r>
      <w:r>
        <w:rPr/>
        <w:t>日、</w:t>
      </w:r>
      <w:r>
        <w:rPr>
          <w:rFonts w:ascii="宋体" w:hAnsi="宋体" w:cs="宋体" w:eastAsia="宋体" w:hint="default"/>
        </w:rPr>
        <w:t>2016</w:t>
      </w:r>
      <w:r>
        <w:rPr>
          <w:rFonts w:ascii="宋体" w:hAnsi="宋体" w:cs="宋体" w:eastAsia="宋体" w:hint="default"/>
          <w:spacing w:val="-50"/>
        </w:rPr>
        <w:t> </w:t>
      </w:r>
      <w:r>
        <w:rPr/>
        <w:t>年</w:t>
      </w:r>
      <w:r>
        <w:rPr>
          <w:spacing w:val="-53"/>
        </w:rPr>
        <w:t> </w:t>
      </w:r>
      <w:r>
        <w:rPr>
          <w:rFonts w:ascii="宋体" w:hAnsi="宋体" w:cs="宋体" w:eastAsia="宋体" w:hint="default"/>
        </w:rPr>
        <w:t>8</w:t>
      </w:r>
      <w:r>
        <w:rPr>
          <w:rFonts w:ascii="宋体" w:hAnsi="宋体" w:cs="宋体" w:eastAsia="宋体" w:hint="default"/>
          <w:spacing w:val="-50"/>
        </w:rPr>
        <w:t> </w:t>
      </w:r>
      <w:r>
        <w:rPr/>
        <w:t>月</w:t>
      </w:r>
      <w:r>
        <w:rPr>
          <w:spacing w:val="-53"/>
        </w:rPr>
        <w:t> </w:t>
      </w:r>
      <w:r>
        <w:rPr>
          <w:rFonts w:ascii="宋体" w:hAnsi="宋体" w:cs="宋体" w:eastAsia="宋体" w:hint="default"/>
        </w:rPr>
        <w:t>2</w:t>
      </w:r>
      <w:r>
        <w:rPr>
          <w:rFonts w:ascii="宋体" w:hAnsi="宋体" w:cs="宋体" w:eastAsia="宋体" w:hint="default"/>
          <w:spacing w:val="-50"/>
        </w:rPr>
        <w:t> </w:t>
      </w:r>
      <w:r>
        <w:rPr>
          <w:spacing w:val="-3"/>
        </w:rPr>
        <w:t>日刊登在《中国证券报》、《上海证券报》上的相关</w:t>
      </w:r>
    </w:p>
    <w:p>
      <w:pPr>
        <w:pStyle w:val="BodyText"/>
        <w:spacing w:line="273" w:lineRule="exact"/>
        <w:ind w:left="458" w:right="0"/>
        <w:jc w:val="both"/>
        <w:rPr>
          <w:rFonts w:ascii="宋体" w:hAnsi="宋体" w:cs="宋体" w:eastAsia="宋体" w:hint="default"/>
        </w:rPr>
      </w:pPr>
      <w:r>
        <w:rPr/>
        <w:t>公告；本报告期内，东软望海引进投资者，本公司不再拥有对东软望海的控制权，公司自 </w:t>
      </w:r>
      <w:r>
        <w:rPr>
          <w:spacing w:val="8"/>
        </w:rPr>
        <w:t> </w:t>
      </w:r>
      <w:r>
        <w:rPr>
          <w:rFonts w:ascii="宋体" w:hAnsi="宋体" w:cs="宋体" w:eastAsia="宋体" w:hint="default"/>
        </w:rPr>
        <w:t>2017</w:t>
      </w:r>
    </w:p>
    <w:p>
      <w:pPr>
        <w:spacing w:after="0" w:line="273" w:lineRule="exact"/>
        <w:jc w:val="both"/>
        <w:rPr>
          <w:rFonts w:ascii="宋体" w:hAnsi="宋体" w:cs="宋体" w:eastAsia="宋体" w:hint="default"/>
        </w:rPr>
        <w:sectPr>
          <w:type w:val="continuous"/>
          <w:pgSz w:w="11910" w:h="16840"/>
          <w:pgMar w:top="1580" w:bottom="280" w:left="1340" w:right="800"/>
        </w:sectPr>
      </w:pPr>
    </w:p>
    <w:p>
      <w:pPr>
        <w:spacing w:line="240" w:lineRule="auto" w:before="3"/>
        <w:rPr>
          <w:rFonts w:ascii="宋体" w:hAnsi="宋体" w:cs="宋体" w:eastAsia="宋体" w:hint="default"/>
          <w:sz w:val="11"/>
          <w:szCs w:val="11"/>
        </w:rPr>
      </w:pPr>
    </w:p>
    <w:p>
      <w:pPr>
        <w:pStyle w:val="BodyText"/>
        <w:spacing w:line="274" w:lineRule="exact" w:before="36"/>
        <w:ind w:right="0"/>
        <w:jc w:val="left"/>
      </w:pP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3"/>
          <w:w w:val="100"/>
        </w:rPr>
        <w:t>末</w:t>
      </w:r>
      <w:r>
        <w:rPr>
          <w:w w:val="100"/>
        </w:rPr>
        <w:t>不</w:t>
      </w:r>
      <w:r>
        <w:rPr>
          <w:spacing w:val="-3"/>
          <w:w w:val="100"/>
        </w:rPr>
        <w:t>再</w:t>
      </w:r>
      <w:r>
        <w:rPr>
          <w:w w:val="100"/>
        </w:rPr>
        <w:t>将</w:t>
      </w:r>
      <w:r>
        <w:rPr>
          <w:spacing w:val="-3"/>
          <w:w w:val="100"/>
        </w:rPr>
        <w:t>东</w:t>
      </w:r>
      <w:r>
        <w:rPr>
          <w:w w:val="100"/>
        </w:rPr>
        <w:t>软</w:t>
      </w:r>
      <w:r>
        <w:rPr>
          <w:spacing w:val="-3"/>
          <w:w w:val="100"/>
        </w:rPr>
        <w:t>望海</w:t>
      </w:r>
      <w:r>
        <w:rPr>
          <w:w w:val="100"/>
        </w:rPr>
        <w:t>纳入</w:t>
      </w:r>
      <w:r>
        <w:rPr>
          <w:spacing w:val="-3"/>
          <w:w w:val="100"/>
        </w:rPr>
        <w:t>公</w:t>
      </w:r>
      <w:r>
        <w:rPr>
          <w:w w:val="100"/>
        </w:rPr>
        <w:t>司</w:t>
      </w:r>
      <w:r>
        <w:rPr>
          <w:spacing w:val="-3"/>
          <w:w w:val="100"/>
        </w:rPr>
        <w:t>的</w:t>
      </w:r>
      <w:r>
        <w:rPr>
          <w:w w:val="100"/>
        </w:rPr>
        <w:t>合</w:t>
      </w:r>
      <w:r>
        <w:rPr>
          <w:spacing w:val="-3"/>
          <w:w w:val="100"/>
        </w:rPr>
        <w:t>并</w:t>
      </w:r>
      <w:r>
        <w:rPr>
          <w:w w:val="100"/>
        </w:rPr>
        <w:t>财</w:t>
      </w:r>
      <w:r>
        <w:rPr>
          <w:spacing w:val="-3"/>
          <w:w w:val="100"/>
        </w:rPr>
        <w:t>务</w:t>
      </w:r>
      <w:r>
        <w:rPr>
          <w:w w:val="100"/>
        </w:rPr>
        <w:t>报</w:t>
      </w:r>
      <w:r>
        <w:rPr>
          <w:spacing w:val="-3"/>
          <w:w w:val="100"/>
        </w:rPr>
        <w:t>表</w:t>
      </w:r>
      <w:r>
        <w:rPr>
          <w:w w:val="100"/>
        </w:rPr>
        <w:t>范</w:t>
      </w:r>
      <w:r>
        <w:rPr>
          <w:spacing w:val="-3"/>
          <w:w w:val="100"/>
        </w:rPr>
        <w:t>围</w:t>
      </w:r>
      <w:r>
        <w:rPr>
          <w:spacing w:val="-92"/>
          <w:w w:val="100"/>
        </w:rPr>
        <w:t>，</w:t>
      </w:r>
      <w:r>
        <w:rPr>
          <w:spacing w:val="-3"/>
          <w:w w:val="100"/>
        </w:rPr>
        <w:t>公</w:t>
      </w:r>
      <w:r>
        <w:rPr>
          <w:w w:val="100"/>
        </w:rPr>
        <w:t>司</w:t>
      </w:r>
      <w:r>
        <w:rPr>
          <w:spacing w:val="-3"/>
          <w:w w:val="100"/>
        </w:rPr>
        <w:t>对</w:t>
      </w:r>
      <w:r>
        <w:rPr>
          <w:w w:val="100"/>
        </w:rPr>
        <w:t>东</w:t>
      </w:r>
      <w:r>
        <w:rPr>
          <w:spacing w:val="-3"/>
          <w:w w:val="100"/>
        </w:rPr>
        <w:t>软</w:t>
      </w:r>
      <w:r>
        <w:rPr>
          <w:w w:val="100"/>
        </w:rPr>
        <w:t>望</w:t>
      </w:r>
      <w:r>
        <w:rPr>
          <w:spacing w:val="-3"/>
          <w:w w:val="100"/>
        </w:rPr>
        <w:t>海</w:t>
      </w:r>
      <w:r>
        <w:rPr>
          <w:w w:val="100"/>
        </w:rPr>
        <w:t>确</w:t>
      </w:r>
      <w:r>
        <w:rPr>
          <w:spacing w:val="-3"/>
          <w:w w:val="100"/>
        </w:rPr>
        <w:t>认</w:t>
      </w:r>
      <w:r>
        <w:rPr>
          <w:w w:val="100"/>
        </w:rPr>
        <w:t>的税</w:t>
      </w:r>
      <w:r>
        <w:rPr>
          <w:spacing w:val="-3"/>
          <w:w w:val="100"/>
        </w:rPr>
        <w:t>后</w:t>
      </w:r>
      <w:r>
        <w:rPr>
          <w:w w:val="100"/>
        </w:rPr>
        <w:t>视</w:t>
      </w:r>
      <w:r>
        <w:rPr>
          <w:spacing w:val="-3"/>
          <w:w w:val="100"/>
        </w:rPr>
        <w:t>同</w:t>
      </w:r>
      <w:r>
        <w:rPr>
          <w:w w:val="100"/>
        </w:rPr>
        <w:t>处</w:t>
      </w:r>
      <w:r>
        <w:rPr>
          <w:spacing w:val="-3"/>
          <w:w w:val="100"/>
        </w:rPr>
        <w:t>置</w:t>
      </w:r>
      <w:r>
        <w:rPr>
          <w:w w:val="100"/>
        </w:rPr>
        <w:t>收</w:t>
      </w:r>
    </w:p>
    <w:p>
      <w:pPr>
        <w:pStyle w:val="BodyText"/>
        <w:spacing w:line="272" w:lineRule="exact"/>
        <w:ind w:right="0"/>
        <w:jc w:val="left"/>
      </w:pPr>
      <w:r>
        <w:rPr/>
        <w:t>益及剩余股权按公允价值重估收益合计</w:t>
      </w:r>
      <w:r>
        <w:rPr>
          <w:spacing w:val="-33"/>
        </w:rPr>
        <w:t> </w:t>
      </w:r>
      <w:r>
        <w:rPr>
          <w:rFonts w:ascii="宋体" w:hAnsi="宋体" w:cs="宋体" w:eastAsia="宋体" w:hint="default"/>
        </w:rPr>
        <w:t>68,787</w:t>
      </w:r>
      <w:r>
        <w:rPr>
          <w:rFonts w:ascii="宋体" w:hAnsi="宋体" w:cs="宋体" w:eastAsia="宋体" w:hint="default"/>
          <w:spacing w:val="-36"/>
        </w:rPr>
        <w:t> </w:t>
      </w:r>
      <w:r>
        <w:rPr/>
        <w:t>万元，其他具体内容详见本公司于</w:t>
      </w:r>
      <w:r>
        <w:rPr>
          <w:spacing w:val="-33"/>
        </w:rPr>
        <w:t> </w:t>
      </w:r>
      <w:r>
        <w:rPr>
          <w:rFonts w:ascii="宋体" w:hAnsi="宋体" w:cs="宋体" w:eastAsia="宋体" w:hint="default"/>
        </w:rPr>
        <w:t>2017</w:t>
      </w:r>
      <w:r>
        <w:rPr>
          <w:rFonts w:ascii="宋体" w:hAnsi="宋体" w:cs="宋体" w:eastAsia="宋体" w:hint="default"/>
          <w:spacing w:val="-34"/>
        </w:rPr>
        <w:t> </w:t>
      </w:r>
      <w:r>
        <w:rPr/>
        <w:t>年</w:t>
      </w:r>
      <w:r>
        <w:rPr>
          <w:spacing w:val="-33"/>
        </w:rPr>
        <w:t> </w:t>
      </w:r>
      <w:r>
        <w:rPr>
          <w:rFonts w:ascii="宋体" w:hAnsi="宋体" w:cs="宋体" w:eastAsia="宋体" w:hint="default"/>
        </w:rPr>
        <w:t>11</w:t>
      </w:r>
      <w:r>
        <w:rPr>
          <w:rFonts w:ascii="宋体" w:hAnsi="宋体" w:cs="宋体" w:eastAsia="宋体" w:hint="default"/>
          <w:spacing w:val="-36"/>
        </w:rPr>
        <w:t> </w:t>
      </w:r>
      <w:r>
        <w:rPr/>
        <w:t>月</w:t>
      </w:r>
    </w:p>
    <w:p>
      <w:pPr>
        <w:pStyle w:val="BodyText"/>
        <w:spacing w:line="273" w:lineRule="exact"/>
        <w:ind w:right="226"/>
        <w:jc w:val="left"/>
      </w:pPr>
      <w:r>
        <w:rPr>
          <w:rFonts w:ascii="宋体" w:hAnsi="宋体" w:cs="宋体" w:eastAsia="宋体" w:hint="default"/>
        </w:rPr>
        <w:t>15</w:t>
      </w:r>
      <w:r>
        <w:rPr>
          <w:rFonts w:ascii="宋体" w:hAnsi="宋体" w:cs="宋体" w:eastAsia="宋体" w:hint="default"/>
          <w:spacing w:val="-53"/>
        </w:rPr>
        <w:t> </w:t>
      </w:r>
      <w:r>
        <w:rPr/>
        <w:t>日、</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4"/>
        </w:rPr>
        <w:t> </w:t>
      </w:r>
      <w:r>
        <w:rPr/>
        <w:t>日刊登在《中国证券报》、《上海证券报》上的相关公告。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8"/>
          <w:pgSz w:w="11910" w:h="16840"/>
          <w:pgMar w:footer="1228" w:header="945" w:top="1300" w:bottom="1420" w:left="1580" w:right="1040"/>
          <w:pgNumType w:start="21"/>
        </w:sectPr>
      </w:pPr>
    </w:p>
    <w:p>
      <w:pPr>
        <w:pStyle w:val="Heading4"/>
        <w:spacing w:line="240" w:lineRule="auto" w:before="36"/>
        <w:ind w:right="-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0"/>
        </w:rPr>
        <w:t> </w:t>
      </w:r>
      <w:r>
        <w:rPr/>
        <w:t>资产、负债情况分析</w:t>
      </w:r>
      <w:r>
        <w:rPr>
          <w:b w:val="0"/>
          <w:bCs w:val="0"/>
        </w:rPr>
      </w:r>
    </w:p>
    <w:p>
      <w:pPr>
        <w:tabs>
          <w:tab w:pos="1060" w:val="left" w:leader="none"/>
        </w:tabs>
        <w:spacing w:line="290" w:lineRule="auto" w:before="58"/>
        <w:ind w:left="218" w:right="7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pacing w:val="-32"/>
          <w:sz w:val="21"/>
          <w:szCs w:val="21"/>
        </w:rPr>
        <w:t> </w:t>
      </w: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580" w:bottom="280" w:left="1580" w:right="1040"/>
          <w:cols w:num="2" w:equalWidth="0">
            <w:col w:w="2686" w:space="5308"/>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0"/>
        <w:gridCol w:w="1582"/>
        <w:gridCol w:w="1246"/>
        <w:gridCol w:w="1582"/>
        <w:gridCol w:w="1202"/>
        <w:gridCol w:w="1162"/>
        <w:gridCol w:w="905"/>
      </w:tblGrid>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96" w:right="194"/>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75" w:right="17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5" w:firstLine="52"/>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18"/>
                <w:w w:val="100"/>
                <w:sz w:val="21"/>
                <w:szCs w:val="21"/>
              </w:rPr>
              <w:t>动比例（</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0" w:right="127" w:hanging="209"/>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5"/>
                <w:sz w:val="21"/>
                <w:szCs w:val="21"/>
              </w:rPr>
              <w:t> </w:t>
            </w:r>
            <w:r>
              <w:rPr>
                <w:rFonts w:ascii="宋体" w:hAnsi="宋体" w:cs="宋体" w:eastAsia="宋体" w:hint="default"/>
                <w:spacing w:val="11"/>
                <w:sz w:val="21"/>
                <w:szCs w:val="21"/>
              </w:rPr>
              <w:t>有待</w:t>
            </w:r>
            <w:r>
              <w:rPr>
                <w:rFonts w:ascii="宋体" w:hAnsi="宋体" w:cs="宋体" w:eastAsia="宋体" w:hint="default"/>
                <w:spacing w:val="-75"/>
                <w:sz w:val="21"/>
                <w:szCs w:val="21"/>
              </w:rPr>
              <w:t> </w:t>
            </w:r>
            <w:r>
              <w:rPr>
                <w:rFonts w:ascii="宋体" w:hAnsi="宋体" w:cs="宋体" w:eastAsia="宋体" w:hint="default"/>
                <w:spacing w:val="11"/>
                <w:sz w:val="21"/>
                <w:szCs w:val="21"/>
              </w:rPr>
              <w:t>售资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73,601,936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5"/>
                <w:sz w:val="21"/>
                <w:szCs w:val="21"/>
              </w:rPr>
              <w:t> </w:t>
            </w:r>
            <w:r>
              <w:rPr>
                <w:rFonts w:ascii="宋体" w:hAnsi="宋体" w:cs="宋体" w:eastAsia="宋体" w:hint="default"/>
                <w:spacing w:val="11"/>
                <w:sz w:val="21"/>
                <w:szCs w:val="21"/>
              </w:rPr>
              <w:t>供出</w:t>
            </w:r>
            <w:r>
              <w:rPr>
                <w:rFonts w:ascii="宋体" w:hAnsi="宋体" w:cs="宋体" w:eastAsia="宋体" w:hint="default"/>
                <w:spacing w:val="-75"/>
                <w:sz w:val="21"/>
                <w:szCs w:val="21"/>
              </w:rPr>
              <w:t> </w:t>
            </w:r>
            <w:r>
              <w:rPr>
                <w:rFonts w:ascii="宋体" w:hAnsi="宋体" w:cs="宋体" w:eastAsia="宋体" w:hint="default"/>
                <w:spacing w:val="11"/>
                <w:sz w:val="21"/>
                <w:szCs w:val="21"/>
              </w:rPr>
              <w:t>售金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38,245,830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5,853,340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553.40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4,336,757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2,804,161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5"/>
                <w:sz w:val="21"/>
                <w:szCs w:val="21"/>
              </w:rPr>
              <w:t> </w:t>
            </w:r>
            <w:r>
              <w:rPr>
                <w:rFonts w:ascii="宋体" w:hAnsi="宋体" w:cs="宋体" w:eastAsia="宋体" w:hint="default"/>
                <w:spacing w:val="11"/>
                <w:sz w:val="21"/>
                <w:szCs w:val="21"/>
              </w:rPr>
              <w:t>期股</w:t>
            </w:r>
            <w:r>
              <w:rPr>
                <w:rFonts w:ascii="宋体" w:hAnsi="宋体" w:cs="宋体" w:eastAsia="宋体" w:hint="default"/>
                <w:spacing w:val="-75"/>
                <w:sz w:val="21"/>
                <w:szCs w:val="21"/>
              </w:rPr>
              <w:t> </w:t>
            </w:r>
            <w:r>
              <w:rPr>
                <w:rFonts w:ascii="宋体" w:hAnsi="宋体" w:cs="宋体" w:eastAsia="宋体" w:hint="default"/>
                <w:spacing w:val="11"/>
                <w:sz w:val="21"/>
                <w:szCs w:val="21"/>
              </w:rPr>
              <w:t>权投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2,966,950,050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1,793,382,049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65.44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5"/>
                <w:sz w:val="21"/>
                <w:szCs w:val="21"/>
              </w:rPr>
              <w:t> </w:t>
            </w:r>
            <w:r>
              <w:rPr>
                <w:rFonts w:ascii="宋体" w:hAnsi="宋体" w:cs="宋体" w:eastAsia="宋体" w:hint="default"/>
                <w:spacing w:val="11"/>
                <w:sz w:val="21"/>
                <w:szCs w:val="21"/>
              </w:rPr>
              <w:t>资性</w:t>
            </w:r>
            <w:r>
              <w:rPr>
                <w:rFonts w:ascii="宋体" w:hAnsi="宋体" w:cs="宋体" w:eastAsia="宋体" w:hint="default"/>
                <w:spacing w:val="-75"/>
                <w:sz w:val="21"/>
                <w:szCs w:val="21"/>
              </w:rPr>
              <w:t> </w:t>
            </w:r>
            <w:r>
              <w:rPr>
                <w:rFonts w:ascii="宋体" w:hAnsi="宋体" w:cs="宋体" w:eastAsia="宋体" w:hint="default"/>
                <w:spacing w:val="11"/>
                <w:sz w:val="21"/>
                <w:szCs w:val="21"/>
              </w:rPr>
              <w:t>房地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893,389,082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600,607,506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48.75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146,943,581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346,179,321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-57.55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116,291,234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64,095,595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p>
        </w:tc>
      </w:tr>
      <w:tr>
        <w:trPr>
          <w:trHeight w:val="28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54,349,051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131,653,773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5"/>
                <w:sz w:val="21"/>
                <w:szCs w:val="21"/>
              </w:rPr>
              <w:t> </w:t>
            </w:r>
            <w:r>
              <w:rPr>
                <w:rFonts w:ascii="宋体" w:hAnsi="宋体" w:cs="宋体" w:eastAsia="宋体" w:hint="default"/>
                <w:spacing w:val="11"/>
                <w:sz w:val="21"/>
                <w:szCs w:val="21"/>
              </w:rPr>
              <w:t>他非</w:t>
            </w:r>
            <w:r>
              <w:rPr>
                <w:rFonts w:ascii="宋体" w:hAnsi="宋体" w:cs="宋体" w:eastAsia="宋体" w:hint="default"/>
                <w:spacing w:val="-75"/>
                <w:sz w:val="21"/>
                <w:szCs w:val="21"/>
              </w:rPr>
              <w:t> </w:t>
            </w:r>
            <w:r>
              <w:rPr>
                <w:rFonts w:ascii="宋体" w:hAnsi="宋体" w:cs="宋体" w:eastAsia="宋体" w:hint="default"/>
                <w:spacing w:val="11"/>
                <w:sz w:val="21"/>
                <w:szCs w:val="21"/>
              </w:rPr>
              <w:t>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321,677,404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23,390,000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1,275.28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119,398,350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32,880,600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263.13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p>
        </w:tc>
      </w:tr>
      <w:tr>
        <w:trPr>
          <w:trHeight w:val="137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1"/>
                <w:sz w:val="21"/>
                <w:szCs w:val="21"/>
              </w:rPr>
              <w:t>价值</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pacing w:val="11"/>
                <w:sz w:val="21"/>
                <w:szCs w:val="21"/>
              </w:rPr>
              <w:t>量且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pacing w:val="11"/>
                <w:sz w:val="21"/>
                <w:szCs w:val="21"/>
              </w:rPr>
              <w:t>计入</w:t>
            </w:r>
            <w:r>
              <w:rPr>
                <w:rFonts w:ascii="宋体" w:hAnsi="宋体" w:cs="宋体" w:eastAsia="宋体" w:hint="default"/>
                <w:spacing w:val="-76"/>
                <w:sz w:val="21"/>
                <w:szCs w:val="21"/>
              </w:rPr>
              <w:t> </w:t>
            </w:r>
            <w:r>
              <w:rPr>
                <w:rFonts w:ascii="宋体" w:hAnsi="宋体" w:cs="宋体" w:eastAsia="宋体" w:hint="default"/>
                <w:spacing w:val="11"/>
                <w:sz w:val="21"/>
                <w:szCs w:val="21"/>
              </w:rPr>
              <w:t>当期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pacing w:val="11"/>
                <w:sz w:val="21"/>
                <w:szCs w:val="21"/>
              </w:rPr>
              <w:t>益的</w:t>
            </w:r>
            <w:r>
              <w:rPr>
                <w:rFonts w:ascii="宋体" w:hAnsi="宋体" w:cs="宋体" w:eastAsia="宋体" w:hint="default"/>
                <w:spacing w:val="-76"/>
                <w:sz w:val="21"/>
                <w:szCs w:val="21"/>
              </w:rPr>
              <w:t> </w:t>
            </w:r>
            <w:r>
              <w:rPr>
                <w:rFonts w:ascii="宋体" w:hAnsi="宋体" w:cs="宋体" w:eastAsia="宋体" w:hint="default"/>
                <w:spacing w:val="11"/>
                <w:sz w:val="21"/>
                <w:szCs w:val="21"/>
              </w:rPr>
              <w:t>金融</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9,275,607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p>
        </w:tc>
      </w:tr>
      <w:tr>
        <w:trPr>
          <w:trHeight w:val="8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5"/>
                <w:sz w:val="21"/>
                <w:szCs w:val="21"/>
              </w:rPr>
              <w:t> </w:t>
            </w:r>
            <w:r>
              <w:rPr>
                <w:rFonts w:ascii="宋体" w:hAnsi="宋体" w:cs="宋体" w:eastAsia="宋体" w:hint="default"/>
                <w:spacing w:val="11"/>
                <w:sz w:val="21"/>
                <w:szCs w:val="21"/>
              </w:rPr>
              <w:t>年内</w:t>
            </w:r>
            <w:r>
              <w:rPr>
                <w:rFonts w:ascii="宋体" w:hAnsi="宋体" w:cs="宋体" w:eastAsia="宋体" w:hint="default"/>
                <w:spacing w:val="-75"/>
                <w:sz w:val="21"/>
                <w:szCs w:val="21"/>
              </w:rPr>
              <w:t> </w:t>
            </w:r>
            <w:r>
              <w:rPr>
                <w:rFonts w:ascii="宋体" w:hAnsi="宋体" w:cs="宋体" w:eastAsia="宋体" w:hint="default"/>
                <w:spacing w:val="11"/>
                <w:sz w:val="21"/>
                <w:szCs w:val="21"/>
              </w:rPr>
              <w:t>到期</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pacing w:val="11"/>
                <w:sz w:val="21"/>
                <w:szCs w:val="21"/>
              </w:rPr>
              <w:t>非流</w:t>
            </w:r>
            <w:r>
              <w:rPr>
                <w:rFonts w:ascii="宋体" w:hAnsi="宋体" w:cs="宋体" w:eastAsia="宋体" w:hint="default"/>
                <w:spacing w:val="-76"/>
                <w:sz w:val="21"/>
                <w:szCs w:val="21"/>
              </w:rPr>
              <w:t> </w:t>
            </w:r>
            <w:r>
              <w:rPr>
                <w:rFonts w:ascii="宋体" w:hAnsi="宋体" w:cs="宋体" w:eastAsia="宋体" w:hint="default"/>
                <w:spacing w:val="11"/>
                <w:sz w:val="21"/>
                <w:szCs w:val="21"/>
              </w:rPr>
              <w:t>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650,409,000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-53.88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5"/>
                <w:sz w:val="21"/>
                <w:szCs w:val="21"/>
              </w:rPr>
              <w:t> </w:t>
            </w:r>
            <w:r>
              <w:rPr>
                <w:rFonts w:ascii="宋体" w:hAnsi="宋体" w:cs="宋体" w:eastAsia="宋体" w:hint="default"/>
                <w:spacing w:val="11"/>
                <w:sz w:val="21"/>
                <w:szCs w:val="21"/>
              </w:rPr>
              <w:t>他流</w:t>
            </w:r>
            <w:r>
              <w:rPr>
                <w:rFonts w:ascii="宋体" w:hAnsi="宋体" w:cs="宋体" w:eastAsia="宋体" w:hint="default"/>
                <w:spacing w:val="-75"/>
                <w:sz w:val="21"/>
                <w:szCs w:val="21"/>
              </w:rPr>
              <w:t> </w:t>
            </w:r>
            <w:r>
              <w:rPr>
                <w:rFonts w:ascii="宋体" w:hAnsi="宋体" w:cs="宋体" w:eastAsia="宋体" w:hint="default"/>
                <w:spacing w:val="11"/>
                <w:sz w:val="21"/>
                <w:szCs w:val="21"/>
              </w:rPr>
              <w:t>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1,909,967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777,119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145.78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5"/>
                <w:sz w:val="21"/>
                <w:szCs w:val="21"/>
              </w:rPr>
              <w:t> </w:t>
            </w:r>
            <w:r>
              <w:rPr>
                <w:rFonts w:ascii="宋体" w:hAnsi="宋体" w:cs="宋体" w:eastAsia="宋体" w:hint="default"/>
                <w:spacing w:val="11"/>
                <w:sz w:val="21"/>
                <w:szCs w:val="21"/>
              </w:rPr>
              <w:t>延所</w:t>
            </w:r>
            <w:r>
              <w:rPr>
                <w:rFonts w:ascii="宋体" w:hAnsi="宋体" w:cs="宋体" w:eastAsia="宋体" w:hint="default"/>
                <w:spacing w:val="-75"/>
                <w:sz w:val="21"/>
                <w:szCs w:val="21"/>
              </w:rPr>
              <w:t> </w:t>
            </w:r>
            <w:r>
              <w:rPr>
                <w:rFonts w:ascii="宋体" w:hAnsi="宋体" w:cs="宋体" w:eastAsia="宋体" w:hint="default"/>
                <w:spacing w:val="11"/>
                <w:sz w:val="21"/>
                <w:szCs w:val="21"/>
              </w:rPr>
              <w:t>得税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157,977,782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70,529,243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123.99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p>
        </w:tc>
      </w:tr>
      <w:tr>
        <w:trPr>
          <w:trHeight w:val="2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929,326,379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686,498,446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p>
        </w:tc>
      </w:tr>
      <w:tr>
        <w:trPr>
          <w:trHeight w:val="28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53,479,701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139,157,613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w:t>
            </w: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5"/>
                <w:sz w:val="21"/>
                <w:szCs w:val="21"/>
              </w:rPr>
              <w:t> </w:t>
            </w:r>
            <w:r>
              <w:rPr>
                <w:rFonts w:ascii="宋体" w:hAnsi="宋体" w:cs="宋体" w:eastAsia="宋体" w:hint="default"/>
                <w:spacing w:val="11"/>
                <w:sz w:val="21"/>
                <w:szCs w:val="21"/>
              </w:rPr>
              <w:t>他综</w:t>
            </w:r>
            <w:r>
              <w:rPr>
                <w:rFonts w:ascii="宋体" w:hAnsi="宋体" w:cs="宋体" w:eastAsia="宋体" w:hint="default"/>
                <w:spacing w:val="-75"/>
                <w:sz w:val="21"/>
                <w:szCs w:val="21"/>
              </w:rPr>
              <w:t> </w:t>
            </w:r>
            <w:r>
              <w:rPr>
                <w:rFonts w:ascii="宋体" w:hAnsi="宋体" w:cs="宋体" w:eastAsia="宋体" w:hint="default"/>
                <w:spacing w:val="11"/>
                <w:sz w:val="21"/>
                <w:szCs w:val="21"/>
              </w:rPr>
              <w:t>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-111,168,901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-57,875,436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z w:val="21"/>
                <w:szCs w:val="21"/>
              </w:rPr>
              <w:t>）</w:t>
            </w:r>
          </w:p>
        </w:tc>
      </w:tr>
      <w:tr>
        <w:trPr>
          <w:trHeight w:val="55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75"/>
                <w:sz w:val="21"/>
                <w:szCs w:val="21"/>
              </w:rPr>
              <w:t> </w:t>
            </w:r>
            <w:r>
              <w:rPr>
                <w:rFonts w:ascii="宋体" w:hAnsi="宋体" w:cs="宋体" w:eastAsia="宋体" w:hint="default"/>
                <w:spacing w:val="11"/>
                <w:sz w:val="21"/>
                <w:szCs w:val="21"/>
              </w:rPr>
              <w:t>数股</w:t>
            </w:r>
            <w:r>
              <w:rPr>
                <w:rFonts w:ascii="宋体" w:hAnsi="宋体" w:cs="宋体" w:eastAsia="宋体" w:hint="default"/>
                <w:spacing w:val="-75"/>
                <w:sz w:val="21"/>
                <w:szCs w:val="21"/>
              </w:rPr>
              <w:t> </w:t>
            </w:r>
            <w:r>
              <w:rPr>
                <w:rFonts w:ascii="宋体" w:hAnsi="宋体" w:cs="宋体" w:eastAsia="宋体" w:hint="default"/>
                <w:spacing w:val="11"/>
                <w:sz w:val="21"/>
                <w:szCs w:val="21"/>
              </w:rPr>
              <w:t>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147,981,229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342,295,845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-56.77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z w:val="21"/>
                <w:szCs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4" w:lineRule="exact"/>
        <w:ind w:left="326" w:right="226"/>
        <w:jc w:val="left"/>
      </w:pPr>
      <w:r>
        <w:rPr>
          <w:spacing w:val="-3"/>
        </w:rPr>
        <w:t>（</w:t>
      </w:r>
      <w:r>
        <w:rPr>
          <w:rFonts w:ascii="宋体" w:hAnsi="宋体" w:cs="宋体" w:eastAsia="宋体" w:hint="default"/>
          <w:spacing w:val="-3"/>
        </w:rPr>
        <w:t>1</w:t>
      </w:r>
      <w:r>
        <w:rPr>
          <w:spacing w:val="-3"/>
        </w:rPr>
        <w:t>）持有待售资产较期初减少</w:t>
      </w:r>
      <w:r>
        <w:rPr>
          <w:spacing w:val="-45"/>
        </w:rPr>
        <w:t> </w:t>
      </w:r>
      <w:r>
        <w:rPr>
          <w:rFonts w:ascii="宋体" w:hAnsi="宋体" w:cs="宋体" w:eastAsia="宋体" w:hint="default"/>
        </w:rPr>
        <w:t>7,360</w:t>
      </w:r>
      <w:r>
        <w:rPr>
          <w:rFonts w:ascii="宋体" w:hAnsi="宋体" w:cs="宋体" w:eastAsia="宋体" w:hint="default"/>
          <w:spacing w:val="-49"/>
        </w:rPr>
        <w:t> </w:t>
      </w:r>
      <w:r>
        <w:rPr>
          <w:spacing w:val="-4"/>
        </w:rPr>
        <w:t>万元，下降</w:t>
      </w:r>
      <w:r>
        <w:rPr>
          <w:spacing w:val="-46"/>
        </w:rPr>
        <w:t> </w:t>
      </w:r>
      <w:r>
        <w:rPr>
          <w:rFonts w:ascii="宋体" w:hAnsi="宋体" w:cs="宋体" w:eastAsia="宋体" w:hint="default"/>
        </w:rPr>
        <w:t>100.00%</w:t>
      </w:r>
      <w:r>
        <w:rPr/>
        <w:t>，主要由于报告期内本公司之子公</w:t>
      </w:r>
    </w:p>
    <w:p>
      <w:pPr>
        <w:spacing w:after="0" w:line="274" w:lineRule="exact"/>
        <w:jc w:val="left"/>
        <w:sectPr>
          <w:type w:val="continuous"/>
          <w:pgSz w:w="11910" w:h="16840"/>
          <w:pgMar w:top="1580" w:bottom="280" w:left="1580" w:right="1040"/>
        </w:sectPr>
      </w:pPr>
    </w:p>
    <w:p>
      <w:pPr>
        <w:spacing w:line="240" w:lineRule="auto" w:before="6"/>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8936"/>
      </w:tblGrid>
      <w:tr>
        <w:trPr>
          <w:trHeight w:val="242"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司将期初持有待售资产出售所致；</w:t>
            </w:r>
          </w:p>
        </w:tc>
      </w:tr>
      <w:tr>
        <w:trPr>
          <w:trHeight w:val="1090"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）可供出售金融资产较期初增加</w:t>
            </w:r>
            <w:r>
              <w:rPr>
                <w:rFonts w:ascii="宋体" w:hAnsi="宋体" w:cs="宋体" w:eastAsia="宋体" w:hint="default"/>
                <w:spacing w:val="-58"/>
                <w:sz w:val="21"/>
                <w:szCs w:val="21"/>
              </w:rPr>
              <w:t> </w:t>
            </w:r>
            <w:r>
              <w:rPr>
                <w:rFonts w:ascii="宋体" w:hAnsi="宋体" w:cs="宋体" w:eastAsia="宋体" w:hint="default"/>
                <w:sz w:val="21"/>
                <w:szCs w:val="21"/>
              </w:rPr>
              <w:t>3,239</w:t>
            </w:r>
            <w:r>
              <w:rPr>
                <w:rFonts w:ascii="宋体" w:hAnsi="宋体" w:cs="宋体" w:eastAsia="宋体" w:hint="default"/>
                <w:spacing w:val="-60"/>
                <w:sz w:val="21"/>
                <w:szCs w:val="21"/>
              </w:rPr>
              <w:t> </w:t>
            </w:r>
            <w:r>
              <w:rPr>
                <w:rFonts w:ascii="宋体" w:hAnsi="宋体" w:cs="宋体" w:eastAsia="宋体" w:hint="default"/>
                <w:spacing w:val="-4"/>
                <w:sz w:val="21"/>
                <w:szCs w:val="21"/>
              </w:rPr>
              <w:t>万元，增长</w:t>
            </w:r>
            <w:r>
              <w:rPr>
                <w:rFonts w:ascii="宋体" w:hAnsi="宋体" w:cs="宋体" w:eastAsia="宋体" w:hint="default"/>
                <w:spacing w:val="-58"/>
                <w:sz w:val="21"/>
                <w:szCs w:val="21"/>
              </w:rPr>
              <w:t> </w:t>
            </w:r>
            <w:r>
              <w:rPr>
                <w:rFonts w:ascii="宋体" w:hAnsi="宋体" w:cs="宋体" w:eastAsia="宋体" w:hint="default"/>
                <w:sz w:val="21"/>
                <w:szCs w:val="21"/>
              </w:rPr>
              <w:t>553.40%</w:t>
            </w:r>
            <w:r>
              <w:rPr>
                <w:rFonts w:ascii="宋体" w:hAnsi="宋体" w:cs="宋体" w:eastAsia="宋体" w:hint="default"/>
                <w:sz w:val="21"/>
                <w:szCs w:val="21"/>
              </w:rPr>
              <w:t>，主要由于报告期内本公司之</w:t>
            </w:r>
          </w:p>
          <w:p>
            <w:pPr>
              <w:pStyle w:val="TableParagraph"/>
              <w:spacing w:line="237" w:lineRule="auto"/>
              <w:ind w:left="200" w:right="303"/>
              <w:jc w:val="both"/>
              <w:rPr>
                <w:rFonts w:ascii="宋体" w:hAnsi="宋体" w:cs="宋体" w:eastAsia="宋体" w:hint="default"/>
                <w:sz w:val="21"/>
                <w:szCs w:val="21"/>
              </w:rPr>
            </w:pPr>
            <w:r>
              <w:rPr>
                <w:rFonts w:ascii="宋体" w:hAnsi="宋体" w:cs="宋体" w:eastAsia="宋体" w:hint="default"/>
                <w:spacing w:val="-1"/>
                <w:sz w:val="21"/>
                <w:szCs w:val="21"/>
              </w:rPr>
              <w:t>子公司东软（香港）有限公司（以下简称“东软香港”）参与弘和仁爱医疗在香港联合交易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所的首次公开发行，以自有资金</w:t>
            </w:r>
            <w:r>
              <w:rPr>
                <w:rFonts w:ascii="宋体" w:hAnsi="宋体" w:cs="宋体" w:eastAsia="宋体" w:hint="default"/>
                <w:spacing w:val="-43"/>
                <w:sz w:val="21"/>
                <w:szCs w:val="21"/>
              </w:rPr>
              <w:t> </w:t>
            </w:r>
            <w:r>
              <w:rPr>
                <w:rFonts w:ascii="宋体" w:hAnsi="宋体" w:cs="宋体" w:eastAsia="宋体" w:hint="default"/>
                <w:sz w:val="21"/>
                <w:szCs w:val="21"/>
              </w:rPr>
              <w:t>500</w:t>
            </w:r>
            <w:r>
              <w:rPr>
                <w:rFonts w:ascii="宋体" w:hAnsi="宋体" w:cs="宋体" w:eastAsia="宋体" w:hint="default"/>
                <w:spacing w:val="-45"/>
                <w:sz w:val="21"/>
                <w:szCs w:val="21"/>
              </w:rPr>
              <w:t> </w:t>
            </w:r>
            <w:r>
              <w:rPr>
                <w:rFonts w:ascii="宋体" w:hAnsi="宋体" w:cs="宋体" w:eastAsia="宋体" w:hint="default"/>
                <w:sz w:val="21"/>
                <w:szCs w:val="21"/>
              </w:rPr>
              <w:t>万美元，按弘和仁爱医疗在香港联合交易所首次公开发</w:t>
            </w:r>
            <w:r>
              <w:rPr>
                <w:rFonts w:ascii="宋体" w:hAnsi="宋体" w:cs="宋体" w:eastAsia="宋体" w:hint="default"/>
                <w:w w:val="100"/>
                <w:sz w:val="21"/>
                <w:szCs w:val="21"/>
              </w:rPr>
              <w:t> </w:t>
            </w:r>
            <w:r>
              <w:rPr>
                <w:rFonts w:ascii="宋体" w:hAnsi="宋体" w:cs="宋体" w:eastAsia="宋体" w:hint="default"/>
                <w:sz w:val="21"/>
                <w:szCs w:val="21"/>
              </w:rPr>
              <w:t>行价格进行认购，认购的股票划分为可供出售金融资产所致；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）长期应收款较期初增加</w:t>
            </w:r>
            <w:r>
              <w:rPr>
                <w:rFonts w:ascii="宋体" w:hAnsi="宋体" w:cs="宋体" w:eastAsia="宋体" w:hint="default"/>
                <w:spacing w:val="-30"/>
                <w:sz w:val="21"/>
                <w:szCs w:val="21"/>
              </w:rPr>
              <w:t> </w:t>
            </w:r>
            <w:r>
              <w:rPr>
                <w:rFonts w:ascii="宋体" w:hAnsi="宋体" w:cs="宋体" w:eastAsia="宋体" w:hint="default"/>
                <w:sz w:val="21"/>
                <w:szCs w:val="21"/>
              </w:rPr>
              <w:t>153</w:t>
            </w:r>
            <w:r>
              <w:rPr>
                <w:rFonts w:ascii="宋体" w:hAnsi="宋体" w:cs="宋体" w:eastAsia="宋体" w:hint="default"/>
                <w:spacing w:val="-33"/>
                <w:sz w:val="21"/>
                <w:szCs w:val="21"/>
              </w:rPr>
              <w:t> </w:t>
            </w:r>
            <w:r>
              <w:rPr>
                <w:rFonts w:ascii="宋体" w:hAnsi="宋体" w:cs="宋体" w:eastAsia="宋体" w:hint="default"/>
                <w:sz w:val="21"/>
                <w:szCs w:val="21"/>
              </w:rPr>
              <w:t>万元，增长</w:t>
            </w:r>
            <w:r>
              <w:rPr>
                <w:rFonts w:ascii="宋体" w:hAnsi="宋体" w:cs="宋体" w:eastAsia="宋体" w:hint="default"/>
                <w:spacing w:val="-30"/>
                <w:sz w:val="21"/>
                <w:szCs w:val="21"/>
              </w:rPr>
              <w:t> </w:t>
            </w:r>
            <w:r>
              <w:rPr>
                <w:rFonts w:ascii="宋体" w:hAnsi="宋体" w:cs="宋体" w:eastAsia="宋体" w:hint="default"/>
                <w:sz w:val="21"/>
                <w:szCs w:val="21"/>
              </w:rPr>
              <w:t>54.65%</w:t>
            </w:r>
            <w:r>
              <w:rPr>
                <w:rFonts w:ascii="宋体" w:hAnsi="宋体" w:cs="宋体" w:eastAsia="宋体" w:hint="default"/>
                <w:sz w:val="21"/>
                <w:szCs w:val="21"/>
              </w:rPr>
              <w:t>，主要由于报告期内本公司之子公司房</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租押金增加所致；</w:t>
            </w:r>
          </w:p>
        </w:tc>
      </w:tr>
      <w:tr>
        <w:trPr>
          <w:trHeight w:val="817"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）长期股权投资较期初增加</w:t>
            </w:r>
            <w:r>
              <w:rPr>
                <w:rFonts w:ascii="宋体" w:hAnsi="宋体" w:cs="宋体" w:eastAsia="宋体" w:hint="default"/>
                <w:spacing w:val="-32"/>
                <w:sz w:val="21"/>
                <w:szCs w:val="21"/>
              </w:rPr>
              <w:t> </w:t>
            </w:r>
            <w:r>
              <w:rPr>
                <w:rFonts w:ascii="宋体" w:hAnsi="宋体" w:cs="宋体" w:eastAsia="宋体" w:hint="default"/>
                <w:sz w:val="21"/>
                <w:szCs w:val="21"/>
              </w:rPr>
              <w:t>117,357</w:t>
            </w:r>
            <w:r>
              <w:rPr>
                <w:rFonts w:ascii="宋体" w:hAnsi="宋体" w:cs="宋体" w:eastAsia="宋体" w:hint="default"/>
                <w:spacing w:val="-29"/>
                <w:sz w:val="21"/>
                <w:szCs w:val="21"/>
              </w:rPr>
              <w:t> </w:t>
            </w:r>
            <w:r>
              <w:rPr>
                <w:rFonts w:ascii="宋体" w:hAnsi="宋体" w:cs="宋体" w:eastAsia="宋体" w:hint="default"/>
                <w:sz w:val="21"/>
                <w:szCs w:val="21"/>
              </w:rPr>
              <w:t>万元，增长</w:t>
            </w:r>
            <w:r>
              <w:rPr>
                <w:rFonts w:ascii="宋体" w:hAnsi="宋体" w:cs="宋体" w:eastAsia="宋体" w:hint="default"/>
                <w:spacing w:val="-32"/>
                <w:sz w:val="21"/>
                <w:szCs w:val="21"/>
              </w:rPr>
              <w:t> </w:t>
            </w:r>
            <w:r>
              <w:rPr>
                <w:rFonts w:ascii="宋体" w:hAnsi="宋体" w:cs="宋体" w:eastAsia="宋体" w:hint="default"/>
                <w:sz w:val="21"/>
                <w:szCs w:val="21"/>
              </w:rPr>
              <w:t>65.44%</w:t>
            </w:r>
            <w:r>
              <w:rPr>
                <w:rFonts w:ascii="宋体" w:hAnsi="宋体" w:cs="宋体" w:eastAsia="宋体" w:hint="default"/>
                <w:sz w:val="21"/>
                <w:szCs w:val="21"/>
              </w:rPr>
              <w:t>，主要由于报告期内本公司原控</w:t>
            </w:r>
          </w:p>
          <w:p>
            <w:pPr>
              <w:pStyle w:val="TableParagraph"/>
              <w:spacing w:line="240" w:lineRule="auto"/>
              <w:ind w:left="200" w:right="308"/>
              <w:jc w:val="left"/>
              <w:rPr>
                <w:rFonts w:ascii="宋体" w:hAnsi="宋体" w:cs="宋体" w:eastAsia="宋体" w:hint="default"/>
                <w:sz w:val="21"/>
                <w:szCs w:val="21"/>
              </w:rPr>
            </w:pPr>
            <w:r>
              <w:rPr>
                <w:rFonts w:ascii="宋体" w:hAnsi="宋体" w:cs="宋体" w:eastAsia="宋体" w:hint="default"/>
                <w:spacing w:val="-1"/>
                <w:sz w:val="21"/>
                <w:szCs w:val="21"/>
              </w:rPr>
              <w:t>股子公司东软望海引进投资者，使本公司对其持股比例下降而丧失控制权，不再将其纳入合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并报表范围，对持有东软望海的剩余股权采用权益法进行核算；</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）投资性房地产较期初增加</w:t>
            </w:r>
            <w:r>
              <w:rPr>
                <w:rFonts w:ascii="宋体" w:hAnsi="宋体" w:cs="宋体" w:eastAsia="宋体" w:hint="default"/>
                <w:spacing w:val="-45"/>
                <w:sz w:val="21"/>
                <w:szCs w:val="21"/>
              </w:rPr>
              <w:t> </w:t>
            </w:r>
            <w:r>
              <w:rPr>
                <w:rFonts w:ascii="宋体" w:hAnsi="宋体" w:cs="宋体" w:eastAsia="宋体" w:hint="default"/>
                <w:sz w:val="21"/>
                <w:szCs w:val="21"/>
              </w:rPr>
              <w:t>29,278</w:t>
            </w:r>
            <w:r>
              <w:rPr>
                <w:rFonts w:ascii="宋体" w:hAnsi="宋体" w:cs="宋体" w:eastAsia="宋体" w:hint="default"/>
                <w:spacing w:val="-46"/>
                <w:sz w:val="21"/>
                <w:szCs w:val="21"/>
              </w:rPr>
              <w:t> </w:t>
            </w:r>
            <w:r>
              <w:rPr>
                <w:rFonts w:ascii="宋体" w:hAnsi="宋体" w:cs="宋体" w:eastAsia="宋体" w:hint="default"/>
                <w:spacing w:val="-4"/>
                <w:sz w:val="21"/>
                <w:szCs w:val="21"/>
              </w:rPr>
              <w:t>万元，增长</w:t>
            </w:r>
            <w:r>
              <w:rPr>
                <w:rFonts w:ascii="宋体" w:hAnsi="宋体" w:cs="宋体" w:eastAsia="宋体" w:hint="default"/>
                <w:spacing w:val="-49"/>
                <w:sz w:val="21"/>
                <w:szCs w:val="21"/>
              </w:rPr>
              <w:t> </w:t>
            </w:r>
            <w:r>
              <w:rPr>
                <w:rFonts w:ascii="宋体" w:hAnsi="宋体" w:cs="宋体" w:eastAsia="宋体" w:hint="default"/>
                <w:sz w:val="21"/>
                <w:szCs w:val="21"/>
              </w:rPr>
              <w:t>48.75%</w:t>
            </w:r>
            <w:r>
              <w:rPr>
                <w:rFonts w:ascii="宋体" w:hAnsi="宋体" w:cs="宋体" w:eastAsia="宋体" w:hint="default"/>
                <w:sz w:val="21"/>
                <w:szCs w:val="21"/>
              </w:rPr>
              <w:t>，主要由于报告期内本公司之子公</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司将部分房产用于出租，重分类至投资性房地产科目核算所致；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）在建工程较期初减少</w:t>
            </w:r>
            <w:r>
              <w:rPr>
                <w:rFonts w:ascii="宋体" w:hAnsi="宋体" w:cs="宋体" w:eastAsia="宋体" w:hint="default"/>
                <w:spacing w:val="-46"/>
                <w:sz w:val="21"/>
                <w:szCs w:val="21"/>
              </w:rPr>
              <w:t> </w:t>
            </w:r>
            <w:r>
              <w:rPr>
                <w:rFonts w:ascii="宋体" w:hAnsi="宋体" w:cs="宋体" w:eastAsia="宋体" w:hint="default"/>
                <w:sz w:val="21"/>
                <w:szCs w:val="21"/>
              </w:rPr>
              <w:t>19,924</w:t>
            </w:r>
            <w:r>
              <w:rPr>
                <w:rFonts w:ascii="宋体" w:hAnsi="宋体" w:cs="宋体" w:eastAsia="宋体" w:hint="default"/>
                <w:spacing w:val="-49"/>
                <w:sz w:val="21"/>
                <w:szCs w:val="21"/>
              </w:rPr>
              <w:t> </w:t>
            </w:r>
            <w:r>
              <w:rPr>
                <w:rFonts w:ascii="宋体" w:hAnsi="宋体" w:cs="宋体" w:eastAsia="宋体" w:hint="default"/>
                <w:spacing w:val="-4"/>
                <w:sz w:val="21"/>
                <w:szCs w:val="21"/>
              </w:rPr>
              <w:t>万元，下降</w:t>
            </w:r>
            <w:r>
              <w:rPr>
                <w:rFonts w:ascii="宋体" w:hAnsi="宋体" w:cs="宋体" w:eastAsia="宋体" w:hint="default"/>
                <w:spacing w:val="-47"/>
                <w:sz w:val="21"/>
                <w:szCs w:val="21"/>
              </w:rPr>
              <w:t> </w:t>
            </w:r>
            <w:r>
              <w:rPr>
                <w:rFonts w:ascii="宋体" w:hAnsi="宋体" w:cs="宋体" w:eastAsia="宋体" w:hint="default"/>
                <w:sz w:val="21"/>
                <w:szCs w:val="21"/>
              </w:rPr>
              <w:t>57.55%</w:t>
            </w:r>
            <w:r>
              <w:rPr>
                <w:rFonts w:ascii="宋体" w:hAnsi="宋体" w:cs="宋体" w:eastAsia="宋体" w:hint="default"/>
                <w:sz w:val="21"/>
                <w:szCs w:val="21"/>
              </w:rPr>
              <w:t>，主要由于报告期内北京软件园项目达</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到预定可使用状态转入固定资产所致；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）开发支出较期初增加</w:t>
            </w:r>
            <w:r>
              <w:rPr>
                <w:rFonts w:ascii="宋体" w:hAnsi="宋体" w:cs="宋体" w:eastAsia="宋体" w:hint="default"/>
                <w:spacing w:val="-30"/>
                <w:sz w:val="21"/>
                <w:szCs w:val="21"/>
              </w:rPr>
              <w:t> </w:t>
            </w:r>
            <w:r>
              <w:rPr>
                <w:rFonts w:ascii="宋体" w:hAnsi="宋体" w:cs="宋体" w:eastAsia="宋体" w:hint="default"/>
                <w:sz w:val="21"/>
                <w:szCs w:val="21"/>
              </w:rPr>
              <w:t>5,220</w:t>
            </w:r>
            <w:r>
              <w:rPr>
                <w:rFonts w:ascii="宋体" w:hAnsi="宋体" w:cs="宋体" w:eastAsia="宋体" w:hint="default"/>
                <w:spacing w:val="-30"/>
                <w:sz w:val="21"/>
                <w:szCs w:val="21"/>
              </w:rPr>
              <w:t> </w:t>
            </w:r>
            <w:r>
              <w:rPr>
                <w:rFonts w:ascii="宋体" w:hAnsi="宋体" w:cs="宋体" w:eastAsia="宋体" w:hint="default"/>
                <w:sz w:val="21"/>
                <w:szCs w:val="21"/>
              </w:rPr>
              <w:t>万元，增长</w:t>
            </w:r>
            <w:r>
              <w:rPr>
                <w:rFonts w:ascii="宋体" w:hAnsi="宋体" w:cs="宋体" w:eastAsia="宋体" w:hint="default"/>
                <w:spacing w:val="-31"/>
                <w:sz w:val="21"/>
                <w:szCs w:val="21"/>
              </w:rPr>
              <w:t> </w:t>
            </w:r>
            <w:r>
              <w:rPr>
                <w:rFonts w:ascii="宋体" w:hAnsi="宋体" w:cs="宋体" w:eastAsia="宋体" w:hint="default"/>
                <w:sz w:val="21"/>
                <w:szCs w:val="21"/>
              </w:rPr>
              <w:t>81.43%</w:t>
            </w:r>
            <w:r>
              <w:rPr>
                <w:rFonts w:ascii="宋体" w:hAnsi="宋体" w:cs="宋体" w:eastAsia="宋体" w:hint="default"/>
                <w:sz w:val="21"/>
                <w:szCs w:val="21"/>
              </w:rPr>
              <w:t>，主要由于报告期内进入开发阶段的研</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发支出增加所致；</w:t>
            </w:r>
          </w:p>
        </w:tc>
      </w:tr>
      <w:tr>
        <w:trPr>
          <w:trHeight w:val="816"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）商誉较期初减少</w:t>
            </w:r>
            <w:r>
              <w:rPr>
                <w:rFonts w:ascii="宋体" w:hAnsi="宋体" w:cs="宋体" w:eastAsia="宋体" w:hint="default"/>
                <w:spacing w:val="-30"/>
                <w:sz w:val="21"/>
                <w:szCs w:val="21"/>
              </w:rPr>
              <w:t> </w:t>
            </w:r>
            <w:r>
              <w:rPr>
                <w:rFonts w:ascii="宋体" w:hAnsi="宋体" w:cs="宋体" w:eastAsia="宋体" w:hint="default"/>
                <w:sz w:val="21"/>
                <w:szCs w:val="21"/>
              </w:rPr>
              <w:t>7,730</w:t>
            </w:r>
            <w:r>
              <w:rPr>
                <w:rFonts w:ascii="宋体" w:hAnsi="宋体" w:cs="宋体" w:eastAsia="宋体" w:hint="default"/>
                <w:spacing w:val="-30"/>
                <w:sz w:val="21"/>
                <w:szCs w:val="21"/>
              </w:rPr>
              <w:t> </w:t>
            </w:r>
            <w:r>
              <w:rPr>
                <w:rFonts w:ascii="宋体" w:hAnsi="宋体" w:cs="宋体" w:eastAsia="宋体" w:hint="default"/>
                <w:sz w:val="21"/>
                <w:szCs w:val="21"/>
              </w:rPr>
              <w:t>万元，下降</w:t>
            </w:r>
            <w:r>
              <w:rPr>
                <w:rFonts w:ascii="宋体" w:hAnsi="宋体" w:cs="宋体" w:eastAsia="宋体" w:hint="default"/>
                <w:spacing w:val="-31"/>
                <w:sz w:val="21"/>
                <w:szCs w:val="21"/>
              </w:rPr>
              <w:t> </w:t>
            </w:r>
            <w:r>
              <w:rPr>
                <w:rFonts w:ascii="宋体" w:hAnsi="宋体" w:cs="宋体" w:eastAsia="宋体" w:hint="default"/>
                <w:sz w:val="21"/>
                <w:szCs w:val="21"/>
              </w:rPr>
              <w:t>58.72%</w:t>
            </w:r>
            <w:r>
              <w:rPr>
                <w:rFonts w:ascii="宋体" w:hAnsi="宋体" w:cs="宋体" w:eastAsia="宋体" w:hint="default"/>
                <w:sz w:val="21"/>
                <w:szCs w:val="21"/>
              </w:rPr>
              <w:t>，主要由于报告期内本公司原控股子公司东</w:t>
            </w:r>
          </w:p>
          <w:p>
            <w:pPr>
              <w:pStyle w:val="TableParagraph"/>
              <w:spacing w:line="272" w:lineRule="exact" w:before="27"/>
              <w:ind w:left="200" w:right="198"/>
              <w:jc w:val="left"/>
              <w:rPr>
                <w:rFonts w:ascii="宋体" w:hAnsi="宋体" w:cs="宋体" w:eastAsia="宋体" w:hint="default"/>
                <w:sz w:val="21"/>
                <w:szCs w:val="21"/>
              </w:rPr>
            </w:pPr>
            <w:r>
              <w:rPr>
                <w:rFonts w:ascii="宋体" w:hAnsi="宋体" w:cs="宋体" w:eastAsia="宋体" w:hint="default"/>
                <w:spacing w:val="-4"/>
                <w:sz w:val="21"/>
                <w:szCs w:val="21"/>
              </w:rPr>
              <w:t>软望海引进投资者，使本公司对其持股比例下降而丧失控制权，不再将其纳入合并报表范围，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将对东软望海确认的商誉余额转出所致；</w:t>
            </w:r>
          </w:p>
        </w:tc>
      </w:tr>
      <w:tr>
        <w:trPr>
          <w:trHeight w:val="1362"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）其他非流动资产较期初增加</w:t>
            </w:r>
            <w:r>
              <w:rPr>
                <w:rFonts w:ascii="宋体" w:hAnsi="宋体" w:cs="宋体" w:eastAsia="宋体" w:hint="default"/>
                <w:spacing w:val="-31"/>
                <w:sz w:val="21"/>
                <w:szCs w:val="21"/>
              </w:rPr>
              <w:t> </w:t>
            </w:r>
            <w:r>
              <w:rPr>
                <w:rFonts w:ascii="宋体" w:hAnsi="宋体" w:cs="宋体" w:eastAsia="宋体" w:hint="default"/>
                <w:sz w:val="21"/>
                <w:szCs w:val="21"/>
              </w:rPr>
              <w:t>29,829</w:t>
            </w:r>
            <w:r>
              <w:rPr>
                <w:rFonts w:ascii="宋体" w:hAnsi="宋体" w:cs="宋体" w:eastAsia="宋体" w:hint="default"/>
                <w:spacing w:val="-31"/>
                <w:sz w:val="21"/>
                <w:szCs w:val="21"/>
              </w:rPr>
              <w:t> </w:t>
            </w:r>
            <w:r>
              <w:rPr>
                <w:rFonts w:ascii="宋体" w:hAnsi="宋体" w:cs="宋体" w:eastAsia="宋体" w:hint="default"/>
                <w:sz w:val="21"/>
                <w:szCs w:val="21"/>
              </w:rPr>
              <w:t>万元，增长</w:t>
            </w:r>
            <w:r>
              <w:rPr>
                <w:rFonts w:ascii="宋体" w:hAnsi="宋体" w:cs="宋体" w:eastAsia="宋体" w:hint="default"/>
                <w:spacing w:val="-31"/>
                <w:sz w:val="21"/>
                <w:szCs w:val="21"/>
              </w:rPr>
              <w:t> </w:t>
            </w:r>
            <w:r>
              <w:rPr>
                <w:rFonts w:ascii="宋体" w:hAnsi="宋体" w:cs="宋体" w:eastAsia="宋体" w:hint="default"/>
                <w:sz w:val="21"/>
                <w:szCs w:val="21"/>
              </w:rPr>
              <w:t>1,275.28%</w:t>
            </w:r>
            <w:r>
              <w:rPr>
                <w:rFonts w:ascii="宋体" w:hAnsi="宋体" w:cs="宋体" w:eastAsia="宋体" w:hint="default"/>
                <w:sz w:val="21"/>
                <w:szCs w:val="21"/>
              </w:rPr>
              <w:t>，主要由于报告期内本公司</w:t>
            </w:r>
          </w:p>
          <w:p>
            <w:pPr>
              <w:pStyle w:val="TableParagraph"/>
              <w:spacing w:line="272" w:lineRule="exact"/>
              <w:ind w:left="200" w:right="0"/>
              <w:jc w:val="both"/>
              <w:rPr>
                <w:rFonts w:ascii="宋体" w:hAnsi="宋体" w:cs="宋体" w:eastAsia="宋体" w:hint="default"/>
                <w:sz w:val="21"/>
                <w:szCs w:val="21"/>
              </w:rPr>
            </w:pPr>
            <w:r>
              <w:rPr>
                <w:rFonts w:ascii="宋体" w:hAnsi="宋体" w:cs="宋体" w:eastAsia="宋体" w:hint="default"/>
                <w:w w:val="100"/>
                <w:sz w:val="21"/>
                <w:szCs w:val="21"/>
              </w:rPr>
              <w:t>支付</w:t>
            </w:r>
            <w:r>
              <w:rPr>
                <w:rFonts w:ascii="宋体" w:hAnsi="宋体" w:cs="宋体" w:eastAsia="宋体" w:hint="default"/>
                <w:spacing w:val="-3"/>
                <w:w w:val="100"/>
                <w:sz w:val="21"/>
                <w:szCs w:val="21"/>
              </w:rPr>
              <w:t>融</w:t>
            </w:r>
            <w:r>
              <w:rPr>
                <w:rFonts w:ascii="宋体" w:hAnsi="宋体" w:cs="宋体" w:eastAsia="宋体" w:hint="default"/>
                <w:w w:val="100"/>
                <w:sz w:val="21"/>
                <w:szCs w:val="21"/>
              </w:rPr>
              <w:t>盛</w:t>
            </w:r>
            <w:r>
              <w:rPr>
                <w:rFonts w:ascii="宋体" w:hAnsi="宋体" w:cs="宋体" w:eastAsia="宋体" w:hint="default"/>
                <w:spacing w:val="-3"/>
                <w:w w:val="100"/>
                <w:sz w:val="21"/>
                <w:szCs w:val="21"/>
              </w:rPr>
              <w:t>财</w:t>
            </w:r>
            <w:r>
              <w:rPr>
                <w:rFonts w:ascii="宋体" w:hAnsi="宋体" w:cs="宋体" w:eastAsia="宋体" w:hint="default"/>
                <w:w w:val="100"/>
                <w:sz w:val="21"/>
                <w:szCs w:val="21"/>
              </w:rPr>
              <w:t>产</w:t>
            </w:r>
            <w:r>
              <w:rPr>
                <w:rFonts w:ascii="宋体" w:hAnsi="宋体" w:cs="宋体" w:eastAsia="宋体" w:hint="default"/>
                <w:spacing w:val="-3"/>
                <w:w w:val="100"/>
                <w:sz w:val="21"/>
                <w:szCs w:val="21"/>
              </w:rPr>
              <w:t>保</w:t>
            </w:r>
            <w:r>
              <w:rPr>
                <w:rFonts w:ascii="宋体" w:hAnsi="宋体" w:cs="宋体" w:eastAsia="宋体" w:hint="default"/>
                <w:w w:val="100"/>
                <w:sz w:val="21"/>
                <w:szCs w:val="21"/>
              </w:rPr>
              <w:t>险</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款</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w w:val="100"/>
                <w:sz w:val="21"/>
                <w:szCs w:val="21"/>
              </w:rPr>
              <w:t>万元</w:t>
            </w:r>
            <w:r>
              <w:rPr>
                <w:rFonts w:ascii="宋体" w:hAnsi="宋体" w:cs="宋体" w:eastAsia="宋体" w:hint="default"/>
                <w:spacing w:val="-85"/>
                <w:w w:val="100"/>
                <w:sz w:val="21"/>
                <w:szCs w:val="21"/>
              </w:rPr>
              <w:t>，</w:t>
            </w:r>
            <w:r>
              <w:rPr>
                <w:rFonts w:ascii="宋体" w:hAnsi="宋体" w:cs="宋体" w:eastAsia="宋体" w:hint="default"/>
                <w:w w:val="100"/>
                <w:sz w:val="21"/>
                <w:szCs w:val="21"/>
              </w:rPr>
              <w:t>因</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手</w:t>
            </w:r>
            <w:r>
              <w:rPr>
                <w:rFonts w:ascii="宋体" w:hAnsi="宋体" w:cs="宋体" w:eastAsia="宋体" w:hint="default"/>
                <w:w w:val="100"/>
                <w:sz w:val="21"/>
                <w:szCs w:val="21"/>
              </w:rPr>
              <w:t>续</w:t>
            </w:r>
            <w:r>
              <w:rPr>
                <w:rFonts w:ascii="宋体" w:hAnsi="宋体" w:cs="宋体" w:eastAsia="宋体" w:hint="default"/>
                <w:spacing w:val="-3"/>
                <w:w w:val="100"/>
                <w:sz w:val="21"/>
                <w:szCs w:val="21"/>
              </w:rPr>
              <w:t>尚</w:t>
            </w:r>
            <w:r>
              <w:rPr>
                <w:rFonts w:ascii="宋体" w:hAnsi="宋体" w:cs="宋体" w:eastAsia="宋体" w:hint="default"/>
                <w:w w:val="100"/>
                <w:sz w:val="21"/>
                <w:szCs w:val="21"/>
              </w:rPr>
              <w:t>未</w:t>
            </w:r>
            <w:r>
              <w:rPr>
                <w:rFonts w:ascii="宋体" w:hAnsi="宋体" w:cs="宋体" w:eastAsia="宋体" w:hint="default"/>
                <w:spacing w:val="-3"/>
                <w:w w:val="100"/>
                <w:sz w:val="21"/>
                <w:szCs w:val="21"/>
              </w:rPr>
              <w:t>办理</w:t>
            </w:r>
            <w:r>
              <w:rPr>
                <w:rFonts w:ascii="宋体" w:hAnsi="宋体" w:cs="宋体" w:eastAsia="宋体" w:hint="default"/>
                <w:w w:val="100"/>
                <w:sz w:val="21"/>
                <w:szCs w:val="21"/>
              </w:rPr>
              <w:t>完毕</w:t>
            </w:r>
            <w:r>
              <w:rPr>
                <w:rFonts w:ascii="宋体" w:hAnsi="宋体" w:cs="宋体" w:eastAsia="宋体" w:hint="default"/>
                <w:spacing w:val="-3"/>
                <w:w w:val="100"/>
                <w:sz w:val="21"/>
                <w:szCs w:val="21"/>
              </w:rPr>
              <w:t>在</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非</w:t>
            </w:r>
          </w:p>
          <w:p>
            <w:pPr>
              <w:pStyle w:val="TableParagraph"/>
              <w:spacing w:line="237" w:lineRule="auto"/>
              <w:ind w:left="200" w:right="303"/>
              <w:jc w:val="both"/>
              <w:rPr>
                <w:rFonts w:ascii="宋体" w:hAnsi="宋体" w:cs="宋体" w:eastAsia="宋体" w:hint="default"/>
                <w:sz w:val="21"/>
                <w:szCs w:val="21"/>
              </w:rPr>
            </w:pPr>
            <w:r>
              <w:rPr>
                <w:rFonts w:ascii="宋体" w:hAnsi="宋体" w:cs="宋体" w:eastAsia="宋体" w:hint="default"/>
                <w:sz w:val="21"/>
                <w:szCs w:val="21"/>
              </w:rPr>
              <w:t>流动资产中核算，同时，本公司及本公司之子公司东软香港以自有资金合计</w:t>
            </w:r>
            <w:r>
              <w:rPr>
                <w:rFonts w:ascii="宋体" w:hAnsi="宋体" w:cs="宋体" w:eastAsia="宋体" w:hint="default"/>
                <w:spacing w:val="-44"/>
                <w:sz w:val="21"/>
                <w:szCs w:val="21"/>
              </w:rPr>
              <w:t> </w:t>
            </w:r>
            <w:r>
              <w:rPr>
                <w:rFonts w:ascii="宋体" w:hAnsi="宋体" w:cs="宋体" w:eastAsia="宋体" w:hint="default"/>
                <w:sz w:val="21"/>
                <w:szCs w:val="21"/>
              </w:rPr>
              <w:t>1,800</w:t>
            </w:r>
            <w:r>
              <w:rPr>
                <w:rFonts w:ascii="宋体" w:hAnsi="宋体" w:cs="宋体" w:eastAsia="宋体" w:hint="default"/>
                <w:spacing w:val="-44"/>
                <w:sz w:val="21"/>
                <w:szCs w:val="21"/>
              </w:rPr>
              <w:t> </w:t>
            </w:r>
            <w:r>
              <w:rPr>
                <w:rFonts w:ascii="宋体" w:hAnsi="宋体" w:cs="宋体" w:eastAsia="宋体" w:hint="default"/>
                <w:sz w:val="21"/>
                <w:szCs w:val="21"/>
              </w:rPr>
              <w:t>万美元认</w:t>
            </w:r>
            <w:r>
              <w:rPr>
                <w:rFonts w:ascii="宋体" w:hAnsi="宋体" w:cs="宋体" w:eastAsia="宋体" w:hint="default"/>
                <w:w w:val="100"/>
                <w:sz w:val="21"/>
                <w:szCs w:val="21"/>
              </w:rPr>
              <w:t> </w:t>
            </w:r>
            <w:r>
              <w:rPr>
                <w:rFonts w:ascii="宋体" w:hAnsi="宋体" w:cs="宋体" w:eastAsia="宋体" w:hint="default"/>
                <w:spacing w:val="-1"/>
                <w:sz w:val="21"/>
                <w:szCs w:val="21"/>
              </w:rPr>
              <w:t>购甘肃银行在香港联合交易所首次公开发行的股份，因相关手续尚未办理完毕在其他非流动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资产中核算所致；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）短期借款较期初增加</w:t>
            </w:r>
            <w:r>
              <w:rPr>
                <w:rFonts w:ascii="宋体" w:hAnsi="宋体" w:cs="宋体" w:eastAsia="宋体" w:hint="default"/>
                <w:spacing w:val="-31"/>
                <w:sz w:val="21"/>
                <w:szCs w:val="21"/>
              </w:rPr>
              <w:t> </w:t>
            </w:r>
            <w:r>
              <w:rPr>
                <w:rFonts w:ascii="宋体" w:hAnsi="宋体" w:cs="宋体" w:eastAsia="宋体" w:hint="default"/>
                <w:sz w:val="21"/>
                <w:szCs w:val="21"/>
              </w:rPr>
              <w:t>8,652</w:t>
            </w:r>
            <w:r>
              <w:rPr>
                <w:rFonts w:ascii="宋体" w:hAnsi="宋体" w:cs="宋体" w:eastAsia="宋体" w:hint="default"/>
                <w:spacing w:val="-31"/>
                <w:sz w:val="21"/>
                <w:szCs w:val="21"/>
              </w:rPr>
              <w:t> </w:t>
            </w:r>
            <w:r>
              <w:rPr>
                <w:rFonts w:ascii="宋体" w:hAnsi="宋体" w:cs="宋体" w:eastAsia="宋体" w:hint="default"/>
                <w:sz w:val="21"/>
                <w:szCs w:val="21"/>
              </w:rPr>
              <w:t>万元，增长</w:t>
            </w:r>
            <w:r>
              <w:rPr>
                <w:rFonts w:ascii="宋体" w:hAnsi="宋体" w:cs="宋体" w:eastAsia="宋体" w:hint="default"/>
                <w:spacing w:val="-32"/>
                <w:sz w:val="21"/>
                <w:szCs w:val="21"/>
              </w:rPr>
              <w:t> </w:t>
            </w:r>
            <w:r>
              <w:rPr>
                <w:rFonts w:ascii="宋体" w:hAnsi="宋体" w:cs="宋体" w:eastAsia="宋体" w:hint="default"/>
                <w:sz w:val="21"/>
                <w:szCs w:val="21"/>
              </w:rPr>
              <w:t>263.13%</w:t>
            </w:r>
            <w:r>
              <w:rPr>
                <w:rFonts w:ascii="宋体" w:hAnsi="宋体" w:cs="宋体" w:eastAsia="宋体" w:hint="default"/>
                <w:sz w:val="21"/>
                <w:szCs w:val="21"/>
              </w:rPr>
              <w:t>，主要由于报告期内本公司之子公司</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根据资金需求增加短期借款所致；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11</w:t>
            </w:r>
            <w:r>
              <w:rPr>
                <w:rFonts w:ascii="宋体" w:hAnsi="宋体" w:cs="宋体" w:eastAsia="宋体" w:hint="default"/>
                <w:spacing w:val="-108"/>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3"/>
                <w:w w:val="100"/>
                <w:sz w:val="21"/>
                <w:szCs w:val="21"/>
              </w:rPr>
              <w:t>且其</w:t>
            </w:r>
            <w:r>
              <w:rPr>
                <w:rFonts w:ascii="宋体" w:hAnsi="宋体" w:cs="宋体" w:eastAsia="宋体" w:hint="default"/>
                <w:w w:val="100"/>
                <w:sz w:val="21"/>
                <w:szCs w:val="21"/>
              </w:rPr>
              <w:t>变动</w:t>
            </w:r>
            <w:r>
              <w:rPr>
                <w:rFonts w:ascii="宋体" w:hAnsi="宋体" w:cs="宋体" w:eastAsia="宋体" w:hint="default"/>
                <w:spacing w:val="-3"/>
                <w:w w:val="100"/>
                <w:sz w:val="21"/>
                <w:szCs w:val="21"/>
              </w:rPr>
              <w:t>计</w:t>
            </w:r>
            <w:r>
              <w:rPr>
                <w:rFonts w:ascii="宋体" w:hAnsi="宋体" w:cs="宋体" w:eastAsia="宋体" w:hint="default"/>
                <w:w w:val="100"/>
                <w:sz w:val="21"/>
                <w:szCs w:val="21"/>
              </w:rPr>
              <w:t>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负债</w:t>
            </w:r>
            <w:r>
              <w:rPr>
                <w:rFonts w:ascii="宋体" w:hAnsi="宋体" w:cs="宋体" w:eastAsia="宋体" w:hint="default"/>
                <w:spacing w:val="-3"/>
                <w:w w:val="100"/>
                <w:sz w:val="21"/>
                <w:szCs w:val="21"/>
              </w:rPr>
              <w:t>较</w:t>
            </w:r>
            <w:r>
              <w:rPr>
                <w:rFonts w:ascii="宋体" w:hAnsi="宋体" w:cs="宋体" w:eastAsia="宋体" w:hint="default"/>
                <w:w w:val="100"/>
                <w:sz w:val="21"/>
                <w:szCs w:val="21"/>
              </w:rPr>
              <w:t>期</w:t>
            </w:r>
            <w:r>
              <w:rPr>
                <w:rFonts w:ascii="宋体" w:hAnsi="宋体" w:cs="宋体" w:eastAsia="宋体" w:hint="default"/>
                <w:spacing w:val="-3"/>
                <w:w w:val="100"/>
                <w:sz w:val="21"/>
                <w:szCs w:val="21"/>
              </w:rPr>
              <w:t>初减</w:t>
            </w:r>
            <w:r>
              <w:rPr>
                <w:rFonts w:ascii="宋体" w:hAnsi="宋体" w:cs="宋体" w:eastAsia="宋体" w:hint="default"/>
                <w:w w:val="100"/>
                <w:sz w:val="21"/>
                <w:szCs w:val="21"/>
              </w:rPr>
              <w:t>少</w:t>
            </w:r>
            <w:r>
              <w:rPr>
                <w:rFonts w:ascii="宋体" w:hAnsi="宋体" w:cs="宋体" w:eastAsia="宋体" w:hint="default"/>
                <w:spacing w:val="-62"/>
                <w:sz w:val="21"/>
                <w:szCs w:val="21"/>
              </w:rPr>
              <w:t> </w:t>
            </w:r>
            <w:r>
              <w:rPr>
                <w:rFonts w:ascii="宋体" w:hAnsi="宋体" w:cs="宋体" w:eastAsia="宋体" w:hint="default"/>
                <w:w w:val="100"/>
                <w:sz w:val="21"/>
                <w:szCs w:val="21"/>
              </w:rPr>
              <w:t>928</w:t>
            </w:r>
            <w:r>
              <w:rPr>
                <w:rFonts w:ascii="宋体" w:hAnsi="宋体" w:cs="宋体" w:eastAsia="宋体" w:hint="default"/>
                <w:spacing w:val="-6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下降</w:t>
            </w:r>
            <w:r>
              <w:rPr>
                <w:rFonts w:ascii="宋体" w:hAnsi="宋体" w:cs="宋体" w:eastAsia="宋体" w:hint="default"/>
                <w:spacing w:val="-6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主要由于本公司之子公司签订的外币远期结汇合同于报告期末已全部交割完毕所致；</w:t>
            </w:r>
          </w:p>
        </w:tc>
      </w:tr>
      <w:tr>
        <w:trPr>
          <w:trHeight w:val="817"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）一年内到期的非流动负债较期初减少</w:t>
            </w:r>
            <w:r>
              <w:rPr>
                <w:rFonts w:ascii="宋体" w:hAnsi="宋体" w:cs="宋体" w:eastAsia="宋体" w:hint="default"/>
                <w:spacing w:val="-32"/>
                <w:sz w:val="21"/>
                <w:szCs w:val="21"/>
              </w:rPr>
              <w:t> </w:t>
            </w:r>
            <w:r>
              <w:rPr>
                <w:rFonts w:ascii="宋体" w:hAnsi="宋体" w:cs="宋体" w:eastAsia="宋体" w:hint="default"/>
                <w:sz w:val="21"/>
                <w:szCs w:val="21"/>
              </w:rPr>
              <w:t>35,041</w:t>
            </w:r>
            <w:r>
              <w:rPr>
                <w:rFonts w:ascii="宋体" w:hAnsi="宋体" w:cs="宋体" w:eastAsia="宋体" w:hint="default"/>
                <w:spacing w:val="-29"/>
                <w:sz w:val="21"/>
                <w:szCs w:val="21"/>
              </w:rPr>
              <w:t> </w:t>
            </w:r>
            <w:r>
              <w:rPr>
                <w:rFonts w:ascii="宋体" w:hAnsi="宋体" w:cs="宋体" w:eastAsia="宋体" w:hint="default"/>
                <w:sz w:val="21"/>
                <w:szCs w:val="21"/>
              </w:rPr>
              <w:t>万元，下降</w:t>
            </w:r>
            <w:r>
              <w:rPr>
                <w:rFonts w:ascii="宋体" w:hAnsi="宋体" w:cs="宋体" w:eastAsia="宋体" w:hint="default"/>
                <w:spacing w:val="-30"/>
                <w:sz w:val="21"/>
                <w:szCs w:val="21"/>
              </w:rPr>
              <w:t> </w:t>
            </w:r>
            <w:r>
              <w:rPr>
                <w:rFonts w:ascii="宋体" w:hAnsi="宋体" w:cs="宋体" w:eastAsia="宋体" w:hint="default"/>
                <w:sz w:val="21"/>
                <w:szCs w:val="21"/>
              </w:rPr>
              <w:t>53.88%</w:t>
            </w:r>
            <w:r>
              <w:rPr>
                <w:rFonts w:ascii="宋体" w:hAnsi="宋体" w:cs="宋体" w:eastAsia="宋体" w:hint="default"/>
                <w:sz w:val="21"/>
                <w:szCs w:val="21"/>
              </w:rPr>
              <w:t>，主要由于本公司及</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子公司将一年内到期的长期借款 </w:t>
            </w:r>
            <w:r>
              <w:rPr>
                <w:rFonts w:ascii="宋体" w:hAnsi="宋体" w:cs="宋体" w:eastAsia="宋体" w:hint="default"/>
                <w:sz w:val="21"/>
                <w:szCs w:val="21"/>
              </w:rPr>
              <w:t>61,000</w:t>
            </w:r>
            <w:r>
              <w:rPr>
                <w:rFonts w:ascii="宋体" w:hAnsi="宋体" w:cs="宋体" w:eastAsia="宋体" w:hint="default"/>
                <w:spacing w:val="23"/>
                <w:sz w:val="21"/>
                <w:szCs w:val="21"/>
              </w:rPr>
              <w:t> </w:t>
            </w:r>
            <w:r>
              <w:rPr>
                <w:rFonts w:ascii="宋体" w:hAnsi="宋体" w:cs="宋体" w:eastAsia="宋体" w:hint="default"/>
                <w:sz w:val="21"/>
                <w:szCs w:val="21"/>
              </w:rPr>
              <w:t>万元于报告期内到期归还以及报告期末将于一年内</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到期的长期借款</w:t>
            </w:r>
            <w:r>
              <w:rPr>
                <w:rFonts w:ascii="宋体" w:hAnsi="宋体" w:cs="宋体" w:eastAsia="宋体" w:hint="default"/>
                <w:spacing w:val="-55"/>
                <w:sz w:val="21"/>
                <w:szCs w:val="21"/>
              </w:rPr>
              <w:t> </w:t>
            </w:r>
            <w:r>
              <w:rPr>
                <w:rFonts w:ascii="宋体" w:hAnsi="宋体" w:cs="宋体" w:eastAsia="宋体" w:hint="default"/>
                <w:sz w:val="21"/>
                <w:szCs w:val="21"/>
              </w:rPr>
              <w:t>30,000</w:t>
            </w:r>
            <w:r>
              <w:rPr>
                <w:rFonts w:ascii="宋体" w:hAnsi="宋体" w:cs="宋体" w:eastAsia="宋体" w:hint="default"/>
                <w:spacing w:val="-57"/>
                <w:sz w:val="21"/>
                <w:szCs w:val="21"/>
              </w:rPr>
              <w:t> </w:t>
            </w:r>
            <w:r>
              <w:rPr>
                <w:rFonts w:ascii="宋体" w:hAnsi="宋体" w:cs="宋体" w:eastAsia="宋体" w:hint="default"/>
                <w:sz w:val="21"/>
                <w:szCs w:val="21"/>
              </w:rPr>
              <w:t>万元重分类至一年内到期的非流动负债所致；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）其他流动负债较期初增加</w:t>
            </w:r>
            <w:r>
              <w:rPr>
                <w:rFonts w:ascii="宋体" w:hAnsi="宋体" w:cs="宋体" w:eastAsia="宋体" w:hint="default"/>
                <w:spacing w:val="-30"/>
                <w:sz w:val="21"/>
                <w:szCs w:val="21"/>
              </w:rPr>
              <w:t> </w:t>
            </w:r>
            <w:r>
              <w:rPr>
                <w:rFonts w:ascii="宋体" w:hAnsi="宋体" w:cs="宋体" w:eastAsia="宋体" w:hint="default"/>
                <w:sz w:val="21"/>
                <w:szCs w:val="21"/>
              </w:rPr>
              <w:t>113</w:t>
            </w:r>
            <w:r>
              <w:rPr>
                <w:rFonts w:ascii="宋体" w:hAnsi="宋体" w:cs="宋体" w:eastAsia="宋体" w:hint="default"/>
                <w:spacing w:val="-33"/>
                <w:sz w:val="21"/>
                <w:szCs w:val="21"/>
              </w:rPr>
              <w:t> </w:t>
            </w:r>
            <w:r>
              <w:rPr>
                <w:rFonts w:ascii="宋体" w:hAnsi="宋体" w:cs="宋体" w:eastAsia="宋体" w:hint="default"/>
                <w:sz w:val="21"/>
                <w:szCs w:val="21"/>
              </w:rPr>
              <w:t>万元，增长</w:t>
            </w:r>
            <w:r>
              <w:rPr>
                <w:rFonts w:ascii="宋体" w:hAnsi="宋体" w:cs="宋体" w:eastAsia="宋体" w:hint="default"/>
                <w:spacing w:val="-30"/>
                <w:sz w:val="21"/>
                <w:szCs w:val="21"/>
              </w:rPr>
              <w:t> </w:t>
            </w:r>
            <w:r>
              <w:rPr>
                <w:rFonts w:ascii="宋体" w:hAnsi="宋体" w:cs="宋体" w:eastAsia="宋体" w:hint="default"/>
                <w:sz w:val="21"/>
                <w:szCs w:val="21"/>
              </w:rPr>
              <w:t>145.78%</w:t>
            </w:r>
            <w:r>
              <w:rPr>
                <w:rFonts w:ascii="宋体" w:hAnsi="宋体" w:cs="宋体" w:eastAsia="宋体" w:hint="default"/>
                <w:sz w:val="21"/>
                <w:szCs w:val="21"/>
              </w:rPr>
              <w:t>，主要由于预提费用较期初增加所</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818"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4</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3"/>
                <w:w w:val="100"/>
                <w:sz w:val="21"/>
                <w:szCs w:val="21"/>
              </w:rPr>
              <w:t>较</w:t>
            </w:r>
            <w:r>
              <w:rPr>
                <w:rFonts w:ascii="宋体" w:hAnsi="宋体" w:cs="宋体" w:eastAsia="宋体" w:hint="default"/>
                <w:w w:val="100"/>
                <w:sz w:val="21"/>
                <w:szCs w:val="21"/>
              </w:rPr>
              <w:t>期</w:t>
            </w:r>
            <w:r>
              <w:rPr>
                <w:rFonts w:ascii="宋体" w:hAnsi="宋体" w:cs="宋体" w:eastAsia="宋体" w:hint="default"/>
                <w:spacing w:val="-3"/>
                <w:w w:val="100"/>
                <w:sz w:val="21"/>
                <w:szCs w:val="21"/>
              </w:rPr>
              <w:t>初增</w:t>
            </w:r>
            <w:r>
              <w:rPr>
                <w:rFonts w:ascii="宋体" w:hAnsi="宋体" w:cs="宋体" w:eastAsia="宋体" w:hint="default"/>
                <w:w w:val="100"/>
                <w:sz w:val="21"/>
                <w:szCs w:val="21"/>
              </w:rPr>
              <w:t>加</w:t>
            </w:r>
            <w:r>
              <w:rPr>
                <w:rFonts w:ascii="宋体" w:hAnsi="宋体" w:cs="宋体" w:eastAsia="宋体" w:hint="default"/>
                <w:spacing w:val="-52"/>
                <w:sz w:val="21"/>
                <w:szCs w:val="21"/>
              </w:rPr>
              <w:t> </w:t>
            </w:r>
            <w:r>
              <w:rPr>
                <w:rFonts w:ascii="宋体" w:hAnsi="宋体" w:cs="宋体" w:eastAsia="宋体" w:hint="default"/>
                <w:w w:val="100"/>
                <w:sz w:val="21"/>
                <w:szCs w:val="21"/>
              </w:rPr>
              <w:t>30</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99"/>
                <w:w w:val="100"/>
                <w:sz w:val="21"/>
                <w:szCs w:val="21"/>
              </w:rPr>
              <w:t>，</w:t>
            </w:r>
            <w:r>
              <w:rPr>
                <w:rFonts w:ascii="宋体" w:hAnsi="宋体" w:cs="宋体" w:eastAsia="宋体" w:hint="default"/>
                <w:w w:val="100"/>
                <w:sz w:val="21"/>
                <w:szCs w:val="21"/>
              </w:rPr>
              <w:t>增长</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00</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3"/>
                <w:w w:val="100"/>
                <w:sz w:val="21"/>
                <w:szCs w:val="21"/>
              </w:rPr>
              <w:t>%</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主</w:t>
            </w:r>
            <w:r>
              <w:rPr>
                <w:rFonts w:ascii="宋体" w:hAnsi="宋体" w:cs="宋体" w:eastAsia="宋体" w:hint="default"/>
                <w:w w:val="100"/>
                <w:sz w:val="21"/>
                <w:szCs w:val="21"/>
              </w:rPr>
              <w:t>要</w:t>
            </w:r>
            <w:r>
              <w:rPr>
                <w:rFonts w:ascii="宋体" w:hAnsi="宋体" w:cs="宋体" w:eastAsia="宋体" w:hint="default"/>
                <w:spacing w:val="-3"/>
                <w:w w:val="100"/>
                <w:sz w:val="21"/>
                <w:szCs w:val="21"/>
              </w:rPr>
              <w:t>由</w:t>
            </w:r>
            <w:r>
              <w:rPr>
                <w:rFonts w:ascii="宋体" w:hAnsi="宋体" w:cs="宋体" w:eastAsia="宋体" w:hint="default"/>
                <w:w w:val="100"/>
                <w:sz w:val="21"/>
                <w:szCs w:val="21"/>
              </w:rPr>
              <w:t>于</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52"/>
                <w:sz w:val="21"/>
                <w:szCs w:val="21"/>
              </w:rPr>
              <w:t> </w:t>
            </w:r>
            <w:r>
              <w:rPr>
                <w:rFonts w:ascii="宋体" w:hAnsi="宋体" w:cs="宋体" w:eastAsia="宋体" w:hint="default"/>
                <w:spacing w:val="-3"/>
                <w:w w:val="100"/>
                <w:sz w:val="21"/>
                <w:szCs w:val="21"/>
              </w:rPr>
              <w:t>6</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p>
            <w:pPr>
              <w:pStyle w:val="TableParagraph"/>
              <w:spacing w:line="272" w:lineRule="exact" w:before="27"/>
              <w:ind w:left="200" w:right="308"/>
              <w:jc w:val="left"/>
              <w:rPr>
                <w:rFonts w:ascii="宋体" w:hAnsi="宋体" w:cs="宋体" w:eastAsia="宋体" w:hint="default"/>
                <w:sz w:val="21"/>
                <w:szCs w:val="21"/>
              </w:rPr>
            </w:pPr>
            <w:r>
              <w:rPr>
                <w:rFonts w:ascii="宋体" w:hAnsi="宋体" w:cs="宋体" w:eastAsia="宋体" w:hint="default"/>
                <w:spacing w:val="-2"/>
                <w:w w:val="100"/>
                <w:sz w:val="21"/>
                <w:szCs w:val="21"/>
              </w:rPr>
              <w:t>万元长期借款以及本公司</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30,000</w:t>
            </w:r>
            <w:r>
              <w:rPr>
                <w:rFonts w:ascii="宋体" w:hAnsi="宋体" w:cs="宋体" w:eastAsia="宋体" w:hint="default"/>
                <w:spacing w:val="-46"/>
                <w:w w:val="100"/>
                <w:sz w:val="21"/>
                <w:szCs w:val="21"/>
              </w:rPr>
              <w:t> </w:t>
            </w:r>
            <w:r>
              <w:rPr>
                <w:rFonts w:ascii="宋体" w:hAnsi="宋体" w:cs="宋体" w:eastAsia="宋体" w:hint="default"/>
                <w:spacing w:val="-5"/>
                <w:w w:val="100"/>
                <w:sz w:val="21"/>
                <w:szCs w:val="21"/>
              </w:rPr>
              <w:t>万元的长期借款将于一年内到期，重分类至一年内到期的非</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流动负债所致；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）递延所得税负债较期初增加</w:t>
            </w:r>
            <w:r>
              <w:rPr>
                <w:rFonts w:ascii="宋体" w:hAnsi="宋体" w:cs="宋体" w:eastAsia="宋体" w:hint="default"/>
                <w:spacing w:val="-31"/>
                <w:sz w:val="21"/>
                <w:szCs w:val="21"/>
              </w:rPr>
              <w:t> </w:t>
            </w:r>
            <w:r>
              <w:rPr>
                <w:rFonts w:ascii="宋体" w:hAnsi="宋体" w:cs="宋体" w:eastAsia="宋体" w:hint="default"/>
                <w:sz w:val="21"/>
                <w:szCs w:val="21"/>
              </w:rPr>
              <w:t>8,745</w:t>
            </w:r>
            <w:r>
              <w:rPr>
                <w:rFonts w:ascii="宋体" w:hAnsi="宋体" w:cs="宋体" w:eastAsia="宋体" w:hint="default"/>
                <w:spacing w:val="-31"/>
                <w:sz w:val="21"/>
                <w:szCs w:val="21"/>
              </w:rPr>
              <w:t> </w:t>
            </w:r>
            <w:r>
              <w:rPr>
                <w:rFonts w:ascii="宋体" w:hAnsi="宋体" w:cs="宋体" w:eastAsia="宋体" w:hint="default"/>
                <w:sz w:val="21"/>
                <w:szCs w:val="21"/>
              </w:rPr>
              <w:t>万元，增长</w:t>
            </w:r>
            <w:r>
              <w:rPr>
                <w:rFonts w:ascii="宋体" w:hAnsi="宋体" w:cs="宋体" w:eastAsia="宋体" w:hint="default"/>
                <w:spacing w:val="-28"/>
                <w:sz w:val="21"/>
                <w:szCs w:val="21"/>
              </w:rPr>
              <w:t> </w:t>
            </w:r>
            <w:r>
              <w:rPr>
                <w:rFonts w:ascii="宋体" w:hAnsi="宋体" w:cs="宋体" w:eastAsia="宋体" w:hint="default"/>
                <w:sz w:val="21"/>
                <w:szCs w:val="21"/>
              </w:rPr>
              <w:t>123.99%</w:t>
            </w:r>
            <w:r>
              <w:rPr>
                <w:rFonts w:ascii="宋体" w:hAnsi="宋体" w:cs="宋体" w:eastAsia="宋体" w:hint="default"/>
                <w:sz w:val="21"/>
                <w:szCs w:val="21"/>
              </w:rPr>
              <w:t>，主要由于报告期内应纳税暂</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时性差异增加所致；</w:t>
            </w:r>
          </w:p>
        </w:tc>
      </w:tr>
      <w:tr>
        <w:trPr>
          <w:trHeight w:val="544"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）资本公积较期初增加</w:t>
            </w:r>
            <w:r>
              <w:rPr>
                <w:rFonts w:ascii="宋体" w:hAnsi="宋体" w:cs="宋体" w:eastAsia="宋体" w:hint="default"/>
                <w:spacing w:val="-31"/>
                <w:sz w:val="21"/>
                <w:szCs w:val="21"/>
              </w:rPr>
              <w:t> </w:t>
            </w:r>
            <w:r>
              <w:rPr>
                <w:rFonts w:ascii="宋体" w:hAnsi="宋体" w:cs="宋体" w:eastAsia="宋体" w:hint="default"/>
                <w:sz w:val="21"/>
                <w:szCs w:val="21"/>
              </w:rPr>
              <w:t>24,283</w:t>
            </w:r>
            <w:r>
              <w:rPr>
                <w:rFonts w:ascii="宋体" w:hAnsi="宋体" w:cs="宋体" w:eastAsia="宋体" w:hint="default"/>
                <w:spacing w:val="-31"/>
                <w:sz w:val="21"/>
                <w:szCs w:val="21"/>
              </w:rPr>
              <w:t> </w:t>
            </w:r>
            <w:r>
              <w:rPr>
                <w:rFonts w:ascii="宋体" w:hAnsi="宋体" w:cs="宋体" w:eastAsia="宋体" w:hint="default"/>
                <w:sz w:val="21"/>
                <w:szCs w:val="21"/>
              </w:rPr>
              <w:t>万元，增长</w:t>
            </w:r>
            <w:r>
              <w:rPr>
                <w:rFonts w:ascii="宋体" w:hAnsi="宋体" w:cs="宋体" w:eastAsia="宋体" w:hint="default"/>
                <w:spacing w:val="-31"/>
                <w:sz w:val="21"/>
                <w:szCs w:val="21"/>
              </w:rPr>
              <w:t> </w:t>
            </w:r>
            <w:r>
              <w:rPr>
                <w:rFonts w:ascii="宋体" w:hAnsi="宋体" w:cs="宋体" w:eastAsia="宋体" w:hint="default"/>
                <w:sz w:val="21"/>
                <w:szCs w:val="21"/>
              </w:rPr>
              <w:t>35.37%</w:t>
            </w:r>
            <w:r>
              <w:rPr>
                <w:rFonts w:ascii="宋体" w:hAnsi="宋体" w:cs="宋体" w:eastAsia="宋体" w:hint="default"/>
                <w:sz w:val="21"/>
                <w:szCs w:val="21"/>
              </w:rPr>
              <w:t>，主要由于报告期内本公司按对联营</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公司的持股比例确认资本公积变动所致；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17</w:t>
            </w:r>
            <w:r>
              <w:rPr>
                <w:rFonts w:ascii="宋体" w:hAnsi="宋体" w:cs="宋体" w:eastAsia="宋体" w:hint="default"/>
                <w:spacing w:val="-3"/>
                <w:sz w:val="21"/>
                <w:szCs w:val="21"/>
              </w:rPr>
              <w:t>）库存股较期初减少</w:t>
            </w:r>
            <w:r>
              <w:rPr>
                <w:rFonts w:ascii="宋体" w:hAnsi="宋体" w:cs="宋体" w:eastAsia="宋体" w:hint="default"/>
                <w:spacing w:val="-47"/>
                <w:sz w:val="21"/>
                <w:szCs w:val="21"/>
              </w:rPr>
              <w:t> </w:t>
            </w:r>
            <w:r>
              <w:rPr>
                <w:rFonts w:ascii="宋体" w:hAnsi="宋体" w:cs="宋体" w:eastAsia="宋体" w:hint="default"/>
                <w:sz w:val="21"/>
                <w:szCs w:val="21"/>
              </w:rPr>
              <w:t>8,568</w:t>
            </w:r>
            <w:r>
              <w:rPr>
                <w:rFonts w:ascii="宋体" w:hAnsi="宋体" w:cs="宋体" w:eastAsia="宋体" w:hint="default"/>
                <w:spacing w:val="-47"/>
                <w:sz w:val="21"/>
                <w:szCs w:val="21"/>
              </w:rPr>
              <w:t> </w:t>
            </w:r>
            <w:r>
              <w:rPr>
                <w:rFonts w:ascii="宋体" w:hAnsi="宋体" w:cs="宋体" w:eastAsia="宋体" w:hint="default"/>
                <w:spacing w:val="-4"/>
                <w:sz w:val="21"/>
                <w:szCs w:val="21"/>
              </w:rPr>
              <w:t>万元，下降</w:t>
            </w:r>
            <w:r>
              <w:rPr>
                <w:rFonts w:ascii="宋体" w:hAnsi="宋体" w:cs="宋体" w:eastAsia="宋体" w:hint="default"/>
                <w:spacing w:val="-45"/>
                <w:sz w:val="21"/>
                <w:szCs w:val="21"/>
              </w:rPr>
              <w:t> </w:t>
            </w:r>
            <w:r>
              <w:rPr>
                <w:rFonts w:ascii="宋体" w:hAnsi="宋体" w:cs="宋体" w:eastAsia="宋体" w:hint="default"/>
                <w:sz w:val="21"/>
                <w:szCs w:val="21"/>
              </w:rPr>
              <w:t>61.57%</w:t>
            </w:r>
            <w:r>
              <w:rPr>
                <w:rFonts w:ascii="宋体" w:hAnsi="宋体" w:cs="宋体" w:eastAsia="宋体" w:hint="default"/>
                <w:sz w:val="21"/>
                <w:szCs w:val="21"/>
              </w:rPr>
              <w:t>，主要由于报告期内本公司限制性股票解</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锁以及回购减少库存股所致；</w:t>
            </w:r>
          </w:p>
        </w:tc>
      </w:tr>
      <w:tr>
        <w:trPr>
          <w:trHeight w:val="54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z w:val="21"/>
                <w:szCs w:val="21"/>
              </w:rPr>
              <w:t>）其他综合收益余额较期初减少</w:t>
            </w:r>
            <w:r>
              <w:rPr>
                <w:rFonts w:ascii="宋体" w:hAnsi="宋体" w:cs="宋体" w:eastAsia="宋体" w:hint="default"/>
                <w:spacing w:val="-45"/>
                <w:sz w:val="21"/>
                <w:szCs w:val="21"/>
              </w:rPr>
              <w:t> </w:t>
            </w:r>
            <w:r>
              <w:rPr>
                <w:rFonts w:ascii="宋体" w:hAnsi="宋体" w:cs="宋体" w:eastAsia="宋体" w:hint="default"/>
                <w:sz w:val="21"/>
                <w:szCs w:val="21"/>
              </w:rPr>
              <w:t>5,329</w:t>
            </w:r>
            <w:r>
              <w:rPr>
                <w:rFonts w:ascii="宋体" w:hAnsi="宋体" w:cs="宋体" w:eastAsia="宋体" w:hint="default"/>
                <w:spacing w:val="-45"/>
                <w:sz w:val="21"/>
                <w:szCs w:val="21"/>
              </w:rPr>
              <w:t> </w:t>
            </w:r>
            <w:r>
              <w:rPr>
                <w:rFonts w:ascii="宋体" w:hAnsi="宋体" w:cs="宋体" w:eastAsia="宋体" w:hint="default"/>
                <w:sz w:val="21"/>
                <w:szCs w:val="21"/>
              </w:rPr>
              <w:t>万元，主要由于报告期内外币报表折算的汇率变</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动影响以及本公司按对联营公司的持股比例确认其他综合收益变动所致；</w:t>
            </w:r>
          </w:p>
        </w:tc>
      </w:tr>
      <w:tr>
        <w:trPr>
          <w:trHeight w:val="515" w:hRule="exact"/>
        </w:trPr>
        <w:tc>
          <w:tcPr>
            <w:tcW w:w="8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z w:val="21"/>
                <w:szCs w:val="21"/>
              </w:rPr>
              <w:t>）少数股东权益较期初减少</w:t>
            </w:r>
            <w:r>
              <w:rPr>
                <w:rFonts w:ascii="宋体" w:hAnsi="宋体" w:cs="宋体" w:eastAsia="宋体" w:hint="default"/>
                <w:spacing w:val="-31"/>
                <w:sz w:val="21"/>
                <w:szCs w:val="21"/>
              </w:rPr>
              <w:t> </w:t>
            </w:r>
            <w:r>
              <w:rPr>
                <w:rFonts w:ascii="宋体" w:hAnsi="宋体" w:cs="宋体" w:eastAsia="宋体" w:hint="default"/>
                <w:sz w:val="21"/>
                <w:szCs w:val="21"/>
              </w:rPr>
              <w:t>19,431</w:t>
            </w:r>
            <w:r>
              <w:rPr>
                <w:rFonts w:ascii="宋体" w:hAnsi="宋体" w:cs="宋体" w:eastAsia="宋体" w:hint="default"/>
                <w:spacing w:val="-31"/>
                <w:sz w:val="21"/>
                <w:szCs w:val="21"/>
              </w:rPr>
              <w:t> </w:t>
            </w:r>
            <w:r>
              <w:rPr>
                <w:rFonts w:ascii="宋体" w:hAnsi="宋体" w:cs="宋体" w:eastAsia="宋体" w:hint="default"/>
                <w:sz w:val="21"/>
                <w:szCs w:val="21"/>
              </w:rPr>
              <w:t>万元，下降</w:t>
            </w:r>
            <w:r>
              <w:rPr>
                <w:rFonts w:ascii="宋体" w:hAnsi="宋体" w:cs="宋体" w:eastAsia="宋体" w:hint="default"/>
                <w:spacing w:val="-31"/>
                <w:sz w:val="21"/>
                <w:szCs w:val="21"/>
              </w:rPr>
              <w:t> </w:t>
            </w:r>
            <w:r>
              <w:rPr>
                <w:rFonts w:ascii="宋体" w:hAnsi="宋体" w:cs="宋体" w:eastAsia="宋体" w:hint="default"/>
                <w:sz w:val="21"/>
                <w:szCs w:val="21"/>
              </w:rPr>
              <w:t>56.77%</w:t>
            </w:r>
            <w:r>
              <w:rPr>
                <w:rFonts w:ascii="宋体" w:hAnsi="宋体" w:cs="宋体" w:eastAsia="宋体" w:hint="default"/>
                <w:sz w:val="21"/>
                <w:szCs w:val="21"/>
              </w:rPr>
              <w:t>，主要由于报告期内合并范围变</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化及非全资子公司的利润同比减少所致。</w:t>
            </w:r>
          </w:p>
        </w:tc>
      </w:tr>
    </w:tbl>
    <w:p>
      <w:pPr>
        <w:spacing w:after="0" w:line="274" w:lineRule="exact"/>
        <w:jc w:val="left"/>
        <w:rPr>
          <w:rFonts w:ascii="宋体" w:hAnsi="宋体" w:cs="宋体" w:eastAsia="宋体" w:hint="default"/>
          <w:sz w:val="21"/>
          <w:szCs w:val="21"/>
        </w:rPr>
        <w:sectPr>
          <w:headerReference w:type="default" r:id="rId19"/>
          <w:pgSz w:w="11910" w:h="16840"/>
          <w:pgMar w:header="945" w:footer="1228" w:top="1300" w:bottom="1420" w:left="1600" w:right="1160"/>
        </w:sectPr>
      </w:pPr>
    </w:p>
    <w:p>
      <w:pPr>
        <w:spacing w:line="240" w:lineRule="auto" w:before="9"/>
        <w:rPr>
          <w:rFonts w:ascii="Times New Roman" w:hAnsi="Times New Roman" w:cs="Times New Roman" w:eastAsia="Times New Roman" w:hint="default"/>
          <w:sz w:val="12"/>
          <w:szCs w:val="12"/>
        </w:rPr>
      </w:pPr>
    </w:p>
    <w:p>
      <w:pPr>
        <w:pStyle w:val="Heading4"/>
        <w:spacing w:line="240" w:lineRule="auto" w:before="36"/>
        <w:ind w:right="2760"/>
        <w:jc w:val="left"/>
        <w:rPr>
          <w:b w:val="0"/>
          <w:bCs w:val="0"/>
        </w:rPr>
      </w:pPr>
      <w:r>
        <w:rPr>
          <w:rFonts w:ascii="宋体" w:hAnsi="宋体" w:cs="宋体" w:eastAsia="宋体" w:hint="default"/>
        </w:rPr>
        <w:t>2.</w:t>
      </w:r>
      <w:r>
        <w:rPr>
          <w:rFonts w:ascii="宋体" w:hAnsi="宋体" w:cs="宋体" w:eastAsia="宋体" w:hint="default"/>
          <w:spacing w:val="-36"/>
        </w:rPr>
        <w:t> </w:t>
      </w:r>
      <w:r>
        <w:rPr/>
        <w:t>截至报告期末主要资产受限情况</w:t>
      </w:r>
      <w:r>
        <w:rPr>
          <w:b w:val="0"/>
          <w:bCs w:val="0"/>
        </w:rPr>
      </w:r>
    </w:p>
    <w:p>
      <w:pPr>
        <w:pStyle w:val="BodyText"/>
        <w:tabs>
          <w:tab w:pos="1060" w:val="left" w:leader="none"/>
        </w:tabs>
        <w:spacing w:line="273" w:lineRule="exact" w:before="58"/>
        <w:ind w:right="2760"/>
        <w:jc w:val="left"/>
      </w:pPr>
      <w:r>
        <w:rPr>
          <w:spacing w:val="-1"/>
        </w:rPr>
        <w:t>√适用</w:t>
        <w:tab/>
      </w:r>
      <w:r>
        <w:rPr>
          <w:spacing w:val="-2"/>
        </w:rPr>
        <w:t>□不适用</w:t>
      </w:r>
    </w:p>
    <w:p>
      <w:pPr>
        <w:pStyle w:val="BodyText"/>
        <w:spacing w:line="272" w:lineRule="exact"/>
        <w:ind w:left="638" w:right="0"/>
        <w:jc w:val="left"/>
      </w:pPr>
      <w:r>
        <w:rPr/>
        <w:t>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日召开的公司七届三十六次董事会审议通过《关于向银行借款提供抵押的</w:t>
      </w:r>
    </w:p>
    <w:p>
      <w:pPr>
        <w:pStyle w:val="BodyText"/>
        <w:spacing w:line="272" w:lineRule="exact"/>
        <w:ind w:right="0"/>
        <w:jc w:val="left"/>
      </w:pPr>
      <w:r>
        <w:rPr>
          <w:spacing w:val="-10"/>
        </w:rPr>
        <w:t>议案》，以及于</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2"/>
        </w:rPr>
        <w:t> </w:t>
      </w:r>
      <w:r>
        <w:rPr>
          <w:rFonts w:ascii="宋体" w:hAnsi="宋体" w:cs="宋体" w:eastAsia="宋体" w:hint="default"/>
        </w:rPr>
        <w:t>7</w:t>
      </w:r>
      <w:r>
        <w:rPr>
          <w:rFonts w:ascii="宋体" w:hAnsi="宋体" w:cs="宋体" w:eastAsia="宋体" w:hint="default"/>
          <w:spacing w:val="-46"/>
        </w:rPr>
        <w:t> </w:t>
      </w:r>
      <w:r>
        <w:rPr/>
        <w:t>月</w:t>
      </w:r>
      <w:r>
        <w:rPr>
          <w:spacing w:val="-43"/>
        </w:rPr>
        <w:t> </w:t>
      </w:r>
      <w:r>
        <w:rPr>
          <w:rFonts w:ascii="宋体" w:hAnsi="宋体" w:cs="宋体" w:eastAsia="宋体" w:hint="default"/>
        </w:rPr>
        <w:t>6</w:t>
      </w:r>
      <w:r>
        <w:rPr>
          <w:rFonts w:ascii="宋体" w:hAnsi="宋体" w:cs="宋体" w:eastAsia="宋体" w:hint="default"/>
          <w:spacing w:val="-43"/>
        </w:rPr>
        <w:t> </w:t>
      </w:r>
      <w:r>
        <w:rPr>
          <w:spacing w:val="-3"/>
        </w:rPr>
        <w:t>日召开的公司八届四次董事会审议通过《关于调整银行借款利率的</w:t>
      </w:r>
    </w:p>
    <w:p>
      <w:pPr>
        <w:pStyle w:val="BodyText"/>
        <w:spacing w:line="272" w:lineRule="exact"/>
        <w:ind w:right="0"/>
        <w:jc w:val="left"/>
      </w:pPr>
      <w:r>
        <w:rPr/>
        <w:t>议案》，董事会同意本公司向中国进出口银行申请</w:t>
      </w:r>
      <w:r>
        <w:rPr>
          <w:spacing w:val="-53"/>
        </w:rPr>
        <w:t> </w:t>
      </w:r>
      <w:r>
        <w:rPr>
          <w:rFonts w:ascii="宋体" w:hAnsi="宋体" w:cs="宋体" w:eastAsia="宋体" w:hint="default"/>
        </w:rPr>
        <w:t>2</w:t>
      </w:r>
      <w:r>
        <w:rPr>
          <w:rFonts w:ascii="宋体" w:hAnsi="宋体" w:cs="宋体" w:eastAsia="宋体" w:hint="default"/>
          <w:spacing w:val="-50"/>
        </w:rPr>
        <w:t> </w:t>
      </w:r>
      <w:r>
        <w:rPr/>
        <w:t>亿元人民币的出口卖方信贷贷款，并为此将</w:t>
      </w:r>
    </w:p>
    <w:p>
      <w:pPr>
        <w:pStyle w:val="BodyText"/>
        <w:spacing w:line="272" w:lineRule="exact"/>
        <w:ind w:right="0"/>
        <w:jc w:val="left"/>
      </w:pPr>
      <w:r>
        <w:rPr/>
        <w:t>拥有的位于沈阳市浑南新区新秀街</w:t>
      </w:r>
      <w:r>
        <w:rPr>
          <w:spacing w:val="-78"/>
        </w:rPr>
        <w:t> </w:t>
      </w:r>
      <w:r>
        <w:rPr>
          <w:rFonts w:ascii="宋体" w:hAnsi="宋体" w:cs="宋体" w:eastAsia="宋体" w:hint="default"/>
        </w:rPr>
        <w:t>2</w:t>
      </w:r>
      <w:r>
        <w:rPr>
          <w:rFonts w:ascii="宋体" w:hAnsi="宋体" w:cs="宋体" w:eastAsia="宋体" w:hint="default"/>
          <w:spacing w:val="-78"/>
        </w:rPr>
        <w:t> </w:t>
      </w:r>
      <w:r>
        <w:rPr/>
        <w:t>号的四宗面积共计</w:t>
      </w:r>
      <w:r>
        <w:rPr>
          <w:spacing w:val="-78"/>
        </w:rPr>
        <w:t> </w:t>
      </w:r>
      <w:r>
        <w:rPr>
          <w:rFonts w:ascii="宋体" w:hAnsi="宋体" w:cs="宋体" w:eastAsia="宋体" w:hint="default"/>
        </w:rPr>
        <w:t>135,761.72</w:t>
      </w:r>
      <w:r>
        <w:rPr>
          <w:rFonts w:ascii="宋体" w:hAnsi="宋体" w:cs="宋体" w:eastAsia="宋体" w:hint="default"/>
          <w:spacing w:val="-78"/>
        </w:rPr>
        <w:t> </w:t>
      </w:r>
      <w:r>
        <w:rPr/>
        <w:t>平方米的土地使用权及其地上</w:t>
      </w:r>
    </w:p>
    <w:p>
      <w:pPr>
        <w:pStyle w:val="BodyText"/>
        <w:spacing w:line="272" w:lineRule="exact"/>
        <w:ind w:right="0"/>
        <w:jc w:val="left"/>
      </w:pPr>
      <w:r>
        <w:rPr/>
        <w:t>七处建筑面积共计</w:t>
      </w:r>
      <w:r>
        <w:rPr>
          <w:spacing w:val="-50"/>
        </w:rPr>
        <w:t> </w:t>
      </w:r>
      <w:r>
        <w:rPr>
          <w:rFonts w:ascii="宋体" w:hAnsi="宋体" w:cs="宋体" w:eastAsia="宋体" w:hint="default"/>
        </w:rPr>
        <w:t>79,206.84</w:t>
      </w:r>
      <w:r>
        <w:rPr>
          <w:rFonts w:ascii="宋体" w:hAnsi="宋体" w:cs="宋体" w:eastAsia="宋体" w:hint="default"/>
          <w:spacing w:val="-49"/>
        </w:rPr>
        <w:t> </w:t>
      </w:r>
      <w:r>
        <w:rPr/>
        <w:t>平方米的房产作为抵押物，抵押予中国进出口银行。具体内容，详</w:t>
      </w:r>
    </w:p>
    <w:p>
      <w:pPr>
        <w:pStyle w:val="BodyText"/>
        <w:spacing w:line="272" w:lineRule="exact" w:before="27"/>
        <w:ind w:right="226"/>
        <w:jc w:val="left"/>
      </w:pPr>
      <w:r>
        <w:rPr/>
        <w:t>见本公司于</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3</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8</w:t>
      </w:r>
      <w:r>
        <w:rPr>
          <w:rFonts w:ascii="宋体" w:hAnsi="宋体" w:cs="宋体" w:eastAsia="宋体" w:hint="default"/>
          <w:spacing w:val="-53"/>
        </w:rPr>
        <w:t> </w:t>
      </w:r>
      <w:r>
        <w:rPr>
          <w:spacing w:val="-3"/>
        </w:rPr>
        <w:t>日刊登在《中国证券报》、《上海证券报》上的相</w:t>
      </w:r>
      <w:r>
        <w:rPr>
          <w:w w:val="100"/>
        </w:rPr>
        <w:t> </w:t>
      </w:r>
      <w:r>
        <w:rPr/>
        <w:t>关公告。</w:t>
      </w:r>
    </w:p>
    <w:p>
      <w:pPr>
        <w:pStyle w:val="BodyText"/>
        <w:spacing w:line="247" w:lineRule="exact"/>
        <w:ind w:left="638" w:right="0"/>
        <w:jc w:val="left"/>
      </w:pPr>
      <w:r>
        <w:rPr/>
        <w:t>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日，使用权受限的其他货币资金为</w:t>
      </w:r>
      <w:r>
        <w:rPr>
          <w:spacing w:val="-54"/>
        </w:rPr>
        <w:t> </w:t>
      </w:r>
      <w:r>
        <w:rPr>
          <w:rFonts w:ascii="宋体" w:hAnsi="宋体" w:cs="宋体" w:eastAsia="宋体" w:hint="default"/>
        </w:rPr>
        <w:t>57,206,432</w:t>
      </w:r>
      <w:r>
        <w:rPr>
          <w:rFonts w:ascii="宋体" w:hAnsi="宋体" w:cs="宋体" w:eastAsia="宋体" w:hint="default"/>
          <w:spacing w:val="-54"/>
        </w:rPr>
        <w:t> </w:t>
      </w:r>
      <w:r>
        <w:rPr/>
        <w:t>元，其中：履约保证金</w:t>
      </w:r>
    </w:p>
    <w:p>
      <w:pPr>
        <w:pStyle w:val="BodyText"/>
        <w:spacing w:line="273" w:lineRule="exact"/>
        <w:ind w:right="2760"/>
        <w:jc w:val="left"/>
      </w:pPr>
      <w:r>
        <w:rPr/>
        <w:t>为</w:t>
      </w:r>
      <w:r>
        <w:rPr>
          <w:spacing w:val="-54"/>
        </w:rPr>
        <w:t> </w:t>
      </w:r>
      <w:r>
        <w:rPr>
          <w:rFonts w:ascii="宋体" w:hAnsi="宋体" w:cs="宋体" w:eastAsia="宋体" w:hint="default"/>
        </w:rPr>
        <w:t>18,510,719</w:t>
      </w:r>
      <w:r>
        <w:rPr>
          <w:rFonts w:ascii="宋体" w:hAnsi="宋体" w:cs="宋体" w:eastAsia="宋体" w:hint="default"/>
          <w:spacing w:val="-56"/>
        </w:rPr>
        <w:t> </w:t>
      </w:r>
      <w:r>
        <w:rPr/>
        <w:t>元，银行承兑汇票保证金为</w:t>
      </w:r>
      <w:r>
        <w:rPr>
          <w:spacing w:val="-54"/>
        </w:rPr>
        <w:t> </w:t>
      </w:r>
      <w:r>
        <w:rPr>
          <w:rFonts w:ascii="宋体" w:hAnsi="宋体" w:cs="宋体" w:eastAsia="宋体" w:hint="default"/>
        </w:rPr>
        <w:t>38,695,713</w:t>
      </w:r>
      <w:r>
        <w:rPr>
          <w:rFonts w:ascii="宋体" w:hAnsi="宋体" w:cs="宋体" w:eastAsia="宋体" w:hint="default"/>
          <w:spacing w:val="-54"/>
        </w:rPr>
        <w:t> </w:t>
      </w:r>
      <w:r>
        <w:rPr>
          <w:spacing w:val="-3"/>
        </w:rPr>
        <w:t>元。</w:t>
      </w:r>
      <w:r>
        <w:rPr/>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w:t>
      </w:r>
      <w:r>
        <w:rPr>
          <w:rFonts w:ascii="宋体" w:hAnsi="宋体" w:cs="宋体" w:eastAsia="宋体" w:hint="default"/>
          <w:spacing w:val="-33"/>
        </w:rPr>
        <w:t> </w:t>
      </w:r>
      <w:r>
        <w:rPr/>
        <w:t>其他说明</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0"/>
        </w:rPr>
        <w:t> </w:t>
      </w:r>
      <w:r>
        <w:rPr/>
        <w:t>行业经营性信息分析</w:t>
      </w:r>
      <w:r>
        <w:rPr>
          <w:b w:val="0"/>
          <w:bCs w:val="0"/>
        </w:rPr>
      </w:r>
    </w:p>
    <w:p>
      <w:pPr>
        <w:pStyle w:val="BodyText"/>
        <w:tabs>
          <w:tab w:pos="1060" w:val="left" w:leader="none"/>
        </w:tabs>
        <w:spacing w:line="240" w:lineRule="auto" w:before="56"/>
        <w:ind w:left="638" w:right="236" w:hanging="420"/>
        <w:jc w:val="left"/>
      </w:pPr>
      <w:r>
        <w:rPr>
          <w:spacing w:val="-1"/>
        </w:rPr>
        <w:t>√适用</w:t>
        <w:tab/>
      </w:r>
      <w:r>
        <w:rPr>
          <w:spacing w:val="-2"/>
        </w:rPr>
        <w:t>□不适用</w:t>
      </w:r>
      <w:r>
        <w:rPr>
          <w:spacing w:val="-99"/>
        </w:rPr>
        <w:t> </w:t>
      </w:r>
      <w:r>
        <w:rPr>
          <w:spacing w:val="-99"/>
        </w:rPr>
      </w:r>
      <w:r>
        <w:rPr>
          <w:spacing w:val="-2"/>
        </w:rPr>
        <w:t>公司行业经营性信息分析，详见本年度报告“经营情况讨论与分析”之“宏观经济环境与行</w:t>
      </w:r>
    </w:p>
    <w:p>
      <w:pPr>
        <w:pStyle w:val="BodyText"/>
        <w:spacing w:line="271" w:lineRule="exact"/>
        <w:ind w:right="2760"/>
        <w:jc w:val="left"/>
      </w:pPr>
      <w:r>
        <w:rPr/>
        <w:t>业分析”中的相关内容。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5" w:footer="1228" w:top="1300" w:bottom="1420" w:left="1580" w:right="1040"/>
        </w:sectPr>
      </w:pPr>
    </w:p>
    <w:p>
      <w:pPr>
        <w:pStyle w:val="Heading4"/>
        <w:spacing w:line="290" w:lineRule="auto" w:before="36"/>
        <w:ind w:right="-7"/>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8"/>
        </w:rPr>
        <w:t> </w:t>
      </w:r>
      <w:r>
        <w:rPr/>
        <w:t>投资状况分析</w:t>
      </w:r>
      <w:r>
        <w:rPr>
          <w:w w:val="100"/>
        </w:rPr>
        <w:t> </w:t>
      </w:r>
      <w:r>
        <w:rPr>
          <w:rFonts w:ascii="宋体" w:hAnsi="宋体" w:cs="宋体" w:eastAsia="宋体" w:hint="default"/>
          <w:spacing w:val="-1"/>
        </w:rPr>
        <w:t>1</w:t>
      </w:r>
      <w:r>
        <w:rPr>
          <w:spacing w:val="-1"/>
        </w:rPr>
        <w:t>、对外股权投资总体分析</w:t>
      </w:r>
      <w:r>
        <w:rPr>
          <w:b w:val="0"/>
          <w:bCs w:val="0"/>
          <w:spacing w:val="-1"/>
        </w:rPr>
      </w:r>
    </w:p>
    <w:p>
      <w:pPr>
        <w:pStyle w:val="BodyText"/>
        <w:spacing w:line="240" w:lineRule="auto" w:before="15"/>
        <w:ind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1910" w:h="16840"/>
          <w:pgMar w:top="1580" w:bottom="280" w:left="1580" w:right="1040"/>
          <w:cols w:num="2" w:equalWidth="0">
            <w:col w:w="2645" w:space="3774"/>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133"/>
        <w:gridCol w:w="2917"/>
      </w:tblGrid>
      <w:tr>
        <w:trPr>
          <w:trHeight w:val="281"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111,024</w:t>
            </w:r>
          </w:p>
        </w:tc>
      </w:tr>
      <w:tr>
        <w:trPr>
          <w:trHeight w:val="28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-59,489</w:t>
            </w:r>
          </w:p>
        </w:tc>
      </w:tr>
      <w:tr>
        <w:trPr>
          <w:trHeight w:val="28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170,513</w:t>
            </w:r>
          </w:p>
        </w:tc>
      </w:tr>
      <w:tr>
        <w:trPr>
          <w:trHeight w:val="283" w:hRule="exact"/>
        </w:trPr>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8"/>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1910" w:h="16840"/>
          <w:pgMar w:top="1580" w:bottom="280" w:left="1580" w:right="1040"/>
          <w:cols w:num="2" w:equalWidth="0">
            <w:col w:w="2117" w:space="4302"/>
            <w:col w:w="2871"/>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602"/>
        <w:gridCol w:w="1789"/>
        <w:gridCol w:w="2996"/>
        <w:gridCol w:w="1205"/>
        <w:gridCol w:w="1220"/>
        <w:gridCol w:w="1080"/>
      </w:tblGrid>
      <w:tr>
        <w:trPr>
          <w:trHeight w:val="47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7"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50" w:right="0"/>
              <w:jc w:val="left"/>
              <w:rPr>
                <w:rFonts w:ascii="宋体" w:hAnsi="宋体" w:cs="宋体" w:eastAsia="宋体" w:hint="default"/>
                <w:sz w:val="18"/>
                <w:szCs w:val="18"/>
              </w:rPr>
            </w:pPr>
            <w:r>
              <w:rPr>
                <w:rFonts w:ascii="宋体" w:hAnsi="宋体" w:cs="宋体" w:eastAsia="宋体" w:hint="default"/>
                <w:sz w:val="18"/>
                <w:szCs w:val="18"/>
              </w:rPr>
              <w:t>主要经营活动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28" w:right="0"/>
              <w:jc w:val="left"/>
              <w:rPr>
                <w:rFonts w:ascii="宋体" w:hAnsi="宋体" w:cs="宋体" w:eastAsia="宋体" w:hint="default"/>
                <w:sz w:val="18"/>
                <w:szCs w:val="18"/>
              </w:rPr>
            </w:pPr>
            <w:r>
              <w:rPr>
                <w:rFonts w:ascii="宋体" w:hAnsi="宋体" w:cs="宋体" w:eastAsia="宋体" w:hint="default"/>
                <w:sz w:val="18"/>
                <w:szCs w:val="18"/>
              </w:rPr>
              <w:t>投资额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hanging="89"/>
              <w:jc w:val="left"/>
              <w:rPr>
                <w:rFonts w:ascii="宋体" w:hAnsi="宋体" w:cs="宋体" w:eastAsia="宋体" w:hint="default"/>
                <w:sz w:val="18"/>
                <w:szCs w:val="18"/>
              </w:rPr>
            </w:pPr>
            <w:r>
              <w:rPr>
                <w:rFonts w:ascii="宋体" w:hAnsi="宋体" w:cs="宋体" w:eastAsia="宋体" w:hint="default"/>
                <w:sz w:val="18"/>
                <w:szCs w:val="18"/>
              </w:rPr>
              <w:t>占被投资公司</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权益的比例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43"/>
              <w:jc w:val="left"/>
              <w:rPr>
                <w:rFonts w:ascii="宋体" w:hAnsi="宋体" w:cs="宋体" w:eastAsia="宋体" w:hint="default"/>
                <w:sz w:val="18"/>
                <w:szCs w:val="18"/>
              </w:rPr>
            </w:pPr>
            <w:r>
              <w:rPr>
                <w:rFonts w:ascii="宋体" w:hAnsi="宋体" w:cs="宋体" w:eastAsia="宋体" w:hint="default"/>
                <w:sz w:val="18"/>
                <w:szCs w:val="18"/>
              </w:rPr>
              <w:t>东软管理咨询（上海）</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项目投资、资产管理、投资咨询</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1,800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继续出资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东软集团（南宁）有限</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继续出资</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135"/>
              <w:jc w:val="left"/>
              <w:rPr>
                <w:rFonts w:ascii="宋体" w:hAnsi="宋体" w:cs="宋体" w:eastAsia="宋体" w:hint="default"/>
                <w:sz w:val="18"/>
                <w:szCs w:val="18"/>
              </w:rPr>
            </w:pPr>
            <w:r>
              <w:rPr>
                <w:rFonts w:ascii="宋体" w:hAnsi="宋体" w:cs="宋体" w:eastAsia="宋体" w:hint="default"/>
                <w:sz w:val="18"/>
                <w:szCs w:val="18"/>
              </w:rPr>
              <w:t>吉林省政坤农民工信 息服务有限公司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数据存储和应用，互联网接入及相关</w:t>
            </w:r>
          </w:p>
          <w:p>
            <w:pPr>
              <w:pStyle w:val="TableParagraph"/>
              <w:spacing w:line="232" w:lineRule="exact" w:before="23"/>
              <w:ind w:left="21" w:right="82"/>
              <w:jc w:val="left"/>
              <w:rPr>
                <w:rFonts w:ascii="宋体" w:hAnsi="宋体" w:cs="宋体" w:eastAsia="宋体" w:hint="default"/>
                <w:sz w:val="18"/>
                <w:szCs w:val="18"/>
              </w:rPr>
            </w:pPr>
            <w:r>
              <w:rPr>
                <w:rFonts w:ascii="宋体" w:hAnsi="宋体" w:cs="宋体" w:eastAsia="宋体" w:hint="default"/>
                <w:sz w:val="18"/>
                <w:szCs w:val="18"/>
              </w:rPr>
              <w:t>服务，网上贸易代理，软件开发及经 营等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800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23"/>
              <w:jc w:val="left"/>
              <w:rPr>
                <w:rFonts w:ascii="宋体" w:hAnsi="宋体" w:cs="宋体" w:eastAsia="宋体" w:hint="default"/>
                <w:sz w:val="18"/>
                <w:szCs w:val="18"/>
              </w:rPr>
            </w:pPr>
            <w:r>
              <w:rPr>
                <w:rFonts w:ascii="宋体" w:hAnsi="宋体" w:cs="宋体" w:eastAsia="宋体" w:hint="default"/>
                <w:spacing w:val="15"/>
                <w:sz w:val="18"/>
                <w:szCs w:val="18"/>
              </w:rPr>
              <w:t>新设</w:t>
            </w:r>
            <w:r>
              <w:rPr>
                <w:rFonts w:ascii="宋体" w:hAnsi="宋体" w:cs="宋体" w:eastAsia="宋体" w:hint="default"/>
                <w:spacing w:val="-59"/>
                <w:sz w:val="18"/>
                <w:szCs w:val="18"/>
              </w:rPr>
              <w:t> </w:t>
            </w:r>
            <w:r>
              <w:rPr>
                <w:rFonts w:ascii="宋体" w:hAnsi="宋体" w:cs="宋体" w:eastAsia="宋体" w:hint="default"/>
                <w:spacing w:val="15"/>
                <w:sz w:val="18"/>
                <w:szCs w:val="18"/>
              </w:rPr>
              <w:t>合营</w:t>
            </w:r>
            <w:r>
              <w:rPr>
                <w:rFonts w:ascii="宋体" w:hAnsi="宋体" w:cs="宋体" w:eastAsia="宋体" w:hint="default"/>
                <w:spacing w:val="-59"/>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r>
        <w:trPr>
          <w:trHeight w:val="1176"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 w:right="22"/>
              <w:jc w:val="left"/>
              <w:rPr>
                <w:rFonts w:ascii="宋体" w:hAnsi="宋体" w:cs="宋体" w:eastAsia="宋体" w:hint="default"/>
                <w:sz w:val="18"/>
                <w:szCs w:val="18"/>
              </w:rPr>
            </w:pPr>
            <w:r>
              <w:rPr>
                <w:rFonts w:ascii="宋体" w:hAnsi="宋体" w:cs="宋体" w:eastAsia="宋体" w:hint="default"/>
                <w:spacing w:val="-7"/>
                <w:sz w:val="18"/>
                <w:szCs w:val="18"/>
              </w:rPr>
              <w:t>汉朗网络信息科技（北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技术服务、技术开发、技术推广、技</w:t>
            </w:r>
          </w:p>
          <w:p>
            <w:pPr>
              <w:pStyle w:val="TableParagraph"/>
              <w:spacing w:line="237" w:lineRule="auto"/>
              <w:ind w:left="21" w:right="82"/>
              <w:jc w:val="both"/>
              <w:rPr>
                <w:rFonts w:ascii="宋体" w:hAnsi="宋体" w:cs="宋体" w:eastAsia="宋体" w:hint="default"/>
                <w:sz w:val="18"/>
                <w:szCs w:val="18"/>
              </w:rPr>
            </w:pPr>
            <w:r>
              <w:rPr>
                <w:rFonts w:ascii="宋体" w:hAnsi="宋体" w:cs="宋体" w:eastAsia="宋体" w:hint="default"/>
                <w:sz w:val="18"/>
                <w:szCs w:val="18"/>
              </w:rPr>
              <w:t>术转让、技术咨询；经济贸易咨询； 计算机系统服务；销售通讯设备、电 子产品、计算机、软件及辅助设备、 自行开发后的产品；货物进出口</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 w:right="-8"/>
              <w:jc w:val="left"/>
              <w:rPr>
                <w:rFonts w:ascii="宋体" w:hAnsi="宋体" w:cs="宋体" w:eastAsia="宋体" w:hint="default"/>
                <w:sz w:val="18"/>
                <w:szCs w:val="18"/>
              </w:rPr>
            </w:pPr>
            <w:r>
              <w:rPr>
                <w:rFonts w:ascii="宋体" w:hAnsi="宋体" w:cs="宋体" w:eastAsia="宋体" w:hint="default"/>
                <w:spacing w:val="24"/>
                <w:sz w:val="18"/>
                <w:szCs w:val="18"/>
              </w:rPr>
              <w:t>认购新增注</w:t>
            </w:r>
            <w:r>
              <w:rPr>
                <w:rFonts w:ascii="宋体" w:hAnsi="宋体" w:cs="宋体" w:eastAsia="宋体" w:hint="default"/>
                <w:spacing w:val="-86"/>
                <w:sz w:val="18"/>
                <w:szCs w:val="18"/>
              </w:rPr>
              <w:t> </w:t>
            </w:r>
            <w:r>
              <w:rPr>
                <w:rFonts w:ascii="宋体" w:hAnsi="宋体" w:cs="宋体" w:eastAsia="宋体" w:hint="default"/>
                <w:sz w:val="18"/>
                <w:szCs w:val="18"/>
              </w:rPr>
              <w:t>册资本</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东软集团（襄阳）有限</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计算机软硬件、技术咨询、房租租赁</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交通控制系统、安防工程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tabs>
                <w:tab w:pos="722" w:val="left" w:leader="none"/>
              </w:tabs>
              <w:spacing w:line="323" w:lineRule="exact"/>
              <w:ind w:left="-123" w:right="18"/>
              <w:jc w:val="righ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2,000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新设全资子</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40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700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bl>
    <w:p>
      <w:pPr>
        <w:spacing w:after="0" w:line="240" w:lineRule="auto"/>
        <w:jc w:val="left"/>
        <w:rPr>
          <w:rFonts w:ascii="宋体" w:hAnsi="宋体" w:cs="宋体" w:eastAsia="宋体" w:hint="default"/>
          <w:sz w:val="18"/>
          <w:szCs w:val="18"/>
        </w:rPr>
        <w:sectPr>
          <w:type w:val="continuous"/>
          <w:pgSz w:w="11910" w:h="16840"/>
          <w:pgMar w:top="1580" w:bottom="280" w:left="1580" w:right="1040"/>
        </w:sectPr>
      </w:pPr>
    </w:p>
    <w:p>
      <w:pPr>
        <w:spacing w:line="240" w:lineRule="auto" w:before="8"/>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602"/>
        <w:gridCol w:w="1789"/>
        <w:gridCol w:w="2996"/>
        <w:gridCol w:w="1205"/>
        <w:gridCol w:w="1220"/>
        <w:gridCol w:w="1080"/>
      </w:tblGrid>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50" w:right="0"/>
              <w:jc w:val="left"/>
              <w:rPr>
                <w:rFonts w:ascii="宋体" w:hAnsi="宋体" w:cs="宋体" w:eastAsia="宋体" w:hint="default"/>
                <w:sz w:val="18"/>
                <w:szCs w:val="18"/>
              </w:rPr>
            </w:pPr>
            <w:r>
              <w:rPr>
                <w:rFonts w:ascii="宋体" w:hAnsi="宋体" w:cs="宋体" w:eastAsia="宋体" w:hint="default"/>
                <w:sz w:val="18"/>
                <w:szCs w:val="18"/>
              </w:rPr>
              <w:t>主要经营活动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z w:val="18"/>
                <w:szCs w:val="18"/>
              </w:rPr>
              <w:t>投资额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3" w:right="0" w:hanging="89"/>
              <w:jc w:val="left"/>
              <w:rPr>
                <w:rFonts w:ascii="宋体" w:hAnsi="宋体" w:cs="宋体" w:eastAsia="宋体" w:hint="default"/>
                <w:sz w:val="18"/>
                <w:szCs w:val="18"/>
              </w:rPr>
            </w:pPr>
            <w:r>
              <w:rPr>
                <w:rFonts w:ascii="宋体" w:hAnsi="宋体" w:cs="宋体" w:eastAsia="宋体" w:hint="default"/>
                <w:sz w:val="18"/>
                <w:szCs w:val="18"/>
              </w:rPr>
              <w:t>占被投资公司</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权益的比例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22"/>
              <w:jc w:val="left"/>
              <w:rPr>
                <w:rFonts w:ascii="宋体" w:hAnsi="宋体" w:cs="宋体" w:eastAsia="宋体" w:hint="default"/>
                <w:sz w:val="18"/>
                <w:szCs w:val="18"/>
              </w:rPr>
            </w:pPr>
            <w:r>
              <w:rPr>
                <w:rFonts w:ascii="宋体" w:hAnsi="宋体" w:cs="宋体" w:eastAsia="宋体" w:hint="default"/>
                <w:spacing w:val="-7"/>
                <w:sz w:val="18"/>
                <w:szCs w:val="18"/>
              </w:rPr>
              <w:t>东软睿驰汽车技术（沈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阳）有限公司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电动汽车动力系统、高级驾驶辅助系</w:t>
            </w:r>
          </w:p>
          <w:p>
            <w:pPr>
              <w:pStyle w:val="TableParagraph"/>
              <w:spacing w:line="232" w:lineRule="exact" w:before="24"/>
              <w:ind w:left="21" w:right="82"/>
              <w:jc w:val="left"/>
              <w:rPr>
                <w:rFonts w:ascii="宋体" w:hAnsi="宋体" w:cs="宋体" w:eastAsia="宋体" w:hint="default"/>
                <w:sz w:val="18"/>
                <w:szCs w:val="18"/>
              </w:rPr>
            </w:pPr>
            <w:r>
              <w:rPr>
                <w:rFonts w:ascii="宋体" w:hAnsi="宋体" w:cs="宋体" w:eastAsia="宋体" w:hint="default"/>
                <w:spacing w:val="-2"/>
                <w:sz w:val="18"/>
                <w:szCs w:val="18"/>
              </w:rPr>
              <w:t>统、汽车自动驾驶系统等产品的研发</w:t>
            </w:r>
            <w:r>
              <w:rPr>
                <w:rFonts w:ascii="宋体" w:hAnsi="宋体" w:cs="宋体" w:eastAsia="宋体" w:hint="default"/>
                <w:sz w:val="18"/>
                <w:szCs w:val="18"/>
              </w:rPr>
              <w:t> 批发、并提供售后服务与技术支持等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633" w:val="left" w:leader="none"/>
              </w:tabs>
              <w:spacing w:line="240" w:lineRule="auto"/>
              <w:ind w:left="-123" w:right="18"/>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15,000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天津天任大数据科技</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移动互联网技术开发、转让、咨询服</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务；人力资源服务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270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新设联营公</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司</w:t>
            </w:r>
          </w:p>
        </w:tc>
      </w:tr>
      <w:tr>
        <w:trPr>
          <w:trHeight w:val="47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东软集团南京有限公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计算机软、硬件，开发、销售、技术</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咨询等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杭州东软软件有限公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800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1" w:right="0"/>
              <w:jc w:val="left"/>
              <w:rPr>
                <w:rFonts w:ascii="宋体" w:hAnsi="宋体" w:cs="宋体" w:eastAsia="宋体" w:hint="default"/>
                <w:sz w:val="18"/>
                <w:szCs w:val="18"/>
              </w:rPr>
            </w:pPr>
            <w:r>
              <w:rPr>
                <w:rFonts w:ascii="宋体" w:hAnsi="宋体" w:cs="宋体" w:eastAsia="宋体" w:hint="default"/>
                <w:sz w:val="18"/>
                <w:szCs w:val="18"/>
              </w:rPr>
              <w:t>睿驰新能源动力系统</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（武汉）有限公司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新能源汽车动力电池模组、电池包与</w:t>
            </w:r>
          </w:p>
          <w:p>
            <w:pPr>
              <w:pStyle w:val="TableParagraph"/>
              <w:spacing w:line="232" w:lineRule="exact" w:before="24"/>
              <w:ind w:left="21" w:right="82"/>
              <w:jc w:val="left"/>
              <w:rPr>
                <w:rFonts w:ascii="宋体" w:hAnsi="宋体" w:cs="宋体" w:eastAsia="宋体" w:hint="default"/>
                <w:sz w:val="18"/>
                <w:szCs w:val="18"/>
              </w:rPr>
            </w:pPr>
            <w:r>
              <w:rPr>
                <w:rFonts w:ascii="宋体" w:hAnsi="宋体" w:cs="宋体" w:eastAsia="宋体" w:hint="default"/>
                <w:sz w:val="18"/>
                <w:szCs w:val="18"/>
              </w:rPr>
              <w:t>充电机的开发、设计、生产、销售， 维修服务、技术咨询等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新设全资子</w:t>
            </w:r>
            <w:r>
              <w:rPr>
                <w:rFonts w:ascii="宋体" w:hAnsi="宋体" w:cs="宋体" w:eastAsia="宋体" w:hint="default"/>
                <w:spacing w:val="-86"/>
                <w:sz w:val="18"/>
                <w:szCs w:val="18"/>
              </w:rPr>
              <w:t> </w:t>
            </w:r>
            <w:r>
              <w:rPr>
                <w:rFonts w:ascii="宋体" w:hAnsi="宋体" w:cs="宋体" w:eastAsia="宋体" w:hint="default"/>
                <w:sz w:val="18"/>
                <w:szCs w:val="18"/>
              </w:rPr>
              <w:t>公司</w:t>
            </w:r>
          </w:p>
        </w:tc>
      </w:tr>
      <w:tr>
        <w:trPr>
          <w:trHeight w:val="711"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135"/>
              <w:jc w:val="left"/>
              <w:rPr>
                <w:rFonts w:ascii="宋体" w:hAnsi="宋体" w:cs="宋体" w:eastAsia="宋体" w:hint="default"/>
                <w:sz w:val="18"/>
                <w:szCs w:val="18"/>
              </w:rPr>
            </w:pPr>
            <w:r>
              <w:rPr>
                <w:rFonts w:ascii="宋体" w:hAnsi="宋体" w:cs="宋体" w:eastAsia="宋体" w:hint="default"/>
                <w:sz w:val="18"/>
                <w:szCs w:val="18"/>
              </w:rPr>
              <w:t>东软医疗产业园发展 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房地产开发，销售；自有房屋租赁；</w:t>
            </w:r>
          </w:p>
          <w:p>
            <w:pPr>
              <w:pStyle w:val="TableParagraph"/>
              <w:spacing w:line="232" w:lineRule="exact" w:before="24"/>
              <w:ind w:left="21" w:right="82"/>
              <w:jc w:val="left"/>
              <w:rPr>
                <w:rFonts w:ascii="宋体" w:hAnsi="宋体" w:cs="宋体" w:eastAsia="宋体" w:hint="default"/>
                <w:sz w:val="18"/>
                <w:szCs w:val="18"/>
              </w:rPr>
            </w:pPr>
            <w:r>
              <w:rPr>
                <w:rFonts w:ascii="宋体" w:hAnsi="宋体" w:cs="宋体" w:eastAsia="宋体" w:hint="default"/>
                <w:sz w:val="18"/>
                <w:szCs w:val="18"/>
              </w:rPr>
              <w:t>产业园区规划，设计，开发，管理； 医疗器械类企业孵化服务等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合肥东软信息技术有</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计算机软硬件、系统集成、技术咨询</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500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135"/>
              <w:jc w:val="left"/>
              <w:rPr>
                <w:rFonts w:ascii="宋体" w:hAnsi="宋体" w:cs="宋体" w:eastAsia="宋体" w:hint="default"/>
                <w:sz w:val="18"/>
                <w:szCs w:val="18"/>
              </w:rPr>
            </w:pPr>
            <w:r>
              <w:rPr>
                <w:rFonts w:ascii="宋体" w:hAnsi="宋体" w:cs="宋体" w:eastAsia="宋体" w:hint="default"/>
                <w:sz w:val="18"/>
                <w:szCs w:val="18"/>
              </w:rPr>
              <w:t>沈阳智医科技有限公 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计算机技术开发、转让、咨询、服务</w:t>
            </w:r>
          </w:p>
          <w:p>
            <w:pPr>
              <w:pStyle w:val="TableParagraph"/>
              <w:spacing w:line="232" w:lineRule="exact" w:before="23"/>
              <w:ind w:left="21" w:right="82"/>
              <w:jc w:val="left"/>
              <w:rPr>
                <w:rFonts w:ascii="宋体" w:hAnsi="宋体" w:cs="宋体" w:eastAsia="宋体" w:hint="default"/>
                <w:sz w:val="18"/>
                <w:szCs w:val="18"/>
              </w:rPr>
            </w:pPr>
            <w:r>
              <w:rPr>
                <w:rFonts w:ascii="宋体" w:hAnsi="宋体" w:cs="宋体" w:eastAsia="宋体" w:hint="default"/>
                <w:sz w:val="18"/>
                <w:szCs w:val="18"/>
              </w:rPr>
              <w:t>软件开发、设计和制作；计算机软硬 件销售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right="17"/>
              <w:jc w:val="right"/>
              <w:rPr>
                <w:rFonts w:ascii="宋体" w:hAnsi="宋体" w:cs="宋体" w:eastAsia="宋体" w:hint="default"/>
                <w:sz w:val="18"/>
                <w:szCs w:val="18"/>
              </w:rPr>
            </w:pPr>
            <w:r>
              <w:rPr>
                <w:rFonts w:ascii="宋体"/>
                <w:sz w:val="18"/>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新设全资子</w:t>
            </w:r>
            <w:r>
              <w:rPr>
                <w:rFonts w:ascii="宋体" w:hAnsi="宋体" w:cs="宋体" w:eastAsia="宋体" w:hint="default"/>
                <w:spacing w:val="-86"/>
                <w:sz w:val="18"/>
                <w:szCs w:val="18"/>
              </w:rPr>
              <w:t> </w:t>
            </w:r>
            <w:r>
              <w:rPr>
                <w:rFonts w:ascii="宋体" w:hAnsi="宋体" w:cs="宋体" w:eastAsia="宋体" w:hint="default"/>
                <w:sz w:val="18"/>
                <w:szCs w:val="18"/>
              </w:rPr>
              <w:t>公司</w:t>
            </w:r>
          </w:p>
        </w:tc>
      </w:tr>
      <w:tr>
        <w:trPr>
          <w:trHeight w:val="47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融盛财产保险股份有</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已实缴，尚未注册</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新设联营公</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司</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135"/>
              <w:jc w:val="left"/>
              <w:rPr>
                <w:rFonts w:ascii="宋体" w:hAnsi="宋体" w:cs="宋体" w:eastAsia="宋体" w:hint="default"/>
                <w:sz w:val="18"/>
                <w:szCs w:val="18"/>
              </w:rPr>
            </w:pPr>
            <w:r>
              <w:rPr>
                <w:rFonts w:ascii="宋体" w:hAnsi="宋体" w:cs="宋体" w:eastAsia="宋体" w:hint="default"/>
                <w:sz w:val="18"/>
                <w:szCs w:val="18"/>
              </w:rPr>
              <w:t>沈阳东软久和医疗企 业管理有限公司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医疗企业管理；医疗产业投资与管理</w:t>
            </w:r>
          </w:p>
          <w:p>
            <w:pPr>
              <w:pStyle w:val="TableParagraph"/>
              <w:spacing w:line="232" w:lineRule="exact" w:before="23"/>
              <w:ind w:left="21" w:right="82"/>
              <w:jc w:val="left"/>
              <w:rPr>
                <w:rFonts w:ascii="宋体" w:hAnsi="宋体" w:cs="宋体" w:eastAsia="宋体" w:hint="default"/>
                <w:sz w:val="18"/>
                <w:szCs w:val="18"/>
              </w:rPr>
            </w:pPr>
            <w:r>
              <w:rPr>
                <w:rFonts w:ascii="宋体" w:hAnsi="宋体" w:cs="宋体" w:eastAsia="宋体" w:hint="default"/>
                <w:sz w:val="18"/>
                <w:szCs w:val="18"/>
              </w:rPr>
              <w:t>咨询；医疗技术、康复技术研发，技 术推广，技术服务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300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新设控股子</w:t>
            </w:r>
            <w:r>
              <w:rPr>
                <w:rFonts w:ascii="宋体" w:hAnsi="宋体" w:cs="宋体" w:eastAsia="宋体" w:hint="default"/>
                <w:spacing w:val="-86"/>
                <w:sz w:val="18"/>
                <w:szCs w:val="18"/>
              </w:rPr>
              <w:t> </w:t>
            </w:r>
            <w:r>
              <w:rPr>
                <w:rFonts w:ascii="宋体" w:hAnsi="宋体" w:cs="宋体" w:eastAsia="宋体" w:hint="default"/>
                <w:sz w:val="18"/>
                <w:szCs w:val="18"/>
              </w:rPr>
              <w:t>公司</w:t>
            </w:r>
          </w:p>
        </w:tc>
      </w:tr>
      <w:tr>
        <w:trPr>
          <w:trHeight w:val="1179"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135"/>
              <w:jc w:val="left"/>
              <w:rPr>
                <w:rFonts w:ascii="宋体" w:hAnsi="宋体" w:cs="宋体" w:eastAsia="宋体" w:hint="default"/>
                <w:sz w:val="18"/>
                <w:szCs w:val="18"/>
              </w:rPr>
            </w:pPr>
            <w:r>
              <w:rPr>
                <w:rFonts w:ascii="宋体" w:hAnsi="宋体" w:cs="宋体" w:eastAsia="宋体" w:hint="default"/>
                <w:sz w:val="18"/>
                <w:szCs w:val="18"/>
              </w:rPr>
              <w:t>大连东软共创科技有 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both"/>
              <w:rPr>
                <w:rFonts w:ascii="宋体" w:hAnsi="宋体" w:cs="宋体" w:eastAsia="宋体" w:hint="default"/>
                <w:sz w:val="18"/>
                <w:szCs w:val="18"/>
              </w:rPr>
            </w:pPr>
            <w:r>
              <w:rPr>
                <w:rFonts w:ascii="宋体" w:hAnsi="宋体" w:cs="宋体" w:eastAsia="宋体" w:hint="default"/>
                <w:sz w:val="18"/>
                <w:szCs w:val="18"/>
              </w:rPr>
              <w:t>自有房屋租赁、计算机技术开发、技</w:t>
            </w:r>
          </w:p>
          <w:p>
            <w:pPr>
              <w:pStyle w:val="TableParagraph"/>
              <w:spacing w:line="237" w:lineRule="auto" w:before="1"/>
              <w:ind w:left="21" w:right="82"/>
              <w:jc w:val="both"/>
              <w:rPr>
                <w:rFonts w:ascii="宋体" w:hAnsi="宋体" w:cs="宋体" w:eastAsia="宋体" w:hint="default"/>
                <w:sz w:val="18"/>
                <w:szCs w:val="18"/>
              </w:rPr>
            </w:pPr>
            <w:r>
              <w:rPr>
                <w:rFonts w:ascii="宋体" w:hAnsi="宋体" w:cs="宋体" w:eastAsia="宋体" w:hint="default"/>
                <w:sz w:val="18"/>
                <w:szCs w:val="18"/>
              </w:rPr>
              <w:t>术转让、技术咨询、技术服务、软件 外包服务、计算机辅助设备销售、计 算机信息技术咨询服务、物业管理、 停车场管理服务等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5,520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新设全资子</w:t>
            </w:r>
            <w:r>
              <w:rPr>
                <w:rFonts w:ascii="宋体" w:hAnsi="宋体" w:cs="宋体" w:eastAsia="宋体" w:hint="default"/>
                <w:spacing w:val="-86"/>
                <w:sz w:val="18"/>
                <w:szCs w:val="18"/>
              </w:rPr>
              <w:t> </w:t>
            </w:r>
            <w:r>
              <w:rPr>
                <w:rFonts w:ascii="宋体" w:hAnsi="宋体" w:cs="宋体" w:eastAsia="宋体" w:hint="default"/>
                <w:sz w:val="18"/>
                <w:szCs w:val="18"/>
              </w:rPr>
              <w:t>公司</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广州东软科技企业孵</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化器有限公司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科技推广及应用服务业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8"/>
              <w:jc w:val="left"/>
              <w:rPr>
                <w:rFonts w:ascii="宋体" w:hAnsi="宋体" w:cs="宋体" w:eastAsia="宋体" w:hint="default"/>
                <w:sz w:val="18"/>
                <w:szCs w:val="18"/>
              </w:rPr>
            </w:pPr>
            <w:r>
              <w:rPr>
                <w:rFonts w:ascii="宋体" w:hAnsi="宋体" w:cs="宋体" w:eastAsia="宋体" w:hint="default"/>
                <w:spacing w:val="24"/>
                <w:sz w:val="18"/>
                <w:szCs w:val="18"/>
              </w:rPr>
              <w:t>新设全资子</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47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19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东软集团（北京）有限</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经营计算机软硬件，及相关货物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8,000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沈阳东软系统集成技</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3,000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135"/>
              <w:jc w:val="left"/>
              <w:rPr>
                <w:rFonts w:ascii="宋体" w:hAnsi="宋体" w:cs="宋体" w:eastAsia="宋体" w:hint="default"/>
                <w:sz w:val="18"/>
                <w:szCs w:val="18"/>
              </w:rPr>
            </w:pPr>
            <w:r>
              <w:rPr>
                <w:rFonts w:ascii="宋体" w:hAnsi="宋体" w:cs="宋体" w:eastAsia="宋体" w:hint="default"/>
                <w:sz w:val="18"/>
                <w:szCs w:val="18"/>
              </w:rPr>
              <w:t>北京东软望海科技有 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开发、生产计算机软件；销售自产产</w:t>
            </w:r>
          </w:p>
          <w:p>
            <w:pPr>
              <w:pStyle w:val="TableParagraph"/>
              <w:spacing w:line="240" w:lineRule="auto"/>
              <w:ind w:left="21" w:right="82"/>
              <w:jc w:val="left"/>
              <w:rPr>
                <w:rFonts w:ascii="宋体" w:hAnsi="宋体" w:cs="宋体" w:eastAsia="宋体" w:hint="default"/>
                <w:sz w:val="18"/>
                <w:szCs w:val="18"/>
              </w:rPr>
            </w:pPr>
            <w:r>
              <w:rPr>
                <w:rFonts w:ascii="宋体" w:hAnsi="宋体" w:cs="宋体" w:eastAsia="宋体" w:hint="default"/>
                <w:sz w:val="18"/>
                <w:szCs w:val="18"/>
              </w:rPr>
              <w:t>品；技术支持服务；计算机软硬件产 品的批发、佣金代理进出口业务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4,452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睿驰达新能源汽车科</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电动车充电设施领域内的技术服务、</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电动车充电设施的安装与运营等</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1,000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继续出资</w:t>
            </w:r>
          </w:p>
        </w:tc>
      </w:tr>
    </w:tbl>
    <w:p>
      <w:pPr>
        <w:spacing w:line="240" w:lineRule="auto" w:before="6"/>
        <w:rPr>
          <w:rFonts w:ascii="宋体" w:hAnsi="宋体" w:cs="宋体" w:eastAsia="宋体" w:hint="default"/>
          <w:sz w:val="18"/>
          <w:szCs w:val="18"/>
        </w:rPr>
      </w:pPr>
    </w:p>
    <w:p>
      <w:pPr>
        <w:pStyle w:val="BodyText"/>
        <w:spacing w:line="273" w:lineRule="exact" w:before="36"/>
        <w:ind w:left="138" w:right="0"/>
        <w:jc w:val="both"/>
      </w:pPr>
      <w:r>
        <w:rPr/>
        <w:t>情况说明：</w:t>
      </w:r>
    </w:p>
    <w:p>
      <w:pPr>
        <w:pStyle w:val="BodyText"/>
        <w:spacing w:line="271" w:lineRule="exact"/>
        <w:ind w:left="138" w:right="0"/>
        <w:jc w:val="both"/>
        <w:rPr>
          <w:rFonts w:ascii="宋体" w:hAnsi="宋体" w:cs="宋体" w:eastAsia="宋体" w:hint="default"/>
        </w:rPr>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2017</w:t>
      </w:r>
      <w:r>
        <w:rPr>
          <w:rFonts w:ascii="宋体" w:hAnsi="宋体" w:cs="宋体" w:eastAsia="宋体" w:hint="default"/>
          <w:spacing w:val="-43"/>
        </w:rPr>
        <w:t> </w:t>
      </w:r>
      <w:r>
        <w:rPr/>
        <w:t>年</w:t>
      </w:r>
      <w:r>
        <w:rPr>
          <w:spacing w:val="-40"/>
        </w:rPr>
        <w:t> </w:t>
      </w:r>
      <w:r>
        <w:rPr>
          <w:rFonts w:ascii="宋体" w:hAnsi="宋体" w:cs="宋体" w:eastAsia="宋体" w:hint="default"/>
        </w:rPr>
        <w:t>1</w:t>
      </w:r>
      <w:r>
        <w:rPr>
          <w:rFonts w:ascii="宋体" w:hAnsi="宋体" w:cs="宋体" w:eastAsia="宋体" w:hint="default"/>
          <w:spacing w:val="-43"/>
        </w:rPr>
        <w:t> </w:t>
      </w:r>
      <w:r>
        <w:rPr>
          <w:spacing w:val="-5"/>
        </w:rPr>
        <w:t>月，本公司对全资子公司东软管理咨询（上海）有限公司继续出资</w:t>
      </w:r>
      <w:r>
        <w:rPr>
          <w:spacing w:val="-39"/>
        </w:rPr>
        <w:t> </w:t>
      </w:r>
      <w:r>
        <w:rPr>
          <w:rFonts w:ascii="宋体" w:hAnsi="宋体" w:cs="宋体" w:eastAsia="宋体" w:hint="default"/>
        </w:rPr>
        <w:t>300</w:t>
      </w:r>
      <w:r>
        <w:rPr>
          <w:rFonts w:ascii="宋体" w:hAnsi="宋体" w:cs="宋体" w:eastAsia="宋体" w:hint="default"/>
          <w:spacing w:val="-40"/>
        </w:rPr>
        <w:t> </w:t>
      </w:r>
      <w:r>
        <w:rPr>
          <w:spacing w:val="-5"/>
        </w:rPr>
        <w:t>万元；</w:t>
      </w:r>
      <w:r>
        <w:rPr>
          <w:rFonts w:ascii="宋体" w:hAnsi="宋体" w:cs="宋体" w:eastAsia="宋体" w:hint="default"/>
          <w:spacing w:val="-5"/>
        </w:rPr>
        <w:t>2017</w:t>
      </w:r>
    </w:p>
    <w:p>
      <w:pPr>
        <w:pStyle w:val="BodyText"/>
        <w:spacing w:line="272" w:lineRule="exact"/>
        <w:ind w:left="138" w:right="0"/>
        <w:jc w:val="both"/>
      </w:pPr>
      <w:r>
        <w:rPr/>
        <w:t>年</w:t>
      </w:r>
      <w:r>
        <w:rPr>
          <w:spacing w:val="-47"/>
        </w:rPr>
        <w:t> </w:t>
      </w:r>
      <w:r>
        <w:rPr>
          <w:rFonts w:ascii="宋体" w:hAnsi="宋体" w:cs="宋体" w:eastAsia="宋体" w:hint="default"/>
        </w:rPr>
        <w:t>7</w:t>
      </w:r>
      <w:r>
        <w:rPr>
          <w:rFonts w:ascii="宋体" w:hAnsi="宋体" w:cs="宋体" w:eastAsia="宋体" w:hint="default"/>
          <w:spacing w:val="-46"/>
        </w:rPr>
        <w:t> </w:t>
      </w:r>
      <w:r>
        <w:rPr/>
        <w:t>月，本公司对其继续出资</w:t>
      </w:r>
      <w:r>
        <w:rPr>
          <w:spacing w:val="-46"/>
        </w:rPr>
        <w:t> </w:t>
      </w:r>
      <w:r>
        <w:rPr>
          <w:rFonts w:ascii="宋体" w:hAnsi="宋体" w:cs="宋体" w:eastAsia="宋体" w:hint="default"/>
        </w:rPr>
        <w:t>300</w:t>
      </w:r>
      <w:r>
        <w:rPr>
          <w:rFonts w:ascii="宋体" w:hAnsi="宋体" w:cs="宋体" w:eastAsia="宋体" w:hint="default"/>
          <w:spacing w:val="-47"/>
        </w:rPr>
        <w:t> </w:t>
      </w:r>
      <w:r>
        <w:rPr/>
        <w:t>万元；</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月，本公司对其继续出资</w:t>
      </w:r>
      <w:r>
        <w:rPr>
          <w:spacing w:val="-46"/>
        </w:rPr>
        <w:t> </w:t>
      </w:r>
      <w:r>
        <w:rPr>
          <w:rFonts w:ascii="宋体" w:hAnsi="宋体" w:cs="宋体" w:eastAsia="宋体" w:hint="default"/>
        </w:rPr>
        <w:t>1,200</w:t>
      </w:r>
      <w:r>
        <w:rPr>
          <w:rFonts w:ascii="宋体" w:hAnsi="宋体" w:cs="宋体" w:eastAsia="宋体" w:hint="default"/>
          <w:spacing w:val="-47"/>
        </w:rPr>
        <w:t> </w:t>
      </w:r>
      <w:r>
        <w:rPr/>
        <w:t>万元，报告</w:t>
      </w:r>
    </w:p>
    <w:p>
      <w:pPr>
        <w:pStyle w:val="BodyText"/>
        <w:spacing w:line="272" w:lineRule="exact"/>
        <w:ind w:left="138" w:right="0"/>
        <w:jc w:val="both"/>
      </w:pPr>
      <w:r>
        <w:rPr/>
        <w:t>期内累计出资</w:t>
      </w:r>
      <w:r>
        <w:rPr>
          <w:spacing w:val="-53"/>
        </w:rPr>
        <w:t> </w:t>
      </w:r>
      <w:r>
        <w:rPr>
          <w:rFonts w:ascii="宋体" w:hAnsi="宋体" w:cs="宋体" w:eastAsia="宋体" w:hint="default"/>
        </w:rPr>
        <w:t>1,800</w:t>
      </w:r>
      <w:r>
        <w:rPr>
          <w:rFonts w:ascii="宋体" w:hAnsi="宋体" w:cs="宋体" w:eastAsia="宋体" w:hint="default"/>
          <w:spacing w:val="-55"/>
        </w:rPr>
        <w:t> </w:t>
      </w:r>
      <w:r>
        <w:rPr/>
        <w:t>万元；</w:t>
      </w:r>
    </w:p>
    <w:p>
      <w:pPr>
        <w:pStyle w:val="BodyText"/>
        <w:spacing w:line="272" w:lineRule="exact"/>
        <w:ind w:left="138" w:right="0"/>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月，本公司对全资子公司东软集团（南宁）有限公司继续出资</w:t>
      </w:r>
      <w:r>
        <w:rPr>
          <w:spacing w:val="-41"/>
        </w:rPr>
        <w:t> </w:t>
      </w:r>
      <w:r>
        <w:rPr>
          <w:rFonts w:ascii="宋体" w:hAnsi="宋体" w:cs="宋体" w:eastAsia="宋体" w:hint="default"/>
        </w:rPr>
        <w:t>200</w:t>
      </w:r>
      <w:r>
        <w:rPr>
          <w:rFonts w:ascii="宋体" w:hAnsi="宋体" w:cs="宋体" w:eastAsia="宋体" w:hint="default"/>
          <w:spacing w:val="-42"/>
        </w:rPr>
        <w:t> </w:t>
      </w:r>
      <w:r>
        <w:rPr/>
        <w:t>万元，报告期</w:t>
      </w:r>
    </w:p>
    <w:p>
      <w:pPr>
        <w:pStyle w:val="BodyText"/>
        <w:spacing w:line="272" w:lineRule="exact"/>
        <w:ind w:left="138" w:right="0"/>
        <w:jc w:val="both"/>
      </w:pPr>
      <w:r>
        <w:rPr/>
        <w:t>内实际出资</w:t>
      </w:r>
      <w:r>
        <w:rPr>
          <w:spacing w:val="-52"/>
        </w:rPr>
        <w:t> </w:t>
      </w:r>
      <w:r>
        <w:rPr>
          <w:rFonts w:ascii="宋体" w:hAnsi="宋体" w:cs="宋体" w:eastAsia="宋体" w:hint="default"/>
        </w:rPr>
        <w:t>200</w:t>
      </w:r>
      <w:r>
        <w:rPr>
          <w:rFonts w:ascii="宋体" w:hAnsi="宋体" w:cs="宋体" w:eastAsia="宋体" w:hint="default"/>
          <w:spacing w:val="-54"/>
        </w:rPr>
        <w:t> </w:t>
      </w:r>
      <w:r>
        <w:rPr/>
        <w:t>万元；</w:t>
      </w:r>
    </w:p>
    <w:p>
      <w:pPr>
        <w:pStyle w:val="BodyText"/>
        <w:spacing w:line="272" w:lineRule="exact"/>
        <w:ind w:left="138" w:right="0"/>
        <w:jc w:val="both"/>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25"/>
        </w:rPr>
        <w:t> </w:t>
      </w:r>
      <w:r>
        <w:rPr/>
        <w:t>年</w:t>
      </w:r>
      <w:r>
        <w:rPr>
          <w:spacing w:val="-25"/>
        </w:rPr>
        <w:t> </w:t>
      </w:r>
      <w:r>
        <w:rPr>
          <w:rFonts w:ascii="宋体" w:hAnsi="宋体" w:cs="宋体" w:eastAsia="宋体" w:hint="default"/>
        </w:rPr>
        <w:t>1</w:t>
      </w:r>
      <w:r>
        <w:rPr>
          <w:rFonts w:ascii="宋体" w:hAnsi="宋体" w:cs="宋体" w:eastAsia="宋体" w:hint="default"/>
          <w:spacing w:val="-27"/>
        </w:rPr>
        <w:t> </w:t>
      </w:r>
      <w:r>
        <w:rPr/>
        <w:t>月，本公司出资参股设立吉林省政坤农民工信息服务有限公司，注册资本</w:t>
      </w:r>
      <w:r>
        <w:rPr>
          <w:spacing w:val="-25"/>
        </w:rPr>
        <w:t> </w:t>
      </w:r>
      <w:r>
        <w:rPr>
          <w:rFonts w:ascii="宋体" w:hAnsi="宋体" w:cs="宋体" w:eastAsia="宋体" w:hint="default"/>
        </w:rPr>
        <w:t>3,000</w:t>
      </w:r>
    </w:p>
    <w:p>
      <w:pPr>
        <w:pStyle w:val="BodyText"/>
        <w:spacing w:line="272" w:lineRule="exact"/>
        <w:ind w:left="138" w:right="0"/>
        <w:jc w:val="both"/>
      </w:pPr>
      <w:r>
        <w:rPr/>
        <w:t>万元，持股比例</w:t>
      </w:r>
      <w:r>
        <w:rPr>
          <w:spacing w:val="-53"/>
        </w:rPr>
        <w:t> </w:t>
      </w:r>
      <w:r>
        <w:rPr>
          <w:rFonts w:ascii="宋体" w:hAnsi="宋体" w:cs="宋体" w:eastAsia="宋体" w:hint="default"/>
        </w:rPr>
        <w:t>50%</w:t>
      </w:r>
      <w:r>
        <w:rPr/>
        <w:t>，</w:t>
      </w:r>
      <w:r>
        <w:rPr>
          <w:rFonts w:ascii="宋体" w:hAnsi="宋体" w:cs="宋体" w:eastAsia="宋体" w:hint="default"/>
        </w:rPr>
        <w:t>1</w:t>
      </w:r>
      <w:r>
        <w:rPr>
          <w:rFonts w:ascii="宋体" w:hAnsi="宋体" w:cs="宋体" w:eastAsia="宋体" w:hint="default"/>
          <w:spacing w:val="-52"/>
        </w:rPr>
        <w:t> </w:t>
      </w:r>
      <w:r>
        <w:rPr/>
        <w:t>月实际出资</w:t>
      </w:r>
      <w:r>
        <w:rPr>
          <w:spacing w:val="-55"/>
        </w:rPr>
        <w:t> </w:t>
      </w:r>
      <w:r>
        <w:rPr>
          <w:rFonts w:ascii="宋体" w:hAnsi="宋体" w:cs="宋体" w:eastAsia="宋体" w:hint="default"/>
        </w:rPr>
        <w:t>300</w:t>
      </w:r>
      <w:r>
        <w:rPr>
          <w:rFonts w:ascii="宋体" w:hAnsi="宋体" w:cs="宋体" w:eastAsia="宋体" w:hint="default"/>
          <w:spacing w:val="-52"/>
        </w:rPr>
        <w:t> </w:t>
      </w:r>
      <w:r>
        <w:rPr/>
        <w:t>万元，自</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2"/>
        </w:rPr>
        <w:t> </w:t>
      </w:r>
      <w:r>
        <w:rPr/>
        <w:t>月起将其作为合营公司权益法核算；</w:t>
      </w:r>
    </w:p>
    <w:p>
      <w:pPr>
        <w:pStyle w:val="BodyText"/>
        <w:spacing w:line="273" w:lineRule="exact"/>
        <w:ind w:left="138" w:right="0"/>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月，本公司对其继续出资</w:t>
      </w:r>
      <w:r>
        <w:rPr>
          <w:spacing w:val="-52"/>
        </w:rPr>
        <w:t> </w:t>
      </w:r>
      <w:r>
        <w:rPr>
          <w:rFonts w:ascii="宋体" w:hAnsi="宋体" w:cs="宋体" w:eastAsia="宋体" w:hint="default"/>
        </w:rPr>
        <w:t>500</w:t>
      </w:r>
      <w:r>
        <w:rPr>
          <w:rFonts w:ascii="宋体" w:hAnsi="宋体" w:cs="宋体" w:eastAsia="宋体" w:hint="default"/>
          <w:spacing w:val="-55"/>
        </w:rPr>
        <w:t> </w:t>
      </w:r>
      <w:r>
        <w:rPr/>
        <w:t>万元，报告期内累计出资</w:t>
      </w:r>
      <w:r>
        <w:rPr>
          <w:spacing w:val="-53"/>
        </w:rPr>
        <w:t> </w:t>
      </w:r>
      <w:r>
        <w:rPr>
          <w:rFonts w:ascii="宋体" w:hAnsi="宋体" w:cs="宋体" w:eastAsia="宋体" w:hint="default"/>
        </w:rPr>
        <w:t>800</w:t>
      </w:r>
      <w:r>
        <w:rPr>
          <w:rFonts w:ascii="宋体" w:hAnsi="宋体" w:cs="宋体" w:eastAsia="宋体" w:hint="default"/>
          <w:spacing w:val="-55"/>
        </w:rPr>
        <w:t> </w:t>
      </w:r>
      <w:r>
        <w:rPr/>
        <w:t>万元；</w:t>
      </w:r>
    </w:p>
    <w:p>
      <w:pPr>
        <w:pStyle w:val="BodyText"/>
        <w:spacing w:line="237" w:lineRule="auto" w:before="2"/>
        <w:ind w:left="138" w:right="147"/>
        <w:jc w:val="both"/>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月，本公司出资</w:t>
      </w:r>
      <w:r>
        <w:rPr>
          <w:spacing w:val="-41"/>
        </w:rPr>
        <w:t> </w:t>
      </w:r>
      <w:r>
        <w:rPr>
          <w:rFonts w:ascii="宋体" w:hAnsi="宋体" w:cs="宋体" w:eastAsia="宋体" w:hint="default"/>
        </w:rPr>
        <w:t>1,500</w:t>
      </w:r>
      <w:r>
        <w:rPr>
          <w:rFonts w:ascii="宋体" w:hAnsi="宋体" w:cs="宋体" w:eastAsia="宋体" w:hint="default"/>
          <w:spacing w:val="-44"/>
        </w:rPr>
        <w:t> </w:t>
      </w:r>
      <w:r>
        <w:rPr/>
        <w:t>万元认购汉朗网络信息科技（北京）有限公司新增发行的</w:t>
      </w:r>
      <w:r>
        <w:rPr>
          <w:w w:val="100"/>
        </w:rPr>
        <w:t> </w:t>
      </w:r>
      <w:r>
        <w:rPr/>
        <w:t>注册资本</w:t>
      </w:r>
      <w:r>
        <w:rPr>
          <w:spacing w:val="-32"/>
        </w:rPr>
        <w:t> </w:t>
      </w:r>
      <w:r>
        <w:rPr>
          <w:rFonts w:ascii="宋体" w:hAnsi="宋体" w:cs="宋体" w:eastAsia="宋体" w:hint="default"/>
        </w:rPr>
        <w:t>1,020,833</w:t>
      </w:r>
      <w:r>
        <w:rPr>
          <w:rFonts w:ascii="宋体" w:hAnsi="宋体" w:cs="宋体" w:eastAsia="宋体" w:hint="default"/>
          <w:spacing w:val="-35"/>
        </w:rPr>
        <w:t> </w:t>
      </w:r>
      <w:r>
        <w:rPr/>
        <w:t>元，占汉朗网络信息科技（北京）有限公司注册资本的</w:t>
      </w:r>
      <w:r>
        <w:rPr>
          <w:spacing w:val="-34"/>
        </w:rPr>
        <w:t> </w:t>
      </w:r>
      <w:r>
        <w:rPr>
          <w:rFonts w:ascii="宋体" w:hAnsi="宋体" w:cs="宋体" w:eastAsia="宋体" w:hint="default"/>
        </w:rPr>
        <w:t>6.83%</w:t>
      </w:r>
      <w:r>
        <w:rPr/>
        <w:t>，报告期内实</w:t>
      </w:r>
      <w:r>
        <w:rPr>
          <w:w w:val="100"/>
        </w:rPr>
        <w:t> </w:t>
      </w:r>
      <w:r>
        <w:rPr/>
        <w:t>际出资</w:t>
      </w:r>
      <w:r>
        <w:rPr>
          <w:spacing w:val="-53"/>
        </w:rPr>
        <w:t> </w:t>
      </w:r>
      <w:r>
        <w:rPr>
          <w:rFonts w:ascii="宋体" w:hAnsi="宋体" w:cs="宋体" w:eastAsia="宋体" w:hint="default"/>
        </w:rPr>
        <w:t>750</w:t>
      </w:r>
      <w:r>
        <w:rPr>
          <w:rFonts w:ascii="宋体" w:hAnsi="宋体" w:cs="宋体" w:eastAsia="宋体" w:hint="default"/>
          <w:spacing w:val="-55"/>
        </w:rPr>
        <w:t> </w:t>
      </w:r>
      <w:r>
        <w:rPr/>
        <w:t>万元，自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月起将其作为联营公司权益法核算；</w:t>
      </w:r>
    </w:p>
    <w:p>
      <w:pPr>
        <w:spacing w:after="0" w:line="237" w:lineRule="auto"/>
        <w:jc w:val="both"/>
        <w:sectPr>
          <w:headerReference w:type="default" r:id="rId20"/>
          <w:pgSz w:w="11910" w:h="16840"/>
          <w:pgMar w:header="945" w:footer="1228" w:top="1300" w:bottom="1420" w:left="1660" w:right="1120"/>
        </w:sectPr>
      </w:pPr>
    </w:p>
    <w:p>
      <w:pPr>
        <w:spacing w:line="240" w:lineRule="auto" w:before="3"/>
        <w:rPr>
          <w:rFonts w:ascii="宋体" w:hAnsi="宋体" w:cs="宋体" w:eastAsia="宋体" w:hint="default"/>
          <w:sz w:val="11"/>
          <w:szCs w:val="11"/>
        </w:rPr>
      </w:pPr>
    </w:p>
    <w:p>
      <w:pPr>
        <w:pStyle w:val="BodyText"/>
        <w:spacing w:line="274" w:lineRule="exact" w:before="36"/>
        <w:ind w:left="118" w:right="0"/>
        <w:jc w:val="both"/>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月，本公司出资设立东软集团（襄阳）有限公司，注册资本</w:t>
      </w:r>
      <w:r>
        <w:rPr>
          <w:spacing w:val="-44"/>
        </w:rPr>
        <w:t> </w:t>
      </w:r>
      <w:r>
        <w:rPr>
          <w:rFonts w:ascii="宋体" w:hAnsi="宋体" w:cs="宋体" w:eastAsia="宋体" w:hint="default"/>
        </w:rPr>
        <w:t>2,000</w:t>
      </w:r>
      <w:r>
        <w:rPr>
          <w:rFonts w:ascii="宋体" w:hAnsi="宋体" w:cs="宋体" w:eastAsia="宋体" w:hint="default"/>
          <w:spacing w:val="-41"/>
        </w:rPr>
        <w:t> </w:t>
      </w:r>
      <w:r>
        <w:rPr/>
        <w:t>万元，持股比</w:t>
      </w:r>
    </w:p>
    <w:p>
      <w:pPr>
        <w:pStyle w:val="BodyText"/>
        <w:spacing w:line="272" w:lineRule="exact"/>
        <w:ind w:left="118" w:right="0"/>
        <w:jc w:val="both"/>
      </w:pPr>
      <w:r>
        <w:rPr/>
        <w:t>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2,000</w:t>
      </w:r>
      <w:r>
        <w:rPr>
          <w:rFonts w:ascii="宋体" w:hAnsi="宋体" w:cs="宋体" w:eastAsia="宋体" w:hint="default"/>
          <w:spacing w:val="-55"/>
        </w:rPr>
        <w:t> </w:t>
      </w:r>
      <w:r>
        <w:rPr/>
        <w:t>万元，自</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月起将其纳入合并财务报表范围；</w:t>
      </w:r>
    </w:p>
    <w:p>
      <w:pPr>
        <w:pStyle w:val="BodyText"/>
        <w:spacing w:line="272" w:lineRule="exact"/>
        <w:ind w:left="118" w:right="0"/>
        <w:jc w:val="both"/>
      </w:pPr>
      <w:r>
        <w:rPr/>
        <w:t>（</w:t>
      </w: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月，本公司对全资子公司东软科技有限公司增资</w:t>
      </w:r>
      <w:r>
        <w:rPr>
          <w:spacing w:val="-41"/>
        </w:rPr>
        <w:t> </w:t>
      </w:r>
      <w:r>
        <w:rPr>
          <w:rFonts w:ascii="宋体" w:hAnsi="宋体" w:cs="宋体" w:eastAsia="宋体" w:hint="default"/>
        </w:rPr>
        <w:t>700</w:t>
      </w:r>
      <w:r>
        <w:rPr>
          <w:rFonts w:ascii="宋体" w:hAnsi="宋体" w:cs="宋体" w:eastAsia="宋体" w:hint="default"/>
          <w:spacing w:val="-44"/>
        </w:rPr>
        <w:t> </w:t>
      </w:r>
      <w:r>
        <w:rPr/>
        <w:t>万美元，报告期内实际出资</w:t>
      </w:r>
    </w:p>
    <w:p>
      <w:pPr>
        <w:pStyle w:val="BodyText"/>
        <w:spacing w:line="272" w:lineRule="exact"/>
        <w:ind w:left="118" w:right="0"/>
        <w:jc w:val="both"/>
      </w:pPr>
      <w:r>
        <w:rPr>
          <w:rFonts w:ascii="宋体" w:hAnsi="宋体" w:cs="宋体" w:eastAsia="宋体" w:hint="default"/>
        </w:rPr>
        <w:t>700</w:t>
      </w:r>
      <w:r>
        <w:rPr>
          <w:rFonts w:ascii="宋体" w:hAnsi="宋体" w:cs="宋体" w:eastAsia="宋体" w:hint="default"/>
          <w:spacing w:val="-53"/>
        </w:rPr>
        <w:t> </w:t>
      </w:r>
      <w:r>
        <w:rPr/>
        <w:t>万美元；</w:t>
      </w:r>
    </w:p>
    <w:p>
      <w:pPr>
        <w:pStyle w:val="BodyText"/>
        <w:spacing w:line="240" w:lineRule="auto"/>
        <w:ind w:left="118" w:right="104"/>
        <w:jc w:val="left"/>
      </w:pPr>
      <w:r>
        <w:rPr/>
        <w:t>（</w:t>
      </w: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5</w:t>
      </w:r>
      <w:r>
        <w:rPr>
          <w:rFonts w:ascii="宋体" w:hAnsi="宋体" w:cs="宋体" w:eastAsia="宋体" w:hint="default"/>
          <w:spacing w:val="-34"/>
        </w:rPr>
        <w:t> </w:t>
      </w:r>
      <w:r>
        <w:rPr/>
        <w:t>月，本公司之控股子公司东软睿驰汽车技术（上海）有限公司对其全资子公司东</w:t>
      </w:r>
      <w:r>
        <w:rPr>
          <w:w w:val="100"/>
        </w:rPr>
        <w:t> </w:t>
      </w:r>
      <w:r>
        <w:rPr>
          <w:spacing w:val="-14"/>
          <w:w w:val="100"/>
        </w:rPr>
        <w:t>软睿驰汽车技术（沈阳）有限公司增资</w:t>
      </w:r>
      <w:r>
        <w:rPr>
          <w:spacing w:val="-58"/>
          <w:w w:val="100"/>
        </w:rPr>
        <w:t> </w:t>
      </w:r>
      <w:r>
        <w:rPr>
          <w:rFonts w:ascii="宋体" w:hAnsi="宋体" w:cs="宋体" w:eastAsia="宋体" w:hint="default"/>
          <w:spacing w:val="-1"/>
          <w:w w:val="100"/>
        </w:rPr>
        <w:t>15,000</w:t>
      </w:r>
      <w:r>
        <w:rPr>
          <w:rFonts w:ascii="宋体" w:hAnsi="宋体" w:cs="宋体" w:eastAsia="宋体" w:hint="default"/>
          <w:spacing w:val="-58"/>
          <w:w w:val="100"/>
        </w:rPr>
        <w:t> </w:t>
      </w:r>
      <w:r>
        <w:rPr>
          <w:spacing w:val="-12"/>
          <w:w w:val="100"/>
        </w:rPr>
        <w:t>万元，注册资本变更为</w:t>
      </w:r>
      <w:r>
        <w:rPr>
          <w:spacing w:val="-58"/>
          <w:w w:val="100"/>
        </w:rPr>
        <w:t> </w:t>
      </w:r>
      <w:r>
        <w:rPr>
          <w:rFonts w:ascii="宋体" w:hAnsi="宋体" w:cs="宋体" w:eastAsia="宋体" w:hint="default"/>
          <w:spacing w:val="-1"/>
          <w:w w:val="100"/>
        </w:rPr>
        <w:t>33,000</w:t>
      </w:r>
      <w:r>
        <w:rPr>
          <w:rFonts w:ascii="宋体" w:hAnsi="宋体" w:cs="宋体" w:eastAsia="宋体" w:hint="default"/>
          <w:spacing w:val="-58"/>
          <w:w w:val="100"/>
        </w:rPr>
        <w:t> </w:t>
      </w:r>
      <w:r>
        <w:rPr>
          <w:spacing w:val="-17"/>
          <w:w w:val="100"/>
        </w:rPr>
        <w:t>万元，持股比例</w:t>
      </w:r>
      <w:r>
        <w:rPr>
          <w:spacing w:val="-58"/>
          <w:w w:val="100"/>
        </w:rPr>
        <w:t> </w:t>
      </w:r>
      <w:r>
        <w:rPr>
          <w:rFonts w:ascii="宋体" w:hAnsi="宋体" w:cs="宋体" w:eastAsia="宋体" w:hint="default"/>
          <w:spacing w:val="-2"/>
          <w:w w:val="100"/>
        </w:rPr>
        <w:t>100%</w:t>
      </w:r>
      <w:r>
        <w:rPr>
          <w:spacing w:val="-2"/>
          <w:w w:val="100"/>
        </w:rPr>
        <w:t>，</w:t>
      </w:r>
    </w:p>
    <w:p>
      <w:pPr>
        <w:pStyle w:val="BodyText"/>
        <w:spacing w:line="271" w:lineRule="exact"/>
        <w:ind w:left="118" w:right="0"/>
        <w:jc w:val="both"/>
      </w:pPr>
      <w:r>
        <w:rPr/>
        <w:t>报告期内实际出资</w:t>
      </w:r>
      <w:r>
        <w:rPr>
          <w:spacing w:val="-53"/>
        </w:rPr>
        <w:t> </w:t>
      </w:r>
      <w:r>
        <w:rPr>
          <w:rFonts w:ascii="宋体" w:hAnsi="宋体" w:cs="宋体" w:eastAsia="宋体" w:hint="default"/>
        </w:rPr>
        <w:t>15,000</w:t>
      </w:r>
      <w:r>
        <w:rPr>
          <w:rFonts w:ascii="宋体" w:hAnsi="宋体" w:cs="宋体" w:eastAsia="宋体" w:hint="default"/>
          <w:spacing w:val="-55"/>
        </w:rPr>
        <w:t> </w:t>
      </w:r>
      <w:r>
        <w:rPr/>
        <w:t>万元；</w:t>
      </w:r>
    </w:p>
    <w:p>
      <w:pPr>
        <w:pStyle w:val="BodyText"/>
        <w:spacing w:line="272" w:lineRule="exact"/>
        <w:ind w:left="118" w:right="0"/>
        <w:jc w:val="both"/>
      </w:pPr>
      <w:r>
        <w:rPr/>
        <w:t>（</w:t>
      </w:r>
      <w:r>
        <w:rPr>
          <w:rFonts w:ascii="宋体" w:hAnsi="宋体" w:cs="宋体" w:eastAsia="宋体" w:hint="default"/>
        </w:rPr>
        <w:t>8</w:t>
      </w:r>
      <w:r>
        <w:rPr/>
        <w:t>）</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6</w:t>
      </w:r>
      <w:r>
        <w:rPr>
          <w:rFonts w:ascii="宋体" w:hAnsi="宋体" w:cs="宋体" w:eastAsia="宋体" w:hint="default"/>
          <w:spacing w:val="-42"/>
        </w:rPr>
        <w:t> </w:t>
      </w:r>
      <w:r>
        <w:rPr/>
        <w:t>月，本公司出资参股设立天津天任大数据科技有限公司，注册资本</w:t>
      </w:r>
      <w:r>
        <w:rPr>
          <w:spacing w:val="-41"/>
        </w:rPr>
        <w:t> </w:t>
      </w:r>
      <w:r>
        <w:rPr>
          <w:rFonts w:ascii="宋体" w:hAnsi="宋体" w:cs="宋体" w:eastAsia="宋体" w:hint="default"/>
        </w:rPr>
        <w:t>600</w:t>
      </w:r>
      <w:r>
        <w:rPr>
          <w:rFonts w:ascii="宋体" w:hAnsi="宋体" w:cs="宋体" w:eastAsia="宋体" w:hint="default"/>
          <w:spacing w:val="-42"/>
        </w:rPr>
        <w:t> </w:t>
      </w:r>
      <w:r>
        <w:rPr/>
        <w:t>万元，持</w:t>
      </w:r>
    </w:p>
    <w:p>
      <w:pPr>
        <w:pStyle w:val="BodyText"/>
        <w:spacing w:line="272" w:lineRule="exact"/>
        <w:ind w:left="118" w:right="0"/>
        <w:jc w:val="both"/>
      </w:pPr>
      <w:r>
        <w:rPr/>
        <w:t>股比例</w:t>
      </w:r>
      <w:r>
        <w:rPr>
          <w:spacing w:val="-54"/>
        </w:rPr>
        <w:t> </w:t>
      </w:r>
      <w:r>
        <w:rPr>
          <w:rFonts w:ascii="宋体" w:hAnsi="宋体" w:cs="宋体" w:eastAsia="宋体" w:hint="default"/>
        </w:rPr>
        <w:t>45%</w:t>
      </w:r>
      <w:r>
        <w:rPr/>
        <w:t>，报告期内实际出资</w:t>
      </w:r>
      <w:r>
        <w:rPr>
          <w:spacing w:val="-53"/>
        </w:rPr>
        <w:t> </w:t>
      </w:r>
      <w:r>
        <w:rPr>
          <w:rFonts w:ascii="宋体" w:hAnsi="宋体" w:cs="宋体" w:eastAsia="宋体" w:hint="default"/>
        </w:rPr>
        <w:t>270</w:t>
      </w:r>
      <w:r>
        <w:rPr>
          <w:rFonts w:ascii="宋体" w:hAnsi="宋体" w:cs="宋体" w:eastAsia="宋体" w:hint="default"/>
          <w:spacing w:val="-56"/>
        </w:rPr>
        <w:t> </w:t>
      </w:r>
      <w:r>
        <w:rPr/>
        <w:t>万元，自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月起将其作为联营公司权益法核算；</w:t>
      </w:r>
    </w:p>
    <w:p>
      <w:pPr>
        <w:pStyle w:val="BodyText"/>
        <w:spacing w:line="272" w:lineRule="exact" w:before="27"/>
        <w:ind w:left="118" w:right="0"/>
        <w:jc w:val="left"/>
      </w:pPr>
      <w:r>
        <w:rPr>
          <w:spacing w:val="-6"/>
        </w:rPr>
        <w:t>（</w:t>
      </w:r>
      <w:r>
        <w:rPr>
          <w:rFonts w:ascii="宋体" w:hAnsi="宋体" w:cs="宋体" w:eastAsia="宋体" w:hint="default"/>
          <w:spacing w:val="-6"/>
        </w:rPr>
        <w:t>9</w:t>
      </w:r>
      <w:r>
        <w:rPr>
          <w:spacing w:val="-6"/>
        </w:rPr>
        <w:t>）</w:t>
      </w:r>
      <w:r>
        <w:rPr>
          <w:rFonts w:ascii="宋体" w:hAnsi="宋体" w:cs="宋体" w:eastAsia="宋体" w:hint="default"/>
          <w:spacing w:val="-6"/>
        </w:rPr>
        <w:t>2017</w:t>
      </w:r>
      <w:r>
        <w:rPr>
          <w:rFonts w:ascii="宋体" w:hAnsi="宋体" w:cs="宋体" w:eastAsia="宋体" w:hint="default"/>
          <w:spacing w:val="-47"/>
        </w:rPr>
        <w:t> </w:t>
      </w:r>
      <w:r>
        <w:rPr/>
        <w:t>年</w:t>
      </w:r>
      <w:r>
        <w:rPr>
          <w:spacing w:val="-45"/>
        </w:rPr>
        <w:t> </w:t>
      </w:r>
      <w:r>
        <w:rPr>
          <w:rFonts w:ascii="宋体" w:hAnsi="宋体" w:cs="宋体" w:eastAsia="宋体" w:hint="default"/>
        </w:rPr>
        <w:t>6</w:t>
      </w:r>
      <w:r>
        <w:rPr>
          <w:rFonts w:ascii="宋体" w:hAnsi="宋体" w:cs="宋体" w:eastAsia="宋体" w:hint="default"/>
          <w:spacing w:val="-47"/>
        </w:rPr>
        <w:t> </w:t>
      </w:r>
      <w:r>
        <w:rPr>
          <w:spacing w:val="-3"/>
        </w:rPr>
        <w:t>月，本公司对全资子公司东软集团南京有限公司增资</w:t>
      </w:r>
      <w:r>
        <w:rPr>
          <w:spacing w:val="-44"/>
        </w:rPr>
        <w:t> </w:t>
      </w:r>
      <w:r>
        <w:rPr>
          <w:rFonts w:ascii="宋体" w:hAnsi="宋体" w:cs="宋体" w:eastAsia="宋体" w:hint="default"/>
        </w:rPr>
        <w:t>1,200</w:t>
      </w:r>
      <w:r>
        <w:rPr>
          <w:rFonts w:ascii="宋体" w:hAnsi="宋体" w:cs="宋体" w:eastAsia="宋体" w:hint="default"/>
          <w:spacing w:val="-45"/>
        </w:rPr>
        <w:t> </w:t>
      </w:r>
      <w:r>
        <w:rPr>
          <w:spacing w:val="-6"/>
        </w:rPr>
        <w:t>万元，注册资本</w:t>
      </w:r>
      <w:r>
        <w:rPr>
          <w:spacing w:val="-44"/>
        </w:rPr>
        <w:t> </w:t>
      </w:r>
      <w:r>
        <w:rPr>
          <w:rFonts w:ascii="宋体" w:hAnsi="宋体" w:cs="宋体" w:eastAsia="宋体" w:hint="default"/>
        </w:rPr>
        <w:t>2,400</w:t>
      </w:r>
      <w:r>
        <w:rPr>
          <w:rFonts w:ascii="宋体" w:hAnsi="宋体" w:cs="宋体" w:eastAsia="宋体" w:hint="default"/>
          <w:spacing w:val="-102"/>
        </w:rPr>
        <w:t> </w:t>
      </w:r>
      <w:r>
        <w:rPr>
          <w:rFonts w:ascii="宋体" w:hAnsi="宋体" w:cs="宋体" w:eastAsia="宋体" w:hint="default"/>
          <w:spacing w:val="-102"/>
        </w:rPr>
      </w:r>
      <w:r>
        <w:rPr/>
        <w:t>万元，持股比例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1,200</w:t>
      </w:r>
      <w:r>
        <w:rPr>
          <w:rFonts w:ascii="宋体" w:hAnsi="宋体" w:cs="宋体" w:eastAsia="宋体" w:hint="default"/>
          <w:spacing w:val="-55"/>
        </w:rPr>
        <w:t> </w:t>
      </w:r>
      <w:r>
        <w:rPr/>
        <w:t>万元；</w:t>
      </w:r>
    </w:p>
    <w:p>
      <w:pPr>
        <w:pStyle w:val="BodyText"/>
        <w:spacing w:line="272" w:lineRule="exact" w:before="1"/>
        <w:ind w:left="118" w:right="0"/>
        <w:jc w:val="left"/>
      </w:pPr>
      <w:r>
        <w:rPr>
          <w:spacing w:val="-3"/>
        </w:rPr>
        <w:t>（</w:t>
      </w:r>
      <w:r>
        <w:rPr>
          <w:rFonts w:ascii="宋体" w:hAnsi="宋体" w:cs="宋体" w:eastAsia="宋体" w:hint="default"/>
          <w:spacing w:val="-3"/>
        </w:rPr>
        <w:t>10</w:t>
      </w:r>
      <w:r>
        <w:rPr>
          <w:spacing w:val="-3"/>
        </w:rPr>
        <w:t>）</w:t>
      </w:r>
      <w:r>
        <w:rPr>
          <w:rFonts w:ascii="宋体" w:hAnsi="宋体" w:cs="宋体" w:eastAsia="宋体" w:hint="default"/>
          <w:spacing w:val="-3"/>
        </w:rPr>
        <w:t>2017</w:t>
      </w:r>
      <w:r>
        <w:rPr>
          <w:rFonts w:ascii="宋体" w:hAnsi="宋体" w:cs="宋体" w:eastAsia="宋体" w:hint="default"/>
          <w:spacing w:val="-54"/>
        </w:rPr>
        <w:t> </w:t>
      </w:r>
      <w:r>
        <w:rPr/>
        <w:t>年</w:t>
      </w:r>
      <w:r>
        <w:rPr>
          <w:spacing w:val="-52"/>
        </w:rPr>
        <w:t> </w:t>
      </w:r>
      <w:r>
        <w:rPr>
          <w:rFonts w:ascii="宋体" w:hAnsi="宋体" w:cs="宋体" w:eastAsia="宋体" w:hint="default"/>
        </w:rPr>
        <w:t>6</w:t>
      </w:r>
      <w:r>
        <w:rPr>
          <w:rFonts w:ascii="宋体" w:hAnsi="宋体" w:cs="宋体" w:eastAsia="宋体" w:hint="default"/>
          <w:spacing w:val="-54"/>
        </w:rPr>
        <w:t> </w:t>
      </w:r>
      <w:r>
        <w:rPr/>
        <w:t>月，本公司对全资子公司杭州东软软件有限公司增资</w:t>
      </w:r>
      <w:r>
        <w:rPr>
          <w:spacing w:val="-51"/>
        </w:rPr>
        <w:t> </w:t>
      </w:r>
      <w:r>
        <w:rPr>
          <w:rFonts w:ascii="宋体" w:hAnsi="宋体" w:cs="宋体" w:eastAsia="宋体" w:hint="default"/>
        </w:rPr>
        <w:t>800</w:t>
      </w:r>
      <w:r>
        <w:rPr>
          <w:rFonts w:ascii="宋体" w:hAnsi="宋体" w:cs="宋体" w:eastAsia="宋体" w:hint="default"/>
          <w:spacing w:val="-52"/>
        </w:rPr>
        <w:t> </w:t>
      </w:r>
      <w:r>
        <w:rPr>
          <w:spacing w:val="-4"/>
        </w:rPr>
        <w:t>万元，注册资本</w:t>
      </w:r>
      <w:r>
        <w:rPr>
          <w:spacing w:val="-51"/>
        </w:rPr>
        <w:t> </w:t>
      </w:r>
      <w:r>
        <w:rPr>
          <w:rFonts w:ascii="宋体" w:hAnsi="宋体" w:cs="宋体" w:eastAsia="宋体" w:hint="default"/>
        </w:rPr>
        <w:t>850</w:t>
      </w:r>
      <w:r>
        <w:rPr>
          <w:rFonts w:ascii="宋体" w:hAnsi="宋体" w:cs="宋体" w:eastAsia="宋体" w:hint="default"/>
          <w:spacing w:val="-54"/>
        </w:rPr>
        <w:t> </w:t>
      </w:r>
      <w:r>
        <w:rPr/>
        <w:t>万</w:t>
      </w:r>
      <w:r>
        <w:rPr>
          <w:w w:val="100"/>
        </w:rPr>
        <w:t> </w:t>
      </w:r>
      <w:r>
        <w:rPr/>
        <w:t>元，持股比例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800</w:t>
      </w:r>
      <w:r>
        <w:rPr>
          <w:rFonts w:ascii="宋体" w:hAnsi="宋体" w:cs="宋体" w:eastAsia="宋体" w:hint="default"/>
          <w:spacing w:val="-55"/>
        </w:rPr>
        <w:t> </w:t>
      </w:r>
      <w:r>
        <w:rPr/>
        <w:t>万元；</w:t>
      </w:r>
    </w:p>
    <w:p>
      <w:pPr>
        <w:pStyle w:val="BodyText"/>
        <w:spacing w:line="272" w:lineRule="exact" w:before="1"/>
        <w:ind w:left="118" w:right="106"/>
        <w:jc w:val="left"/>
        <w:rPr>
          <w:rFonts w:ascii="宋体" w:hAnsi="宋体" w:cs="宋体" w:eastAsia="宋体" w:hint="default"/>
        </w:rPr>
      </w:pPr>
      <w:r>
        <w:rPr>
          <w:spacing w:val="-3"/>
        </w:rPr>
        <w:t>（</w:t>
      </w:r>
      <w:r>
        <w:rPr>
          <w:rFonts w:ascii="宋体" w:hAnsi="宋体" w:cs="宋体" w:eastAsia="宋体" w:hint="default"/>
          <w:spacing w:val="-3"/>
        </w:rPr>
        <w:t>11</w:t>
      </w:r>
      <w:r>
        <w:rPr>
          <w:spacing w:val="-3"/>
        </w:rPr>
        <w:t>）</w:t>
      </w:r>
      <w:r>
        <w:rPr>
          <w:rFonts w:ascii="宋体" w:hAnsi="宋体" w:cs="宋体" w:eastAsia="宋体" w:hint="default"/>
          <w:spacing w:val="-3"/>
        </w:rPr>
        <w:t>2017</w:t>
      </w:r>
      <w:r>
        <w:rPr>
          <w:rFonts w:ascii="宋体" w:hAnsi="宋体" w:cs="宋体" w:eastAsia="宋体" w:hint="default"/>
          <w:spacing w:val="-30"/>
        </w:rPr>
        <w:t> </w:t>
      </w:r>
      <w:r>
        <w:rPr/>
        <w:t>年</w:t>
      </w:r>
      <w:r>
        <w:rPr>
          <w:spacing w:val="-33"/>
        </w:rPr>
        <w:t> </w:t>
      </w:r>
      <w:r>
        <w:rPr>
          <w:rFonts w:ascii="宋体" w:hAnsi="宋体" w:cs="宋体" w:eastAsia="宋体" w:hint="default"/>
        </w:rPr>
        <w:t>6</w:t>
      </w:r>
      <w:r>
        <w:rPr>
          <w:rFonts w:ascii="宋体" w:hAnsi="宋体" w:cs="宋体" w:eastAsia="宋体" w:hint="default"/>
          <w:spacing w:val="-30"/>
        </w:rPr>
        <w:t> </w:t>
      </w:r>
      <w:r>
        <w:rPr>
          <w:spacing w:val="-3"/>
        </w:rPr>
        <w:t>月，本公司之控股子公司东软睿驰汽车技术（沈阳）有限公司出资设立睿驰新能</w:t>
      </w:r>
      <w:r>
        <w:rPr>
          <w:spacing w:val="-95"/>
        </w:rPr>
        <w:t> </w:t>
      </w:r>
      <w:r>
        <w:rPr>
          <w:spacing w:val="-95"/>
        </w:rPr>
      </w:r>
      <w:r>
        <w:rPr>
          <w:spacing w:val="-8"/>
        </w:rPr>
        <w:t>源动力系统（武汉）有限公司，注册资本</w:t>
      </w:r>
      <w:r>
        <w:rPr>
          <w:spacing w:val="-42"/>
        </w:rPr>
        <w:t> </w:t>
      </w:r>
      <w:r>
        <w:rPr>
          <w:rFonts w:ascii="宋体" w:hAnsi="宋体" w:cs="宋体" w:eastAsia="宋体" w:hint="default"/>
        </w:rPr>
        <w:t>15,000</w:t>
      </w:r>
      <w:r>
        <w:rPr>
          <w:rFonts w:ascii="宋体" w:hAnsi="宋体" w:cs="宋体" w:eastAsia="宋体" w:hint="default"/>
          <w:spacing w:val="-42"/>
        </w:rPr>
        <w:t> </w:t>
      </w:r>
      <w:r>
        <w:rPr>
          <w:spacing w:val="-7"/>
        </w:rPr>
        <w:t>万元，持股比例</w:t>
      </w:r>
      <w:r>
        <w:rPr>
          <w:spacing w:val="-38"/>
        </w:rPr>
        <w:t> </w:t>
      </w:r>
      <w:r>
        <w:rPr>
          <w:rFonts w:ascii="宋体" w:hAnsi="宋体" w:cs="宋体" w:eastAsia="宋体" w:hint="default"/>
          <w:spacing w:val="-5"/>
        </w:rPr>
        <w:t>100%</w:t>
      </w:r>
      <w:r>
        <w:rPr>
          <w:spacing w:val="-5"/>
        </w:rPr>
        <w:t>，报告期内实际出资</w:t>
      </w:r>
      <w:r>
        <w:rPr>
          <w:spacing w:val="-38"/>
        </w:rPr>
        <w:t> </w:t>
      </w:r>
      <w:r>
        <w:rPr>
          <w:rFonts w:ascii="宋体" w:hAnsi="宋体" w:cs="宋体" w:eastAsia="宋体" w:hint="default"/>
        </w:rPr>
        <w:t>15,000</w:t>
      </w:r>
    </w:p>
    <w:p>
      <w:pPr>
        <w:pStyle w:val="BodyText"/>
        <w:spacing w:line="247" w:lineRule="exact"/>
        <w:ind w:left="118" w:right="0"/>
        <w:jc w:val="both"/>
      </w:pPr>
      <w:r>
        <w:rPr/>
        <w:t>万元，自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月将其纳入合并财务报表范围；</w:t>
      </w:r>
    </w:p>
    <w:p>
      <w:pPr>
        <w:pStyle w:val="BodyText"/>
        <w:spacing w:line="272" w:lineRule="exact"/>
        <w:ind w:left="118" w:right="0"/>
        <w:jc w:val="both"/>
      </w:pPr>
      <w:r>
        <w:rPr/>
        <w:t>（</w:t>
      </w:r>
      <w:r>
        <w:rPr>
          <w:rFonts w:ascii="宋体" w:hAnsi="宋体" w:cs="宋体" w:eastAsia="宋体" w:hint="default"/>
        </w:rPr>
        <w:t>12</w:t>
      </w:r>
      <w:r>
        <w:rPr/>
        <w:t>）</w:t>
      </w:r>
      <w:r>
        <w:rPr>
          <w:rFonts w:ascii="宋体" w:hAnsi="宋体" w:cs="宋体" w:eastAsia="宋体" w:hint="default"/>
        </w:rPr>
        <w:t>2017</w:t>
      </w:r>
      <w:r>
        <w:rPr>
          <w:rFonts w:ascii="宋体" w:hAnsi="宋体" w:cs="宋体" w:eastAsia="宋体" w:hint="default"/>
          <w:spacing w:val="-40"/>
        </w:rPr>
        <w:t> </w:t>
      </w:r>
      <w:r>
        <w:rPr/>
        <w:t>年</w:t>
      </w:r>
      <w:r>
        <w:rPr>
          <w:spacing w:val="-40"/>
        </w:rPr>
        <w:t> </w:t>
      </w:r>
      <w:r>
        <w:rPr>
          <w:rFonts w:ascii="宋体" w:hAnsi="宋体" w:cs="宋体" w:eastAsia="宋体" w:hint="default"/>
        </w:rPr>
        <w:t>6</w:t>
      </w:r>
      <w:r>
        <w:rPr>
          <w:rFonts w:ascii="宋体" w:hAnsi="宋体" w:cs="宋体" w:eastAsia="宋体" w:hint="default"/>
          <w:spacing w:val="-42"/>
        </w:rPr>
        <w:t> </w:t>
      </w:r>
      <w:r>
        <w:rPr/>
        <w:t>月，本公司对控股子公司东软医疗产业园发展有限公司增资</w:t>
      </w:r>
      <w:r>
        <w:rPr>
          <w:spacing w:val="-41"/>
        </w:rPr>
        <w:t> </w:t>
      </w:r>
      <w:r>
        <w:rPr>
          <w:rFonts w:ascii="宋体" w:hAnsi="宋体" w:cs="宋体" w:eastAsia="宋体" w:hint="default"/>
        </w:rPr>
        <w:t>10,000</w:t>
      </w:r>
      <w:r>
        <w:rPr>
          <w:rFonts w:ascii="宋体" w:hAnsi="宋体" w:cs="宋体" w:eastAsia="宋体" w:hint="default"/>
          <w:spacing w:val="-42"/>
        </w:rPr>
        <w:t> </w:t>
      </w:r>
      <w:r>
        <w:rPr/>
        <w:t>万元，注册</w:t>
      </w:r>
    </w:p>
    <w:p>
      <w:pPr>
        <w:pStyle w:val="BodyText"/>
        <w:spacing w:line="272" w:lineRule="exact"/>
        <w:ind w:left="118" w:right="0"/>
        <w:jc w:val="both"/>
      </w:pPr>
      <w:r>
        <w:rPr/>
        <w:t>资本变更为</w:t>
      </w:r>
      <w:r>
        <w:rPr>
          <w:spacing w:val="-52"/>
        </w:rPr>
        <w:t> </w:t>
      </w:r>
      <w:r>
        <w:rPr>
          <w:rFonts w:ascii="宋体" w:hAnsi="宋体" w:cs="宋体" w:eastAsia="宋体" w:hint="default"/>
        </w:rPr>
        <w:t>20,100</w:t>
      </w:r>
      <w:r>
        <w:rPr>
          <w:rFonts w:ascii="宋体" w:hAnsi="宋体" w:cs="宋体" w:eastAsia="宋体" w:hint="default"/>
          <w:spacing w:val="-51"/>
        </w:rPr>
        <w:t> </w:t>
      </w:r>
      <w:r>
        <w:rPr/>
        <w:t>万元，持股比例</w:t>
      </w:r>
      <w:r>
        <w:rPr>
          <w:spacing w:val="-53"/>
        </w:rPr>
        <w:t> </w:t>
      </w:r>
      <w:r>
        <w:rPr>
          <w:rFonts w:ascii="宋体" w:hAnsi="宋体" w:cs="宋体" w:eastAsia="宋体" w:hint="default"/>
        </w:rPr>
        <w:t>74.63%</w:t>
      </w:r>
      <w:r>
        <w:rPr/>
        <w:t>；</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月，本公司对其继续出资</w:t>
      </w:r>
      <w:r>
        <w:rPr>
          <w:spacing w:val="-53"/>
        </w:rPr>
        <w:t> </w:t>
      </w:r>
      <w:r>
        <w:rPr>
          <w:rFonts w:ascii="宋体" w:hAnsi="宋体" w:cs="宋体" w:eastAsia="宋体" w:hint="default"/>
        </w:rPr>
        <w:t>10,000</w:t>
      </w:r>
      <w:r>
        <w:rPr>
          <w:rFonts w:ascii="宋体" w:hAnsi="宋体" w:cs="宋体" w:eastAsia="宋体" w:hint="default"/>
          <w:spacing w:val="-54"/>
        </w:rPr>
        <w:t> </w:t>
      </w:r>
      <w:r>
        <w:rPr/>
        <w:t>万元，</w:t>
      </w:r>
    </w:p>
    <w:p>
      <w:pPr>
        <w:pStyle w:val="BodyText"/>
        <w:spacing w:line="271" w:lineRule="exact"/>
        <w:ind w:left="118" w:right="0"/>
        <w:jc w:val="both"/>
      </w:pPr>
      <w:r>
        <w:rPr/>
        <w:t>报告期内累计出资</w:t>
      </w:r>
      <w:r>
        <w:rPr>
          <w:spacing w:val="-53"/>
        </w:rPr>
        <w:t> </w:t>
      </w:r>
      <w:r>
        <w:rPr>
          <w:rFonts w:ascii="宋体" w:hAnsi="宋体" w:cs="宋体" w:eastAsia="宋体" w:hint="default"/>
        </w:rPr>
        <w:t>10,000</w:t>
      </w:r>
      <w:r>
        <w:rPr>
          <w:rFonts w:ascii="宋体" w:hAnsi="宋体" w:cs="宋体" w:eastAsia="宋体" w:hint="default"/>
          <w:spacing w:val="-55"/>
        </w:rPr>
        <w:t> </w:t>
      </w:r>
      <w:r>
        <w:rPr/>
        <w:t>万元；</w:t>
      </w:r>
    </w:p>
    <w:p>
      <w:pPr>
        <w:pStyle w:val="BodyText"/>
        <w:spacing w:line="237" w:lineRule="auto"/>
        <w:ind w:left="118" w:right="107"/>
        <w:jc w:val="both"/>
      </w:pPr>
      <w:r>
        <w:rPr>
          <w:spacing w:val="-3"/>
        </w:rPr>
        <w:t>（</w:t>
      </w:r>
      <w:r>
        <w:rPr>
          <w:rFonts w:ascii="宋体" w:hAnsi="宋体" w:cs="宋体" w:eastAsia="宋体" w:hint="default"/>
          <w:spacing w:val="-3"/>
        </w:rPr>
        <w:t>13</w:t>
      </w:r>
      <w:r>
        <w:rPr>
          <w:spacing w:val="-3"/>
        </w:rPr>
        <w:t>）</w:t>
      </w:r>
      <w:r>
        <w:rPr>
          <w:rFonts w:ascii="宋体" w:hAnsi="宋体" w:cs="宋体" w:eastAsia="宋体" w:hint="default"/>
          <w:spacing w:val="-3"/>
        </w:rPr>
        <w:t>2017</w:t>
      </w:r>
      <w:r>
        <w:rPr>
          <w:rFonts w:ascii="宋体" w:hAnsi="宋体" w:cs="宋体" w:eastAsia="宋体" w:hint="default"/>
          <w:spacing w:val="-30"/>
        </w:rPr>
        <w:t> </w:t>
      </w:r>
      <w:r>
        <w:rPr/>
        <w:t>年</w:t>
      </w:r>
      <w:r>
        <w:rPr>
          <w:spacing w:val="-33"/>
        </w:rPr>
        <w:t> </w:t>
      </w:r>
      <w:r>
        <w:rPr>
          <w:rFonts w:ascii="宋体" w:hAnsi="宋体" w:cs="宋体" w:eastAsia="宋体" w:hint="default"/>
        </w:rPr>
        <w:t>6</w:t>
      </w:r>
      <w:r>
        <w:rPr>
          <w:rFonts w:ascii="宋体" w:hAnsi="宋体" w:cs="宋体" w:eastAsia="宋体" w:hint="default"/>
          <w:spacing w:val="-30"/>
        </w:rPr>
        <w:t> </w:t>
      </w:r>
      <w:r>
        <w:rPr>
          <w:spacing w:val="-3"/>
        </w:rPr>
        <w:t>月，本公司之全资子公司东软集团（上海）有限公司对其全资子公司合肥东软信</w:t>
      </w:r>
      <w:r>
        <w:rPr>
          <w:spacing w:val="-95"/>
        </w:rPr>
        <w:t> </w:t>
      </w:r>
      <w:r>
        <w:rPr>
          <w:spacing w:val="-95"/>
        </w:rPr>
      </w:r>
      <w:r>
        <w:rPr/>
        <w:t>息技术有限公司增资</w:t>
      </w:r>
      <w:r>
        <w:rPr>
          <w:spacing w:val="-46"/>
        </w:rPr>
        <w:t> </w:t>
      </w:r>
      <w:r>
        <w:rPr>
          <w:rFonts w:ascii="宋体" w:hAnsi="宋体" w:cs="宋体" w:eastAsia="宋体" w:hint="default"/>
        </w:rPr>
        <w:t>500</w:t>
      </w:r>
      <w:r>
        <w:rPr>
          <w:rFonts w:ascii="宋体" w:hAnsi="宋体" w:cs="宋体" w:eastAsia="宋体" w:hint="default"/>
          <w:spacing w:val="-47"/>
        </w:rPr>
        <w:t> </w:t>
      </w:r>
      <w:r>
        <w:rPr>
          <w:spacing w:val="-8"/>
        </w:rPr>
        <w:t>万元，注册资本变更为</w:t>
      </w:r>
      <w:r>
        <w:rPr>
          <w:spacing w:val="-48"/>
        </w:rPr>
        <w:t> </w:t>
      </w:r>
      <w:r>
        <w:rPr>
          <w:rFonts w:ascii="宋体" w:hAnsi="宋体" w:cs="宋体" w:eastAsia="宋体" w:hint="default"/>
        </w:rPr>
        <w:t>550</w:t>
      </w:r>
      <w:r>
        <w:rPr>
          <w:rFonts w:ascii="宋体" w:hAnsi="宋体" w:cs="宋体" w:eastAsia="宋体" w:hint="default"/>
          <w:spacing w:val="-48"/>
        </w:rPr>
        <w:t> </w:t>
      </w:r>
      <w:r>
        <w:rPr>
          <w:spacing w:val="-11"/>
        </w:rPr>
        <w:t>万元，持股比例</w:t>
      </w:r>
      <w:r>
        <w:rPr>
          <w:spacing w:val="-46"/>
        </w:rPr>
        <w:t> </w:t>
      </w:r>
      <w:r>
        <w:rPr>
          <w:rFonts w:ascii="宋体" w:hAnsi="宋体" w:cs="宋体" w:eastAsia="宋体" w:hint="default"/>
          <w:spacing w:val="-7"/>
        </w:rPr>
        <w:t>100%</w:t>
      </w:r>
      <w:r>
        <w:rPr>
          <w:spacing w:val="-7"/>
        </w:rPr>
        <w:t>，报告期内实际出资</w:t>
      </w:r>
      <w:r>
        <w:rPr>
          <w:spacing w:val="-45"/>
        </w:rPr>
        <w:t> </w:t>
      </w:r>
      <w:r>
        <w:rPr>
          <w:rFonts w:ascii="宋体" w:hAnsi="宋体" w:cs="宋体" w:eastAsia="宋体" w:hint="default"/>
        </w:rPr>
        <w:t>500</w:t>
      </w:r>
      <w:r>
        <w:rPr>
          <w:rFonts w:ascii="宋体" w:hAnsi="宋体" w:cs="宋体" w:eastAsia="宋体" w:hint="default"/>
          <w:spacing w:val="-102"/>
        </w:rPr>
        <w:t> </w:t>
      </w:r>
      <w:r>
        <w:rPr>
          <w:rFonts w:ascii="宋体" w:hAnsi="宋体" w:cs="宋体" w:eastAsia="宋体" w:hint="default"/>
          <w:spacing w:val="-102"/>
        </w:rPr>
      </w:r>
      <w:r>
        <w:rPr/>
        <w:t>万元；</w:t>
      </w:r>
    </w:p>
    <w:p>
      <w:pPr>
        <w:pStyle w:val="BodyText"/>
        <w:spacing w:line="272" w:lineRule="exact"/>
        <w:ind w:left="118" w:right="0"/>
        <w:jc w:val="both"/>
      </w:pPr>
      <w:r>
        <w:rPr/>
        <w:t>（</w:t>
      </w:r>
      <w:r>
        <w:rPr>
          <w:rFonts w:ascii="宋体" w:hAnsi="宋体" w:cs="宋体" w:eastAsia="宋体" w:hint="default"/>
        </w:rPr>
        <w:t>14</w:t>
      </w:r>
      <w:r>
        <w:rPr/>
        <w:t>）</w:t>
      </w: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3"/>
        </w:rPr>
        <w:t> </w:t>
      </w:r>
      <w:r>
        <w:rPr/>
        <w:t>月，本公司出资设立沈阳智医科技有限公司，注册资本</w:t>
      </w:r>
      <w:r>
        <w:rPr>
          <w:spacing w:val="-41"/>
        </w:rPr>
        <w:t> </w:t>
      </w:r>
      <w:r>
        <w:rPr>
          <w:rFonts w:ascii="宋体" w:hAnsi="宋体" w:cs="宋体" w:eastAsia="宋体" w:hint="default"/>
        </w:rPr>
        <w:t>15,350</w:t>
      </w:r>
      <w:r>
        <w:rPr>
          <w:rFonts w:ascii="宋体" w:hAnsi="宋体" w:cs="宋体" w:eastAsia="宋体" w:hint="default"/>
          <w:spacing w:val="-40"/>
        </w:rPr>
        <w:t> </w:t>
      </w:r>
      <w:r>
        <w:rPr/>
        <w:t>万元，持股比例</w:t>
      </w:r>
    </w:p>
    <w:p>
      <w:pPr>
        <w:pStyle w:val="BodyText"/>
        <w:spacing w:line="273" w:lineRule="exact"/>
        <w:ind w:left="118" w:right="0"/>
        <w:jc w:val="both"/>
      </w:pPr>
      <w:r>
        <w:rPr>
          <w:rFonts w:ascii="宋体" w:hAnsi="宋体" w:cs="宋体" w:eastAsia="宋体" w:hint="default"/>
        </w:rPr>
        <w:t>100%</w:t>
      </w:r>
      <w:r>
        <w:rPr/>
        <w:t>，报告期内实际出资</w:t>
      </w:r>
      <w:r>
        <w:rPr>
          <w:spacing w:val="-56"/>
        </w:rPr>
        <w:t> </w:t>
      </w:r>
      <w:r>
        <w:rPr>
          <w:rFonts w:ascii="宋体" w:hAnsi="宋体" w:cs="宋体" w:eastAsia="宋体" w:hint="default"/>
        </w:rPr>
        <w:t>100</w:t>
      </w:r>
      <w:r>
        <w:rPr>
          <w:rFonts w:ascii="宋体" w:hAnsi="宋体" w:cs="宋体" w:eastAsia="宋体" w:hint="default"/>
          <w:spacing w:val="-54"/>
        </w:rPr>
        <w:t> </w:t>
      </w:r>
      <w:r>
        <w:rPr/>
        <w:t>万元，自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月起将其纳入合并财务报表范围；</w:t>
      </w:r>
    </w:p>
    <w:p>
      <w:pPr>
        <w:pStyle w:val="BodyText"/>
        <w:spacing w:line="237" w:lineRule="auto" w:before="2"/>
        <w:ind w:left="118" w:right="107"/>
        <w:jc w:val="both"/>
      </w:pPr>
      <w:r>
        <w:rPr/>
        <w:t>（</w:t>
      </w:r>
      <w:r>
        <w:rPr>
          <w:rFonts w:ascii="宋体" w:hAnsi="宋体" w:cs="宋体" w:eastAsia="宋体" w:hint="default"/>
        </w:rPr>
        <w:t>15</w:t>
      </w:r>
      <w:r>
        <w:rPr/>
        <w:t>）</w:t>
      </w:r>
      <w:r>
        <w:rPr>
          <w:rFonts w:ascii="宋体" w:hAnsi="宋体" w:cs="宋体" w:eastAsia="宋体" w:hint="default"/>
        </w:rPr>
        <w:t>2017</w:t>
      </w:r>
      <w:r>
        <w:rPr>
          <w:rFonts w:ascii="宋体" w:hAnsi="宋体" w:cs="宋体" w:eastAsia="宋体" w:hint="default"/>
          <w:spacing w:val="-37"/>
        </w:rPr>
        <w:t> </w:t>
      </w:r>
      <w:r>
        <w:rPr/>
        <w:t>年</w:t>
      </w:r>
      <w:r>
        <w:rPr>
          <w:spacing w:val="-39"/>
        </w:rPr>
        <w:t> </w:t>
      </w:r>
      <w:r>
        <w:rPr>
          <w:rFonts w:ascii="宋体" w:hAnsi="宋体" w:cs="宋体" w:eastAsia="宋体" w:hint="default"/>
        </w:rPr>
        <w:t>7</w:t>
      </w:r>
      <w:r>
        <w:rPr>
          <w:rFonts w:ascii="宋体" w:hAnsi="宋体" w:cs="宋体" w:eastAsia="宋体" w:hint="default"/>
          <w:spacing w:val="-37"/>
        </w:rPr>
        <w:t> </w:t>
      </w:r>
      <w:r>
        <w:rPr>
          <w:spacing w:val="-3"/>
        </w:rPr>
        <w:t>月，本公司参与设立融盛财产保险股份有限公司（以下简称“融盛财险”），注</w:t>
      </w:r>
      <w:r>
        <w:rPr>
          <w:spacing w:val="-98"/>
        </w:rPr>
        <w:t> </w:t>
      </w:r>
      <w:r>
        <w:rPr>
          <w:spacing w:val="-98"/>
        </w:rPr>
      </w:r>
      <w:r>
        <w:rPr/>
        <w:t>册资本</w:t>
      </w:r>
      <w:r>
        <w:rPr>
          <w:spacing w:val="-43"/>
        </w:rPr>
        <w:t> </w:t>
      </w:r>
      <w:r>
        <w:rPr>
          <w:rFonts w:ascii="宋体" w:hAnsi="宋体" w:cs="宋体" w:eastAsia="宋体" w:hint="default"/>
        </w:rPr>
        <w:t>100,000</w:t>
      </w:r>
      <w:r>
        <w:rPr>
          <w:rFonts w:ascii="宋体" w:hAnsi="宋体" w:cs="宋体" w:eastAsia="宋体" w:hint="default"/>
          <w:spacing w:val="-46"/>
        </w:rPr>
        <w:t> </w:t>
      </w:r>
      <w:r>
        <w:rPr>
          <w:spacing w:val="-3"/>
        </w:rPr>
        <w:t>万元，报告期内实际出资</w:t>
      </w:r>
      <w:r>
        <w:rPr>
          <w:spacing w:val="-43"/>
        </w:rPr>
        <w:t> </w:t>
      </w:r>
      <w:r>
        <w:rPr>
          <w:rFonts w:ascii="宋体" w:hAnsi="宋体" w:cs="宋体" w:eastAsia="宋体" w:hint="default"/>
        </w:rPr>
        <w:t>20,000</w:t>
      </w:r>
      <w:r>
        <w:rPr>
          <w:rFonts w:ascii="宋体" w:hAnsi="宋体" w:cs="宋体" w:eastAsia="宋体" w:hint="default"/>
          <w:spacing w:val="-46"/>
        </w:rPr>
        <w:t> </w:t>
      </w:r>
      <w:r>
        <w:rPr>
          <w:spacing w:val="-3"/>
        </w:rPr>
        <w:t>万元，占融盛财险总股本的</w:t>
      </w:r>
      <w:r>
        <w:rPr>
          <w:spacing w:val="-43"/>
        </w:rPr>
        <w:t> </w:t>
      </w:r>
      <w:r>
        <w:rPr>
          <w:rFonts w:ascii="宋体" w:hAnsi="宋体" w:cs="宋体" w:eastAsia="宋体" w:hint="default"/>
          <w:spacing w:val="-3"/>
        </w:rPr>
        <w:t>20%</w:t>
      </w:r>
      <w:r>
        <w:rPr>
          <w:spacing w:val="-3"/>
        </w:rPr>
        <w:t>，因相关手续尚</w:t>
      </w:r>
      <w:r>
        <w:rPr>
          <w:spacing w:val="-101"/>
        </w:rPr>
        <w:t> </w:t>
      </w:r>
      <w:r>
        <w:rPr>
          <w:spacing w:val="-101"/>
        </w:rPr>
      </w:r>
      <w:r>
        <w:rPr/>
        <w:t>未办理完毕在其他非流动资产中核算；</w:t>
      </w:r>
    </w:p>
    <w:p>
      <w:pPr>
        <w:pStyle w:val="BodyText"/>
        <w:spacing w:line="274" w:lineRule="exact" w:before="22"/>
        <w:ind w:left="118" w:right="105"/>
        <w:jc w:val="left"/>
        <w:rPr>
          <w:rFonts w:ascii="宋体" w:hAnsi="宋体" w:cs="宋体" w:eastAsia="宋体" w:hint="default"/>
        </w:rPr>
      </w:pPr>
      <w:r>
        <w:rPr>
          <w:spacing w:val="-4"/>
        </w:rPr>
        <w:t>（</w:t>
      </w:r>
      <w:r>
        <w:rPr>
          <w:rFonts w:ascii="宋体" w:hAnsi="宋体" w:cs="宋体" w:eastAsia="宋体" w:hint="default"/>
          <w:spacing w:val="-4"/>
        </w:rPr>
        <w:t>16</w:t>
      </w:r>
      <w:r>
        <w:rPr>
          <w:spacing w:val="-4"/>
        </w:rPr>
        <w:t>）</w:t>
      </w:r>
      <w:r>
        <w:rPr>
          <w:rFonts w:ascii="宋体" w:hAnsi="宋体" w:cs="宋体" w:eastAsia="宋体" w:hint="default"/>
          <w:spacing w:val="-4"/>
        </w:rPr>
        <w:t>2017</w:t>
      </w:r>
      <w:r>
        <w:rPr>
          <w:rFonts w:ascii="宋体" w:hAnsi="宋体" w:cs="宋体" w:eastAsia="宋体" w:hint="default"/>
          <w:spacing w:val="-58"/>
        </w:rPr>
        <w:t> </w:t>
      </w:r>
      <w:r>
        <w:rPr/>
        <w:t>年</w:t>
      </w:r>
      <w:r>
        <w:rPr>
          <w:spacing w:val="-60"/>
        </w:rPr>
        <w:t> </w:t>
      </w:r>
      <w:r>
        <w:rPr>
          <w:rFonts w:ascii="宋体" w:hAnsi="宋体" w:cs="宋体" w:eastAsia="宋体" w:hint="default"/>
        </w:rPr>
        <w:t>8</w:t>
      </w:r>
      <w:r>
        <w:rPr>
          <w:rFonts w:ascii="宋体" w:hAnsi="宋体" w:cs="宋体" w:eastAsia="宋体" w:hint="default"/>
          <w:spacing w:val="-58"/>
        </w:rPr>
        <w:t> </w:t>
      </w:r>
      <w:r>
        <w:rPr/>
        <w:t>月，本公司之控股子公司东软医疗产业园发展有限公司出资设立沈阳东软久和医</w:t>
      </w:r>
      <w:r>
        <w:rPr>
          <w:w w:val="100"/>
        </w:rPr>
        <w:t> </w:t>
      </w:r>
      <w:r>
        <w:rPr/>
        <w:t>疗企业管理有限公司，注册资本</w:t>
      </w:r>
      <w:r>
        <w:rPr>
          <w:spacing w:val="-52"/>
        </w:rPr>
        <w:t> </w:t>
      </w:r>
      <w:r>
        <w:rPr>
          <w:rFonts w:ascii="宋体" w:hAnsi="宋体" w:cs="宋体" w:eastAsia="宋体" w:hint="default"/>
        </w:rPr>
        <w:t>500</w:t>
      </w:r>
      <w:r>
        <w:rPr>
          <w:rFonts w:ascii="宋体" w:hAnsi="宋体" w:cs="宋体" w:eastAsia="宋体" w:hint="default"/>
          <w:spacing w:val="-52"/>
        </w:rPr>
        <w:t> </w:t>
      </w:r>
      <w:r>
        <w:rPr/>
        <w:t>万元，持股比例</w:t>
      </w:r>
      <w:r>
        <w:rPr>
          <w:spacing w:val="-52"/>
        </w:rPr>
        <w:t> </w:t>
      </w:r>
      <w:r>
        <w:rPr>
          <w:rFonts w:ascii="宋体" w:hAnsi="宋体" w:cs="宋体" w:eastAsia="宋体" w:hint="default"/>
        </w:rPr>
        <w:t>60%</w:t>
      </w:r>
      <w:r>
        <w:rPr/>
        <w:t>，报告期内实际出资</w:t>
      </w:r>
      <w:r>
        <w:rPr>
          <w:spacing w:val="-52"/>
        </w:rPr>
        <w:t> </w:t>
      </w:r>
      <w:r>
        <w:rPr>
          <w:rFonts w:ascii="宋体" w:hAnsi="宋体" w:cs="宋体" w:eastAsia="宋体" w:hint="default"/>
        </w:rPr>
        <w:t>300</w:t>
      </w:r>
      <w:r>
        <w:rPr>
          <w:rFonts w:ascii="宋体" w:hAnsi="宋体" w:cs="宋体" w:eastAsia="宋体" w:hint="default"/>
          <w:spacing w:val="-52"/>
        </w:rPr>
        <w:t> </w:t>
      </w:r>
      <w:r>
        <w:rPr/>
        <w:t>万元，自</w:t>
      </w:r>
      <w:r>
        <w:rPr>
          <w:spacing w:val="-52"/>
        </w:rPr>
        <w:t> </w:t>
      </w:r>
      <w:r>
        <w:rPr>
          <w:rFonts w:ascii="宋体" w:hAnsi="宋体" w:cs="宋体" w:eastAsia="宋体" w:hint="default"/>
        </w:rPr>
        <w:t>2017</w:t>
      </w:r>
    </w:p>
    <w:p>
      <w:pPr>
        <w:pStyle w:val="BodyText"/>
        <w:spacing w:line="245" w:lineRule="exact"/>
        <w:ind w:left="118" w:right="0"/>
        <w:jc w:val="both"/>
      </w:pPr>
      <w:r>
        <w:rPr/>
        <w:t>年</w:t>
      </w:r>
      <w:r>
        <w:rPr>
          <w:spacing w:val="-54"/>
        </w:rPr>
        <w:t> </w:t>
      </w:r>
      <w:r>
        <w:rPr>
          <w:rFonts w:ascii="宋体" w:hAnsi="宋体" w:cs="宋体" w:eastAsia="宋体" w:hint="default"/>
        </w:rPr>
        <w:t>8</w:t>
      </w:r>
      <w:r>
        <w:rPr>
          <w:rFonts w:ascii="宋体" w:hAnsi="宋体" w:cs="宋体" w:eastAsia="宋体" w:hint="default"/>
          <w:spacing w:val="-54"/>
        </w:rPr>
        <w:t> </w:t>
      </w:r>
      <w:r>
        <w:rPr/>
        <w:t>月起将其纳入合并财务报表范围；</w:t>
      </w:r>
    </w:p>
    <w:p>
      <w:pPr>
        <w:pStyle w:val="BodyText"/>
        <w:spacing w:line="272" w:lineRule="exact"/>
        <w:ind w:left="118" w:right="0"/>
        <w:jc w:val="both"/>
      </w:pPr>
      <w:r>
        <w:rPr/>
        <w:t>（</w:t>
      </w:r>
      <w:r>
        <w:rPr>
          <w:rFonts w:ascii="宋体" w:hAnsi="宋体" w:cs="宋体" w:eastAsia="宋体" w:hint="default"/>
        </w:rPr>
        <w:t>17</w:t>
      </w:r>
      <w:r>
        <w:rPr/>
        <w:t>）</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10</w:t>
      </w:r>
      <w:r>
        <w:rPr>
          <w:rFonts w:ascii="宋体" w:hAnsi="宋体" w:cs="宋体" w:eastAsia="宋体" w:hint="default"/>
          <w:spacing w:val="-41"/>
        </w:rPr>
        <w:t> </w:t>
      </w:r>
      <w:r>
        <w:rPr/>
        <w:t>月，本公司出资设立大连东软共创科技有限公司，注册资本</w:t>
      </w:r>
      <w:r>
        <w:rPr>
          <w:spacing w:val="-40"/>
        </w:rPr>
        <w:t> </w:t>
      </w:r>
      <w:r>
        <w:rPr>
          <w:rFonts w:ascii="宋体" w:hAnsi="宋体" w:cs="宋体" w:eastAsia="宋体" w:hint="default"/>
        </w:rPr>
        <w:t>5,520</w:t>
      </w:r>
      <w:r>
        <w:rPr>
          <w:rFonts w:ascii="宋体" w:hAnsi="宋体" w:cs="宋体" w:eastAsia="宋体" w:hint="default"/>
          <w:spacing w:val="-43"/>
        </w:rPr>
        <w:t> </w:t>
      </w:r>
      <w:r>
        <w:rPr/>
        <w:t>万元，持股</w:t>
      </w:r>
    </w:p>
    <w:p>
      <w:pPr>
        <w:pStyle w:val="BodyText"/>
        <w:spacing w:line="272" w:lineRule="exact"/>
        <w:ind w:left="118" w:right="0"/>
        <w:jc w:val="both"/>
      </w:pPr>
      <w:r>
        <w:rPr/>
        <w:t>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5,520</w:t>
      </w:r>
      <w:r>
        <w:rPr>
          <w:rFonts w:ascii="宋体" w:hAnsi="宋体" w:cs="宋体" w:eastAsia="宋体" w:hint="default"/>
          <w:spacing w:val="-56"/>
        </w:rPr>
        <w:t> </w:t>
      </w:r>
      <w:r>
        <w:rPr/>
        <w:t>万元，自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月起将其纳入合并财务报表范围；</w:t>
      </w:r>
    </w:p>
    <w:p>
      <w:pPr>
        <w:pStyle w:val="BodyText"/>
        <w:spacing w:line="272" w:lineRule="exact" w:before="27"/>
        <w:ind w:left="118" w:right="104"/>
        <w:jc w:val="left"/>
      </w:pPr>
      <w:r>
        <w:rPr/>
        <w:t>（</w:t>
      </w:r>
      <w:r>
        <w:rPr>
          <w:rFonts w:ascii="宋体" w:hAnsi="宋体" w:cs="宋体" w:eastAsia="宋体" w:hint="default"/>
        </w:rPr>
        <w:t>18</w:t>
      </w:r>
      <w:r>
        <w:rPr/>
        <w:t>）</w:t>
      </w:r>
      <w:r>
        <w:rPr>
          <w:rFonts w:ascii="宋体" w:hAnsi="宋体" w:cs="宋体" w:eastAsia="宋体" w:hint="default"/>
        </w:rPr>
        <w:t>2017</w:t>
      </w:r>
      <w:r>
        <w:rPr>
          <w:rFonts w:ascii="宋体" w:hAnsi="宋体" w:cs="宋体" w:eastAsia="宋体" w:hint="default"/>
          <w:spacing w:val="-35"/>
        </w:rPr>
        <w:t> </w:t>
      </w:r>
      <w:r>
        <w:rPr/>
        <w:t>年</w:t>
      </w:r>
      <w:r>
        <w:rPr>
          <w:spacing w:val="-33"/>
        </w:rPr>
        <w:t> </w:t>
      </w:r>
      <w:r>
        <w:rPr>
          <w:rFonts w:ascii="宋体" w:hAnsi="宋体" w:cs="宋体" w:eastAsia="宋体" w:hint="default"/>
        </w:rPr>
        <w:t>10</w:t>
      </w:r>
      <w:r>
        <w:rPr>
          <w:rFonts w:ascii="宋体" w:hAnsi="宋体" w:cs="宋体" w:eastAsia="宋体" w:hint="default"/>
          <w:spacing w:val="-33"/>
        </w:rPr>
        <w:t> </w:t>
      </w:r>
      <w:r>
        <w:rPr/>
        <w:t>月，本公司之全资子公司东软集团（广州）有限公司出资设立广州东软科技企</w:t>
      </w:r>
      <w:r>
        <w:rPr>
          <w:w w:val="100"/>
        </w:rPr>
        <w:t> </w:t>
      </w:r>
      <w:r>
        <w:rPr/>
        <w:t>业孵化器有限公司，注册资本</w:t>
      </w:r>
      <w:r>
        <w:rPr>
          <w:spacing w:val="-57"/>
        </w:rPr>
        <w:t> </w:t>
      </w:r>
      <w:r>
        <w:rPr>
          <w:rFonts w:ascii="宋体" w:hAnsi="宋体" w:cs="宋体" w:eastAsia="宋体" w:hint="default"/>
        </w:rPr>
        <w:t>15,909</w:t>
      </w:r>
      <w:r>
        <w:rPr>
          <w:rFonts w:ascii="宋体" w:hAnsi="宋体" w:cs="宋体" w:eastAsia="宋体" w:hint="default"/>
          <w:spacing w:val="-57"/>
        </w:rPr>
        <w:t> </w:t>
      </w:r>
      <w:r>
        <w:rPr/>
        <w:t>万元，持股比例</w:t>
      </w:r>
      <w:r>
        <w:rPr>
          <w:spacing w:val="-57"/>
        </w:rPr>
        <w:t> </w:t>
      </w:r>
      <w:r>
        <w:rPr>
          <w:rFonts w:ascii="宋体" w:hAnsi="宋体" w:cs="宋体" w:eastAsia="宋体" w:hint="default"/>
        </w:rPr>
        <w:t>100%</w:t>
      </w:r>
      <w:r>
        <w:rPr/>
        <w:t>，报告期内尚未完成出资；</w:t>
      </w:r>
    </w:p>
    <w:p>
      <w:pPr>
        <w:pStyle w:val="BodyText"/>
        <w:spacing w:line="247" w:lineRule="exact"/>
        <w:ind w:left="118" w:right="0"/>
        <w:jc w:val="both"/>
      </w:pPr>
      <w:r>
        <w:rPr/>
        <w:t>（</w:t>
      </w:r>
      <w:r>
        <w:rPr>
          <w:rFonts w:ascii="宋体" w:hAnsi="宋体" w:cs="宋体" w:eastAsia="宋体" w:hint="default"/>
        </w:rPr>
        <w:t>19</w:t>
      </w:r>
      <w:r>
        <w:rPr/>
        <w:t>）</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月，本公司对全资子公司东软集团（北京）有限公司增资</w:t>
      </w:r>
      <w:r>
        <w:rPr>
          <w:spacing w:val="-43"/>
        </w:rPr>
        <w:t> </w:t>
      </w:r>
      <w:r>
        <w:rPr>
          <w:rFonts w:ascii="宋体" w:hAnsi="宋体" w:cs="宋体" w:eastAsia="宋体" w:hint="default"/>
        </w:rPr>
        <w:t>8,000</w:t>
      </w:r>
      <w:r>
        <w:rPr>
          <w:rFonts w:ascii="宋体" w:hAnsi="宋体" w:cs="宋体" w:eastAsia="宋体" w:hint="default"/>
          <w:spacing w:val="-40"/>
        </w:rPr>
        <w:t> </w:t>
      </w:r>
      <w:r>
        <w:rPr/>
        <w:t>万元，注册资</w:t>
      </w:r>
    </w:p>
    <w:p>
      <w:pPr>
        <w:pStyle w:val="BodyText"/>
        <w:spacing w:line="273" w:lineRule="exact"/>
        <w:ind w:left="118" w:right="0"/>
        <w:jc w:val="both"/>
      </w:pPr>
      <w:r>
        <w:rPr/>
        <w:t>本变更为</w:t>
      </w:r>
      <w:r>
        <w:rPr>
          <w:spacing w:val="-55"/>
        </w:rPr>
        <w:t> </w:t>
      </w:r>
      <w:r>
        <w:rPr>
          <w:rFonts w:ascii="宋体" w:hAnsi="宋体" w:cs="宋体" w:eastAsia="宋体" w:hint="default"/>
        </w:rPr>
        <w:t>42,000</w:t>
      </w:r>
      <w:r>
        <w:rPr>
          <w:rFonts w:ascii="宋体" w:hAnsi="宋体" w:cs="宋体" w:eastAsia="宋体" w:hint="default"/>
          <w:spacing w:val="-55"/>
        </w:rPr>
        <w:t> </w:t>
      </w:r>
      <w:r>
        <w:rPr/>
        <w:t>万元，持股比例</w:t>
      </w:r>
      <w:r>
        <w:rPr>
          <w:spacing w:val="-54"/>
        </w:rPr>
        <w:t> </w:t>
      </w:r>
      <w:r>
        <w:rPr>
          <w:rFonts w:ascii="宋体" w:hAnsi="宋体" w:cs="宋体" w:eastAsia="宋体" w:hint="default"/>
        </w:rPr>
        <w:t>100%</w:t>
      </w:r>
      <w:r>
        <w:rPr/>
        <w:t>，报告期内实际出资</w:t>
      </w:r>
      <w:r>
        <w:rPr>
          <w:spacing w:val="-55"/>
        </w:rPr>
        <w:t> </w:t>
      </w:r>
      <w:r>
        <w:rPr>
          <w:rFonts w:ascii="宋体" w:hAnsi="宋体" w:cs="宋体" w:eastAsia="宋体" w:hint="default"/>
        </w:rPr>
        <w:t>8,000</w:t>
      </w:r>
      <w:r>
        <w:rPr>
          <w:rFonts w:ascii="宋体" w:hAnsi="宋体" w:cs="宋体" w:eastAsia="宋体" w:hint="default"/>
          <w:spacing w:val="-55"/>
        </w:rPr>
        <w:t> </w:t>
      </w:r>
      <w:r>
        <w:rPr/>
        <w:t>万元；</w:t>
      </w:r>
    </w:p>
    <w:p>
      <w:pPr>
        <w:pStyle w:val="BodyText"/>
        <w:spacing w:line="273" w:lineRule="exact"/>
        <w:ind w:left="118" w:right="0"/>
        <w:jc w:val="both"/>
      </w:pPr>
      <w:r>
        <w:rPr/>
        <w:t>（</w:t>
      </w:r>
      <w:r>
        <w:rPr>
          <w:rFonts w:ascii="宋体" w:hAnsi="宋体" w:cs="宋体" w:eastAsia="宋体" w:hint="default"/>
        </w:rPr>
        <w:t>20</w:t>
      </w:r>
      <w:r>
        <w:rPr/>
        <w:t>）</w:t>
      </w:r>
      <w:r>
        <w:rPr>
          <w:rFonts w:ascii="宋体" w:hAnsi="宋体" w:cs="宋体" w:eastAsia="宋体" w:hint="default"/>
        </w:rPr>
        <w:t>2017</w:t>
      </w:r>
      <w:r>
        <w:rPr>
          <w:rFonts w:ascii="宋体" w:hAnsi="宋体" w:cs="宋体" w:eastAsia="宋体" w:hint="default"/>
          <w:spacing w:val="-42"/>
        </w:rPr>
        <w:t> </w:t>
      </w:r>
      <w:r>
        <w:rPr/>
        <w:t>年</w:t>
      </w:r>
      <w:r>
        <w:rPr>
          <w:spacing w:val="-44"/>
        </w:rPr>
        <w:t> </w:t>
      </w:r>
      <w:r>
        <w:rPr>
          <w:rFonts w:ascii="宋体" w:hAnsi="宋体" w:cs="宋体" w:eastAsia="宋体" w:hint="default"/>
        </w:rPr>
        <w:t>11</w:t>
      </w:r>
      <w:r>
        <w:rPr>
          <w:rFonts w:ascii="宋体" w:hAnsi="宋体" w:cs="宋体" w:eastAsia="宋体" w:hint="default"/>
          <w:spacing w:val="-42"/>
        </w:rPr>
        <w:t> </w:t>
      </w:r>
      <w:r>
        <w:rPr/>
        <w:t>月，本公司对全资子公司沈阳东软系统集成技术有限公司增资</w:t>
      </w:r>
      <w:r>
        <w:rPr>
          <w:spacing w:val="-41"/>
        </w:rPr>
        <w:t> </w:t>
      </w:r>
      <w:r>
        <w:rPr>
          <w:rFonts w:ascii="宋体" w:hAnsi="宋体" w:cs="宋体" w:eastAsia="宋体" w:hint="default"/>
        </w:rPr>
        <w:t>3,000</w:t>
      </w:r>
      <w:r>
        <w:rPr>
          <w:rFonts w:ascii="宋体" w:hAnsi="宋体" w:cs="宋体" w:eastAsia="宋体" w:hint="default"/>
          <w:spacing w:val="-42"/>
        </w:rPr>
        <w:t> </w:t>
      </w:r>
      <w:r>
        <w:rPr/>
        <w:t>万元，注</w:t>
      </w:r>
    </w:p>
    <w:p>
      <w:pPr>
        <w:pStyle w:val="BodyText"/>
        <w:spacing w:line="272" w:lineRule="exact"/>
        <w:ind w:left="118" w:right="0"/>
        <w:jc w:val="both"/>
      </w:pPr>
      <w:r>
        <w:rPr/>
        <w:t>册资本变更为</w:t>
      </w:r>
      <w:r>
        <w:rPr>
          <w:spacing w:val="-54"/>
        </w:rPr>
        <w:t> </w:t>
      </w:r>
      <w:r>
        <w:rPr>
          <w:rFonts w:ascii="宋体" w:hAnsi="宋体" w:cs="宋体" w:eastAsia="宋体" w:hint="default"/>
        </w:rPr>
        <w:t>5,000</w:t>
      </w:r>
      <w:r>
        <w:rPr>
          <w:rFonts w:ascii="宋体" w:hAnsi="宋体" w:cs="宋体" w:eastAsia="宋体" w:hint="default"/>
          <w:spacing w:val="-56"/>
        </w:rPr>
        <w:t> </w:t>
      </w:r>
      <w:r>
        <w:rPr/>
        <w:t>万元，持股比例</w:t>
      </w:r>
      <w:r>
        <w:rPr>
          <w:spacing w:val="-53"/>
        </w:rPr>
        <w:t> </w:t>
      </w:r>
      <w:r>
        <w:rPr>
          <w:rFonts w:ascii="宋体" w:hAnsi="宋体" w:cs="宋体" w:eastAsia="宋体" w:hint="default"/>
        </w:rPr>
        <w:t>100%</w:t>
      </w:r>
      <w:r>
        <w:rPr/>
        <w:t>，报告期内实际出资</w:t>
      </w:r>
      <w:r>
        <w:rPr>
          <w:spacing w:val="-54"/>
        </w:rPr>
        <w:t> </w:t>
      </w:r>
      <w:r>
        <w:rPr>
          <w:rFonts w:ascii="宋体" w:hAnsi="宋体" w:cs="宋体" w:eastAsia="宋体" w:hint="default"/>
        </w:rPr>
        <w:t>3,000</w:t>
      </w:r>
      <w:r>
        <w:rPr>
          <w:rFonts w:ascii="宋体" w:hAnsi="宋体" w:cs="宋体" w:eastAsia="宋体" w:hint="default"/>
          <w:spacing w:val="-54"/>
        </w:rPr>
        <w:t> </w:t>
      </w:r>
      <w:r>
        <w:rPr/>
        <w:t>万元；</w:t>
      </w:r>
    </w:p>
    <w:p>
      <w:pPr>
        <w:pStyle w:val="BodyText"/>
        <w:spacing w:line="272" w:lineRule="exact" w:before="27"/>
        <w:ind w:left="118" w:right="107"/>
        <w:jc w:val="both"/>
      </w:pPr>
      <w:r>
        <w:rPr/>
        <w:t>（</w:t>
      </w:r>
      <w:r>
        <w:rPr>
          <w:rFonts w:ascii="宋体" w:hAnsi="宋体" w:cs="宋体" w:eastAsia="宋体" w:hint="default"/>
        </w:rPr>
        <w:t>21</w:t>
      </w:r>
      <w:r>
        <w:rPr/>
        <w:t>）</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月，本公司对原控股子公司北京东软望海科技有限公司增资</w:t>
      </w:r>
      <w:r>
        <w:rPr>
          <w:spacing w:val="-40"/>
        </w:rPr>
        <w:t> </w:t>
      </w:r>
      <w:r>
        <w:rPr>
          <w:rFonts w:ascii="宋体" w:hAnsi="宋体" w:cs="宋体" w:eastAsia="宋体" w:hint="default"/>
        </w:rPr>
        <w:t>4,452</w:t>
      </w:r>
      <w:r>
        <w:rPr>
          <w:rFonts w:ascii="宋体" w:hAnsi="宋体" w:cs="宋体" w:eastAsia="宋体" w:hint="default"/>
          <w:spacing w:val="-43"/>
        </w:rPr>
        <w:t> </w:t>
      </w:r>
      <w:r>
        <w:rPr/>
        <w:t>万元，同时</w:t>
      </w:r>
      <w:r>
        <w:rPr>
          <w:w w:val="100"/>
        </w:rPr>
        <w:t> </w:t>
      </w:r>
      <w:r>
        <w:rPr>
          <w:spacing w:val="-3"/>
        </w:rPr>
        <w:t>东软望海引进投资者，注册资本变更为</w:t>
      </w:r>
      <w:r>
        <w:rPr>
          <w:spacing w:val="-30"/>
        </w:rPr>
        <w:t> </w:t>
      </w:r>
      <w:r>
        <w:rPr>
          <w:rFonts w:ascii="宋体" w:hAnsi="宋体" w:cs="宋体" w:eastAsia="宋体" w:hint="default"/>
        </w:rPr>
        <w:t>6,088</w:t>
      </w:r>
      <w:r>
        <w:rPr>
          <w:rFonts w:ascii="宋体" w:hAnsi="宋体" w:cs="宋体" w:eastAsia="宋体" w:hint="default"/>
          <w:spacing w:val="-33"/>
        </w:rPr>
        <w:t> </w:t>
      </w:r>
      <w:r>
        <w:rPr>
          <w:spacing w:val="-3"/>
        </w:rPr>
        <w:t>万元，持股比例变更为</w:t>
      </w:r>
      <w:r>
        <w:rPr>
          <w:spacing w:val="-30"/>
        </w:rPr>
        <w:t> </w:t>
      </w:r>
      <w:r>
        <w:rPr>
          <w:rFonts w:ascii="宋体" w:hAnsi="宋体" w:cs="宋体" w:eastAsia="宋体" w:hint="default"/>
          <w:spacing w:val="-3"/>
        </w:rPr>
        <w:t>34.79%</w:t>
      </w:r>
      <w:r>
        <w:rPr>
          <w:spacing w:val="-3"/>
        </w:rPr>
        <w:t>，报告期内本公司实</w:t>
      </w:r>
      <w:r>
        <w:rPr>
          <w:spacing w:val="-95"/>
        </w:rPr>
        <w:t> </w:t>
      </w:r>
      <w:r>
        <w:rPr>
          <w:spacing w:val="-95"/>
        </w:rPr>
      </w:r>
      <w:r>
        <w:rPr/>
        <w:t>际出资</w:t>
      </w:r>
      <w:r>
        <w:rPr>
          <w:spacing w:val="-55"/>
        </w:rPr>
        <w:t> </w:t>
      </w:r>
      <w:r>
        <w:rPr>
          <w:rFonts w:ascii="宋体" w:hAnsi="宋体" w:cs="宋体" w:eastAsia="宋体" w:hint="default"/>
        </w:rPr>
        <w:t>4,452</w:t>
      </w:r>
      <w:r>
        <w:rPr>
          <w:rFonts w:ascii="宋体" w:hAnsi="宋体" w:cs="宋体" w:eastAsia="宋体" w:hint="default"/>
          <w:spacing w:val="-55"/>
        </w:rPr>
        <w:t> </w:t>
      </w:r>
      <w:r>
        <w:rPr/>
        <w:t>万元，自</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月末起不再将其纳入公司的合并财务报表范围；</w:t>
      </w:r>
    </w:p>
    <w:p>
      <w:pPr>
        <w:pStyle w:val="BodyText"/>
        <w:spacing w:line="272" w:lineRule="exact" w:before="1"/>
        <w:ind w:left="118" w:right="104"/>
        <w:jc w:val="left"/>
      </w:pPr>
      <w:r>
        <w:rPr/>
        <w:t>（</w:t>
      </w:r>
      <w:r>
        <w:rPr>
          <w:rFonts w:ascii="宋体" w:hAnsi="宋体" w:cs="宋体" w:eastAsia="宋体" w:hint="default"/>
        </w:rPr>
        <w:t>22</w:t>
      </w:r>
      <w:r>
        <w:rPr/>
        <w:t>）</w:t>
      </w:r>
      <w:r>
        <w:rPr>
          <w:rFonts w:ascii="宋体" w:hAnsi="宋体" w:cs="宋体" w:eastAsia="宋体" w:hint="default"/>
        </w:rPr>
        <w:t>2017</w:t>
      </w:r>
      <w:r>
        <w:rPr>
          <w:rFonts w:ascii="宋体" w:hAnsi="宋体" w:cs="宋体" w:eastAsia="宋体" w:hint="default"/>
          <w:spacing w:val="-35"/>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月，本公司之控股子公司东软睿驰汽车技术（上海）有限公司对其全资子公司</w:t>
      </w:r>
      <w:r>
        <w:rPr>
          <w:w w:val="100"/>
        </w:rPr>
        <w:t> </w:t>
      </w:r>
      <w:r>
        <w:rPr/>
        <w:t>睿驰达新能源汽车科技有限公司继续出资</w:t>
      </w:r>
      <w:r>
        <w:rPr>
          <w:spacing w:val="-55"/>
        </w:rPr>
        <w:t> </w:t>
      </w:r>
      <w:r>
        <w:rPr>
          <w:rFonts w:ascii="宋体" w:hAnsi="宋体" w:cs="宋体" w:eastAsia="宋体" w:hint="default"/>
        </w:rPr>
        <w:t>1,000</w:t>
      </w:r>
      <w:r>
        <w:rPr>
          <w:rFonts w:ascii="宋体" w:hAnsi="宋体" w:cs="宋体" w:eastAsia="宋体" w:hint="default"/>
          <w:spacing w:val="-55"/>
        </w:rPr>
        <w:t> </w:t>
      </w:r>
      <w:r>
        <w:rPr/>
        <w:t>万元，报告期内实际出资</w:t>
      </w:r>
      <w:r>
        <w:rPr>
          <w:spacing w:val="-55"/>
        </w:rPr>
        <w:t> </w:t>
      </w:r>
      <w:r>
        <w:rPr>
          <w:rFonts w:ascii="宋体" w:hAnsi="宋体" w:cs="宋体" w:eastAsia="宋体" w:hint="default"/>
        </w:rPr>
        <w:t>1,000</w:t>
      </w:r>
      <w:r>
        <w:rPr>
          <w:rFonts w:ascii="宋体" w:hAnsi="宋体" w:cs="宋体" w:eastAsia="宋体" w:hint="default"/>
          <w:spacing w:val="-54"/>
        </w:rPr>
        <w:t> </w:t>
      </w:r>
      <w:r>
        <w:rPr/>
        <w:t>万元。</w:t>
      </w:r>
    </w:p>
    <w:p>
      <w:pPr>
        <w:spacing w:line="240" w:lineRule="auto" w:before="4"/>
        <w:rPr>
          <w:rFonts w:ascii="宋体" w:hAnsi="宋体" w:cs="宋体" w:eastAsia="宋体" w:hint="default"/>
          <w:sz w:val="23"/>
          <w:szCs w:val="23"/>
        </w:rPr>
      </w:pPr>
    </w:p>
    <w:p>
      <w:pPr>
        <w:pStyle w:val="Heading4"/>
        <w:spacing w:line="240" w:lineRule="auto"/>
        <w:ind w:left="11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118" w:right="0"/>
        <w:jc w:val="both"/>
      </w:pPr>
      <w:r>
        <w:rPr/>
        <w:t>□适用</w:t>
      </w:r>
      <w:r>
        <w:rPr>
          <w:spacing w:val="104"/>
        </w:rPr>
        <w:t> </w:t>
      </w:r>
      <w:r>
        <w:rPr/>
        <w:t>√不适用</w:t>
      </w:r>
    </w:p>
    <w:p>
      <w:pPr>
        <w:spacing w:after="0" w:line="240" w:lineRule="auto"/>
        <w:jc w:val="both"/>
        <w:sectPr>
          <w:pgSz w:w="11910" w:h="16840"/>
          <w:pgMar w:header="945" w:footer="1228" w:top="1300" w:bottom="1420" w:left="1680" w:right="1160"/>
        </w:sectPr>
      </w:pPr>
    </w:p>
    <w:p>
      <w:pPr>
        <w:spacing w:line="240" w:lineRule="auto" w:before="3"/>
        <w:rPr>
          <w:rFonts w:ascii="宋体" w:hAnsi="宋体" w:cs="宋体" w:eastAsia="宋体" w:hint="default"/>
          <w:sz w:val="11"/>
          <w:szCs w:val="11"/>
        </w:rPr>
      </w:pPr>
    </w:p>
    <w:p>
      <w:pPr>
        <w:pStyle w:val="Heading4"/>
        <w:spacing w:line="240" w:lineRule="auto" w:before="36"/>
        <w:ind w:left="109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940" w:val="left" w:leader="none"/>
        </w:tabs>
        <w:spacing w:line="273" w:lineRule="exact" w:before="58"/>
        <w:ind w:left="1098" w:right="0"/>
        <w:jc w:val="left"/>
      </w:pPr>
      <w:r>
        <w:rPr>
          <w:spacing w:val="-1"/>
        </w:rPr>
        <w:t>√适用</w:t>
        <w:tab/>
      </w:r>
      <w:r>
        <w:rPr>
          <w:spacing w:val="-2"/>
        </w:rPr>
        <w:t>□不适用</w:t>
      </w:r>
    </w:p>
    <w:p>
      <w:pPr>
        <w:pStyle w:val="BodyText"/>
        <w:spacing w:line="272" w:lineRule="exact"/>
        <w:ind w:left="1518" w:right="0"/>
        <w:jc w:val="left"/>
      </w:pPr>
      <w:r>
        <w:rPr>
          <w:rFonts w:ascii="宋体" w:hAnsi="宋体" w:cs="宋体" w:eastAsia="宋体" w:hint="default"/>
        </w:rPr>
        <w:t>2017</w:t>
      </w:r>
      <w:r>
        <w:rPr>
          <w:rFonts w:ascii="宋体" w:hAnsi="宋体" w:cs="宋体" w:eastAsia="宋体" w:hint="default"/>
          <w:spacing w:val="-36"/>
        </w:rPr>
        <w:t> </w:t>
      </w:r>
      <w:r>
        <w:rPr/>
        <w:t>年</w:t>
      </w:r>
      <w:r>
        <w:rPr>
          <w:spacing w:val="-33"/>
        </w:rPr>
        <w:t> </w:t>
      </w:r>
      <w:r>
        <w:rPr>
          <w:rFonts w:ascii="宋体" w:hAnsi="宋体" w:cs="宋体" w:eastAsia="宋体" w:hint="default"/>
        </w:rPr>
        <w:t>3</w:t>
      </w:r>
      <w:r>
        <w:rPr>
          <w:rFonts w:ascii="宋体" w:hAnsi="宋体" w:cs="宋体" w:eastAsia="宋体" w:hint="default"/>
          <w:spacing w:val="-36"/>
        </w:rPr>
        <w:t> </w:t>
      </w:r>
      <w:r>
        <w:rPr>
          <w:spacing w:val="-3"/>
        </w:rPr>
        <w:t>月，本公司之全资子公司—东软（香港）有限公司作为锚定投资者，参与弘和仁爱</w:t>
      </w:r>
    </w:p>
    <w:p>
      <w:pPr>
        <w:pStyle w:val="BodyText"/>
        <w:spacing w:line="272" w:lineRule="exact" w:before="27"/>
        <w:ind w:left="1098" w:right="1104"/>
        <w:jc w:val="left"/>
      </w:pPr>
      <w:r>
        <w:rPr/>
        <w:t>医疗在香港联合交易所的首次公开发行，以自有资金</w:t>
      </w:r>
      <w:r>
        <w:rPr>
          <w:spacing w:val="-49"/>
        </w:rPr>
        <w:t> </w:t>
      </w:r>
      <w:r>
        <w:rPr>
          <w:rFonts w:ascii="宋体" w:hAnsi="宋体" w:cs="宋体" w:eastAsia="宋体" w:hint="default"/>
        </w:rPr>
        <w:t>500</w:t>
      </w:r>
      <w:r>
        <w:rPr>
          <w:rFonts w:ascii="宋体" w:hAnsi="宋体" w:cs="宋体" w:eastAsia="宋体" w:hint="default"/>
          <w:spacing w:val="-52"/>
        </w:rPr>
        <w:t> </w:t>
      </w:r>
      <w:r>
        <w:rPr/>
        <w:t>万美元，按弘和仁爱医疗在香港联合交</w:t>
      </w:r>
      <w:r>
        <w:rPr>
          <w:w w:val="100"/>
        </w:rPr>
        <w:t> </w:t>
      </w:r>
      <w:r>
        <w:rPr/>
        <w:t>易所首次公开发行价格进行认购。</w:t>
      </w:r>
    </w:p>
    <w:p>
      <w:pPr>
        <w:pStyle w:val="BodyText"/>
        <w:spacing w:line="247" w:lineRule="exact"/>
        <w:ind w:left="1518" w:right="0"/>
        <w:jc w:val="left"/>
      </w:pPr>
      <w:r>
        <w:rPr>
          <w:rFonts w:ascii="宋体" w:hAnsi="宋体" w:cs="宋体" w:eastAsia="宋体" w:hint="default"/>
        </w:rPr>
        <w:t>2017</w:t>
      </w:r>
      <w:r>
        <w:rPr>
          <w:rFonts w:ascii="宋体" w:hAnsi="宋体" w:cs="宋体" w:eastAsia="宋体" w:hint="default"/>
          <w:spacing w:val="-34"/>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月，本公司之全资子公司—东软（香港）有限公司，参与甘肃银行在香港联合交</w:t>
      </w:r>
    </w:p>
    <w:p>
      <w:pPr>
        <w:pStyle w:val="BodyText"/>
        <w:spacing w:line="240" w:lineRule="auto"/>
        <w:ind w:left="1098" w:right="0"/>
        <w:jc w:val="left"/>
      </w:pPr>
      <w:r>
        <w:rPr>
          <w:spacing w:val="-6"/>
        </w:rPr>
        <w:t>易所的首次公开发行，并于</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月以自有资金</w:t>
      </w:r>
      <w:r>
        <w:rPr>
          <w:spacing w:val="-44"/>
        </w:rPr>
        <w:t> </w:t>
      </w:r>
      <w:r>
        <w:rPr>
          <w:rFonts w:ascii="宋体" w:hAnsi="宋体" w:cs="宋体" w:eastAsia="宋体" w:hint="default"/>
        </w:rPr>
        <w:t>1,300</w:t>
      </w:r>
      <w:r>
        <w:rPr>
          <w:rFonts w:ascii="宋体" w:hAnsi="宋体" w:cs="宋体" w:eastAsia="宋体" w:hint="default"/>
          <w:spacing w:val="-45"/>
        </w:rPr>
        <w:t> </w:t>
      </w:r>
      <w:r>
        <w:rPr>
          <w:spacing w:val="-5"/>
        </w:rPr>
        <w:t>万美元，认购甘肃银行在香港联合交易</w:t>
      </w:r>
      <w:r>
        <w:rPr>
          <w:spacing w:val="-102"/>
        </w:rPr>
        <w:t> </w:t>
      </w:r>
      <w:r>
        <w:rPr>
          <w:spacing w:val="-102"/>
        </w:rPr>
      </w:r>
      <w:r>
        <w:rPr/>
        <w:t>所首次公开发行的股份，认购股份的价格为甘肃银行首次公开发行价格。</w:t>
      </w:r>
    </w:p>
    <w:p>
      <w:pPr>
        <w:pStyle w:val="BodyText"/>
        <w:spacing w:line="271" w:lineRule="exact"/>
        <w:ind w:left="1518" w:right="0"/>
        <w:jc w:val="left"/>
      </w:pP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spacing w:val="-3"/>
        </w:rPr>
        <w:t>月，本公司在华宝信托有限责任公司设立“华宝·境外市场投资</w:t>
      </w:r>
      <w:r>
        <w:rPr>
          <w:spacing w:val="-46"/>
        </w:rPr>
        <w:t> </w:t>
      </w:r>
      <w:r>
        <w:rPr>
          <w:rFonts w:ascii="宋体" w:hAnsi="宋体" w:cs="宋体" w:eastAsia="宋体" w:hint="default"/>
        </w:rPr>
        <w:t>2</w:t>
      </w:r>
      <w:r>
        <w:rPr>
          <w:rFonts w:ascii="宋体" w:hAnsi="宋体" w:cs="宋体" w:eastAsia="宋体" w:hint="default"/>
          <w:spacing w:val="-49"/>
        </w:rPr>
        <w:t> </w:t>
      </w:r>
      <w:r>
        <w:rPr/>
        <w:t>号系列</w:t>
      </w:r>
      <w:r>
        <w:rPr>
          <w:spacing w:val="-47"/>
        </w:rPr>
        <w:t> </w:t>
      </w:r>
      <w:r>
        <w:rPr>
          <w:rFonts w:ascii="宋体" w:hAnsi="宋体" w:cs="宋体" w:eastAsia="宋体" w:hint="default"/>
        </w:rPr>
        <w:t>37-5</w:t>
      </w:r>
      <w:r>
        <w:rPr>
          <w:rFonts w:ascii="宋体" w:hAnsi="宋体" w:cs="宋体" w:eastAsia="宋体" w:hint="default"/>
          <w:spacing w:val="-49"/>
        </w:rPr>
        <w:t> </w:t>
      </w:r>
      <w:r>
        <w:rPr/>
        <w:t>期</w:t>
      </w:r>
    </w:p>
    <w:p>
      <w:pPr>
        <w:pStyle w:val="BodyText"/>
        <w:spacing w:line="272" w:lineRule="exact" w:before="27"/>
        <w:ind w:left="1098" w:right="1109"/>
        <w:jc w:val="left"/>
      </w:pPr>
      <w:r>
        <w:rPr>
          <w:rFonts w:ascii="宋体" w:hAnsi="宋体" w:cs="宋体" w:eastAsia="宋体" w:hint="default"/>
        </w:rPr>
        <w:t>QDII</w:t>
      </w:r>
      <w:r>
        <w:rPr>
          <w:rFonts w:ascii="宋体" w:hAnsi="宋体" w:cs="宋体" w:eastAsia="宋体" w:hint="default"/>
          <w:spacing w:val="-47"/>
        </w:rPr>
        <w:t> </w:t>
      </w:r>
      <w:r>
        <w:rPr/>
        <w:t>单一资金信托”，并于</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月通过该信托以</w:t>
      </w:r>
      <w:r>
        <w:rPr>
          <w:spacing w:val="-44"/>
        </w:rPr>
        <w:t> </w:t>
      </w:r>
      <w:r>
        <w:rPr>
          <w:rFonts w:ascii="宋体" w:hAnsi="宋体" w:cs="宋体" w:eastAsia="宋体" w:hint="default"/>
        </w:rPr>
        <w:t>500</w:t>
      </w:r>
      <w:r>
        <w:rPr>
          <w:rFonts w:ascii="宋体" w:hAnsi="宋体" w:cs="宋体" w:eastAsia="宋体" w:hint="default"/>
          <w:spacing w:val="-44"/>
        </w:rPr>
        <w:t> </w:t>
      </w:r>
      <w:r>
        <w:rPr/>
        <w:t>万美元认购甘肃银行在香港联合交易</w:t>
      </w:r>
      <w:r>
        <w:rPr>
          <w:w w:val="100"/>
        </w:rPr>
        <w:t> </w:t>
      </w:r>
      <w:r>
        <w:rPr/>
        <w:t>所首次公开发行的股份，认购股份的价格为甘肃银行首次公开发行价格。</w:t>
      </w:r>
    </w:p>
    <w:p>
      <w:pPr>
        <w:pStyle w:val="BodyText"/>
        <w:spacing w:line="249" w:lineRule="exact"/>
        <w:ind w:left="0" w:right="1110"/>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845"/>
        <w:gridCol w:w="996"/>
        <w:gridCol w:w="1205"/>
        <w:gridCol w:w="1027"/>
        <w:gridCol w:w="991"/>
        <w:gridCol w:w="1208"/>
        <w:gridCol w:w="991"/>
        <w:gridCol w:w="970"/>
        <w:gridCol w:w="953"/>
        <w:gridCol w:w="991"/>
      </w:tblGrid>
      <w:tr>
        <w:trPr>
          <w:trHeight w:val="711"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239"/>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5" w:right="238" w:hanging="18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28" w:right="146" w:hanging="180"/>
              <w:jc w:val="left"/>
              <w:rPr>
                <w:rFonts w:ascii="宋体" w:hAnsi="宋体" w:cs="宋体" w:eastAsia="宋体" w:hint="default"/>
                <w:sz w:val="18"/>
                <w:szCs w:val="18"/>
              </w:rPr>
            </w:pPr>
            <w:r>
              <w:rPr>
                <w:rFonts w:ascii="宋体" w:hAnsi="宋体" w:cs="宋体" w:eastAsia="宋体" w:hint="default"/>
                <w:sz w:val="18"/>
                <w:szCs w:val="18"/>
              </w:rPr>
              <w:t>持有股份 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占该公司</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股权比例</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7" w:right="239" w:firstLine="180"/>
              <w:jc w:val="left"/>
              <w:rPr>
                <w:rFonts w:ascii="宋体" w:hAnsi="宋体" w:cs="宋体" w:eastAsia="宋体" w:hint="default"/>
                <w:sz w:val="18"/>
                <w:szCs w:val="18"/>
              </w:rPr>
            </w:pPr>
            <w:r>
              <w:rPr>
                <w:rFonts w:ascii="宋体" w:hAnsi="宋体" w:cs="宋体" w:eastAsia="宋体" w:hint="default"/>
                <w:sz w:val="18"/>
                <w:szCs w:val="18"/>
              </w:rPr>
              <w:t>期末 账面价值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218" w:hanging="89"/>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left"/>
              <w:rPr>
                <w:rFonts w:ascii="宋体" w:hAnsi="宋体" w:cs="宋体" w:eastAsia="宋体" w:hint="default"/>
                <w:sz w:val="18"/>
                <w:szCs w:val="18"/>
              </w:rPr>
            </w:pPr>
            <w:r>
              <w:rPr>
                <w:rFonts w:ascii="宋体" w:hAnsi="宋体" w:cs="宋体" w:eastAsia="宋体" w:hint="default"/>
                <w:sz w:val="18"/>
                <w:szCs w:val="18"/>
              </w:rPr>
              <w:t>报告期所</w:t>
            </w:r>
          </w:p>
          <w:p>
            <w:pPr>
              <w:pStyle w:val="TableParagraph"/>
              <w:spacing w:line="232" w:lineRule="exact" w:before="24"/>
              <w:ind w:left="299" w:right="118" w:hanging="180"/>
              <w:jc w:val="left"/>
              <w:rPr>
                <w:rFonts w:ascii="宋体" w:hAnsi="宋体" w:cs="宋体" w:eastAsia="宋体" w:hint="default"/>
                <w:sz w:val="18"/>
                <w:szCs w:val="18"/>
              </w:rPr>
            </w:pPr>
            <w:r>
              <w:rPr>
                <w:rFonts w:ascii="宋体" w:hAnsi="宋体" w:cs="宋体" w:eastAsia="宋体" w:hint="default"/>
                <w:sz w:val="18"/>
                <w:szCs w:val="18"/>
              </w:rPr>
              <w:t>有者权益 变动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0" w:right="110"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311"/>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HK03869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弘和仁爱</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医疗</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sz w:val="18"/>
              </w:rPr>
              <w:t>34,762,373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3,030,000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sz w:val="18"/>
              </w:rPr>
              <w:t>2.19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sz w:val="18"/>
              </w:rPr>
              <w:t>34,192,490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sz w:val="18"/>
              </w:rPr>
              <w:t>-569,883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可供出售</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公开发行</w:t>
            </w: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股票认购</w:t>
            </w:r>
          </w:p>
        </w:tc>
      </w:tr>
    </w:tbl>
    <w:p>
      <w:pPr>
        <w:spacing w:line="240" w:lineRule="auto" w:before="12"/>
        <w:rPr>
          <w:rFonts w:ascii="宋体" w:hAnsi="宋体" w:cs="宋体" w:eastAsia="宋体" w:hint="default"/>
          <w:sz w:val="19"/>
          <w:szCs w:val="19"/>
        </w:rPr>
      </w:pPr>
    </w:p>
    <w:p>
      <w:pPr>
        <w:pStyle w:val="Heading4"/>
        <w:spacing w:line="240" w:lineRule="auto" w:before="36"/>
        <w:ind w:left="1098" w:right="0"/>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0"/>
        </w:rPr>
        <w:t> </w:t>
      </w:r>
      <w:r>
        <w:rPr/>
        <w:t>重大资产和股权出售</w:t>
      </w:r>
      <w:r>
        <w:rPr>
          <w:b w:val="0"/>
          <w:bCs w:val="0"/>
        </w:rPr>
      </w:r>
    </w:p>
    <w:p>
      <w:pPr>
        <w:pStyle w:val="BodyText"/>
        <w:tabs>
          <w:tab w:pos="1940" w:val="left" w:leader="none"/>
        </w:tabs>
        <w:spacing w:line="272" w:lineRule="exact" w:before="86"/>
        <w:ind w:left="1518" w:right="1110" w:hanging="420"/>
        <w:jc w:val="left"/>
      </w:pPr>
      <w:r>
        <w:rPr>
          <w:spacing w:val="-1"/>
        </w:rPr>
        <w:t>√适用</w:t>
        <w:tab/>
      </w:r>
      <w:r>
        <w:rPr>
          <w:spacing w:val="-2"/>
        </w:rPr>
        <w:t>□不适用</w:t>
      </w:r>
      <w:r>
        <w:rPr>
          <w:spacing w:val="-99"/>
        </w:rPr>
        <w:t> </w:t>
      </w:r>
      <w:r>
        <w:rPr>
          <w:spacing w:val="-99"/>
        </w:rPr>
      </w:r>
      <w:r>
        <w:rPr>
          <w:spacing w:val="-1"/>
        </w:rPr>
        <w:t>重大资产和股权出售情况，详见本年度报告第五节“重要事项”之十四、</w:t>
      </w:r>
      <w:r>
        <w:rPr>
          <w:rFonts w:ascii="宋体" w:hAnsi="宋体" w:cs="宋体" w:eastAsia="宋体" w:hint="default"/>
          <w:spacing w:val="-1"/>
        </w:rPr>
        <w:t>(</w:t>
      </w:r>
      <w:r>
        <w:rPr>
          <w:spacing w:val="-1"/>
        </w:rPr>
        <w:t>二)“资产或股权</w:t>
      </w:r>
    </w:p>
    <w:p>
      <w:pPr>
        <w:pStyle w:val="BodyText"/>
        <w:spacing w:line="249" w:lineRule="exact"/>
        <w:ind w:left="1098" w:right="0"/>
        <w:jc w:val="left"/>
      </w:pPr>
      <w:r>
        <w:rPr/>
        <w:t>收购、出售发生的关联交易”中的相关内容。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5" w:footer="1228" w:top="1300" w:bottom="1420" w:left="700" w:right="160"/>
        </w:sectPr>
      </w:pPr>
    </w:p>
    <w:p>
      <w:pPr>
        <w:pStyle w:val="Heading4"/>
        <w:spacing w:line="240" w:lineRule="auto" w:before="36"/>
        <w:ind w:left="1105" w:right="-17"/>
        <w:jc w:val="left"/>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29"/>
        </w:rPr>
        <w:t> </w:t>
      </w:r>
      <w:r>
        <w:rPr/>
        <w:t>主要控股参股公司分析</w:t>
      </w:r>
      <w:r>
        <w:rPr>
          <w:b w:val="0"/>
          <w:bCs w:val="0"/>
        </w:rPr>
      </w:r>
    </w:p>
    <w:p>
      <w:pPr>
        <w:pStyle w:val="BodyText"/>
        <w:tabs>
          <w:tab w:pos="1940" w:val="left" w:leader="none"/>
        </w:tabs>
        <w:spacing w:line="240" w:lineRule="auto" w:before="56"/>
        <w:ind w:left="109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098" w:right="0"/>
        <w:jc w:val="left"/>
      </w:pPr>
      <w:r>
        <w:rPr/>
        <w:t>单位：元</w:t>
      </w:r>
      <w:r>
        <w:rPr>
          <w:spacing w:val="2"/>
        </w:rPr>
        <w:t> </w:t>
      </w:r>
      <w:r>
        <w:rPr/>
        <w:t>币种：人民币</w:t>
      </w:r>
    </w:p>
    <w:p>
      <w:pPr>
        <w:spacing w:after="0" w:line="240" w:lineRule="auto"/>
        <w:jc w:val="left"/>
        <w:sectPr>
          <w:type w:val="continuous"/>
          <w:pgSz w:w="11910" w:h="16840"/>
          <w:pgMar w:top="1580" w:bottom="280" w:left="700" w:right="160"/>
          <w:cols w:num="2" w:equalWidth="0">
            <w:col w:w="3775" w:space="2853"/>
            <w:col w:w="442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3"/>
        <w:gridCol w:w="802"/>
        <w:gridCol w:w="989"/>
        <w:gridCol w:w="1417"/>
        <w:gridCol w:w="869"/>
        <w:gridCol w:w="1520"/>
        <w:gridCol w:w="1339"/>
        <w:gridCol w:w="1556"/>
        <w:gridCol w:w="1188"/>
      </w:tblGrid>
      <w:tr>
        <w:trPr>
          <w:trHeight w:val="71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9" w:right="109" w:hanging="269"/>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4" w:right="125" w:hanging="183"/>
              <w:jc w:val="left"/>
              <w:rPr>
                <w:rFonts w:ascii="宋体" w:hAnsi="宋体" w:cs="宋体" w:eastAsia="宋体" w:hint="default"/>
                <w:sz w:val="18"/>
                <w:szCs w:val="18"/>
              </w:rPr>
            </w:pPr>
            <w:r>
              <w:rPr>
                <w:rFonts w:ascii="宋体" w:hAnsi="宋体" w:cs="宋体" w:eastAsia="宋体" w:hint="default"/>
                <w:b/>
                <w:bCs/>
                <w:sz w:val="18"/>
                <w:szCs w:val="18"/>
              </w:rPr>
              <w:t>所处行</w:t>
            </w:r>
            <w:r>
              <w:rPr>
                <w:rFonts w:ascii="宋体" w:hAnsi="宋体" w:cs="宋体" w:eastAsia="宋体" w:hint="default"/>
                <w:b/>
                <w:bCs/>
                <w:w w:val="99"/>
                <w:sz w:val="18"/>
                <w:szCs w:val="18"/>
              </w:rPr>
              <w:t> </w:t>
            </w:r>
            <w:r>
              <w:rPr>
                <w:rFonts w:ascii="宋体" w:hAnsi="宋体" w:cs="宋体" w:eastAsia="宋体" w:hint="default"/>
                <w:b/>
                <w:bCs/>
                <w:sz w:val="18"/>
                <w:szCs w:val="18"/>
              </w:rPr>
              <w:t>业</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sz w:val="18"/>
                <w:szCs w:val="18"/>
              </w:rPr>
            </w:r>
          </w:p>
          <w:p>
            <w:pPr>
              <w:pStyle w:val="TableParagraph"/>
              <w:spacing w:line="232" w:lineRule="exact" w:before="24"/>
              <w:ind w:left="156" w:right="159"/>
              <w:jc w:val="left"/>
              <w:rPr>
                <w:rFonts w:ascii="宋体" w:hAnsi="宋体" w:cs="宋体" w:eastAsia="宋体" w:hint="default"/>
                <w:sz w:val="18"/>
                <w:szCs w:val="18"/>
              </w:rPr>
            </w:pPr>
            <w:r>
              <w:rPr>
                <w:rFonts w:ascii="宋体" w:hAnsi="宋体" w:cs="宋体" w:eastAsia="宋体" w:hint="default"/>
                <w:b/>
                <w:bCs/>
                <w:sz w:val="18"/>
                <w:szCs w:val="18"/>
              </w:rPr>
              <w:t>直接持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期末总资产</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当期净利润</w:t>
            </w:r>
            <w:r>
              <w:rPr>
                <w:rFonts w:ascii="宋体" w:hAnsi="宋体" w:cs="宋体" w:eastAsia="宋体" w:hint="default"/>
                <w:sz w:val="18"/>
                <w:szCs w:val="18"/>
              </w:rPr>
            </w:r>
          </w:p>
        </w:tc>
      </w:tr>
      <w:tr>
        <w:trPr>
          <w:trHeight w:val="71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4"/>
              <w:ind w:left="81" w:right="139"/>
              <w:jc w:val="left"/>
              <w:rPr>
                <w:rFonts w:ascii="宋体" w:hAnsi="宋体" w:cs="宋体" w:eastAsia="宋体" w:hint="default"/>
                <w:sz w:val="18"/>
                <w:szCs w:val="18"/>
              </w:rPr>
            </w:pPr>
            <w:r>
              <w:rPr>
                <w:rFonts w:ascii="宋体" w:hAnsi="宋体" w:cs="宋体" w:eastAsia="宋体" w:hint="default"/>
                <w:sz w:val="18"/>
                <w:szCs w:val="18"/>
              </w:rPr>
              <w:t>（大连）有 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软件与</w:t>
            </w:r>
          </w:p>
          <w:p>
            <w:pPr>
              <w:pStyle w:val="TableParagraph"/>
              <w:spacing w:line="232" w:lineRule="exact" w:before="24"/>
              <w:ind w:left="79" w:right="170"/>
              <w:jc w:val="left"/>
              <w:rPr>
                <w:rFonts w:ascii="宋体" w:hAnsi="宋体" w:cs="宋体" w:eastAsia="宋体" w:hint="default"/>
                <w:sz w:val="18"/>
                <w:szCs w:val="18"/>
              </w:rPr>
            </w:pPr>
            <w:r>
              <w:rPr>
                <w:rFonts w:ascii="宋体" w:hAnsi="宋体" w:cs="宋体" w:eastAsia="宋体" w:hint="default"/>
                <w:sz w:val="18"/>
                <w:szCs w:val="18"/>
              </w:rPr>
              <w:t>系统集 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9" w:right="77"/>
              <w:jc w:val="left"/>
              <w:rPr>
                <w:rFonts w:ascii="宋体" w:hAnsi="宋体" w:cs="宋体" w:eastAsia="宋体" w:hint="default"/>
                <w:sz w:val="18"/>
                <w:szCs w:val="18"/>
              </w:rPr>
            </w:pPr>
            <w:r>
              <w:rPr>
                <w:rFonts w:ascii="宋体" w:hAnsi="宋体" w:cs="宋体" w:eastAsia="宋体" w:hint="default"/>
                <w:sz w:val="18"/>
                <w:szCs w:val="18"/>
              </w:rPr>
              <w:t>经营计算 </w:t>
            </w:r>
            <w:r>
              <w:rPr>
                <w:rFonts w:ascii="宋体" w:hAnsi="宋体" w:cs="宋体" w:eastAsia="宋体" w:hint="default"/>
                <w:spacing w:val="-16"/>
                <w:sz w:val="18"/>
                <w:szCs w:val="18"/>
              </w:rPr>
              <w:t>机软、硬件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600,000,000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1,054,328,098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913,082,688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1,040,073,070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59,733,829</w:t>
            </w:r>
          </w:p>
        </w:tc>
      </w:tr>
      <w:tr>
        <w:trPr>
          <w:trHeight w:val="71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81" w:right="-10"/>
              <w:jc w:val="left"/>
              <w:rPr>
                <w:rFonts w:ascii="宋体" w:hAnsi="宋体" w:cs="宋体" w:eastAsia="宋体" w:hint="default"/>
                <w:sz w:val="18"/>
                <w:szCs w:val="18"/>
              </w:rPr>
            </w:pPr>
            <w:r>
              <w:rPr>
                <w:rFonts w:ascii="宋体" w:hAnsi="宋体" w:cs="宋体" w:eastAsia="宋体" w:hint="default"/>
                <w:spacing w:val="-5"/>
                <w:sz w:val="18"/>
                <w:szCs w:val="18"/>
              </w:rPr>
              <w:t>东软（日本）</w:t>
            </w:r>
            <w:r>
              <w:rPr>
                <w:rFonts w:ascii="宋体" w:hAnsi="宋体" w:cs="宋体" w:eastAsia="宋体" w:hint="default"/>
                <w:sz w:val="18"/>
                <w:szCs w:val="18"/>
              </w:rPr>
              <w:t> 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软件与</w:t>
            </w:r>
          </w:p>
          <w:p>
            <w:pPr>
              <w:pStyle w:val="TableParagraph"/>
              <w:spacing w:line="232" w:lineRule="exact" w:before="24"/>
              <w:ind w:left="79" w:right="170"/>
              <w:jc w:val="left"/>
              <w:rPr>
                <w:rFonts w:ascii="宋体" w:hAnsi="宋体" w:cs="宋体" w:eastAsia="宋体" w:hint="default"/>
                <w:sz w:val="18"/>
                <w:szCs w:val="18"/>
              </w:rPr>
            </w:pPr>
            <w:r>
              <w:rPr>
                <w:rFonts w:ascii="宋体" w:hAnsi="宋体" w:cs="宋体" w:eastAsia="宋体" w:hint="default"/>
                <w:sz w:val="18"/>
                <w:szCs w:val="18"/>
              </w:rPr>
              <w:t>系统集 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9" w:right="77"/>
              <w:jc w:val="left"/>
              <w:rPr>
                <w:rFonts w:ascii="宋体" w:hAnsi="宋体" w:cs="宋体" w:eastAsia="宋体" w:hint="default"/>
                <w:sz w:val="18"/>
                <w:szCs w:val="18"/>
              </w:rPr>
            </w:pPr>
            <w:r>
              <w:rPr>
                <w:rFonts w:ascii="宋体" w:hAnsi="宋体" w:cs="宋体" w:eastAsia="宋体" w:hint="default"/>
                <w:sz w:val="18"/>
                <w:szCs w:val="18"/>
              </w:rPr>
              <w:t>经营计算 </w:t>
            </w:r>
            <w:r>
              <w:rPr>
                <w:rFonts w:ascii="宋体" w:hAnsi="宋体" w:cs="宋体" w:eastAsia="宋体" w:hint="default"/>
                <w:spacing w:val="-16"/>
                <w:sz w:val="18"/>
                <w:szCs w:val="18"/>
              </w:rPr>
              <w:t>机软、硬件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79"/>
              <w:jc w:val="right"/>
              <w:rPr>
                <w:rFonts w:ascii="宋体" w:hAnsi="宋体" w:cs="宋体" w:eastAsia="宋体" w:hint="default"/>
                <w:sz w:val="18"/>
                <w:szCs w:val="18"/>
              </w:rPr>
            </w:pPr>
            <w:r>
              <w:rPr>
                <w:rFonts w:ascii="宋体"/>
                <w:spacing w:val="-1"/>
                <w:sz w:val="18"/>
              </w:rPr>
              <w:t>187,750,000</w:t>
            </w:r>
          </w:p>
          <w:p>
            <w:pPr>
              <w:pStyle w:val="TableParagraph"/>
              <w:spacing w:line="234" w:lineRule="exact"/>
              <w:ind w:right="79"/>
              <w:jc w:val="right"/>
              <w:rPr>
                <w:rFonts w:ascii="宋体" w:hAnsi="宋体" w:cs="宋体" w:eastAsia="宋体" w:hint="default"/>
                <w:sz w:val="18"/>
                <w:szCs w:val="18"/>
              </w:rPr>
            </w:pPr>
            <w:r>
              <w:rPr>
                <w:rFonts w:ascii="宋体" w:hAnsi="宋体" w:cs="宋体" w:eastAsia="宋体" w:hint="default"/>
                <w:sz w:val="18"/>
                <w:szCs w:val="18"/>
              </w:rPr>
              <w:t>日元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287,696,652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153,860,601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736,341,386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15,541,735</w:t>
            </w:r>
          </w:p>
        </w:tc>
      </w:tr>
      <w:tr>
        <w:trPr>
          <w:trHeight w:val="94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81" w:right="-10"/>
              <w:jc w:val="left"/>
              <w:rPr>
                <w:rFonts w:ascii="宋体" w:hAnsi="宋体" w:cs="宋体" w:eastAsia="宋体" w:hint="default"/>
                <w:sz w:val="18"/>
                <w:szCs w:val="18"/>
              </w:rPr>
            </w:pPr>
            <w:r>
              <w:rPr>
                <w:rFonts w:ascii="宋体" w:hAnsi="宋体" w:cs="宋体" w:eastAsia="宋体" w:hint="default"/>
                <w:spacing w:val="-5"/>
                <w:sz w:val="18"/>
                <w:szCs w:val="18"/>
              </w:rPr>
              <w:t>东软（欧洲）</w:t>
            </w:r>
            <w:r>
              <w:rPr>
                <w:rFonts w:ascii="宋体" w:hAnsi="宋体" w:cs="宋体" w:eastAsia="宋体" w:hint="default"/>
                <w:sz w:val="18"/>
                <w:szCs w:val="18"/>
              </w:rPr>
              <w:t> 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9" w:right="170"/>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both"/>
              <w:rPr>
                <w:rFonts w:ascii="宋体" w:hAnsi="宋体" w:cs="宋体" w:eastAsia="宋体" w:hint="default"/>
                <w:sz w:val="18"/>
                <w:szCs w:val="18"/>
              </w:rPr>
            </w:pPr>
            <w:r>
              <w:rPr>
                <w:rFonts w:ascii="宋体" w:hAnsi="宋体" w:cs="宋体" w:eastAsia="宋体" w:hint="default"/>
                <w:sz w:val="18"/>
                <w:szCs w:val="18"/>
              </w:rPr>
              <w:t>经营计算</w:t>
            </w:r>
          </w:p>
          <w:p>
            <w:pPr>
              <w:pStyle w:val="TableParagraph"/>
              <w:spacing w:line="237" w:lineRule="auto" w:before="2"/>
              <w:ind w:left="79" w:right="-1"/>
              <w:jc w:val="both"/>
              <w:rPr>
                <w:rFonts w:ascii="宋体" w:hAnsi="宋体" w:cs="宋体" w:eastAsia="宋体" w:hint="default"/>
                <w:sz w:val="18"/>
                <w:szCs w:val="18"/>
              </w:rPr>
            </w:pPr>
            <w:r>
              <w:rPr>
                <w:rFonts w:ascii="宋体" w:hAnsi="宋体" w:cs="宋体" w:eastAsia="宋体" w:hint="default"/>
                <w:sz w:val="18"/>
                <w:szCs w:val="18"/>
              </w:rPr>
              <w:t>机软硬件、 技术咨询、 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339" w:right="0"/>
              <w:jc w:val="center"/>
              <w:rPr>
                <w:rFonts w:ascii="宋体" w:hAnsi="宋体" w:cs="宋体" w:eastAsia="宋体" w:hint="default"/>
                <w:sz w:val="18"/>
                <w:szCs w:val="18"/>
              </w:rPr>
            </w:pPr>
            <w:r>
              <w:rPr>
                <w:rFonts w:ascii="宋体"/>
                <w:sz w:val="18"/>
              </w:rPr>
              <w:t>37,900,000</w:t>
            </w:r>
          </w:p>
          <w:p>
            <w:pPr>
              <w:pStyle w:val="TableParagraph"/>
              <w:spacing w:line="234" w:lineRule="exact"/>
              <w:ind w:left="523" w:right="0"/>
              <w:jc w:val="center"/>
              <w:rPr>
                <w:rFonts w:ascii="宋体" w:hAnsi="宋体" w:cs="宋体" w:eastAsia="宋体" w:hint="default"/>
                <w:sz w:val="18"/>
                <w:szCs w:val="18"/>
              </w:rPr>
            </w:pPr>
            <w:r>
              <w:rPr>
                <w:rFonts w:ascii="宋体" w:hAnsi="宋体" w:cs="宋体" w:eastAsia="宋体" w:hint="default"/>
                <w:sz w:val="18"/>
                <w:szCs w:val="18"/>
              </w:rPr>
              <w:t>瑞士法郎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1"/>
              <w:jc w:val="right"/>
              <w:rPr>
                <w:rFonts w:ascii="宋体" w:hAnsi="宋体" w:cs="宋体" w:eastAsia="宋体" w:hint="default"/>
                <w:sz w:val="18"/>
                <w:szCs w:val="18"/>
              </w:rPr>
            </w:pPr>
            <w:r>
              <w:rPr>
                <w:rFonts w:ascii="宋体"/>
                <w:sz w:val="18"/>
              </w:rPr>
              <w:t>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198,375,582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98,031,192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112,708,206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sz w:val="18"/>
              </w:rPr>
              <w:t>-46,097,656</w:t>
            </w:r>
          </w:p>
        </w:tc>
      </w:tr>
      <w:tr>
        <w:trPr>
          <w:trHeight w:val="9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81" w:right="140"/>
              <w:jc w:val="left"/>
              <w:rPr>
                <w:rFonts w:ascii="宋体" w:hAnsi="宋体" w:cs="宋体" w:eastAsia="宋体" w:hint="default"/>
                <w:sz w:val="18"/>
                <w:szCs w:val="18"/>
              </w:rPr>
            </w:pPr>
            <w:r>
              <w:rPr>
                <w:rFonts w:ascii="宋体" w:hAnsi="宋体" w:cs="宋体" w:eastAsia="宋体" w:hint="default"/>
                <w:sz w:val="18"/>
                <w:szCs w:val="18"/>
              </w:rPr>
              <w:t>东软科技有 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9" w:right="170"/>
              <w:jc w:val="both"/>
              <w:rPr>
                <w:rFonts w:ascii="宋体" w:hAnsi="宋体" w:cs="宋体" w:eastAsia="宋体" w:hint="default"/>
                <w:sz w:val="18"/>
                <w:szCs w:val="18"/>
              </w:rPr>
            </w:pPr>
            <w:r>
              <w:rPr>
                <w:rFonts w:ascii="宋体" w:hAnsi="宋体" w:cs="宋体" w:eastAsia="宋体" w:hint="default"/>
                <w:sz w:val="18"/>
                <w:szCs w:val="18"/>
              </w:rPr>
              <w:t>软件与 系统集 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9" w:right="0"/>
              <w:jc w:val="both"/>
              <w:rPr>
                <w:rFonts w:ascii="宋体" w:hAnsi="宋体" w:cs="宋体" w:eastAsia="宋体" w:hint="default"/>
                <w:sz w:val="18"/>
                <w:szCs w:val="18"/>
              </w:rPr>
            </w:pPr>
            <w:r>
              <w:rPr>
                <w:rFonts w:ascii="宋体" w:hAnsi="宋体" w:cs="宋体" w:eastAsia="宋体" w:hint="default"/>
                <w:sz w:val="18"/>
                <w:szCs w:val="18"/>
              </w:rPr>
              <w:t>经营计算</w:t>
            </w:r>
          </w:p>
          <w:p>
            <w:pPr>
              <w:pStyle w:val="TableParagraph"/>
              <w:spacing w:line="232" w:lineRule="exact" w:before="23"/>
              <w:ind w:left="79" w:right="-1"/>
              <w:jc w:val="both"/>
              <w:rPr>
                <w:rFonts w:ascii="宋体" w:hAnsi="宋体" w:cs="宋体" w:eastAsia="宋体" w:hint="default"/>
                <w:sz w:val="18"/>
                <w:szCs w:val="18"/>
              </w:rPr>
            </w:pPr>
            <w:r>
              <w:rPr>
                <w:rFonts w:ascii="宋体" w:hAnsi="宋体" w:cs="宋体" w:eastAsia="宋体" w:hint="default"/>
                <w:sz w:val="18"/>
                <w:szCs w:val="18"/>
              </w:rPr>
              <w:t>机软硬件、 技术咨询、 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1"/>
              <w:jc w:val="right"/>
              <w:rPr>
                <w:rFonts w:ascii="宋体" w:hAnsi="宋体" w:cs="宋体" w:eastAsia="宋体" w:hint="default"/>
                <w:sz w:val="18"/>
                <w:szCs w:val="18"/>
              </w:rPr>
            </w:pPr>
            <w:r>
              <w:rPr>
                <w:rFonts w:ascii="宋体"/>
                <w:sz w:val="18"/>
              </w:rPr>
              <w:t>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26,246,809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-14,982,802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41,340,172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sz w:val="18"/>
              </w:rPr>
              <w:t>-18,058,525</w:t>
            </w:r>
          </w:p>
        </w:tc>
      </w:tr>
      <w:tr>
        <w:trPr>
          <w:trHeight w:val="71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1" w:right="-10"/>
              <w:jc w:val="left"/>
              <w:rPr>
                <w:rFonts w:ascii="宋体" w:hAnsi="宋体" w:cs="宋体" w:eastAsia="宋体" w:hint="default"/>
                <w:sz w:val="18"/>
                <w:szCs w:val="18"/>
              </w:rPr>
            </w:pPr>
            <w:r>
              <w:rPr>
                <w:rFonts w:ascii="宋体" w:hAnsi="宋体" w:cs="宋体" w:eastAsia="宋体" w:hint="default"/>
                <w:spacing w:val="-5"/>
                <w:sz w:val="18"/>
                <w:szCs w:val="18"/>
              </w:rPr>
              <w:t>东软（香港）</w:t>
            </w:r>
            <w:r>
              <w:rPr>
                <w:rFonts w:ascii="宋体" w:hAnsi="宋体" w:cs="宋体" w:eastAsia="宋体" w:hint="default"/>
                <w:sz w:val="18"/>
                <w:szCs w:val="18"/>
              </w:rPr>
              <w:t> 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软件与</w:t>
            </w:r>
          </w:p>
          <w:p>
            <w:pPr>
              <w:pStyle w:val="TableParagraph"/>
              <w:spacing w:line="232" w:lineRule="exact" w:before="23"/>
              <w:ind w:left="79" w:right="170"/>
              <w:jc w:val="left"/>
              <w:rPr>
                <w:rFonts w:ascii="宋体" w:hAnsi="宋体" w:cs="宋体" w:eastAsia="宋体" w:hint="default"/>
                <w:sz w:val="18"/>
                <w:szCs w:val="18"/>
              </w:rPr>
            </w:pPr>
            <w:r>
              <w:rPr>
                <w:rFonts w:ascii="宋体" w:hAnsi="宋体" w:cs="宋体" w:eastAsia="宋体" w:hint="default"/>
                <w:sz w:val="18"/>
                <w:szCs w:val="18"/>
              </w:rPr>
              <w:t>系统集 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计算机软</w:t>
            </w:r>
          </w:p>
          <w:p>
            <w:pPr>
              <w:pStyle w:val="TableParagraph"/>
              <w:spacing w:line="232" w:lineRule="exact" w:before="23"/>
              <w:ind w:left="79" w:right="156"/>
              <w:jc w:val="left"/>
              <w:rPr>
                <w:rFonts w:ascii="宋体" w:hAnsi="宋体" w:cs="宋体" w:eastAsia="宋体" w:hint="default"/>
                <w:sz w:val="18"/>
                <w:szCs w:val="18"/>
              </w:rPr>
            </w:pPr>
            <w:r>
              <w:rPr>
                <w:rFonts w:ascii="宋体" w:hAnsi="宋体" w:cs="宋体" w:eastAsia="宋体" w:hint="default"/>
                <w:spacing w:val="-32"/>
                <w:sz w:val="18"/>
                <w:szCs w:val="18"/>
              </w:rPr>
              <w:t>件开发、销</w:t>
            </w:r>
            <w:r>
              <w:rPr>
                <w:rFonts w:ascii="宋体" w:hAnsi="宋体" w:cs="宋体" w:eastAsia="宋体" w:hint="default"/>
                <w:spacing w:val="-80"/>
                <w:sz w:val="18"/>
                <w:szCs w:val="18"/>
              </w:rPr>
              <w:t> </w:t>
            </w:r>
            <w:r>
              <w:rPr>
                <w:rFonts w:ascii="宋体" w:hAnsi="宋体" w:cs="宋体" w:eastAsia="宋体" w:hint="default"/>
                <w:sz w:val="18"/>
                <w:szCs w:val="18"/>
              </w:rPr>
              <w:t>售、咨询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850,000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606,403,988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514,630,166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20,080,985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-61,708,989</w:t>
            </w:r>
          </w:p>
        </w:tc>
      </w:tr>
    </w:tbl>
    <w:p>
      <w:pPr>
        <w:spacing w:line="240" w:lineRule="auto" w:before="12"/>
        <w:rPr>
          <w:rFonts w:ascii="宋体" w:hAnsi="宋体" w:cs="宋体" w:eastAsia="宋体" w:hint="default"/>
          <w:sz w:val="19"/>
          <w:szCs w:val="19"/>
        </w:rPr>
      </w:pPr>
    </w:p>
    <w:p>
      <w:pPr>
        <w:pStyle w:val="Heading4"/>
        <w:spacing w:line="240" w:lineRule="auto" w:before="36"/>
        <w:ind w:left="109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35"/>
        </w:rPr>
        <w:t> </w:t>
      </w:r>
      <w:r>
        <w:rPr/>
        <w:t>公司控制的结构化主体情况</w:t>
      </w:r>
      <w:r>
        <w:rPr>
          <w:b w:val="0"/>
          <w:bCs w:val="0"/>
        </w:rPr>
      </w:r>
    </w:p>
    <w:p>
      <w:pPr>
        <w:pStyle w:val="BodyText"/>
        <w:tabs>
          <w:tab w:pos="1940" w:val="left" w:leader="none"/>
        </w:tabs>
        <w:spacing w:line="240" w:lineRule="auto" w:before="58"/>
        <w:ind w:left="1098" w:right="0"/>
        <w:jc w:val="left"/>
      </w:pPr>
      <w:r>
        <w:rPr>
          <w:spacing w:val="-1"/>
        </w:rPr>
        <w:t>□适用</w:t>
        <w:tab/>
      </w:r>
      <w:r>
        <w:rPr>
          <w:spacing w:val="-2"/>
        </w:rPr>
        <w:t>√不适用</w:t>
      </w:r>
    </w:p>
    <w:p>
      <w:pPr>
        <w:spacing w:after="0" w:line="240" w:lineRule="auto"/>
        <w:jc w:val="left"/>
        <w:sectPr>
          <w:type w:val="continuous"/>
          <w:pgSz w:w="11910" w:h="16840"/>
          <w:pgMar w:top="1580" w:bottom="280" w:left="700" w:right="160"/>
        </w:sectPr>
      </w:pPr>
    </w:p>
    <w:p>
      <w:pPr>
        <w:spacing w:line="240" w:lineRule="auto" w:before="8"/>
        <w:rPr>
          <w:rFonts w:ascii="宋体" w:hAnsi="宋体" w:cs="宋体" w:eastAsia="宋体" w:hint="default"/>
          <w:sz w:val="6"/>
          <w:szCs w:val="6"/>
        </w:rPr>
      </w:pPr>
    </w:p>
    <w:p>
      <w:pPr>
        <w:spacing w:line="360" w:lineRule="exact"/>
        <w:ind w:left="61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5"/>
        <w:rPr>
          <w:rFonts w:ascii="宋体" w:hAnsi="宋体" w:cs="宋体" w:eastAsia="宋体" w:hint="default"/>
          <w:sz w:val="11"/>
          <w:szCs w:val="11"/>
        </w:rPr>
      </w:pPr>
    </w:p>
    <w:p>
      <w:pPr>
        <w:pStyle w:val="Heading4"/>
        <w:spacing w:line="290" w:lineRule="auto" w:before="36"/>
        <w:ind w:left="118" w:right="5107"/>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9"/>
        </w:rPr>
        <w:t> </w:t>
      </w:r>
      <w:r>
        <w:rPr/>
        <w:t>行业格局和趋势</w:t>
      </w:r>
      <w:r>
        <w:rPr>
          <w:b w:val="0"/>
          <w:bCs w:val="0"/>
        </w:rPr>
      </w:r>
    </w:p>
    <w:p>
      <w:pPr>
        <w:pStyle w:val="BodyText"/>
        <w:tabs>
          <w:tab w:pos="960" w:val="left" w:leader="none"/>
        </w:tabs>
        <w:spacing w:line="240" w:lineRule="auto" w:before="12"/>
        <w:ind w:left="538" w:right="117" w:hanging="420"/>
        <w:jc w:val="left"/>
      </w:pPr>
      <w:r>
        <w:rPr>
          <w:spacing w:val="-1"/>
        </w:rPr>
        <w:t>√适用</w:t>
        <w:tab/>
      </w:r>
      <w:r>
        <w:rPr>
          <w:spacing w:val="-2"/>
        </w:rPr>
        <w:t>□不适用</w:t>
      </w:r>
      <w:r>
        <w:rPr>
          <w:spacing w:val="-99"/>
        </w:rPr>
        <w:t> </w:t>
      </w:r>
      <w:r>
        <w:rPr>
          <w:spacing w:val="-99"/>
        </w:rPr>
      </w:r>
      <w:r>
        <w:rPr>
          <w:spacing w:val="-2"/>
        </w:rPr>
        <w:t>软件和信息技术服务业作为战略性新兴产业，我国将继续推广互联网、大数据、人工智能等</w:t>
      </w:r>
    </w:p>
    <w:p>
      <w:pPr>
        <w:pStyle w:val="BodyText"/>
        <w:spacing w:line="237" w:lineRule="auto"/>
        <w:ind w:left="118" w:right="108"/>
        <w:jc w:val="both"/>
      </w:pPr>
      <w:r>
        <w:rPr>
          <w:spacing w:val="-1"/>
        </w:rPr>
        <w:t>技术的应用，为行业发展建立良好的政策环境。我国软件和信息技术服务业将步入转型调整期，</w:t>
      </w:r>
      <w:r>
        <w:rPr>
          <w:spacing w:val="-55"/>
        </w:rPr>
        <w:t> </w:t>
      </w:r>
      <w:r>
        <w:rPr>
          <w:spacing w:val="-55"/>
        </w:rPr>
      </w:r>
      <w:r>
        <w:rPr>
          <w:spacing w:val="-1"/>
        </w:rPr>
        <w:t>产业发展新兴动能持续拓展，以软件定义为驱动的数字经济蓬勃发展，产业生态体系加速构建和</w:t>
      </w:r>
      <w:r>
        <w:rPr>
          <w:spacing w:val="-55"/>
        </w:rPr>
        <w:t> </w:t>
      </w:r>
      <w:r>
        <w:rPr>
          <w:spacing w:val="-55"/>
        </w:rPr>
      </w:r>
      <w:r>
        <w:rPr>
          <w:spacing w:val="-1"/>
        </w:rPr>
        <w:t>完善。以企业为主体的产业创新体系进一步完善，研发投入持续加大，在重点领域形成创新引领</w:t>
      </w:r>
      <w:r>
        <w:rPr>
          <w:spacing w:val="-55"/>
        </w:rPr>
        <w:t> </w:t>
      </w:r>
      <w:r>
        <w:rPr>
          <w:spacing w:val="-55"/>
        </w:rPr>
      </w:r>
      <w:r>
        <w:rPr/>
        <w:t>能力和明显竞争优势。</w:t>
      </w:r>
    </w:p>
    <w:p>
      <w:pPr>
        <w:pStyle w:val="BodyText"/>
        <w:spacing w:line="237" w:lineRule="auto"/>
        <w:ind w:left="118" w:right="108" w:firstLine="419"/>
        <w:jc w:val="both"/>
      </w:pPr>
      <w:r>
        <w:rPr>
          <w:spacing w:val="-2"/>
        </w:rPr>
        <w:t>未来，我国要加速软件与各行业领域的融合应用，加快发展移动互联网应用软件和服务。面</w:t>
      </w:r>
      <w:r>
        <w:rPr>
          <w:w w:val="100"/>
        </w:rPr>
        <w:t> </w:t>
      </w:r>
      <w:r>
        <w:rPr>
          <w:spacing w:val="-1"/>
        </w:rPr>
        <w:t>向新兴媒体、医疗健康、文化教育、交通出行、金融服务、商贸流通等领域创新发展需求，建立</w:t>
      </w:r>
      <w:r>
        <w:rPr>
          <w:spacing w:val="-55"/>
        </w:rPr>
        <w:t> </w:t>
      </w:r>
      <w:r>
        <w:rPr>
          <w:spacing w:val="-55"/>
        </w:rPr>
      </w:r>
      <w:r>
        <w:rPr>
          <w:spacing w:val="-1"/>
        </w:rPr>
        <w:t>分享经济平台，发展基于软件和移动互联网的移动化、社交化、个性化信息服务，积极培育新型</w:t>
      </w:r>
      <w:r>
        <w:rPr>
          <w:spacing w:val="-55"/>
        </w:rPr>
        <w:t> </w:t>
      </w:r>
      <w:r>
        <w:rPr>
          <w:spacing w:val="-55"/>
        </w:rPr>
      </w:r>
      <w:r>
        <w:rPr/>
        <w:t>网络经济模式，强化对“中国制造</w:t>
      </w:r>
      <w:r>
        <w:rPr>
          <w:spacing w:val="6"/>
        </w:rPr>
        <w:t> </w:t>
      </w:r>
      <w:r>
        <w:rPr/>
        <w:t>2025”、“互联网+”行动计划等的支撑服务。深化物联网软</w:t>
      </w:r>
      <w:r>
        <w:rPr>
          <w:w w:val="100"/>
        </w:rPr>
        <w:t> </w:t>
      </w:r>
      <w:r>
        <w:rPr>
          <w:spacing w:val="-1"/>
        </w:rPr>
        <w:t>件技术在智能制造、智慧农业、交通运输等领域的融合应用。围绕现代政府社会治理应用需求，</w:t>
      </w:r>
      <w:r>
        <w:rPr>
          <w:spacing w:val="-55"/>
        </w:rPr>
        <w:t> </w:t>
      </w:r>
      <w:r>
        <w:rPr>
          <w:spacing w:val="-55"/>
        </w:rPr>
      </w:r>
      <w:r>
        <w:rPr>
          <w:spacing w:val="-1"/>
        </w:rPr>
        <w:t>利用云计算、大数据等新一代信息技术建立面向政府服务和社会治理的产品和服务体系。开展医</w:t>
      </w:r>
      <w:r>
        <w:rPr>
          <w:spacing w:val="-55"/>
        </w:rPr>
        <w:t> </w:t>
      </w:r>
      <w:r>
        <w:rPr>
          <w:spacing w:val="-55"/>
        </w:rPr>
      </w:r>
      <w:r>
        <w:rPr>
          <w:spacing w:val="-1"/>
        </w:rPr>
        <w:t>疗、养老、教育、扶贫等领域民生服务类应用软件和信息技术服务的研发及应用，推动基于软件</w:t>
      </w:r>
      <w:r>
        <w:rPr>
          <w:spacing w:val="-55"/>
        </w:rPr>
        <w:t> </w:t>
      </w:r>
      <w:r>
        <w:rPr>
          <w:spacing w:val="-55"/>
        </w:rPr>
      </w:r>
      <w:r>
        <w:rPr/>
        <w:t>平台的民生服务应用创新。</w:t>
      </w:r>
    </w:p>
    <w:p>
      <w:pPr>
        <w:pStyle w:val="BodyText"/>
        <w:spacing w:line="237" w:lineRule="auto"/>
        <w:ind w:left="118" w:right="108" w:firstLine="419"/>
        <w:jc w:val="both"/>
      </w:pPr>
      <w:r>
        <w:rPr>
          <w:spacing w:val="-2"/>
        </w:rPr>
        <w:t>在中国经济与企业的转型升级、信息化与工业化深度融合、企业与公共组织信息化升级、企</w:t>
      </w:r>
      <w:r>
        <w:rPr>
          <w:w w:val="100"/>
        </w:rPr>
        <w:t> </w:t>
      </w:r>
      <w:r>
        <w:rPr>
          <w:spacing w:val="-6"/>
        </w:rPr>
        <w:t>业计算平台重构的趋势下，围绕着医疗卫生领域信息化建设、智慧城市建设、信息惠民工程建设、</w:t>
      </w:r>
      <w:r>
        <w:rPr>
          <w:spacing w:val="-54"/>
        </w:rPr>
        <w:t> </w:t>
      </w:r>
      <w:r>
        <w:rPr>
          <w:spacing w:val="-54"/>
        </w:rPr>
      </w:r>
      <w:r>
        <w:rPr>
          <w:spacing w:val="-1"/>
        </w:rPr>
        <w:t>民生服务应用、政府信息化、信息基础设施建设等新的市场需求将不断被激发，跨界与融合将成</w:t>
      </w:r>
      <w:r>
        <w:rPr>
          <w:spacing w:val="-55"/>
        </w:rPr>
        <w:t> </w:t>
      </w:r>
      <w:r>
        <w:rPr>
          <w:spacing w:val="-55"/>
        </w:rPr>
      </w:r>
      <w:r>
        <w:rPr/>
        <w:t>为市场竞争的新常态。</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9"/>
        </w:rPr>
        <w:t> </w:t>
      </w:r>
      <w:r>
        <w:rPr/>
        <w:t>公司发展战略</w:t>
      </w:r>
      <w:r>
        <w:rPr>
          <w:b w:val="0"/>
          <w:bCs w:val="0"/>
        </w:rPr>
      </w:r>
    </w:p>
    <w:p>
      <w:pPr>
        <w:pStyle w:val="BodyText"/>
        <w:spacing w:line="273" w:lineRule="exact" w:before="58"/>
        <w:ind w:left="118" w:right="0"/>
        <w:jc w:val="both"/>
      </w:pPr>
      <w:r>
        <w:rPr/>
        <w:t>√适用</w:t>
      </w:r>
      <w:r>
        <w:rPr>
          <w:spacing w:val="104"/>
        </w:rPr>
        <w:t> </w:t>
      </w:r>
      <w:r>
        <w:rPr/>
        <w:t>□不适用</w:t>
      </w:r>
    </w:p>
    <w:p>
      <w:pPr>
        <w:pStyle w:val="BodyText"/>
        <w:spacing w:line="273" w:lineRule="exact"/>
        <w:ind w:left="538" w:right="0"/>
        <w:jc w:val="left"/>
      </w:pPr>
      <w:r>
        <w:rPr>
          <w:rFonts w:ascii="宋体" w:hAnsi="宋体" w:cs="宋体" w:eastAsia="宋体" w:hint="default"/>
        </w:rPr>
        <w:t>2018</w:t>
      </w:r>
      <w:r>
        <w:rPr>
          <w:rFonts w:ascii="宋体" w:hAnsi="宋体" w:cs="宋体" w:eastAsia="宋体" w:hint="default"/>
          <w:spacing w:val="-55"/>
        </w:rPr>
        <w:t> </w:t>
      </w:r>
      <w:r>
        <w:rPr/>
        <w:t>年，公司制定如下发展战略和实施计划：</w:t>
      </w:r>
    </w:p>
    <w:p>
      <w:pPr>
        <w:pStyle w:val="BodyText"/>
        <w:spacing w:line="237" w:lineRule="auto" w:before="2"/>
        <w:ind w:left="118" w:right="108" w:firstLine="419"/>
        <w:jc w:val="both"/>
      </w:pPr>
      <w:r>
        <w:rPr>
          <w:rFonts w:ascii="宋体" w:hAnsi="宋体" w:cs="宋体" w:eastAsia="宋体" w:hint="default"/>
          <w:spacing w:val="-4"/>
        </w:rPr>
        <w:t>1</w:t>
      </w:r>
      <w:r>
        <w:rPr>
          <w:spacing w:val="-4"/>
        </w:rPr>
        <w:t>、继续执行创新与全球化发展策略，以自主知识资产为核心驱动，以核心业务的专业化、</w:t>
      </w:r>
      <w:r>
        <w:rPr>
          <w:rFonts w:ascii="宋体" w:hAnsi="宋体" w:cs="宋体" w:eastAsia="宋体" w:hint="default"/>
          <w:spacing w:val="-4"/>
        </w:rPr>
        <w:t>IP</w:t>
      </w:r>
      <w:r>
        <w:rPr>
          <w:rFonts w:ascii="宋体" w:hAnsi="宋体" w:cs="宋体" w:eastAsia="宋体" w:hint="default"/>
          <w:w w:val="100"/>
        </w:rPr>
        <w:t> </w:t>
      </w:r>
      <w:r>
        <w:rPr/>
        <w:t>化、互联网化为发展方向，强势推进《东软</w:t>
      </w:r>
      <w:r>
        <w:rPr>
          <w:spacing w:val="-55"/>
        </w:rPr>
        <w:t> </w:t>
      </w:r>
      <w:r>
        <w:rPr>
          <w:rFonts w:ascii="宋体" w:hAnsi="宋体" w:cs="宋体" w:eastAsia="宋体" w:hint="default"/>
        </w:rPr>
        <w:t>5.0</w:t>
      </w:r>
      <w:r>
        <w:rPr>
          <w:rFonts w:ascii="宋体" w:hAnsi="宋体" w:cs="宋体" w:eastAsia="宋体" w:hint="default"/>
          <w:spacing w:val="-55"/>
        </w:rPr>
        <w:t> </w:t>
      </w:r>
      <w:r>
        <w:rPr/>
        <w:t>发展规划》，继续推动核心业务、产业互联网和</w:t>
      </w:r>
      <w:r>
        <w:rPr>
          <w:w w:val="100"/>
        </w:rPr>
        <w:t> </w:t>
      </w:r>
      <w:r>
        <w:rPr/>
        <w:t>社会化互联网业务联动发展。</w:t>
      </w:r>
    </w:p>
    <w:p>
      <w:pPr>
        <w:pStyle w:val="BodyText"/>
        <w:spacing w:line="237" w:lineRule="auto"/>
        <w:ind w:left="118" w:right="108" w:firstLine="419"/>
        <w:jc w:val="both"/>
      </w:pPr>
      <w:r>
        <w:rPr>
          <w:rFonts w:ascii="宋体" w:hAnsi="宋体" w:cs="宋体" w:eastAsia="宋体" w:hint="default"/>
          <w:spacing w:val="-4"/>
        </w:rPr>
        <w:t>2</w:t>
      </w:r>
      <w:r>
        <w:rPr>
          <w:spacing w:val="-4"/>
        </w:rPr>
        <w:t>、以大健康、大汽车业务联动发展的战略布局为基础，致力于专业化能力的提升，聚焦公司</w:t>
      </w:r>
      <w:r>
        <w:rPr>
          <w:w w:val="100"/>
        </w:rPr>
        <w:t> </w:t>
      </w:r>
      <w:r>
        <w:rPr/>
        <w:t>主营业务的</w:t>
      </w:r>
      <w:r>
        <w:rPr>
          <w:spacing w:val="-33"/>
        </w:rPr>
        <w:t> </w:t>
      </w:r>
      <w:r>
        <w:rPr>
          <w:rFonts w:ascii="宋体" w:hAnsi="宋体" w:cs="宋体" w:eastAsia="宋体" w:hint="default"/>
        </w:rPr>
        <w:t>IP</w:t>
      </w:r>
      <w:r>
        <w:rPr>
          <w:rFonts w:ascii="宋体" w:hAnsi="宋体" w:cs="宋体" w:eastAsia="宋体" w:hint="default"/>
          <w:spacing w:val="-36"/>
        </w:rPr>
        <w:t> </w:t>
      </w:r>
      <w:r>
        <w:rPr>
          <w:spacing w:val="-4"/>
        </w:rPr>
        <w:t>化与战略业务领域的下一代产品加强研发投入，通过技术、平台、服务推动企业数</w:t>
      </w:r>
      <w:r>
        <w:rPr>
          <w:spacing w:val="-98"/>
        </w:rPr>
        <w:t> </w:t>
      </w:r>
      <w:r>
        <w:rPr>
          <w:spacing w:val="-98"/>
        </w:rPr>
      </w:r>
      <w:r>
        <w:rPr/>
        <w:t>字化转型。</w:t>
      </w:r>
    </w:p>
    <w:p>
      <w:pPr>
        <w:pStyle w:val="BodyText"/>
        <w:spacing w:line="237" w:lineRule="auto" w:before="1"/>
        <w:ind w:left="118" w:right="108" w:firstLine="419"/>
        <w:jc w:val="both"/>
      </w:pPr>
      <w:r>
        <w:rPr>
          <w:rFonts w:ascii="宋体" w:hAnsi="宋体" w:cs="宋体" w:eastAsia="宋体" w:hint="default"/>
          <w:spacing w:val="-4"/>
        </w:rPr>
        <w:t>3</w:t>
      </w:r>
      <w:r>
        <w:rPr>
          <w:spacing w:val="-4"/>
        </w:rPr>
        <w:t>、持续推进核心业务的积极健康可持续发展，进一步提高行业专业化水准，实施更为积极的</w:t>
      </w:r>
      <w:r>
        <w:rPr>
          <w:w w:val="100"/>
        </w:rPr>
        <w:t> </w:t>
      </w:r>
      <w:r>
        <w:rPr>
          <w:spacing w:val="-4"/>
        </w:rPr>
        <w:t>市场竞争策略，巩固和进一步扩大优势行业的领导者地位，积极推进“领域平台</w:t>
      </w:r>
      <w:r>
        <w:rPr>
          <w:rFonts w:ascii="宋体" w:hAnsi="宋体" w:cs="宋体" w:eastAsia="宋体" w:hint="default"/>
          <w:spacing w:val="-4"/>
        </w:rPr>
        <w:t>+</w:t>
      </w:r>
      <w:r>
        <w:rPr>
          <w:spacing w:val="-4"/>
        </w:rPr>
        <w:t>产品”的创新业</w:t>
      </w:r>
      <w:r>
        <w:rPr>
          <w:spacing w:val="-36"/>
        </w:rPr>
        <w:t> </w:t>
      </w:r>
      <w:r>
        <w:rPr>
          <w:spacing w:val="-36"/>
        </w:rPr>
      </w:r>
      <w:r>
        <w:rPr/>
        <w:t>务发展模式，规模化提升公司盈利水平。</w:t>
      </w:r>
    </w:p>
    <w:p>
      <w:pPr>
        <w:pStyle w:val="BodyText"/>
        <w:spacing w:line="274" w:lineRule="exact" w:before="22"/>
        <w:ind w:left="118" w:right="108" w:firstLine="419"/>
        <w:jc w:val="both"/>
      </w:pPr>
      <w:r>
        <w:rPr>
          <w:rFonts w:ascii="宋体" w:hAnsi="宋体" w:cs="宋体" w:eastAsia="宋体" w:hint="default"/>
          <w:spacing w:val="-4"/>
        </w:rPr>
        <w:t>4</w:t>
      </w:r>
      <w:r>
        <w:rPr>
          <w:spacing w:val="-4"/>
        </w:rPr>
        <w:t>、继续加强卓越运营，进一步提升组织级竞争能力，强化绩效和效率导向，提升反应速度和</w:t>
      </w:r>
      <w:r>
        <w:rPr>
          <w:w w:val="100"/>
        </w:rPr>
        <w:t> </w:t>
      </w:r>
      <w:r>
        <w:rPr/>
        <w:t>效率，同时持续优化人才结构和布局，推进探索创新激励机制，不断激发员工创业热情。</w:t>
      </w:r>
    </w:p>
    <w:p>
      <w:pPr>
        <w:spacing w:line="240" w:lineRule="auto" w:before="4"/>
        <w:rPr>
          <w:rFonts w:ascii="宋体" w:hAnsi="宋体" w:cs="宋体" w:eastAsia="宋体" w:hint="default"/>
          <w:sz w:val="23"/>
          <w:szCs w:val="23"/>
        </w:rPr>
      </w:pPr>
    </w:p>
    <w:p>
      <w:pPr>
        <w:pStyle w:val="Heading4"/>
        <w:spacing w:line="240" w:lineRule="auto"/>
        <w:ind w:left="11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8"/>
        </w:rPr>
        <w:t> </w:t>
      </w:r>
      <w:r>
        <w:rPr/>
        <w:t>经营计划</w:t>
      </w:r>
      <w:r>
        <w:rPr>
          <w:b w:val="0"/>
          <w:bCs w:val="0"/>
        </w:rPr>
      </w:r>
    </w:p>
    <w:p>
      <w:pPr>
        <w:pStyle w:val="BodyText"/>
        <w:spacing w:line="274" w:lineRule="exact" w:before="56"/>
        <w:ind w:left="118" w:right="0"/>
        <w:jc w:val="both"/>
      </w:pPr>
      <w:r>
        <w:rPr/>
        <w:t>√适用</w:t>
      </w:r>
      <w:r>
        <w:rPr>
          <w:spacing w:val="104"/>
        </w:rPr>
        <w:t> </w:t>
      </w:r>
      <w:r>
        <w:rPr/>
        <w:t>□不适用</w:t>
      </w:r>
    </w:p>
    <w:p>
      <w:pPr>
        <w:pStyle w:val="BodyText"/>
        <w:spacing w:line="272" w:lineRule="exact"/>
        <w:ind w:left="538" w:right="0"/>
        <w:jc w:val="left"/>
      </w:pPr>
      <w:r>
        <w:rPr/>
        <w:t>公司</w:t>
      </w:r>
      <w:r>
        <w:rPr>
          <w:spacing w:val="-51"/>
        </w:rPr>
        <w:t> </w:t>
      </w:r>
      <w:r>
        <w:rPr>
          <w:rFonts w:ascii="宋体" w:hAnsi="宋体" w:cs="宋体" w:eastAsia="宋体" w:hint="default"/>
        </w:rPr>
        <w:t>2016</w:t>
      </w:r>
      <w:r>
        <w:rPr>
          <w:rFonts w:ascii="宋体" w:hAnsi="宋体" w:cs="宋体" w:eastAsia="宋体" w:hint="default"/>
          <w:spacing w:val="-51"/>
        </w:rPr>
        <w:t> </w:t>
      </w:r>
      <w:r>
        <w:rPr/>
        <w:t>年度报告中披露了公司</w:t>
      </w:r>
      <w:r>
        <w:rPr>
          <w:spacing w:val="-51"/>
        </w:rPr>
        <w:t> </w:t>
      </w:r>
      <w:r>
        <w:rPr>
          <w:rFonts w:ascii="宋体" w:hAnsi="宋体" w:cs="宋体" w:eastAsia="宋体" w:hint="default"/>
        </w:rPr>
        <w:t>2017</w:t>
      </w:r>
      <w:r>
        <w:rPr>
          <w:rFonts w:ascii="宋体" w:hAnsi="宋体" w:cs="宋体" w:eastAsia="宋体" w:hint="default"/>
          <w:spacing w:val="-51"/>
        </w:rPr>
        <w:t> </w:t>
      </w:r>
      <w:r>
        <w:rPr/>
        <w:t>年度发展战略和经营计划。报告期内，公司执行既定</w:t>
      </w:r>
    </w:p>
    <w:p>
      <w:pPr>
        <w:pStyle w:val="BodyText"/>
        <w:spacing w:line="271" w:lineRule="exact"/>
        <w:ind w:left="118" w:right="0"/>
        <w:jc w:val="both"/>
      </w:pPr>
      <w:r>
        <w:rPr/>
        <w:t>发展战略，实现营业收入</w:t>
      </w:r>
      <w:r>
        <w:rPr>
          <w:spacing w:val="-54"/>
        </w:rPr>
        <w:t> </w:t>
      </w:r>
      <w:r>
        <w:rPr>
          <w:rFonts w:ascii="宋体" w:hAnsi="宋体" w:cs="宋体" w:eastAsia="宋体" w:hint="default"/>
        </w:rPr>
        <w:t>713,113</w:t>
      </w:r>
      <w:r>
        <w:rPr>
          <w:rFonts w:ascii="宋体" w:hAnsi="宋体" w:cs="宋体" w:eastAsia="宋体" w:hint="default"/>
          <w:spacing w:val="-51"/>
        </w:rPr>
        <w:t> </w:t>
      </w:r>
      <w:r>
        <w:rPr/>
        <w:t>万元，营业成本</w:t>
      </w:r>
      <w:r>
        <w:rPr>
          <w:spacing w:val="-51"/>
        </w:rPr>
        <w:t> </w:t>
      </w:r>
      <w:r>
        <w:rPr>
          <w:rFonts w:ascii="宋体" w:hAnsi="宋体" w:cs="宋体" w:eastAsia="宋体" w:hint="default"/>
        </w:rPr>
        <w:t>487,538</w:t>
      </w:r>
      <w:r>
        <w:rPr>
          <w:rFonts w:ascii="宋体" w:hAnsi="宋体" w:cs="宋体" w:eastAsia="宋体" w:hint="default"/>
          <w:spacing w:val="-51"/>
        </w:rPr>
        <w:t> </w:t>
      </w:r>
      <w:r>
        <w:rPr/>
        <w:t>万元，期间费用</w:t>
      </w:r>
      <w:r>
        <w:rPr>
          <w:spacing w:val="-54"/>
        </w:rPr>
        <w:t> </w:t>
      </w:r>
      <w:r>
        <w:rPr>
          <w:rFonts w:ascii="宋体" w:hAnsi="宋体" w:cs="宋体" w:eastAsia="宋体" w:hint="default"/>
        </w:rPr>
        <w:t>210,340</w:t>
      </w:r>
      <w:r>
        <w:rPr>
          <w:rFonts w:ascii="宋体" w:hAnsi="宋体" w:cs="宋体" w:eastAsia="宋体" w:hint="default"/>
          <w:spacing w:val="-54"/>
        </w:rPr>
        <w:t> </w:t>
      </w:r>
      <w:r>
        <w:rPr/>
        <w:t>万元，分别</w:t>
      </w:r>
    </w:p>
    <w:p>
      <w:pPr>
        <w:pStyle w:val="BodyText"/>
        <w:spacing w:line="240" w:lineRule="auto"/>
        <w:ind w:left="118" w:right="104"/>
        <w:jc w:val="left"/>
      </w:pPr>
      <w:r>
        <w:rPr/>
        <w:t>完成</w:t>
      </w:r>
      <w:r>
        <w:rPr>
          <w:spacing w:val="-41"/>
        </w:rPr>
        <w:t> </w:t>
      </w:r>
      <w:r>
        <w:rPr>
          <w:rFonts w:ascii="宋体" w:hAnsi="宋体" w:cs="宋体" w:eastAsia="宋体" w:hint="default"/>
        </w:rPr>
        <w:t>2016</w:t>
      </w:r>
      <w:r>
        <w:rPr>
          <w:rFonts w:ascii="宋体" w:hAnsi="宋体" w:cs="宋体" w:eastAsia="宋体" w:hint="default"/>
          <w:spacing w:val="-43"/>
        </w:rPr>
        <w:t> </w:t>
      </w:r>
      <w:r>
        <w:rPr/>
        <w:t>年度报告中对</w:t>
      </w:r>
      <w:r>
        <w:rPr>
          <w:spacing w:val="-40"/>
        </w:rPr>
        <w:t> </w:t>
      </w:r>
      <w:r>
        <w:rPr>
          <w:rFonts w:ascii="宋体" w:hAnsi="宋体" w:cs="宋体" w:eastAsia="宋体" w:hint="default"/>
        </w:rPr>
        <w:t>2017</w:t>
      </w:r>
      <w:r>
        <w:rPr>
          <w:rFonts w:ascii="宋体" w:hAnsi="宋体" w:cs="宋体" w:eastAsia="宋体" w:hint="default"/>
          <w:spacing w:val="-41"/>
        </w:rPr>
        <w:t> </w:t>
      </w:r>
      <w:r>
        <w:rPr/>
        <w:t>年度相关项目预计金额的</w:t>
      </w:r>
      <w:r>
        <w:rPr>
          <w:spacing w:val="-41"/>
        </w:rPr>
        <w:t> </w:t>
      </w:r>
      <w:r>
        <w:rPr>
          <w:rFonts w:ascii="宋体" w:hAnsi="宋体" w:cs="宋体" w:eastAsia="宋体" w:hint="default"/>
        </w:rPr>
        <w:t>95.67%</w:t>
      </w:r>
      <w:r>
        <w:rPr/>
        <w:t>、</w:t>
      </w:r>
      <w:r>
        <w:rPr>
          <w:rFonts w:ascii="宋体" w:hAnsi="宋体" w:cs="宋体" w:eastAsia="宋体" w:hint="default"/>
        </w:rPr>
        <w:t>91.56%</w:t>
      </w:r>
      <w:r>
        <w:rPr/>
        <w:t>、</w:t>
      </w:r>
      <w:r>
        <w:rPr>
          <w:rFonts w:ascii="宋体" w:hAnsi="宋体" w:cs="宋体" w:eastAsia="宋体" w:hint="default"/>
        </w:rPr>
        <w:t>114.34%</w:t>
      </w:r>
      <w:r>
        <w:rPr/>
        <w:t>，业务持续稳</w:t>
      </w:r>
      <w:r>
        <w:rPr>
          <w:w w:val="100"/>
        </w:rPr>
        <w:t> </w:t>
      </w:r>
      <w:r>
        <w:rPr/>
        <w:t>定发展。</w:t>
      </w:r>
    </w:p>
    <w:p>
      <w:pPr>
        <w:pStyle w:val="BodyText"/>
        <w:spacing w:line="274" w:lineRule="exact" w:before="22"/>
        <w:ind w:left="118" w:right="110" w:firstLine="419"/>
        <w:jc w:val="both"/>
      </w:pPr>
      <w:r>
        <w:rPr>
          <w:spacing w:val="-4"/>
        </w:rPr>
        <w:t>根据预测，</w:t>
      </w:r>
      <w:r>
        <w:rPr>
          <w:rFonts w:ascii="宋体" w:hAnsi="宋体" w:cs="宋体" w:eastAsia="宋体" w:hint="default"/>
          <w:spacing w:val="-4"/>
        </w:rPr>
        <w:t>2018</w:t>
      </w:r>
      <w:r>
        <w:rPr>
          <w:rFonts w:ascii="宋体" w:hAnsi="宋体" w:cs="宋体" w:eastAsia="宋体" w:hint="default"/>
          <w:spacing w:val="-50"/>
        </w:rPr>
        <w:t> </w:t>
      </w:r>
      <w:r>
        <w:rPr/>
        <w:t>年公司计划实现营业收入</w:t>
      </w:r>
      <w:r>
        <w:rPr>
          <w:spacing w:val="-47"/>
        </w:rPr>
        <w:t> </w:t>
      </w:r>
      <w:r>
        <w:rPr>
          <w:rFonts w:ascii="宋体" w:hAnsi="宋体" w:cs="宋体" w:eastAsia="宋体" w:hint="default"/>
        </w:rPr>
        <w:t>76.4</w:t>
      </w:r>
      <w:r>
        <w:rPr>
          <w:rFonts w:ascii="宋体" w:hAnsi="宋体" w:cs="宋体" w:eastAsia="宋体" w:hint="default"/>
          <w:spacing w:val="-47"/>
        </w:rPr>
        <w:t> </w:t>
      </w:r>
      <w:r>
        <w:rPr>
          <w:spacing w:val="-5"/>
        </w:rPr>
        <w:t>亿元，预计增长</w:t>
      </w:r>
      <w:r>
        <w:rPr>
          <w:spacing w:val="-48"/>
        </w:rPr>
        <w:t> </w:t>
      </w:r>
      <w:r>
        <w:rPr>
          <w:rFonts w:ascii="宋体" w:hAnsi="宋体" w:cs="宋体" w:eastAsia="宋体" w:hint="default"/>
          <w:spacing w:val="-5"/>
        </w:rPr>
        <w:t>7%</w:t>
      </w:r>
      <w:r>
        <w:rPr>
          <w:spacing w:val="-5"/>
        </w:rPr>
        <w:t>；营业成本</w:t>
      </w:r>
      <w:r>
        <w:rPr>
          <w:spacing w:val="-50"/>
        </w:rPr>
        <w:t> </w:t>
      </w:r>
      <w:r>
        <w:rPr>
          <w:rFonts w:ascii="宋体" w:hAnsi="宋体" w:cs="宋体" w:eastAsia="宋体" w:hint="default"/>
        </w:rPr>
        <w:t>53.1</w:t>
      </w:r>
      <w:r>
        <w:rPr>
          <w:rFonts w:ascii="宋体" w:hAnsi="宋体" w:cs="宋体" w:eastAsia="宋体" w:hint="default"/>
          <w:spacing w:val="-50"/>
        </w:rPr>
        <w:t> </w:t>
      </w:r>
      <w:r>
        <w:rPr>
          <w:spacing w:val="-7"/>
        </w:rPr>
        <w:t>亿元，预</w:t>
      </w:r>
      <w:r>
        <w:rPr>
          <w:w w:val="100"/>
        </w:rPr>
        <w:t> </w:t>
      </w:r>
      <w:r>
        <w:rPr/>
        <w:t>计增长</w:t>
      </w:r>
      <w:r>
        <w:rPr>
          <w:spacing w:val="-54"/>
        </w:rPr>
        <w:t> </w:t>
      </w:r>
      <w:r>
        <w:rPr>
          <w:rFonts w:ascii="宋体" w:hAnsi="宋体" w:cs="宋体" w:eastAsia="宋体" w:hint="default"/>
        </w:rPr>
        <w:t>9%</w:t>
      </w:r>
      <w:r>
        <w:rPr/>
        <w:t>；期间费用</w:t>
      </w:r>
      <w:r>
        <w:rPr>
          <w:spacing w:val="-54"/>
        </w:rPr>
        <w:t> </w:t>
      </w:r>
      <w:r>
        <w:rPr>
          <w:rFonts w:ascii="宋体" w:hAnsi="宋体" w:cs="宋体" w:eastAsia="宋体" w:hint="default"/>
        </w:rPr>
        <w:t>20.4</w:t>
      </w:r>
      <w:r>
        <w:rPr>
          <w:rFonts w:ascii="宋体" w:hAnsi="宋体" w:cs="宋体" w:eastAsia="宋体" w:hint="default"/>
          <w:spacing w:val="-54"/>
        </w:rPr>
        <w:t> </w:t>
      </w:r>
      <w:r>
        <w:rPr/>
        <w:t>亿元，预计下降</w:t>
      </w:r>
      <w:r>
        <w:rPr>
          <w:spacing w:val="-54"/>
        </w:rPr>
        <w:t> </w:t>
      </w:r>
      <w:r>
        <w:rPr>
          <w:rFonts w:ascii="宋体" w:hAnsi="宋体" w:cs="宋体" w:eastAsia="宋体" w:hint="default"/>
        </w:rPr>
        <w:t>3%</w:t>
      </w:r>
      <w:r>
        <w:rPr/>
        <w:t>。</w:t>
      </w:r>
    </w:p>
    <w:p>
      <w:pPr>
        <w:pStyle w:val="BodyText"/>
        <w:spacing w:line="245" w:lineRule="exact"/>
        <w:ind w:left="538" w:right="0"/>
        <w:jc w:val="left"/>
      </w:pPr>
      <w:r>
        <w:rPr/>
        <w:t>上述经营计划并不构成本公司对投资者的业绩承诺，特此提示投资者对此保持足够的风险意</w:t>
      </w:r>
    </w:p>
    <w:p>
      <w:pPr>
        <w:pStyle w:val="BodyText"/>
        <w:spacing w:line="274" w:lineRule="exact"/>
        <w:ind w:left="118" w:right="0"/>
        <w:jc w:val="both"/>
      </w:pPr>
      <w:r>
        <w:rPr/>
        <w:t>识，并且应当理解经营计划与业绩承诺之间的差异。</w:t>
      </w:r>
    </w:p>
    <w:p>
      <w:pPr>
        <w:spacing w:after="0" w:line="274" w:lineRule="exact"/>
        <w:jc w:val="both"/>
        <w:sectPr>
          <w:headerReference w:type="default" r:id="rId21"/>
          <w:footerReference w:type="default" r:id="rId22"/>
          <w:pgSz w:w="11910" w:h="16840"/>
          <w:pgMar w:header="0" w:footer="1228" w:top="840" w:bottom="1420" w:left="1680" w:right="1160"/>
          <w:pgNumType w:start="27"/>
        </w:sectPr>
      </w:pPr>
    </w:p>
    <w:p>
      <w:pPr>
        <w:spacing w:line="240" w:lineRule="auto" w:before="3"/>
        <w:rPr>
          <w:rFonts w:ascii="宋体" w:hAnsi="宋体" w:cs="宋体" w:eastAsia="宋体" w:hint="default"/>
          <w:sz w:val="11"/>
          <w:szCs w:val="11"/>
        </w:rPr>
      </w:pPr>
    </w:p>
    <w:p>
      <w:pPr>
        <w:pStyle w:val="Heading4"/>
        <w:spacing w:line="240" w:lineRule="auto" w:before="36"/>
        <w:ind w:left="118" w:right="206"/>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9"/>
        </w:rPr>
        <w:t> </w:t>
      </w:r>
      <w:r>
        <w:rPr/>
        <w:t>可能面对的风险</w:t>
      </w:r>
      <w:r>
        <w:rPr>
          <w:b w:val="0"/>
          <w:bCs w:val="0"/>
        </w:rPr>
      </w:r>
    </w:p>
    <w:p>
      <w:pPr>
        <w:pStyle w:val="BodyText"/>
        <w:tabs>
          <w:tab w:pos="960" w:val="left" w:leader="none"/>
        </w:tabs>
        <w:spacing w:line="272" w:lineRule="exact" w:before="86"/>
        <w:ind w:left="538" w:right="704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、宏观经济风险</w:t>
      </w:r>
    </w:p>
    <w:p>
      <w:pPr>
        <w:pStyle w:val="BodyText"/>
        <w:spacing w:line="272" w:lineRule="exact" w:before="1"/>
        <w:ind w:left="118" w:right="206" w:firstLine="419"/>
        <w:jc w:val="left"/>
      </w:pPr>
      <w:r>
        <w:rPr>
          <w:spacing w:val="-2"/>
        </w:rPr>
        <w:t>综合分析国内外形势，我国发展面临的机遇和挑战并存。世界经济有望继续复苏，但不稳定</w:t>
      </w:r>
      <w:r>
        <w:rPr>
          <w:w w:val="100"/>
        </w:rPr>
        <w:t> </w:t>
      </w:r>
      <w:r>
        <w:rPr>
          <w:spacing w:val="-1"/>
        </w:rPr>
        <w:t>不确定因素很多，主要经济体政策调整及其外溢效应带来变数，保护主义加剧，地缘政治风险上</w:t>
      </w:r>
    </w:p>
    <w:p>
      <w:pPr>
        <w:pStyle w:val="BodyText"/>
        <w:spacing w:line="272" w:lineRule="exact" w:before="1"/>
        <w:ind w:left="118" w:right="208"/>
        <w:jc w:val="both"/>
      </w:pPr>
      <w:r>
        <w:rPr>
          <w:spacing w:val="-1"/>
        </w:rPr>
        <w:t>升。我国经济正处在转变发展方式、优化经济结构、转换增长动力的攻关期，需要应对可以预料</w:t>
      </w:r>
      <w:r>
        <w:rPr>
          <w:spacing w:val="-55"/>
        </w:rPr>
        <w:t> </w:t>
      </w:r>
      <w:r>
        <w:rPr>
          <w:spacing w:val="-55"/>
        </w:rPr>
      </w:r>
      <w:r>
        <w:rPr>
          <w:spacing w:val="-4"/>
        </w:rPr>
        <w:t>和难以预料的风险挑战。这些因素都可能引致社会和企业的 </w:t>
      </w:r>
      <w:r>
        <w:rPr>
          <w:rFonts w:ascii="宋体" w:hAnsi="宋体" w:cs="宋体" w:eastAsia="宋体" w:hint="default"/>
        </w:rPr>
        <w:t>IT</w:t>
      </w:r>
      <w:r>
        <w:rPr>
          <w:rFonts w:ascii="宋体" w:hAnsi="宋体" w:cs="宋体" w:eastAsia="宋体" w:hint="default"/>
          <w:spacing w:val="-27"/>
        </w:rPr>
        <w:t> </w:t>
      </w:r>
      <w:r>
        <w:rPr>
          <w:spacing w:val="-5"/>
        </w:rPr>
        <w:t>需求以及信息消费投入下降，进一</w:t>
      </w:r>
    </w:p>
    <w:p>
      <w:pPr>
        <w:pStyle w:val="BodyText"/>
        <w:spacing w:line="272" w:lineRule="exact" w:before="1"/>
        <w:ind w:left="538" w:right="206" w:hanging="420"/>
        <w:jc w:val="left"/>
      </w:pPr>
      <w:r>
        <w:rPr/>
        <w:t>步加剧市场竞争，为公司发展带来困难和挑战。</w:t>
      </w:r>
      <w:r>
        <w:rPr>
          <w:w w:val="100"/>
        </w:rPr>
        <w:t> </w:t>
      </w:r>
      <w:r>
        <w:rPr>
          <w:spacing w:val="-2"/>
        </w:rPr>
        <w:t>为此，公司将以核心知识资产为驱动，推进核心业务、产业互联网业务和社会化互联网业务</w:t>
      </w:r>
    </w:p>
    <w:p>
      <w:pPr>
        <w:pStyle w:val="BodyText"/>
        <w:spacing w:line="272" w:lineRule="exact" w:before="1"/>
        <w:ind w:left="118" w:right="208"/>
        <w:jc w:val="both"/>
      </w:pPr>
      <w:r>
        <w:rPr>
          <w:spacing w:val="-6"/>
        </w:rPr>
        <w:t>的联动发展。同时，公司将继续坚定推进业务的创新与全球化发展，形成可持续发展的长效机制，</w:t>
      </w:r>
      <w:r>
        <w:rPr>
          <w:spacing w:val="-54"/>
        </w:rPr>
        <w:t> </w:t>
      </w:r>
      <w:r>
        <w:rPr>
          <w:spacing w:val="-54"/>
        </w:rPr>
      </w:r>
      <w:r>
        <w:rPr/>
        <w:t>以抵御复杂的外部环境带来的挑战。</w:t>
      </w:r>
    </w:p>
    <w:p>
      <w:pPr>
        <w:pStyle w:val="BodyText"/>
        <w:spacing w:line="272" w:lineRule="exact" w:before="1"/>
        <w:ind w:left="538" w:right="206"/>
        <w:jc w:val="left"/>
      </w:pPr>
      <w:r>
        <w:rPr>
          <w:rFonts w:ascii="宋体" w:hAnsi="宋体" w:cs="宋体" w:eastAsia="宋体" w:hint="default"/>
        </w:rPr>
        <w:t>2</w:t>
      </w:r>
      <w:r>
        <w:rPr/>
        <w:t>、市场风险</w:t>
      </w:r>
      <w:r>
        <w:rPr>
          <w:w w:val="100"/>
        </w:rPr>
        <w:t> </w:t>
      </w:r>
      <w:r>
        <w:rPr>
          <w:spacing w:val="-2"/>
        </w:rPr>
        <w:t>世界产业格局正在发生深刻变化，围绕技术路线主导权、价值链分工、产业生态的竞争日益</w:t>
      </w:r>
    </w:p>
    <w:p>
      <w:pPr>
        <w:pStyle w:val="BodyText"/>
        <w:spacing w:line="272" w:lineRule="exact" w:before="1"/>
        <w:ind w:left="118" w:right="208"/>
        <w:jc w:val="both"/>
      </w:pPr>
      <w:r>
        <w:rPr>
          <w:spacing w:val="-1"/>
        </w:rPr>
        <w:t>激烈，来自国内同业及跨国公司的双重竞争日益加剧。随着公司业务持续转型升级，公司业务与</w:t>
      </w:r>
      <w:r>
        <w:rPr>
          <w:spacing w:val="-55"/>
        </w:rPr>
        <w:t> </w:t>
      </w:r>
      <w:r>
        <w:rPr>
          <w:spacing w:val="-55"/>
        </w:rPr>
      </w:r>
      <w:r>
        <w:rPr>
          <w:spacing w:val="-1"/>
        </w:rPr>
        <w:t>医疗、汽车等宏观消费能力的联动关系不断加强，同时终端消费者对云计算、物联网、移动互联</w:t>
      </w:r>
    </w:p>
    <w:p>
      <w:pPr>
        <w:pStyle w:val="BodyText"/>
        <w:spacing w:line="272" w:lineRule="exact" w:before="1"/>
        <w:ind w:left="538" w:right="206" w:hanging="420"/>
        <w:jc w:val="left"/>
      </w:pPr>
      <w:r>
        <w:rPr/>
        <w:t>网等新业态的需求和市场仍有待进一步培育，这些都将对公司业务发展产生直接影响。</w:t>
      </w:r>
      <w:r>
        <w:rPr>
          <w:w w:val="100"/>
        </w:rPr>
        <w:t> </w:t>
      </w:r>
      <w:r>
        <w:rPr>
          <w:spacing w:val="-2"/>
        </w:rPr>
        <w:t>为此，公司将加强对产业前沿的跟踪和前瞻性研究，提高市场策划的先动性，与合作伙伴共</w:t>
      </w:r>
    </w:p>
    <w:p>
      <w:pPr>
        <w:pStyle w:val="BodyText"/>
        <w:spacing w:line="272" w:lineRule="exact" w:before="1"/>
        <w:ind w:left="118" w:right="208"/>
        <w:jc w:val="both"/>
      </w:pPr>
      <w:r>
        <w:rPr>
          <w:spacing w:val="-1"/>
        </w:rPr>
        <w:t>建健康、共赢的生态系统。同时加强业务创新活动的统筹规划与风险管理，进一步加强供应链管</w:t>
      </w:r>
      <w:r>
        <w:rPr>
          <w:spacing w:val="-55"/>
        </w:rPr>
        <w:t> </w:t>
      </w:r>
      <w:r>
        <w:rPr>
          <w:spacing w:val="-55"/>
        </w:rPr>
      </w:r>
      <w:r>
        <w:rPr/>
        <w:t>理和成本控制，推动公司业务的高质量发展。</w:t>
      </w:r>
    </w:p>
    <w:p>
      <w:pPr>
        <w:pStyle w:val="BodyText"/>
        <w:spacing w:line="246" w:lineRule="exact"/>
        <w:ind w:left="538" w:right="206"/>
        <w:jc w:val="left"/>
      </w:pPr>
      <w:r>
        <w:rPr>
          <w:rFonts w:ascii="宋体" w:hAnsi="宋体" w:cs="宋体" w:eastAsia="宋体" w:hint="default"/>
        </w:rPr>
        <w:t>3</w:t>
      </w:r>
      <w:r>
        <w:rPr/>
        <w:t>、汇率波动风险</w:t>
      </w:r>
    </w:p>
    <w:p>
      <w:pPr>
        <w:pStyle w:val="BodyText"/>
        <w:spacing w:line="237" w:lineRule="auto" w:before="2"/>
        <w:ind w:left="118" w:right="98" w:firstLine="419"/>
        <w:jc w:val="left"/>
      </w:pPr>
      <w:r>
        <w:rPr/>
        <w:t>随着全球经济一体化及人民币汇率市场化改革的推进，人民币汇率升值和贬值的因素并存，</w:t>
      </w:r>
      <w:r>
        <w:rPr>
          <w:w w:val="100"/>
        </w:rPr>
        <w:t> </w:t>
      </w:r>
      <w:r>
        <w:rPr/>
        <w:t>未来汇率的双向波动特征将更加显著。由于公司面向国际市场的业务占公司营业收入约</w:t>
      </w:r>
      <w:r>
        <w:rPr>
          <w:spacing w:val="5"/>
        </w:rPr>
        <w:t> </w:t>
      </w:r>
      <w:r>
        <w:rPr>
          <w:rFonts w:ascii="宋体" w:hAnsi="宋体" w:cs="宋体" w:eastAsia="宋体" w:hint="default"/>
        </w:rPr>
        <w:t>21.06%</w:t>
      </w:r>
      <w:r>
        <w:rPr/>
        <w:t>，</w:t>
      </w:r>
      <w:r>
        <w:rPr>
          <w:w w:val="100"/>
        </w:rPr>
        <w:t> </w:t>
      </w:r>
      <w:r>
        <w:rPr/>
        <w:t>汇率波动将在一定程度上影响公司的收入盈利水平。为此，公司将持续加强对汇率变动的分析与</w:t>
      </w:r>
      <w:r>
        <w:rPr>
          <w:spacing w:val="-97"/>
        </w:rPr>
        <w:t> </w:t>
      </w:r>
      <w:r>
        <w:rPr>
          <w:spacing w:val="-97"/>
        </w:rPr>
      </w:r>
      <w:r>
        <w:rPr/>
        <w:t>研究，继续采取适当外汇避险方法，选择合适币种报价，通过与客户共担风险等措施，降低汇率</w:t>
      </w:r>
      <w:r>
        <w:rPr>
          <w:spacing w:val="-98"/>
        </w:rPr>
        <w:t> </w:t>
      </w:r>
      <w:r>
        <w:rPr>
          <w:spacing w:val="-98"/>
        </w:rPr>
      </w:r>
      <w:r>
        <w:rPr/>
        <w:t>波动可能带来的不利影响。</w:t>
      </w:r>
    </w:p>
    <w:p>
      <w:pPr>
        <w:pStyle w:val="BodyText"/>
        <w:spacing w:line="274" w:lineRule="exact" w:before="22"/>
        <w:ind w:left="538" w:right="206"/>
        <w:jc w:val="left"/>
      </w:pPr>
      <w:r>
        <w:rPr>
          <w:rFonts w:ascii="宋体" w:hAnsi="宋体" w:cs="宋体" w:eastAsia="宋体" w:hint="default"/>
        </w:rPr>
        <w:t>4</w:t>
      </w:r>
      <w:r>
        <w:rPr/>
        <w:t>、人力资源风险</w:t>
      </w:r>
      <w:r>
        <w:rPr>
          <w:w w:val="100"/>
        </w:rPr>
        <w:t> </w:t>
      </w:r>
      <w:r>
        <w:rPr>
          <w:spacing w:val="-2"/>
        </w:rPr>
        <w:t>公司坚信人才驱动战略的落地与执行、核心技术与销售人员、优质领导团队等关键岗位人才</w:t>
      </w:r>
    </w:p>
    <w:p>
      <w:pPr>
        <w:pStyle w:val="BodyText"/>
        <w:spacing w:line="245" w:lineRule="exact"/>
        <w:ind w:left="118" w:right="96"/>
        <w:jc w:val="left"/>
      </w:pPr>
      <w:r>
        <w:rPr/>
        <w:t>是维持和提高公司核心竞争力的基石。随着环境的不确定性，行业竞争的日趋激烈，业务快速发</w:t>
      </w:r>
    </w:p>
    <w:p>
      <w:pPr>
        <w:pStyle w:val="BodyText"/>
        <w:spacing w:line="237" w:lineRule="auto" w:before="2"/>
        <w:ind w:left="118" w:right="208"/>
        <w:jc w:val="both"/>
      </w:pPr>
      <w:r>
        <w:rPr>
          <w:spacing w:val="-1"/>
        </w:rPr>
        <w:t>展及转型的严峻诉求，以及行业人力成本的大幅度提高，公司在面向未来业务发展的人才结构优</w:t>
      </w:r>
      <w:r>
        <w:rPr>
          <w:spacing w:val="-55"/>
        </w:rPr>
        <w:t> </w:t>
      </w:r>
      <w:r>
        <w:rPr>
          <w:spacing w:val="-55"/>
        </w:rPr>
      </w:r>
      <w:r>
        <w:rPr>
          <w:spacing w:val="-1"/>
        </w:rPr>
        <w:t>化、人才高地建设等方面面临压力和挑战。公司始终重视人才对公司发展的战略影响，不断夯实</w:t>
      </w:r>
      <w:r>
        <w:rPr>
          <w:spacing w:val="-55"/>
        </w:rPr>
        <w:t> </w:t>
      </w:r>
      <w:r>
        <w:rPr>
          <w:spacing w:val="-55"/>
        </w:rPr>
      </w:r>
      <w:r>
        <w:rPr>
          <w:spacing w:val="-1"/>
        </w:rPr>
        <w:t>健壮的人才队伍，聚焦创新业务、业务转型，强化创新与价值创造，持续获取及培养关键人才，</w:t>
      </w:r>
      <w:r>
        <w:rPr>
          <w:spacing w:val="-55"/>
        </w:rPr>
        <w:t> </w:t>
      </w:r>
      <w:r>
        <w:rPr>
          <w:spacing w:val="-55"/>
        </w:rPr>
      </w:r>
      <w:r>
        <w:rPr/>
        <w:t>提升人力资本准备度，为公司持续发展提供人才储备与保障。</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7"/>
        </w:rPr>
        <w:t> </w:t>
      </w:r>
      <w:r>
        <w:rPr/>
        <w:t>其他</w:t>
      </w:r>
      <w:r>
        <w:rPr>
          <w:b w:val="0"/>
          <w:bCs w:val="0"/>
        </w:rPr>
      </w:r>
    </w:p>
    <w:p>
      <w:pPr>
        <w:pStyle w:val="BodyText"/>
        <w:tabs>
          <w:tab w:pos="960" w:val="left" w:leader="none"/>
        </w:tabs>
        <w:spacing w:line="240" w:lineRule="auto" w:before="58"/>
        <w:ind w:left="118" w:right="20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96"/>
        <w:jc w:val="left"/>
        <w:rPr>
          <w:b w:val="0"/>
          <w:bCs w:val="0"/>
        </w:rPr>
      </w:pPr>
      <w:r>
        <w:rPr/>
        <w:t>四、公司因不适用准则规定或国家秘密、商业秘密等特殊原因，未按准则披露的情况和原因说明</w:t>
      </w:r>
      <w:r>
        <w:rPr>
          <w:b w:val="0"/>
          <w:bCs w:val="0"/>
        </w:rPr>
      </w:r>
    </w:p>
    <w:p>
      <w:pPr>
        <w:pStyle w:val="BodyText"/>
        <w:tabs>
          <w:tab w:pos="960" w:val="left" w:leader="none"/>
        </w:tabs>
        <w:spacing w:line="240" w:lineRule="auto" w:before="56"/>
        <w:ind w:left="118" w:right="206"/>
        <w:jc w:val="left"/>
      </w:pPr>
      <w:r>
        <w:rPr>
          <w:spacing w:val="-1"/>
        </w:rPr>
        <w:t>□适用</w:t>
        <w:tab/>
      </w:r>
      <w:r>
        <w:rPr>
          <w:spacing w:val="-2"/>
        </w:rPr>
        <w:t>√不适用</w:t>
      </w:r>
    </w:p>
    <w:p>
      <w:pPr>
        <w:spacing w:after="0" w:line="240" w:lineRule="auto"/>
        <w:jc w:val="left"/>
        <w:sectPr>
          <w:headerReference w:type="default" r:id="rId23"/>
          <w:pgSz w:w="11910" w:h="16840"/>
          <w:pgMar w:header="945" w:footer="1228" w:top="1300" w:bottom="1420" w:left="16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28" w:right="243"/>
        <w:jc w:val="center"/>
        <w:rPr>
          <w:b w:val="0"/>
          <w:bCs w:val="0"/>
        </w:rPr>
      </w:pPr>
      <w:bookmarkStart w:name="_TOC_250007" w:id="5"/>
      <w:r>
        <w:rPr/>
        <w:t>第五节</w:t>
      </w:r>
      <w:r>
        <w:rPr>
          <w:spacing w:val="-3"/>
        </w:rPr>
        <w:t> </w:t>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90" w:lineRule="auto"/>
        <w:ind w:left="225" w:right="4900" w:hanging="8"/>
        <w:jc w:val="left"/>
        <w:rPr>
          <w:b w:val="0"/>
          <w:bCs w:val="0"/>
        </w:rPr>
      </w:pPr>
      <w:r>
        <w:rPr/>
        <w:t>一、普通股利润分配或资本公积金转增预案</w:t>
      </w:r>
      <w:r>
        <w:rPr>
          <w:w w:val="100"/>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t>现金分红政策的制定、执行或调整情况</w:t>
      </w:r>
      <w:r>
        <w:rPr>
          <w:b w:val="0"/>
          <w:bCs w:val="0"/>
        </w:rPr>
      </w:r>
    </w:p>
    <w:p>
      <w:pPr>
        <w:pStyle w:val="BodyText"/>
        <w:tabs>
          <w:tab w:pos="1060" w:val="left" w:leader="none"/>
        </w:tabs>
        <w:spacing w:line="273" w:lineRule="exact" w:before="14"/>
        <w:ind w:right="2760"/>
        <w:jc w:val="left"/>
      </w:pPr>
      <w:r>
        <w:rPr>
          <w:spacing w:val="-1"/>
        </w:rPr>
        <w:t>√适用</w:t>
        <w:tab/>
      </w:r>
      <w:r>
        <w:rPr>
          <w:spacing w:val="-2"/>
        </w:rPr>
        <w:t>□不适用</w:t>
      </w:r>
    </w:p>
    <w:p>
      <w:pPr>
        <w:pStyle w:val="BodyText"/>
        <w:spacing w:line="240" w:lineRule="auto"/>
        <w:ind w:right="0" w:firstLine="419"/>
        <w:jc w:val="left"/>
      </w:pPr>
      <w:r>
        <w:rPr/>
        <w:t>于</w:t>
      </w:r>
      <w:r>
        <w:rPr>
          <w:spacing w:val="-51"/>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日召开的公司</w:t>
      </w:r>
      <w:r>
        <w:rPr>
          <w:spacing w:val="-52"/>
        </w:rPr>
        <w:t> </w:t>
      </w:r>
      <w:r>
        <w:rPr>
          <w:rFonts w:ascii="宋体" w:hAnsi="宋体" w:cs="宋体" w:eastAsia="宋体" w:hint="default"/>
        </w:rPr>
        <w:t>2013</w:t>
      </w:r>
      <w:r>
        <w:rPr>
          <w:rFonts w:ascii="宋体" w:hAnsi="宋体" w:cs="宋体" w:eastAsia="宋体" w:hint="default"/>
          <w:spacing w:val="-54"/>
        </w:rPr>
        <w:t> </w:t>
      </w:r>
      <w:r>
        <w:rPr/>
        <w:t>年度股东大会审议通过《关于修改公司章程的议案》，</w:t>
      </w:r>
      <w:r>
        <w:rPr>
          <w:w w:val="100"/>
        </w:rPr>
        <w:t> </w:t>
      </w:r>
      <w:r>
        <w:rPr/>
        <w:t>在本公司章程中明确了现金分红相对于股票股利在利润分配方式中的优先顺序。</w:t>
      </w:r>
    </w:p>
    <w:p>
      <w:pPr>
        <w:pStyle w:val="BodyText"/>
        <w:spacing w:line="237" w:lineRule="auto"/>
        <w:ind w:right="228" w:firstLine="419"/>
        <w:jc w:val="both"/>
      </w:pPr>
      <w:r>
        <w:rPr>
          <w:spacing w:val="-7"/>
          <w:w w:val="100"/>
        </w:rPr>
        <w:t>公司章程规定：公司应重视对投资者的合理投资回报，利润分配政策应保持连续性和稳定性。</w:t>
      </w:r>
      <w:r>
        <w:rPr>
          <w:w w:val="100"/>
        </w:rPr>
        <w:t> </w:t>
      </w:r>
      <w:r>
        <w:rPr>
          <w:spacing w:val="-1"/>
        </w:rPr>
        <w:t>公司可以采取派发现金或者股票方式分配股利。在利润分配方式中，现金分红优先于股票股利。</w:t>
      </w:r>
      <w:r>
        <w:rPr>
          <w:spacing w:val="-55"/>
        </w:rPr>
        <w:t> </w:t>
      </w:r>
      <w:r>
        <w:rPr>
          <w:spacing w:val="-55"/>
        </w:rPr>
      </w:r>
      <w:r>
        <w:rPr>
          <w:spacing w:val="-1"/>
        </w:rPr>
        <w:t>具备现金分红条件的，应当采用现金分红进行利润分配。采用股票股利进行利润分配的，应当具</w:t>
      </w:r>
      <w:r>
        <w:rPr>
          <w:spacing w:val="-55"/>
        </w:rPr>
        <w:t> </w:t>
      </w:r>
      <w:r>
        <w:rPr>
          <w:spacing w:val="-55"/>
        </w:rPr>
      </w:r>
      <w:r>
        <w:rPr>
          <w:spacing w:val="-1"/>
        </w:rPr>
        <w:t>有公司成长性、每股净资产的摊薄等真实合理因素。公司利润分配方案由董事会拟定，由股东大</w:t>
      </w:r>
      <w:r>
        <w:rPr>
          <w:spacing w:val="-55"/>
        </w:rPr>
        <w:t> </w:t>
      </w:r>
      <w:r>
        <w:rPr>
          <w:spacing w:val="-55"/>
        </w:rPr>
      </w:r>
      <w:r>
        <w:rPr>
          <w:spacing w:val="-1"/>
        </w:rPr>
        <w:t>会审议决定。董事会在拟定利润分配方案时，应充分考虑公司经营状况、资金需求和股东回报规</w:t>
      </w:r>
      <w:r>
        <w:rPr>
          <w:spacing w:val="-55"/>
        </w:rPr>
        <w:t> </w:t>
      </w:r>
      <w:r>
        <w:rPr>
          <w:spacing w:val="-55"/>
        </w:rPr>
      </w:r>
      <w:r>
        <w:rPr>
          <w:spacing w:val="-1"/>
        </w:rPr>
        <w:t>划等方面的因素，公司盈利但未提出现金利润分配预案的，应详细说明未分红的原因、未用于分</w:t>
      </w:r>
      <w:r>
        <w:rPr>
          <w:spacing w:val="-55"/>
        </w:rPr>
        <w:t> </w:t>
      </w:r>
      <w:r>
        <w:rPr>
          <w:spacing w:val="-55"/>
        </w:rPr>
      </w:r>
      <w:r>
        <w:rPr>
          <w:spacing w:val="-1"/>
        </w:rPr>
        <w:t>红的资金留存公司的用途，独立董事应当对利润分配方案的合理性发表独立意见。公司应通过电</w:t>
      </w:r>
      <w:r>
        <w:rPr>
          <w:spacing w:val="-56"/>
        </w:rPr>
        <w:t> </w:t>
      </w:r>
      <w:r>
        <w:rPr>
          <w:spacing w:val="-56"/>
        </w:rPr>
      </w:r>
      <w:r>
        <w:rPr>
          <w:spacing w:val="-1"/>
        </w:rPr>
        <w:t>话咨询、现场调研和电子邮件等多种渠道充分听取中小股东对利润分配方案的意见。公司应主动</w:t>
      </w:r>
      <w:r>
        <w:rPr>
          <w:spacing w:val="-55"/>
        </w:rPr>
        <w:t> </w:t>
      </w:r>
      <w:r>
        <w:rPr>
          <w:spacing w:val="-55"/>
        </w:rPr>
      </w:r>
      <w:r>
        <w:rPr>
          <w:spacing w:val="-1"/>
        </w:rPr>
        <w:t>邀请中小股东参加对利润分配方案进行表决的股东大会，董事会、独立董事和符合相关规定条件</w:t>
      </w:r>
      <w:r>
        <w:rPr>
          <w:spacing w:val="-55"/>
        </w:rPr>
        <w:t> </w:t>
      </w:r>
      <w:r>
        <w:rPr>
          <w:spacing w:val="-55"/>
        </w:rPr>
      </w:r>
      <w:r>
        <w:rPr>
          <w:spacing w:val="-1"/>
        </w:rPr>
        <w:t>的股东可以征集股东投票权，以保障中小股东对利润分配方案行使表决权的权利。在公司盈利且</w:t>
      </w:r>
      <w:r>
        <w:rPr>
          <w:spacing w:val="-55"/>
        </w:rPr>
        <w:t> </w:t>
      </w:r>
      <w:r>
        <w:rPr>
          <w:spacing w:val="-55"/>
        </w:rPr>
      </w:r>
      <w:r>
        <w:rPr>
          <w:spacing w:val="-1"/>
        </w:rPr>
        <w:t>未分配利润为正的情况下，公司每连续三年至少有一次现金分红分配，公司最近三年以现金方式</w:t>
      </w:r>
      <w:r>
        <w:rPr>
          <w:spacing w:val="-55"/>
        </w:rPr>
        <w:t> </w:t>
      </w:r>
      <w:r>
        <w:rPr>
          <w:spacing w:val="-55"/>
        </w:rPr>
      </w:r>
      <w:r>
        <w:rPr>
          <w:spacing w:val="-1"/>
        </w:rPr>
        <w:t>累计分配的利润应不少于最近三年实现的年均可分配利润的百分之三十，如因特殊情况不能达到</w:t>
      </w:r>
      <w:r>
        <w:rPr>
          <w:spacing w:val="-55"/>
        </w:rPr>
        <w:t> </w:t>
      </w:r>
      <w:r>
        <w:rPr>
          <w:spacing w:val="-55"/>
        </w:rPr>
      </w:r>
      <w:r>
        <w:rPr>
          <w:spacing w:val="-1"/>
        </w:rPr>
        <w:t>上述比例的，董事会应当向股东大会作特别说明。公司因经营状况、资金规划和长期发展等原因</w:t>
      </w:r>
      <w:r>
        <w:rPr>
          <w:spacing w:val="-55"/>
        </w:rPr>
        <w:t> </w:t>
      </w:r>
      <w:r>
        <w:rPr>
          <w:spacing w:val="-55"/>
        </w:rPr>
      </w:r>
      <w:r>
        <w:rPr>
          <w:spacing w:val="-1"/>
        </w:rPr>
        <w:t>需要对公司现金分红政策进行调整或者变更的，应由董事会提出调整议案，独立董事需对此发表</w:t>
      </w:r>
      <w:r>
        <w:rPr>
          <w:spacing w:val="-55"/>
        </w:rPr>
        <w:t> </w:t>
      </w:r>
      <w:r>
        <w:rPr>
          <w:spacing w:val="-55"/>
        </w:rPr>
      </w:r>
      <w:r>
        <w:rPr>
          <w:spacing w:val="-1"/>
        </w:rPr>
        <w:t>独立意见，并提交股东大会审议。股东大会需要以特别决议通过。存在股东违规占用公司资金情</w:t>
      </w:r>
      <w:r>
        <w:rPr>
          <w:spacing w:val="-55"/>
        </w:rPr>
        <w:t> </w:t>
      </w:r>
      <w:r>
        <w:rPr>
          <w:spacing w:val="-55"/>
        </w:rPr>
      </w:r>
      <w:r>
        <w:rPr/>
        <w:t>况的，公司应当扣减该股东所分配的现金红利，以偿还其占用的资金。</w:t>
      </w:r>
    </w:p>
    <w:p>
      <w:pPr>
        <w:pStyle w:val="BodyText"/>
        <w:spacing w:line="272" w:lineRule="exact"/>
        <w:ind w:left="63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5</w:t>
      </w:r>
      <w:r>
        <w:rPr>
          <w:rFonts w:ascii="宋体" w:hAnsi="宋体" w:cs="宋体" w:eastAsia="宋体" w:hint="default"/>
          <w:spacing w:val="-53"/>
        </w:rPr>
        <w:t> </w:t>
      </w:r>
      <w:r>
        <w:rPr>
          <w:spacing w:val="-3"/>
          <w:w w:val="100"/>
        </w:rPr>
        <w:t>日</w:t>
      </w:r>
      <w:r>
        <w:rPr>
          <w:w w:val="100"/>
        </w:rPr>
        <w:t>召</w:t>
      </w:r>
      <w:r>
        <w:rPr>
          <w:spacing w:val="-3"/>
          <w:w w:val="100"/>
        </w:rPr>
        <w:t>开的</w:t>
      </w:r>
      <w:r>
        <w:rPr>
          <w:w w:val="100"/>
        </w:rPr>
        <w:t>公司</w:t>
      </w:r>
      <w:r>
        <w:rPr>
          <w:spacing w:val="-52"/>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年</w:t>
      </w:r>
      <w:r>
        <w:rPr>
          <w:w w:val="100"/>
        </w:rPr>
        <w:t>度</w:t>
      </w:r>
      <w:r>
        <w:rPr>
          <w:spacing w:val="-3"/>
          <w:w w:val="100"/>
        </w:rPr>
        <w:t>股</w:t>
      </w:r>
      <w:r>
        <w:rPr>
          <w:w w:val="100"/>
        </w:rPr>
        <w:t>东</w:t>
      </w:r>
      <w:r>
        <w:rPr>
          <w:spacing w:val="-3"/>
          <w:w w:val="100"/>
        </w:rPr>
        <w:t>大会</w:t>
      </w:r>
      <w:r>
        <w:rPr>
          <w:w w:val="100"/>
        </w:rPr>
        <w:t>审议</w:t>
      </w:r>
      <w:r>
        <w:rPr>
          <w:spacing w:val="-3"/>
          <w:w w:val="100"/>
        </w:rPr>
        <w:t>通</w:t>
      </w:r>
      <w:r>
        <w:rPr>
          <w:w w:val="100"/>
        </w:rPr>
        <w:t>过</w:t>
      </w:r>
      <w:r>
        <w:rPr>
          <w:spacing w:val="-94"/>
          <w:w w:val="100"/>
        </w:rPr>
        <w:t>了</w:t>
      </w:r>
      <w:r>
        <w:rPr>
          <w:spacing w:val="-3"/>
          <w:w w:val="100"/>
        </w:rPr>
        <w:t>《</w:t>
      </w:r>
      <w:r>
        <w:rPr>
          <w:w w:val="100"/>
        </w:rPr>
        <w:t>关于</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spacing w:val="-3"/>
          <w:w w:val="100"/>
        </w:rPr>
        <w:t>年</w:t>
      </w:r>
      <w:r>
        <w:rPr>
          <w:w w:val="100"/>
        </w:rPr>
        <w:t>度利</w:t>
      </w:r>
      <w:r>
        <w:rPr>
          <w:spacing w:val="-3"/>
          <w:w w:val="100"/>
        </w:rPr>
        <w:t>润</w:t>
      </w:r>
      <w:r>
        <w:rPr>
          <w:w w:val="100"/>
        </w:rPr>
        <w:t>分</w:t>
      </w:r>
      <w:r>
        <w:rPr>
          <w:spacing w:val="-3"/>
          <w:w w:val="100"/>
        </w:rPr>
        <w:t>配</w:t>
      </w:r>
      <w:r>
        <w:rPr>
          <w:w w:val="100"/>
        </w:rPr>
        <w:t>的</w:t>
      </w:r>
    </w:p>
    <w:p>
      <w:pPr>
        <w:pStyle w:val="BodyText"/>
        <w:spacing w:line="272" w:lineRule="exact"/>
        <w:ind w:right="0"/>
        <w:jc w:val="left"/>
      </w:pPr>
      <w:r>
        <w:rPr>
          <w:spacing w:val="-6"/>
        </w:rPr>
        <w:t>议案》。股东大会决定公司以</w:t>
      </w:r>
      <w:r>
        <w:rPr>
          <w:spacing w:val="-50"/>
        </w:rPr>
        <w:t> </w:t>
      </w: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日总股本</w:t>
      </w:r>
      <w:r>
        <w:rPr>
          <w:spacing w:val="-49"/>
        </w:rPr>
        <w:t> </w:t>
      </w:r>
      <w:r>
        <w:rPr>
          <w:rFonts w:ascii="宋体" w:hAnsi="宋体" w:cs="宋体" w:eastAsia="宋体" w:hint="default"/>
        </w:rPr>
        <w:t>1,243,197,745</w:t>
      </w:r>
      <w:r>
        <w:rPr>
          <w:rFonts w:ascii="宋体" w:hAnsi="宋体" w:cs="宋体" w:eastAsia="宋体" w:hint="default"/>
          <w:spacing w:val="-52"/>
        </w:rPr>
        <w:t> </w:t>
      </w:r>
      <w:r>
        <w:rPr>
          <w:spacing w:val="-4"/>
        </w:rPr>
        <w:t>股为基数，向全体股东每</w:t>
      </w:r>
    </w:p>
    <w:p>
      <w:pPr>
        <w:pStyle w:val="BodyText"/>
        <w:spacing w:line="272" w:lineRule="exact"/>
        <w:ind w:right="0"/>
        <w:jc w:val="left"/>
      </w:pPr>
      <w:r>
        <w:rPr>
          <w:rFonts w:ascii="宋体" w:hAnsi="宋体" w:cs="宋体" w:eastAsia="宋体" w:hint="default"/>
        </w:rPr>
        <w:t>10</w:t>
      </w:r>
      <w:r>
        <w:rPr>
          <w:rFonts w:ascii="宋体" w:hAnsi="宋体" w:cs="宋体" w:eastAsia="宋体" w:hint="default"/>
          <w:spacing w:val="-41"/>
        </w:rPr>
        <w:t> </w:t>
      </w:r>
      <w:r>
        <w:rPr/>
        <w:t>股派发</w:t>
      </w:r>
      <w:r>
        <w:rPr>
          <w:spacing w:val="-43"/>
        </w:rPr>
        <w:t> </w:t>
      </w:r>
      <w:r>
        <w:rPr>
          <w:rFonts w:ascii="宋体" w:hAnsi="宋体" w:cs="宋体" w:eastAsia="宋体" w:hint="default"/>
        </w:rPr>
        <w:t>1.00</w:t>
      </w:r>
      <w:r>
        <w:rPr>
          <w:rFonts w:ascii="宋体" w:hAnsi="宋体" w:cs="宋体" w:eastAsia="宋体" w:hint="default"/>
          <w:spacing w:val="-41"/>
        </w:rPr>
        <w:t> </w:t>
      </w:r>
      <w:r>
        <w:rPr/>
        <w:t>元人民币现金红利（含税），共派发现金红利</w:t>
      </w:r>
      <w:r>
        <w:rPr>
          <w:spacing w:val="-40"/>
        </w:rPr>
        <w:t> </w:t>
      </w:r>
      <w:r>
        <w:rPr>
          <w:rFonts w:ascii="宋体" w:hAnsi="宋体" w:cs="宋体" w:eastAsia="宋体" w:hint="default"/>
        </w:rPr>
        <w:t>124,319,775</w:t>
      </w:r>
      <w:r>
        <w:rPr>
          <w:rFonts w:ascii="宋体" w:hAnsi="宋体" w:cs="宋体" w:eastAsia="宋体" w:hint="default"/>
          <w:spacing w:val="-43"/>
        </w:rPr>
        <w:t> </w:t>
      </w:r>
      <w:r>
        <w:rPr/>
        <w:t>元（含税），剩余未</w:t>
      </w:r>
    </w:p>
    <w:p>
      <w:pPr>
        <w:pStyle w:val="BodyText"/>
        <w:spacing w:line="272" w:lineRule="exact"/>
        <w:ind w:right="0"/>
        <w:jc w:val="left"/>
      </w:pPr>
      <w:r>
        <w:rPr>
          <w:spacing w:val="-3"/>
        </w:rPr>
        <w:t>分配利润结转以后年度。相关决议公告已于</w:t>
      </w:r>
      <w:r>
        <w:rPr>
          <w:spacing w:val="-43"/>
        </w:rPr>
        <w:t> </w:t>
      </w: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6</w:t>
      </w:r>
      <w:r>
        <w:rPr>
          <w:rFonts w:ascii="宋体" w:hAnsi="宋体" w:cs="宋体" w:eastAsia="宋体" w:hint="default"/>
          <w:spacing w:val="-43"/>
        </w:rPr>
        <w:t> </w:t>
      </w:r>
      <w:r>
        <w:rPr>
          <w:spacing w:val="-6"/>
        </w:rPr>
        <w:t>日刊登在《中国证券报》、《上海证券</w:t>
      </w:r>
    </w:p>
    <w:p>
      <w:pPr>
        <w:pStyle w:val="BodyText"/>
        <w:spacing w:line="272" w:lineRule="exact"/>
        <w:ind w:right="0"/>
        <w:jc w:val="left"/>
      </w:pPr>
      <w:r>
        <w:rPr/>
        <w:t>报》上。上述利润分配方案实施的股权登记日为</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28</w:t>
      </w:r>
      <w:r>
        <w:rPr>
          <w:rFonts w:ascii="宋体" w:hAnsi="宋体" w:cs="宋体" w:eastAsia="宋体" w:hint="default"/>
          <w:spacing w:val="-54"/>
        </w:rPr>
        <w:t> </w:t>
      </w:r>
      <w:r>
        <w:rPr/>
        <w:t>日，除息日和现金红利发放日为</w:t>
      </w:r>
    </w:p>
    <w:p>
      <w:pPr>
        <w:pStyle w:val="BodyText"/>
        <w:spacing w:line="273" w:lineRule="exact"/>
        <w:ind w:right="2760"/>
        <w:jc w:val="left"/>
      </w:pP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6</w:t>
      </w:r>
      <w:r>
        <w:rPr>
          <w:rFonts w:ascii="宋体" w:hAnsi="宋体" w:cs="宋体" w:eastAsia="宋体" w:hint="default"/>
          <w:spacing w:val="-54"/>
        </w:rPr>
        <w:t> </w:t>
      </w:r>
      <w:r>
        <w:rPr/>
        <w:t>月</w:t>
      </w:r>
      <w:r>
        <w:rPr>
          <w:spacing w:val="-52"/>
        </w:rPr>
        <w:t> </w:t>
      </w:r>
      <w:r>
        <w:rPr>
          <w:rFonts w:ascii="宋体" w:hAnsi="宋体" w:cs="宋体" w:eastAsia="宋体" w:hint="default"/>
        </w:rPr>
        <w:t>29</w:t>
      </w:r>
      <w:r>
        <w:rPr>
          <w:rFonts w:ascii="宋体" w:hAnsi="宋体" w:cs="宋体" w:eastAsia="宋体" w:hint="default"/>
          <w:spacing w:val="-54"/>
        </w:rPr>
        <w:t> </w:t>
      </w:r>
      <w:r>
        <w:rPr/>
        <w:t>日。</w:t>
      </w:r>
    </w:p>
    <w:p>
      <w:pPr>
        <w:spacing w:line="240" w:lineRule="auto" w:before="3"/>
        <w:rPr>
          <w:rFonts w:ascii="宋体" w:hAnsi="宋体" w:cs="宋体" w:eastAsia="宋体" w:hint="default"/>
          <w:sz w:val="25"/>
          <w:szCs w:val="25"/>
        </w:rPr>
      </w:pPr>
    </w:p>
    <w:p>
      <w:pPr>
        <w:pStyle w:val="Heading4"/>
        <w:spacing w:line="240" w:lineRule="auto"/>
        <w:ind w:right="226"/>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3"/>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196"/>
        <w:gridCol w:w="1186"/>
        <w:gridCol w:w="1195"/>
        <w:gridCol w:w="1371"/>
        <w:gridCol w:w="1582"/>
        <w:gridCol w:w="1524"/>
      </w:tblGrid>
      <w:tr>
        <w:trPr>
          <w:trHeight w:val="137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9" w:right="11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11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6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0" w:right="3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2"/>
              <w:ind w:left="155" w:right="152"/>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7" w:right="122"/>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111,841,020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1,058,488,436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10.57</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124,319,775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1,850,977,215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6.72</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118,044,791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386,357,188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30.55</w:t>
            </w:r>
          </w:p>
        </w:tc>
      </w:tr>
    </w:tbl>
    <w:p>
      <w:pPr>
        <w:spacing w:line="240" w:lineRule="auto" w:before="12"/>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8"/>
        </w:rPr>
        <w:t> </w:t>
      </w:r>
      <w:r>
        <w:rPr/>
        <w:t>以现金方式要约回购股份计入现金分红的情况</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4"/>
        <w:spacing w:line="272" w:lineRule="exact"/>
        <w:ind w:left="784" w:right="224" w:hanging="567"/>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75"/>
        </w:rPr>
        <w:t> </w:t>
      </w:r>
      <w:r>
        <w:rPr/>
        <w:t>报告期内盈利且母公司可供普通股股东分配利润为正，但未提出普通股现金利润分配方案</w:t>
      </w:r>
      <w:r>
        <w:rPr>
          <w:spacing w:val="-104"/>
        </w:rPr>
        <w:t> </w:t>
      </w:r>
      <w:r>
        <w:rPr>
          <w:spacing w:val="-104"/>
        </w:rPr>
      </w:r>
      <w:r>
        <w:rPr/>
        <w:t>预案的，公司应当详细披露原因以及未分配利润的用途和使用计划</w:t>
      </w:r>
      <w:r>
        <w:rPr>
          <w:b w:val="0"/>
          <w:bCs w:val="0"/>
        </w:rPr>
      </w:r>
    </w:p>
    <w:p>
      <w:pPr>
        <w:pStyle w:val="BodyText"/>
        <w:spacing w:line="240" w:lineRule="auto" w:before="34"/>
        <w:ind w:right="2760"/>
        <w:jc w:val="left"/>
      </w:pPr>
      <w:r>
        <w:rPr/>
        <w:t>□适用</w:t>
      </w:r>
      <w:r>
        <w:rPr>
          <w:spacing w:val="-1"/>
        </w:rPr>
        <w:t> </w:t>
      </w:r>
      <w:r>
        <w:rPr/>
        <w:t>√不适用</w:t>
      </w:r>
    </w:p>
    <w:p>
      <w:pPr>
        <w:spacing w:after="0" w:line="240" w:lineRule="auto"/>
        <w:jc w:val="left"/>
        <w:sectPr>
          <w:pgSz w:w="11910" w:h="16840"/>
          <w:pgMar w:header="945" w:footer="1228" w:top="1300" w:bottom="142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36"/>
        <w:ind w:left="1118" w:right="484"/>
        <w:jc w:val="left"/>
        <w:rPr>
          <w:b w:val="0"/>
          <w:bCs w:val="0"/>
        </w:rPr>
      </w:pPr>
      <w:r>
        <w:rPr/>
        <w:t>二、承诺事项履行情况</w:t>
      </w:r>
      <w:r>
        <w:rPr>
          <w:b w:val="0"/>
          <w:bCs w:val="0"/>
        </w:rPr>
      </w:r>
    </w:p>
    <w:p>
      <w:pPr>
        <w:pStyle w:val="Heading4"/>
        <w:spacing w:line="240" w:lineRule="auto" w:before="56"/>
        <w:ind w:left="1684" w:right="484"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5"/>
        </w:rPr>
        <w:t> </w:t>
      </w:r>
      <w:r>
        <w:rPr/>
        <w:t>公司实际控制人、股东、关联方、收购人以及公司等承诺相关方在报告期内或持续到报告</w:t>
      </w:r>
      <w:r>
        <w:rPr>
          <w:spacing w:val="-104"/>
        </w:rPr>
        <w:t> </w:t>
      </w:r>
      <w:r>
        <w:rPr>
          <w:spacing w:val="-104"/>
        </w:rPr>
      </w:r>
      <w:r>
        <w:rPr/>
        <w:t>期内的承诺事项</w:t>
      </w:r>
      <w:r>
        <w:rPr>
          <w:b w:val="0"/>
          <w:bCs w:val="0"/>
        </w:rPr>
      </w:r>
    </w:p>
    <w:p>
      <w:pPr>
        <w:pStyle w:val="BodyText"/>
        <w:spacing w:line="240" w:lineRule="auto" w:before="56"/>
        <w:ind w:left="1118" w:right="48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94"/>
        <w:gridCol w:w="852"/>
        <w:gridCol w:w="1135"/>
        <w:gridCol w:w="2833"/>
        <w:gridCol w:w="852"/>
        <w:gridCol w:w="708"/>
        <w:gridCol w:w="711"/>
        <w:gridCol w:w="1135"/>
        <w:gridCol w:w="989"/>
      </w:tblGrid>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39" w:right="2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31" w:right="1229"/>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53"/>
              <w:jc w:val="both"/>
              <w:rPr>
                <w:rFonts w:ascii="宋体" w:hAnsi="宋体" w:cs="宋体" w:eastAsia="宋体" w:hint="default"/>
                <w:sz w:val="18"/>
                <w:szCs w:val="18"/>
              </w:rPr>
            </w:pPr>
            <w:r>
              <w:rPr>
                <w:rFonts w:ascii="宋体" w:hAnsi="宋体" w:cs="宋体" w:eastAsia="宋体" w:hint="default"/>
                <w:spacing w:val="32"/>
                <w:sz w:val="18"/>
                <w:szCs w:val="18"/>
              </w:rPr>
              <w:t>承诺时</w:t>
            </w:r>
            <w:r>
              <w:rPr>
                <w:rFonts w:ascii="宋体" w:hAnsi="宋体" w:cs="宋体" w:eastAsia="宋体" w:hint="default"/>
                <w:spacing w:val="-42"/>
                <w:sz w:val="18"/>
                <w:szCs w:val="18"/>
              </w:rPr>
              <w:t> </w:t>
            </w:r>
            <w:r>
              <w:rPr>
                <w:rFonts w:ascii="宋体" w:hAnsi="宋体" w:cs="宋体" w:eastAsia="宋体" w:hint="default"/>
                <w:spacing w:val="32"/>
                <w:sz w:val="18"/>
                <w:szCs w:val="18"/>
              </w:rPr>
              <w:t>间及期</w:t>
            </w:r>
            <w:r>
              <w:rPr>
                <w:rFonts w:ascii="宋体" w:hAnsi="宋体" w:cs="宋体" w:eastAsia="宋体" w:hint="default"/>
                <w:spacing w:val="-42"/>
                <w:sz w:val="18"/>
                <w:szCs w:val="18"/>
              </w:rPr>
              <w:t> </w:t>
            </w:r>
            <w:r>
              <w:rPr>
                <w:rFonts w:ascii="宋体" w:hAnsi="宋体" w:cs="宋体" w:eastAsia="宋体" w:hint="default"/>
                <w:sz w:val="18"/>
                <w:szCs w:val="18"/>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2"/>
                <w:sz w:val="18"/>
                <w:szCs w:val="18"/>
              </w:rPr>
              <w:t> </w:t>
            </w:r>
            <w:r>
              <w:rPr>
                <w:rFonts w:ascii="宋体" w:hAnsi="宋体" w:cs="宋体" w:eastAsia="宋体" w:hint="default"/>
                <w:sz w:val="18"/>
                <w:szCs w:val="18"/>
              </w:rPr>
              <w:t>履</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4"/>
                <w:sz w:val="18"/>
                <w:szCs w:val="18"/>
              </w:rPr>
              <w:t> </w:t>
            </w:r>
            <w:r>
              <w:rPr>
                <w:rFonts w:ascii="宋体" w:hAnsi="宋体" w:cs="宋体" w:eastAsia="宋体" w:hint="default"/>
                <w:sz w:val="18"/>
                <w:szCs w:val="18"/>
              </w:rPr>
              <w:t>否</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4"/>
                <w:sz w:val="18"/>
                <w:szCs w:val="18"/>
              </w:rPr>
              <w:t> </w:t>
            </w:r>
            <w:r>
              <w:rPr>
                <w:rFonts w:ascii="宋体" w:hAnsi="宋体" w:cs="宋体" w:eastAsia="宋体" w:hint="default"/>
                <w:sz w:val="18"/>
                <w:szCs w:val="18"/>
              </w:rPr>
              <w:t>时</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44"/>
                <w:sz w:val="18"/>
                <w:szCs w:val="18"/>
              </w:rPr>
              <w:t> </w:t>
            </w:r>
            <w:r>
              <w:rPr>
                <w:rFonts w:ascii="宋体" w:hAnsi="宋体" w:cs="宋体" w:eastAsia="宋体" w:hint="default"/>
                <w:sz w:val="18"/>
                <w:szCs w:val="18"/>
              </w:rPr>
              <w:t>格</w:t>
            </w:r>
            <w:r>
              <w:rPr>
                <w:rFonts w:ascii="宋体" w:hAnsi="宋体" w:cs="宋体" w:eastAsia="宋体" w:hint="default"/>
                <w:sz w:val="18"/>
                <w:szCs w:val="18"/>
              </w:rPr>
              <w:t> 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如未能及时</w:t>
            </w:r>
            <w:r>
              <w:rPr>
                <w:rFonts w:ascii="宋体" w:hAnsi="宋体" w:cs="宋体" w:eastAsia="宋体" w:hint="default"/>
                <w:sz w:val="18"/>
                <w:szCs w:val="18"/>
              </w:rPr>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4"/>
                <w:sz w:val="18"/>
                <w:szCs w:val="18"/>
              </w:rPr>
              <w:t>履行应说明 未完成履行 </w:t>
            </w:r>
            <w:r>
              <w:rPr>
                <w:rFonts w:ascii="宋体" w:hAnsi="宋体" w:cs="宋体" w:eastAsia="宋体" w:hint="default"/>
                <w:sz w:val="18"/>
                <w:szCs w:val="18"/>
              </w:rPr>
              <w:t>的具体原因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如未能及</w:t>
            </w:r>
          </w:p>
          <w:p>
            <w:pPr>
              <w:pStyle w:val="TableParagraph"/>
              <w:spacing w:line="237" w:lineRule="auto"/>
              <w:ind w:left="100" w:right="104"/>
              <w:jc w:val="both"/>
              <w:rPr>
                <w:rFonts w:ascii="宋体" w:hAnsi="宋体" w:cs="宋体" w:eastAsia="宋体" w:hint="default"/>
                <w:sz w:val="18"/>
                <w:szCs w:val="18"/>
              </w:rPr>
            </w:pPr>
            <w:r>
              <w:rPr>
                <w:rFonts w:ascii="宋体" w:hAnsi="宋体" w:cs="宋体" w:eastAsia="宋体" w:hint="default"/>
                <w:spacing w:val="12"/>
                <w:sz w:val="18"/>
                <w:szCs w:val="18"/>
              </w:rPr>
              <w:t>时履行应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说明下一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步计划</w:t>
            </w:r>
          </w:p>
        </w:tc>
      </w:tr>
      <w:tr>
        <w:trPr>
          <w:trHeight w:val="1179"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53"/>
              <w:jc w:val="left"/>
              <w:rPr>
                <w:rFonts w:ascii="宋体" w:hAnsi="宋体" w:cs="宋体" w:eastAsia="宋体" w:hint="default"/>
                <w:sz w:val="18"/>
                <w:szCs w:val="18"/>
              </w:rPr>
            </w:pPr>
            <w:r>
              <w:rPr>
                <w:rFonts w:ascii="宋体" w:hAnsi="宋体" w:cs="宋体" w:eastAsia="宋体" w:hint="default"/>
                <w:spacing w:val="32"/>
                <w:sz w:val="18"/>
                <w:szCs w:val="18"/>
              </w:rPr>
              <w:t>解决同</w:t>
            </w:r>
            <w:r>
              <w:rPr>
                <w:rFonts w:ascii="宋体" w:hAnsi="宋体" w:cs="宋体" w:eastAsia="宋体" w:hint="default"/>
                <w:spacing w:val="-42"/>
                <w:sz w:val="18"/>
                <w:szCs w:val="18"/>
              </w:rPr>
              <w:t> </w:t>
            </w:r>
            <w:r>
              <w:rPr>
                <w:rFonts w:ascii="宋体" w:hAnsi="宋体" w:cs="宋体" w:eastAsia="宋体" w:hint="default"/>
                <w:sz w:val="18"/>
                <w:szCs w:val="18"/>
              </w:rPr>
              <w:t>业竞争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left"/>
              <w:rPr>
                <w:rFonts w:ascii="宋体" w:hAnsi="宋体" w:cs="宋体" w:eastAsia="宋体" w:hint="default"/>
                <w:sz w:val="18"/>
                <w:szCs w:val="18"/>
              </w:rPr>
            </w:pPr>
            <w:r>
              <w:rPr>
                <w:rFonts w:ascii="宋体" w:hAnsi="宋体" w:cs="宋体" w:eastAsia="宋体" w:hint="default"/>
                <w:spacing w:val="4"/>
                <w:sz w:val="18"/>
                <w:szCs w:val="18"/>
              </w:rPr>
              <w:t>大连东软控 股有限公司</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（简称“东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软控股”）</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东软控股将本着有利于上市公司</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发展的原则支持东软集团，在其公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司及下属公司可能涉及到同业竞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争的投资项目及其他可能涉及情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形时，保持中立。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110" w:hRule="exact"/>
        </w:trPr>
        <w:tc>
          <w:tcPr>
            <w:tcW w:w="994"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53"/>
              <w:jc w:val="left"/>
              <w:rPr>
                <w:rFonts w:ascii="宋体" w:hAnsi="宋体" w:cs="宋体" w:eastAsia="宋体" w:hint="default"/>
                <w:sz w:val="18"/>
                <w:szCs w:val="18"/>
              </w:rPr>
            </w:pPr>
            <w:r>
              <w:rPr>
                <w:rFonts w:ascii="宋体" w:hAnsi="宋体" w:cs="宋体" w:eastAsia="宋体" w:hint="default"/>
                <w:spacing w:val="32"/>
                <w:sz w:val="18"/>
                <w:szCs w:val="18"/>
              </w:rPr>
              <w:t>解决关</w:t>
            </w:r>
            <w:r>
              <w:rPr>
                <w:rFonts w:ascii="宋体" w:hAnsi="宋体" w:cs="宋体" w:eastAsia="宋体" w:hint="default"/>
                <w:spacing w:val="-42"/>
                <w:sz w:val="18"/>
                <w:szCs w:val="18"/>
              </w:rPr>
              <w:t> </w:t>
            </w:r>
            <w:r>
              <w:rPr>
                <w:rFonts w:ascii="宋体" w:hAnsi="宋体" w:cs="宋体" w:eastAsia="宋体" w:hint="default"/>
                <w:sz w:val="18"/>
                <w:szCs w:val="18"/>
              </w:rPr>
              <w:t>联交易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大连东软控 股有限公司</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（简称“东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软控股”）</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东软控股将会严格遵守有关上市</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公司监管法规，若东软控股与上市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公司发生必要的关联交易，将严格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按照市场公允公平原则，在履行上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市公司有关关联交易内部决策程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序的基础上，保证以规范公平的方</w:t>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z w:val="18"/>
                <w:szCs w:val="18"/>
              </w:rPr>
              <w:t>式进行交易并及时披露相关信息， </w:t>
            </w:r>
            <w:r>
              <w:rPr>
                <w:rFonts w:ascii="宋体" w:hAnsi="宋体" w:cs="宋体" w:eastAsia="宋体" w:hint="default"/>
                <w:spacing w:val="6"/>
                <w:sz w:val="18"/>
                <w:szCs w:val="18"/>
              </w:rPr>
              <w:t>从制度上保证上市公司的利益不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受损害。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20"/>
          <w:szCs w:val="20"/>
        </w:rPr>
      </w:pPr>
    </w:p>
    <w:p>
      <w:pPr>
        <w:pStyle w:val="Heading4"/>
        <w:spacing w:line="290" w:lineRule="auto" w:before="36"/>
        <w:ind w:left="1118" w:right="115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3"/>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29" w:lineRule="exact"/>
        <w:ind w:left="1118" w:right="484"/>
        <w:jc w:val="left"/>
      </w:pPr>
      <w:r>
        <w:rPr/>
        <w:t>□已达到 □未达到 √不适用</w:t>
      </w:r>
    </w:p>
    <w:p>
      <w:pPr>
        <w:pStyle w:val="Heading4"/>
        <w:spacing w:line="240" w:lineRule="auto" w:before="56"/>
        <w:ind w:left="1118" w:right="484"/>
        <w:jc w:val="left"/>
        <w:rPr>
          <w:b w:val="0"/>
          <w:bCs w:val="0"/>
        </w:rPr>
      </w:pPr>
      <w:r>
        <w:rPr/>
        <w:t>三、报告期内资金被占用情况及清欠进展情况</w:t>
      </w:r>
      <w:r>
        <w:rPr>
          <w:b w:val="0"/>
          <w:bCs w:val="0"/>
        </w:rPr>
      </w:r>
    </w:p>
    <w:p>
      <w:pPr>
        <w:spacing w:line="290" w:lineRule="auto" w:before="58"/>
        <w:ind w:left="1118" w:right="25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1118" w:right="4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18" w:right="484"/>
        <w:jc w:val="left"/>
        <w:rPr>
          <w:b w:val="0"/>
          <w:bCs w:val="0"/>
        </w:rPr>
      </w:pPr>
      <w:r>
        <w:rPr/>
        <w:t>五、公司对会计政策、会计估计变更或重大会计差错更正原因和影响的分析说明</w:t>
      </w:r>
      <w:r>
        <w:rPr>
          <w:b w:val="0"/>
          <w:bCs w:val="0"/>
        </w:rPr>
      </w:r>
    </w:p>
    <w:p>
      <w:pPr>
        <w:pStyle w:val="Heading4"/>
        <w:spacing w:line="240" w:lineRule="auto" w:before="56"/>
        <w:ind w:left="1118" w:right="484"/>
        <w:jc w:val="left"/>
        <w:rPr>
          <w:b w:val="0"/>
          <w:bCs w:val="0"/>
        </w:rPr>
      </w:pPr>
      <w:r>
        <w:rPr/>
        <w:t>（一）公司对会计政策、会计估计变更原因及影响的分析说明</w:t>
      </w:r>
      <w:r>
        <w:rPr>
          <w:b w:val="0"/>
          <w:bCs w:val="0"/>
        </w:rPr>
      </w:r>
    </w:p>
    <w:p>
      <w:pPr>
        <w:pStyle w:val="BodyText"/>
        <w:tabs>
          <w:tab w:pos="1960" w:val="left" w:leader="none"/>
        </w:tabs>
        <w:spacing w:line="240" w:lineRule="auto" w:before="56"/>
        <w:ind w:left="1538" w:right="48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4"/>
        </w:rPr>
        <w:t>2017</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28</w:t>
      </w:r>
      <w:r>
        <w:rPr>
          <w:spacing w:val="-4"/>
        </w:rPr>
        <w:t>日，财政部发布了财会</w:t>
      </w:r>
      <w:r>
        <w:rPr>
          <w:rFonts w:ascii="宋体" w:hAnsi="宋体" w:cs="宋体" w:eastAsia="宋体" w:hint="default"/>
          <w:spacing w:val="-4"/>
        </w:rPr>
        <w:t>[2017]13</w:t>
      </w:r>
      <w:r>
        <w:rPr>
          <w:spacing w:val="-4"/>
        </w:rPr>
        <w:t>号《企业会计准则第</w:t>
      </w:r>
      <w:r>
        <w:rPr>
          <w:rFonts w:ascii="宋体" w:hAnsi="宋体" w:cs="宋体" w:eastAsia="宋体" w:hint="default"/>
          <w:spacing w:val="-4"/>
        </w:rPr>
        <w:t>42</w:t>
      </w:r>
      <w:r>
        <w:rPr>
          <w:spacing w:val="-4"/>
        </w:rPr>
        <w:t>号——持有待售的非流动</w:t>
      </w:r>
    </w:p>
    <w:p>
      <w:pPr>
        <w:pStyle w:val="BodyText"/>
        <w:spacing w:line="271" w:lineRule="exact"/>
        <w:ind w:left="1118" w:right="484"/>
        <w:jc w:val="left"/>
      </w:pPr>
      <w:r>
        <w:rPr/>
        <w:t>资产、处置组和终止经营》，自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日起实施。</w:t>
      </w:r>
    </w:p>
    <w:p>
      <w:pPr>
        <w:pStyle w:val="BodyText"/>
        <w:spacing w:line="272" w:lineRule="exact"/>
        <w:ind w:left="1538" w:right="0"/>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5</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10</w:t>
      </w:r>
      <w:r>
        <w:rPr>
          <w:rFonts w:ascii="宋体" w:hAnsi="宋体" w:cs="宋体" w:eastAsia="宋体" w:hint="default"/>
          <w:spacing w:val="-67"/>
        </w:rPr>
        <w:t> </w:t>
      </w:r>
      <w:r>
        <w:rPr>
          <w:w w:val="100"/>
        </w:rPr>
        <w:t>日</w:t>
      </w:r>
      <w:r>
        <w:rPr>
          <w:spacing w:val="-108"/>
          <w:w w:val="100"/>
        </w:rPr>
        <w:t>，</w:t>
      </w:r>
      <w:r>
        <w:rPr>
          <w:w w:val="100"/>
        </w:rPr>
        <w:t>财</w:t>
      </w:r>
      <w:r>
        <w:rPr>
          <w:spacing w:val="-3"/>
          <w:w w:val="100"/>
        </w:rPr>
        <w:t>政部</w:t>
      </w:r>
      <w:r>
        <w:rPr>
          <w:w w:val="100"/>
        </w:rPr>
        <w:t>发布</w:t>
      </w:r>
      <w:r>
        <w:rPr>
          <w:spacing w:val="-3"/>
          <w:w w:val="100"/>
        </w:rPr>
        <w:t>了</w:t>
      </w:r>
      <w:r>
        <w:rPr>
          <w:w w:val="100"/>
        </w:rPr>
        <w:t>财</w:t>
      </w:r>
      <w:r>
        <w:rPr>
          <w:spacing w:val="-3"/>
          <w:w w:val="100"/>
        </w:rPr>
        <w:t>会</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7]15</w:t>
      </w:r>
      <w:r>
        <w:rPr>
          <w:rFonts w:ascii="宋体" w:hAnsi="宋体" w:cs="宋体" w:eastAsia="宋体" w:hint="default"/>
          <w:spacing w:val="-67"/>
        </w:rPr>
        <w:t> </w:t>
      </w:r>
      <w:r>
        <w:rPr>
          <w:spacing w:val="-106"/>
          <w:w w:val="100"/>
        </w:rPr>
        <w:t>号</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65"/>
        </w:rPr>
        <w:t> </w:t>
      </w:r>
      <w:r>
        <w:rPr>
          <w:rFonts w:ascii="宋体" w:hAnsi="宋体" w:cs="宋体" w:eastAsia="宋体" w:hint="default"/>
          <w:w w:val="100"/>
        </w:rPr>
        <w:t>16</w:t>
      </w:r>
      <w:r>
        <w:rPr>
          <w:rFonts w:ascii="宋体" w:hAnsi="宋体" w:cs="宋体" w:eastAsia="宋体" w:hint="default"/>
          <w:spacing w:val="-67"/>
        </w:rPr>
        <w:t> </w:t>
      </w:r>
      <w:r>
        <w:rPr>
          <w:w w:val="100"/>
        </w:rPr>
        <w:t>号</w:t>
      </w:r>
      <w:r>
        <w:rPr>
          <w:spacing w:val="-3"/>
          <w:w w:val="100"/>
        </w:rPr>
        <w:t>—</w:t>
      </w:r>
      <w:r>
        <w:rPr>
          <w:w w:val="100"/>
        </w:rPr>
        <w:t>—</w:t>
      </w:r>
      <w:r>
        <w:rPr>
          <w:spacing w:val="-3"/>
          <w:w w:val="100"/>
        </w:rPr>
        <w:t>政</w:t>
      </w:r>
      <w:r>
        <w:rPr>
          <w:w w:val="100"/>
        </w:rPr>
        <w:t>府补</w:t>
      </w:r>
      <w:r>
        <w:rPr>
          <w:spacing w:val="-3"/>
          <w:w w:val="100"/>
        </w:rPr>
        <w:t>助</w:t>
      </w:r>
      <w:r>
        <w:rPr>
          <w:spacing w:val="-212"/>
          <w:w w:val="100"/>
        </w:rPr>
        <w:t>》</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p>
    <w:p>
      <w:pPr>
        <w:pStyle w:val="BodyText"/>
        <w:spacing w:line="240" w:lineRule="auto"/>
        <w:ind w:left="1538" w:right="484" w:hanging="420"/>
        <w:jc w:val="left"/>
      </w:pPr>
      <w:r>
        <w:rPr/>
        <w:t>年修订），自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日起实施。</w:t>
      </w:r>
      <w:r>
        <w:rPr>
          <w:spacing w:val="-101"/>
        </w:rPr>
        <w:t> </w:t>
      </w:r>
      <w:r>
        <w:rPr>
          <w:spacing w:val="-101"/>
        </w:rPr>
      </w:r>
      <w:r>
        <w:rPr>
          <w:rFonts w:ascii="宋体" w:hAnsi="宋体" w:cs="宋体" w:eastAsia="宋体" w:hint="default"/>
          <w:spacing w:val="-6"/>
        </w:rPr>
        <w:t>2017</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25</w:t>
      </w:r>
      <w:r>
        <w:rPr>
          <w:spacing w:val="-6"/>
        </w:rPr>
        <w:t>日，根据财政部《关于修订印发一般企业财务报表格式的通知》（财会〔</w:t>
      </w:r>
      <w:r>
        <w:rPr>
          <w:rFonts w:ascii="宋体" w:hAnsi="宋体" w:cs="宋体" w:eastAsia="宋体" w:hint="default"/>
          <w:spacing w:val="-6"/>
        </w:rPr>
        <w:t>2017</w:t>
      </w:r>
      <w:r>
        <w:rPr>
          <w:spacing w:val="-6"/>
        </w:rPr>
        <w:t>〕</w:t>
      </w:r>
    </w:p>
    <w:p>
      <w:pPr>
        <w:pStyle w:val="BodyText"/>
        <w:spacing w:line="237" w:lineRule="auto"/>
        <w:ind w:left="1118" w:right="488"/>
        <w:jc w:val="both"/>
      </w:pPr>
      <w:r>
        <w:rPr>
          <w:rFonts w:ascii="宋体" w:hAnsi="宋体" w:cs="宋体" w:eastAsia="宋体" w:hint="default"/>
          <w:spacing w:val="-1"/>
        </w:rPr>
        <w:t>30</w:t>
      </w:r>
      <w:r>
        <w:rPr>
          <w:spacing w:val="-1"/>
        </w:rPr>
        <w:t>号）的规定和要求，公司在利润表中新增“资产处置收益”项目，原在“营业外收入”、“营</w:t>
      </w:r>
      <w:r>
        <w:rPr>
          <w:spacing w:val="-56"/>
        </w:rPr>
        <w:t> </w:t>
      </w:r>
      <w:r>
        <w:rPr>
          <w:spacing w:val="-56"/>
        </w:rPr>
      </w:r>
      <w:r>
        <w:rPr>
          <w:spacing w:val="-1"/>
        </w:rPr>
        <w:t>业外支出”列报的部分非流动资产处置损益改为在“资产处置收益”项目列报，并对上年同期比</w:t>
      </w:r>
      <w:r>
        <w:rPr>
          <w:spacing w:val="-55"/>
        </w:rPr>
        <w:t> </w:t>
      </w:r>
      <w:r>
        <w:rPr>
          <w:spacing w:val="-55"/>
        </w:rPr>
      </w:r>
      <w:r>
        <w:rPr/>
        <w:t>较数据进行调整。</w:t>
      </w:r>
    </w:p>
    <w:p>
      <w:pPr>
        <w:pStyle w:val="BodyText"/>
        <w:spacing w:line="237" w:lineRule="auto" w:before="1"/>
        <w:ind w:left="1118" w:right="488" w:firstLine="419"/>
        <w:jc w:val="both"/>
      </w:pPr>
      <w:r>
        <w:rPr>
          <w:spacing w:val="-2"/>
        </w:rPr>
        <w:t>上述会计政策变更及企业财务报表格式修订，仅影响财务报表相关项目的重分类列报，对公</w:t>
      </w:r>
      <w:r>
        <w:rPr>
          <w:w w:val="100"/>
        </w:rPr>
        <w:t> </w:t>
      </w:r>
      <w:r>
        <w:rPr/>
        <w:t>司 </w:t>
      </w:r>
      <w:r>
        <w:rPr>
          <w:rFonts w:ascii="宋体" w:hAnsi="宋体" w:cs="宋体" w:eastAsia="宋体" w:hint="default"/>
        </w:rPr>
        <w:t>2017</w:t>
      </w:r>
      <w:r>
        <w:rPr>
          <w:rFonts w:ascii="宋体" w:hAnsi="宋体" w:cs="宋体" w:eastAsia="宋体" w:hint="default"/>
          <w:spacing w:val="7"/>
        </w:rPr>
        <w:t> </w:t>
      </w:r>
      <w:r>
        <w:rPr/>
        <w:t>年度的财务状况、经营成果和现金流量无实质影响。具体详见本报告第十一节财务报告</w:t>
      </w:r>
      <w:r>
        <w:rPr>
          <w:w w:val="100"/>
        </w:rPr>
        <w:t> </w:t>
      </w:r>
      <w:r>
        <w:rPr/>
        <w:t>“五、重要会计政策及会计估计”、“33、重要会计政策和会计估计的变更”。</w:t>
      </w:r>
    </w:p>
    <w:p>
      <w:pPr>
        <w:spacing w:line="240" w:lineRule="auto" w:before="4"/>
        <w:rPr>
          <w:rFonts w:ascii="宋体" w:hAnsi="宋体" w:cs="宋体" w:eastAsia="宋体" w:hint="default"/>
          <w:sz w:val="25"/>
          <w:szCs w:val="25"/>
        </w:rPr>
      </w:pPr>
    </w:p>
    <w:p>
      <w:pPr>
        <w:pStyle w:val="Heading4"/>
        <w:spacing w:line="240" w:lineRule="auto"/>
        <w:ind w:left="1118" w:right="484"/>
        <w:jc w:val="left"/>
        <w:rPr>
          <w:b w:val="0"/>
          <w:bCs w:val="0"/>
        </w:rPr>
      </w:pPr>
      <w:r>
        <w:rPr/>
        <w:t>（二）</w:t>
      </w:r>
      <w:r>
        <w:rPr>
          <w:spacing w:val="-32"/>
        </w:rPr>
        <w:t> </w:t>
      </w:r>
      <w:r>
        <w:rPr/>
        <w:t>公司对重大会计差错更正原因及影响的分析说明</w:t>
      </w:r>
      <w:r>
        <w:rPr>
          <w:b w:val="0"/>
          <w:bCs w:val="0"/>
        </w:rPr>
      </w:r>
    </w:p>
    <w:p>
      <w:pPr>
        <w:pStyle w:val="BodyText"/>
        <w:tabs>
          <w:tab w:pos="1960" w:val="left" w:leader="none"/>
        </w:tabs>
        <w:spacing w:line="240" w:lineRule="auto" w:before="56"/>
        <w:ind w:left="1118" w:right="484"/>
        <w:jc w:val="left"/>
      </w:pPr>
      <w:r>
        <w:rPr>
          <w:spacing w:val="-1"/>
        </w:rPr>
        <w:t>□适用</w:t>
        <w:tab/>
      </w:r>
      <w:r>
        <w:rPr>
          <w:spacing w:val="-2"/>
        </w:rPr>
        <w:t>√不适用</w:t>
      </w:r>
    </w:p>
    <w:p>
      <w:pPr>
        <w:spacing w:after="0" w:line="240" w:lineRule="auto"/>
        <w:jc w:val="left"/>
        <w:sectPr>
          <w:footerReference w:type="default" r:id="rId24"/>
          <w:pgSz w:w="11910" w:h="16840"/>
          <w:pgMar w:footer="1248" w:header="945" w:top="1300" w:bottom="1440" w:left="680" w:right="780"/>
        </w:sectPr>
      </w:pPr>
    </w:p>
    <w:p>
      <w:pPr>
        <w:spacing w:line="240" w:lineRule="auto" w:before="3"/>
        <w:rPr>
          <w:rFonts w:ascii="宋体" w:hAnsi="宋体" w:cs="宋体" w:eastAsia="宋体" w:hint="default"/>
          <w:sz w:val="11"/>
          <w:szCs w:val="11"/>
        </w:rPr>
      </w:pPr>
    </w:p>
    <w:p>
      <w:pPr>
        <w:pStyle w:val="Heading4"/>
        <w:spacing w:line="240" w:lineRule="auto" w:before="36"/>
        <w:ind w:right="2760"/>
        <w:jc w:val="left"/>
        <w:rPr>
          <w:b w:val="0"/>
          <w:bCs w:val="0"/>
        </w:rPr>
      </w:pPr>
      <w:r>
        <w:rPr/>
        <w:t>（三）</w:t>
      </w:r>
      <w:r>
        <w:rPr>
          <w:spacing w:val="-31"/>
        </w:rPr>
        <w:t> </w:t>
      </w:r>
      <w:r>
        <w:rPr/>
        <w:t>与前任会计师事务所进行的沟通情况</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pStyle w:val="Heading4"/>
        <w:spacing w:line="240" w:lineRule="auto" w:before="56"/>
        <w:ind w:right="2760"/>
        <w:jc w:val="left"/>
        <w:rPr>
          <w:b w:val="0"/>
          <w:bCs w:val="0"/>
        </w:rPr>
      </w:pPr>
      <w:r>
        <w:rPr/>
        <w:t>（四）</w:t>
      </w:r>
      <w:r>
        <w:rPr>
          <w:spacing w:val="-30"/>
        </w:rPr>
        <w:t> </w:t>
      </w:r>
      <w:r>
        <w:rPr/>
        <w:t>其他说明</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4"/>
        <w:spacing w:line="240" w:lineRule="auto" w:before="36"/>
        <w:ind w:right="2760"/>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十年</w:t>
            </w:r>
          </w:p>
        </w:tc>
      </w:tr>
    </w:tbl>
    <w:p>
      <w:pPr>
        <w:pStyle w:val="BodyText"/>
        <w:spacing w:line="241" w:lineRule="exact"/>
        <w:ind w:left="63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5</w:t>
      </w:r>
      <w:r>
        <w:rPr>
          <w:rFonts w:ascii="宋体" w:hAnsi="宋体" w:cs="宋体" w:eastAsia="宋体" w:hint="default"/>
          <w:spacing w:val="-53"/>
        </w:rPr>
        <w:t> </w:t>
      </w:r>
      <w:r>
        <w:rPr>
          <w:spacing w:val="-3"/>
          <w:w w:val="100"/>
        </w:rPr>
        <w:t>日</w:t>
      </w:r>
      <w:r>
        <w:rPr>
          <w:w w:val="100"/>
        </w:rPr>
        <w:t>召</w:t>
      </w:r>
      <w:r>
        <w:rPr>
          <w:spacing w:val="-3"/>
          <w:w w:val="100"/>
        </w:rPr>
        <w:t>开的</w:t>
      </w:r>
      <w:r>
        <w:rPr>
          <w:w w:val="100"/>
        </w:rPr>
        <w:t>公司</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6</w:t>
      </w:r>
      <w:r>
        <w:rPr>
          <w:rFonts w:ascii="宋体" w:hAnsi="宋体" w:cs="宋体" w:eastAsia="宋体" w:hint="default"/>
          <w:spacing w:val="-55"/>
        </w:rPr>
        <w:t> </w:t>
      </w:r>
      <w:r>
        <w:rPr>
          <w:w w:val="100"/>
        </w:rPr>
        <w:t>年</w:t>
      </w:r>
      <w:r>
        <w:rPr>
          <w:spacing w:val="-3"/>
          <w:w w:val="100"/>
        </w:rPr>
        <w:t>年</w:t>
      </w:r>
      <w:r>
        <w:rPr>
          <w:w w:val="100"/>
        </w:rPr>
        <w:t>度</w:t>
      </w:r>
      <w:r>
        <w:rPr>
          <w:spacing w:val="-3"/>
          <w:w w:val="100"/>
        </w:rPr>
        <w:t>股</w:t>
      </w:r>
      <w:r>
        <w:rPr>
          <w:w w:val="100"/>
        </w:rPr>
        <w:t>东</w:t>
      </w:r>
      <w:r>
        <w:rPr>
          <w:spacing w:val="-3"/>
          <w:w w:val="100"/>
        </w:rPr>
        <w:t>大会</w:t>
      </w:r>
      <w:r>
        <w:rPr>
          <w:w w:val="100"/>
        </w:rPr>
        <w:t>审议</w:t>
      </w:r>
      <w:r>
        <w:rPr>
          <w:spacing w:val="-3"/>
          <w:w w:val="100"/>
        </w:rPr>
        <w:t>通</w:t>
      </w:r>
      <w:r>
        <w:rPr>
          <w:w w:val="100"/>
        </w:rPr>
        <w:t>过</w:t>
      </w:r>
      <w:r>
        <w:rPr>
          <w:spacing w:val="-94"/>
          <w:w w:val="100"/>
        </w:rPr>
        <w:t>了</w:t>
      </w:r>
      <w:r>
        <w:rPr>
          <w:spacing w:val="-3"/>
          <w:w w:val="100"/>
        </w:rPr>
        <w:t>《</w:t>
      </w:r>
      <w:r>
        <w:rPr>
          <w:w w:val="100"/>
        </w:rPr>
        <w:t>关</w:t>
      </w:r>
      <w:r>
        <w:rPr>
          <w:spacing w:val="-3"/>
          <w:w w:val="100"/>
        </w:rPr>
        <w:t>于</w:t>
      </w:r>
      <w:r>
        <w:rPr>
          <w:w w:val="100"/>
        </w:rPr>
        <w:t>聘请</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3"/>
          <w:w w:val="100"/>
        </w:rPr>
        <w:t>度</w:t>
      </w:r>
      <w:r>
        <w:rPr>
          <w:w w:val="100"/>
        </w:rPr>
        <w:t>财</w:t>
      </w:r>
      <w:r>
        <w:rPr>
          <w:spacing w:val="-3"/>
          <w:w w:val="100"/>
        </w:rPr>
        <w:t>务</w:t>
      </w:r>
      <w:r>
        <w:rPr>
          <w:w w:val="100"/>
        </w:rPr>
        <w:t>审</w:t>
      </w:r>
    </w:p>
    <w:p>
      <w:pPr>
        <w:pStyle w:val="BodyText"/>
        <w:spacing w:line="272" w:lineRule="exact"/>
        <w:ind w:right="0"/>
        <w:jc w:val="both"/>
      </w:pPr>
      <w:r>
        <w:rPr>
          <w:spacing w:val="-5"/>
        </w:rPr>
        <w:t>计机构的议案》，股东大会同意续聘立信会计师事务所（特殊普通合伙）为公司 </w:t>
      </w:r>
      <w:r>
        <w:rPr>
          <w:rFonts w:ascii="宋体" w:hAnsi="宋体" w:cs="宋体" w:eastAsia="宋体" w:hint="default"/>
        </w:rPr>
        <w:t>2017</w:t>
      </w:r>
      <w:r>
        <w:rPr>
          <w:rFonts w:ascii="宋体" w:hAnsi="宋体" w:cs="宋体" w:eastAsia="宋体" w:hint="default"/>
          <w:spacing w:val="-30"/>
        </w:rPr>
        <w:t> </w:t>
      </w:r>
      <w:r>
        <w:rPr/>
        <w:t>年度财务审</w:t>
      </w:r>
    </w:p>
    <w:p>
      <w:pPr>
        <w:pStyle w:val="BodyText"/>
        <w:spacing w:line="272" w:lineRule="exact"/>
        <w:ind w:right="0"/>
        <w:jc w:val="both"/>
      </w:pPr>
      <w:r>
        <w:rPr/>
        <w:t>计机构，聘期从</w:t>
      </w:r>
      <w:r>
        <w:rPr>
          <w:spacing w:val="-55"/>
        </w:rPr>
        <w:t> </w:t>
      </w:r>
      <w:r>
        <w:rPr>
          <w:rFonts w:ascii="宋体" w:hAnsi="宋体" w:cs="宋体" w:eastAsia="宋体" w:hint="default"/>
        </w:rPr>
        <w:t>2016</w:t>
      </w:r>
      <w:r>
        <w:rPr>
          <w:rFonts w:ascii="宋体" w:hAnsi="宋体" w:cs="宋体" w:eastAsia="宋体" w:hint="default"/>
          <w:spacing w:val="-55"/>
        </w:rPr>
        <w:t> </w:t>
      </w:r>
      <w:r>
        <w:rPr/>
        <w:t>年年度股东大会批准之日起至</w:t>
      </w:r>
      <w:r>
        <w:rPr>
          <w:spacing w:val="-57"/>
        </w:rPr>
        <w:t> </w:t>
      </w:r>
      <w:r>
        <w:rPr>
          <w:rFonts w:ascii="宋体" w:hAnsi="宋体" w:cs="宋体" w:eastAsia="宋体" w:hint="default"/>
        </w:rPr>
        <w:t>2017</w:t>
      </w:r>
      <w:r>
        <w:rPr>
          <w:rFonts w:ascii="宋体" w:hAnsi="宋体" w:cs="宋体" w:eastAsia="宋体" w:hint="default"/>
          <w:spacing w:val="-57"/>
        </w:rPr>
        <w:t> </w:t>
      </w:r>
      <w:r>
        <w:rPr/>
        <w:t>年年度股东大会结束之日止。</w:t>
      </w:r>
    </w:p>
    <w:p>
      <w:pPr>
        <w:pStyle w:val="BodyText"/>
        <w:spacing w:line="272" w:lineRule="exact"/>
        <w:ind w:left="638" w:right="226"/>
        <w:jc w:val="left"/>
      </w:pPr>
      <w:r>
        <w:rPr>
          <w:rFonts w:ascii="宋体" w:hAnsi="宋体" w:cs="宋体" w:eastAsia="宋体" w:hint="default"/>
        </w:rPr>
        <w:t>2017</w:t>
      </w:r>
      <w:r>
        <w:rPr>
          <w:rFonts w:ascii="宋体" w:hAnsi="宋体" w:cs="宋体" w:eastAsia="宋体" w:hint="default"/>
          <w:spacing w:val="-57"/>
        </w:rPr>
        <w:t> </w:t>
      </w:r>
      <w:r>
        <w:rPr/>
        <w:t>年，立信会计师事务所（特殊普通合伙）对本公司</w:t>
      </w:r>
      <w:r>
        <w:rPr>
          <w:spacing w:val="-55"/>
        </w:rPr>
        <w:t> </w:t>
      </w:r>
      <w:r>
        <w:rPr>
          <w:rFonts w:ascii="宋体" w:hAnsi="宋体" w:cs="宋体" w:eastAsia="宋体" w:hint="default"/>
        </w:rPr>
        <w:t>2017</w:t>
      </w:r>
      <w:r>
        <w:rPr>
          <w:rFonts w:ascii="宋体" w:hAnsi="宋体" w:cs="宋体" w:eastAsia="宋体" w:hint="default"/>
          <w:spacing w:val="-57"/>
        </w:rPr>
        <w:t> </w:t>
      </w:r>
      <w:r>
        <w:rPr/>
        <w:t>年年度报告进行了审计，公司</w:t>
      </w:r>
    </w:p>
    <w:p>
      <w:pPr>
        <w:pStyle w:val="BodyText"/>
        <w:spacing w:line="237" w:lineRule="auto"/>
        <w:ind w:right="232"/>
        <w:jc w:val="both"/>
      </w:pPr>
      <w:r>
        <w:rPr/>
        <w:t>为此支付的审计费用为</w:t>
      </w:r>
      <w:r>
        <w:rPr>
          <w:spacing w:val="-55"/>
        </w:rPr>
        <w:t> </w:t>
      </w:r>
      <w:r>
        <w:rPr>
          <w:rFonts w:ascii="宋体" w:hAnsi="宋体" w:cs="宋体" w:eastAsia="宋体" w:hint="default"/>
        </w:rPr>
        <w:t>155</w:t>
      </w:r>
      <w:r>
        <w:rPr>
          <w:rFonts w:ascii="宋体" w:hAnsi="宋体" w:cs="宋体" w:eastAsia="宋体" w:hint="default"/>
          <w:spacing w:val="-56"/>
        </w:rPr>
        <w:t> </w:t>
      </w:r>
      <w:r>
        <w:rPr/>
        <w:t>万元人民币（不含税）。截至本报告期末，立信会计师事务所（特殊</w:t>
      </w:r>
      <w:r>
        <w:rPr>
          <w:w w:val="100"/>
        </w:rPr>
        <w:t> </w:t>
      </w:r>
      <w:r>
        <w:rPr>
          <w:spacing w:val="-3"/>
        </w:rPr>
        <w:t>普通合伙）已经为本公司提供了十年审计服务。立信会计师事务所（特殊普通合伙）</w:t>
      </w:r>
      <w:r>
        <w:rPr>
          <w:rFonts w:ascii="宋体" w:hAnsi="宋体" w:cs="宋体" w:eastAsia="宋体" w:hint="default"/>
          <w:spacing w:val="-3"/>
        </w:rPr>
        <w:t>2017 </w:t>
      </w:r>
      <w:r>
        <w:rPr/>
        <w:t>年度的</w:t>
      </w:r>
      <w:r>
        <w:rPr>
          <w:spacing w:val="-88"/>
        </w:rPr>
        <w:t> </w:t>
      </w:r>
      <w:r>
        <w:rPr>
          <w:spacing w:val="-88"/>
        </w:rPr>
      </w:r>
      <w:r>
        <w:rPr/>
        <w:t>签字会计师为姜丽君和于延国。</w:t>
      </w:r>
    </w:p>
    <w:p>
      <w:pPr>
        <w:pStyle w:val="BodyText"/>
        <w:tabs>
          <w:tab w:pos="1262" w:val="left" w:leader="none"/>
        </w:tabs>
        <w:spacing w:line="274" w:lineRule="exact"/>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754"/>
        <w:gridCol w:w="2278"/>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55</w:t>
            </w:r>
          </w:p>
        </w:tc>
      </w:tr>
    </w:tbl>
    <w:p>
      <w:pPr>
        <w:pStyle w:val="BodyText"/>
        <w:spacing w:line="239" w:lineRule="exact"/>
        <w:ind w:left="63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29</w:t>
      </w:r>
      <w:r>
        <w:rPr>
          <w:rFonts w:ascii="宋体" w:hAnsi="宋体" w:cs="宋体" w:eastAsia="宋体" w:hint="default"/>
          <w:spacing w:val="-52"/>
        </w:rPr>
        <w:t> </w:t>
      </w:r>
      <w:r>
        <w:rPr>
          <w:spacing w:val="-3"/>
          <w:w w:val="100"/>
        </w:rPr>
        <w:t>日</w:t>
      </w:r>
      <w:r>
        <w:rPr>
          <w:w w:val="100"/>
        </w:rPr>
        <w:t>召</w:t>
      </w:r>
      <w:r>
        <w:rPr>
          <w:spacing w:val="-3"/>
          <w:w w:val="100"/>
        </w:rPr>
        <w:t>开</w:t>
      </w:r>
      <w:r>
        <w:rPr>
          <w:w w:val="100"/>
        </w:rPr>
        <w:t>的公</w:t>
      </w:r>
      <w:r>
        <w:rPr>
          <w:spacing w:val="-3"/>
          <w:w w:val="100"/>
        </w:rPr>
        <w:t>司</w:t>
      </w:r>
      <w:r>
        <w:rPr>
          <w:w w:val="100"/>
        </w:rPr>
        <w:t>七</w:t>
      </w:r>
      <w:r>
        <w:rPr>
          <w:spacing w:val="-3"/>
          <w:w w:val="100"/>
        </w:rPr>
        <w:t>届</w:t>
      </w:r>
      <w:r>
        <w:rPr>
          <w:w w:val="100"/>
        </w:rPr>
        <w:t>三</w:t>
      </w:r>
      <w:r>
        <w:rPr>
          <w:spacing w:val="-3"/>
          <w:w w:val="100"/>
        </w:rPr>
        <w:t>十</w:t>
      </w:r>
      <w:r>
        <w:rPr>
          <w:spacing w:val="-1"/>
          <w:w w:val="100"/>
        </w:rPr>
        <w:t>六</w:t>
      </w:r>
      <w:r>
        <w:rPr>
          <w:spacing w:val="-3"/>
          <w:w w:val="100"/>
        </w:rPr>
        <w:t>次</w:t>
      </w:r>
      <w:r>
        <w:rPr>
          <w:w w:val="100"/>
        </w:rPr>
        <w:t>董</w:t>
      </w:r>
      <w:r>
        <w:rPr>
          <w:spacing w:val="-3"/>
          <w:w w:val="100"/>
        </w:rPr>
        <w:t>事</w:t>
      </w:r>
      <w:r>
        <w:rPr>
          <w:w w:val="100"/>
        </w:rPr>
        <w:t>会审</w:t>
      </w:r>
      <w:r>
        <w:rPr>
          <w:spacing w:val="-3"/>
          <w:w w:val="100"/>
        </w:rPr>
        <w:t>议</w:t>
      </w:r>
      <w:r>
        <w:rPr>
          <w:w w:val="100"/>
        </w:rPr>
        <w:t>通</w:t>
      </w:r>
      <w:r>
        <w:rPr>
          <w:spacing w:val="-3"/>
          <w:w w:val="100"/>
        </w:rPr>
        <w:t>过</w:t>
      </w:r>
      <w:r>
        <w:rPr>
          <w:spacing w:val="-94"/>
          <w:w w:val="100"/>
        </w:rPr>
        <w:t>了</w:t>
      </w:r>
      <w:r>
        <w:rPr>
          <w:w w:val="100"/>
        </w:rPr>
        <w:t>《</w:t>
      </w:r>
      <w:r>
        <w:rPr>
          <w:spacing w:val="-3"/>
          <w:w w:val="100"/>
        </w:rPr>
        <w:t>关</w:t>
      </w:r>
      <w:r>
        <w:rPr>
          <w:w w:val="100"/>
        </w:rPr>
        <w:t>于</w:t>
      </w:r>
      <w:r>
        <w:rPr>
          <w:spacing w:val="-3"/>
          <w:w w:val="100"/>
        </w:rPr>
        <w:t>聘</w:t>
      </w:r>
      <w:r>
        <w:rPr>
          <w:w w:val="100"/>
        </w:rPr>
        <w:t>请</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度</w:t>
      </w:r>
      <w:r>
        <w:rPr>
          <w:spacing w:val="-3"/>
          <w:w w:val="100"/>
        </w:rPr>
        <w:t>内部</w:t>
      </w:r>
      <w:r>
        <w:rPr>
          <w:w w:val="100"/>
        </w:rPr>
        <w:t>控</w:t>
      </w:r>
    </w:p>
    <w:p>
      <w:pPr>
        <w:pStyle w:val="BodyText"/>
        <w:spacing w:line="273" w:lineRule="exact"/>
        <w:ind w:right="0"/>
        <w:jc w:val="left"/>
      </w:pPr>
      <w:r>
        <w:rPr>
          <w:spacing w:val="-5"/>
        </w:rPr>
        <w:t>制审计机构的议案》，董事会同意续聘立信会计师事务所（特殊普通合伙）为公司 </w:t>
      </w:r>
      <w:r>
        <w:rPr>
          <w:rFonts w:ascii="宋体" w:hAnsi="宋体" w:cs="宋体" w:eastAsia="宋体" w:hint="default"/>
        </w:rPr>
        <w:t>2017</w:t>
      </w:r>
      <w:r>
        <w:rPr>
          <w:rFonts w:ascii="宋体" w:hAnsi="宋体" w:cs="宋体" w:eastAsia="宋体" w:hint="default"/>
          <w:spacing w:val="-24"/>
        </w:rPr>
        <w:t> </w:t>
      </w:r>
      <w:r>
        <w:rPr/>
        <w:t>年度内部</w:t>
      </w:r>
    </w:p>
    <w:p>
      <w:pPr>
        <w:pStyle w:val="BodyText"/>
        <w:spacing w:line="273" w:lineRule="exact"/>
        <w:ind w:right="226"/>
        <w:jc w:val="left"/>
      </w:pPr>
      <w:r>
        <w:rPr/>
        <w:t>控制审计机构，对公司</w:t>
      </w:r>
      <w:r>
        <w:rPr>
          <w:spacing w:val="-57"/>
        </w:rPr>
        <w:t> </w:t>
      </w:r>
      <w:r>
        <w:rPr>
          <w:rFonts w:ascii="宋体" w:hAnsi="宋体" w:cs="宋体" w:eastAsia="宋体" w:hint="default"/>
        </w:rPr>
        <w:t>2017</w:t>
      </w:r>
      <w:r>
        <w:rPr>
          <w:rFonts w:ascii="宋体" w:hAnsi="宋体" w:cs="宋体" w:eastAsia="宋体" w:hint="default"/>
          <w:spacing w:val="-58"/>
        </w:rPr>
        <w:t> </w:t>
      </w:r>
      <w:r>
        <w:rPr/>
        <w:t>年度财务报告内部控制的有效性进行审计并出具审计报告。</w:t>
      </w:r>
    </w:p>
    <w:p>
      <w:pPr>
        <w:pStyle w:val="BodyText"/>
        <w:spacing w:line="272" w:lineRule="exact"/>
        <w:ind w:left="417" w:right="0"/>
        <w:jc w:val="left"/>
      </w:pPr>
      <w:r>
        <w:rPr>
          <w:rFonts w:ascii="宋体" w:hAnsi="宋体" w:cs="宋体" w:eastAsia="宋体" w:hint="default"/>
        </w:rPr>
        <w:t>2017</w:t>
      </w:r>
      <w:r>
        <w:rPr>
          <w:rFonts w:ascii="宋体" w:hAnsi="宋体" w:cs="宋体" w:eastAsia="宋体" w:hint="default"/>
          <w:spacing w:val="-30"/>
        </w:rPr>
        <w:t> </w:t>
      </w:r>
      <w:r>
        <w:rPr/>
        <w:t>年，立信会计师事务所（特殊普通合伙）对本公司</w:t>
      </w:r>
      <w:r>
        <w:rPr>
          <w:spacing w:val="-29"/>
        </w:rPr>
        <w:t> </w:t>
      </w:r>
      <w:r>
        <w:rPr>
          <w:rFonts w:ascii="宋体" w:hAnsi="宋体" w:cs="宋体" w:eastAsia="宋体" w:hint="default"/>
        </w:rPr>
        <w:t>2017</w:t>
      </w:r>
      <w:r>
        <w:rPr>
          <w:rFonts w:ascii="宋体" w:hAnsi="宋体" w:cs="宋体" w:eastAsia="宋体" w:hint="default"/>
          <w:spacing w:val="-32"/>
        </w:rPr>
        <w:t> </w:t>
      </w:r>
      <w:r>
        <w:rPr/>
        <w:t>年度财务报告内部控制的有效性</w:t>
      </w:r>
    </w:p>
    <w:p>
      <w:pPr>
        <w:pStyle w:val="BodyText"/>
        <w:spacing w:line="274" w:lineRule="exact"/>
        <w:ind w:right="2760"/>
        <w:jc w:val="left"/>
      </w:pPr>
      <w:r>
        <w:rPr/>
        <w:t>进行了审计，公司为此支付的费用为</w:t>
      </w:r>
      <w:r>
        <w:rPr>
          <w:spacing w:val="-55"/>
        </w:rPr>
        <w:t> </w:t>
      </w:r>
      <w:r>
        <w:rPr>
          <w:rFonts w:ascii="宋体" w:hAnsi="宋体" w:cs="宋体" w:eastAsia="宋体" w:hint="default"/>
        </w:rPr>
        <w:t>55</w:t>
      </w:r>
      <w:r>
        <w:rPr>
          <w:rFonts w:ascii="宋体" w:hAnsi="宋体" w:cs="宋体" w:eastAsia="宋体" w:hint="default"/>
          <w:spacing w:val="-57"/>
        </w:rPr>
        <w:t> </w:t>
      </w:r>
      <w:r>
        <w:rPr/>
        <w:t>万元人民币（不含税）。</w:t>
      </w:r>
    </w:p>
    <w:p>
      <w:pPr>
        <w:spacing w:line="240" w:lineRule="auto" w:before="8"/>
        <w:rPr>
          <w:rFonts w:ascii="宋体" w:hAnsi="宋体" w:cs="宋体" w:eastAsia="宋体" w:hint="default"/>
          <w:sz w:val="20"/>
          <w:szCs w:val="20"/>
        </w:rPr>
      </w:pPr>
    </w:p>
    <w:p>
      <w:pPr>
        <w:pStyle w:val="BodyText"/>
        <w:spacing w:line="273" w:lineRule="exact"/>
        <w:ind w:right="2760"/>
        <w:jc w:val="left"/>
      </w:pPr>
      <w:r>
        <w:rPr/>
        <w:t>聘任、解聘会计师事务所的情况说明</w:t>
      </w:r>
    </w:p>
    <w:p>
      <w:pPr>
        <w:pStyle w:val="BodyText"/>
        <w:spacing w:line="240" w:lineRule="auto"/>
        <w:ind w:right="4900"/>
        <w:jc w:val="left"/>
      </w:pPr>
      <w:r>
        <w:rPr/>
        <w:t>□适用</w:t>
      </w:r>
      <w:r>
        <w:rPr>
          <w:spacing w:val="-2"/>
        </w:rPr>
        <w:t> </w:t>
      </w:r>
      <w:r>
        <w:rPr/>
        <w:t>√不适用</w:t>
      </w:r>
      <w:r>
        <w:rPr>
          <w:w w:val="100"/>
        </w:rPr>
        <w:t> </w:t>
      </w:r>
      <w:r>
        <w:rPr>
          <w:spacing w:val="-2"/>
        </w:rPr>
        <w:t>审计期间改聘会计师事务所的情况说明</w:t>
      </w:r>
    </w:p>
    <w:p>
      <w:pPr>
        <w:pStyle w:val="BodyText"/>
        <w:tabs>
          <w:tab w:pos="1060" w:val="left" w:leader="none"/>
        </w:tabs>
        <w:spacing w:line="271" w:lineRule="exact"/>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right="63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0"/>
        </w:rPr>
        <w:t> </w:t>
      </w:r>
      <w:r>
        <w:rPr/>
        <w:t>导致暂停上市的原因</w:t>
      </w:r>
      <w:r>
        <w:rPr>
          <w:b w:val="0"/>
          <w:bCs w:val="0"/>
        </w:rPr>
      </w:r>
    </w:p>
    <w:p>
      <w:pPr>
        <w:pStyle w:val="BodyText"/>
        <w:tabs>
          <w:tab w:pos="1060" w:val="left" w:leader="none"/>
        </w:tabs>
        <w:spacing w:line="240" w:lineRule="auto" w:before="15"/>
        <w:ind w:right="2760"/>
        <w:jc w:val="left"/>
      </w:pPr>
      <w:r>
        <w:rPr>
          <w:spacing w:val="-1"/>
        </w:rPr>
        <w:t>□适用</w:t>
        <w:tab/>
      </w:r>
      <w:r>
        <w:rPr>
          <w:spacing w:val="-2"/>
        </w:rPr>
        <w:t>√不适用</w:t>
      </w:r>
    </w:p>
    <w:p>
      <w:pPr>
        <w:pStyle w:val="Heading4"/>
        <w:spacing w:line="240" w:lineRule="auto" w:before="56"/>
        <w:ind w:right="276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公司拟采取的应对措施</w:t>
      </w:r>
      <w:r>
        <w:rPr>
          <w:b w:val="0"/>
          <w:bCs w:val="0"/>
        </w:rPr>
      </w:r>
    </w:p>
    <w:p>
      <w:pPr>
        <w:spacing w:line="290" w:lineRule="auto" w:before="58"/>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90" w:lineRule="auto" w:before="14"/>
        <w:ind w:left="218" w:right="69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14"/>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t>十、重大诉讼、仲裁事项</w:t>
      </w:r>
      <w:r>
        <w:rPr>
          <w:b w:val="0"/>
          <w:bCs w:val="0"/>
        </w:rPr>
      </w:r>
    </w:p>
    <w:p>
      <w:pPr>
        <w:spacing w:line="292" w:lineRule="auto" w:before="56"/>
        <w:ind w:left="218" w:right="2229"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6"/>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36"/>
          <w:sz w:val="21"/>
          <w:szCs w:val="21"/>
        </w:rPr>
        <w:t> </w:t>
      </w:r>
      <w:r>
        <w:rPr>
          <w:rFonts w:ascii="宋体" w:hAnsi="宋体" w:cs="宋体" w:eastAsia="宋体" w:hint="default"/>
          <w:b/>
          <w:bCs/>
          <w:sz w:val="21"/>
          <w:szCs w:val="21"/>
        </w:rPr>
        <w:t>诉讼、仲裁事项已在临时公告披露且无后续进展的</w:t>
      </w:r>
      <w:r>
        <w:rPr>
          <w:rFonts w:ascii="宋体" w:hAnsi="宋体" w:cs="宋体" w:eastAsia="宋体" w:hint="default"/>
          <w:sz w:val="21"/>
          <w:szCs w:val="21"/>
        </w:rPr>
      </w:r>
    </w:p>
    <w:p>
      <w:pPr>
        <w:pStyle w:val="BodyText"/>
        <w:spacing w:line="240" w:lineRule="auto" w:before="10"/>
        <w:ind w:right="2760"/>
        <w:jc w:val="left"/>
      </w:pPr>
      <w:r>
        <w:rPr/>
        <w:t>□适用</w:t>
      </w:r>
      <w:r>
        <w:rPr>
          <w:spacing w:val="-1"/>
        </w:rPr>
        <w:t> </w:t>
      </w:r>
      <w:r>
        <w:rPr/>
        <w:t>√不适用</w:t>
      </w:r>
    </w:p>
    <w:p>
      <w:pPr>
        <w:spacing w:after="0" w:line="240" w:lineRule="auto"/>
        <w:jc w:val="left"/>
        <w:sectPr>
          <w:footerReference w:type="default" r:id="rId25"/>
          <w:pgSz w:w="11910" w:h="16840"/>
          <w:pgMar w:footer="1248" w:header="945" w:top="1300" w:bottom="1440" w:left="1580" w:right="1040"/>
          <w:pgNumType w:start="31"/>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5" w:footer="1248" w:top="1300" w:bottom="1440" w:left="540" w:right="880"/>
        </w:sectPr>
      </w:pPr>
    </w:p>
    <w:p>
      <w:pPr>
        <w:pStyle w:val="Heading4"/>
        <w:spacing w:line="240" w:lineRule="auto" w:before="36"/>
        <w:ind w:left="1265" w:right="-1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7"/>
        </w:rPr>
        <w:t> </w:t>
      </w:r>
      <w:r>
        <w:rPr/>
        <w:t>临时公告未披露或有后续进展的诉讼、仲裁情况</w:t>
      </w:r>
      <w:r>
        <w:rPr>
          <w:b w:val="0"/>
          <w:bCs w:val="0"/>
        </w:rPr>
      </w:r>
    </w:p>
    <w:p>
      <w:pPr>
        <w:pStyle w:val="BodyText"/>
        <w:spacing w:line="240" w:lineRule="auto" w:before="58"/>
        <w:ind w:left="125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4" w:val="left" w:leader="none"/>
        </w:tabs>
        <w:spacing w:line="240" w:lineRule="auto"/>
        <w:ind w:left="1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540" w:right="880"/>
          <w:cols w:num="2" w:equalWidth="0">
            <w:col w:w="6253" w:space="480"/>
            <w:col w:w="375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52"/>
        <w:gridCol w:w="991"/>
        <w:gridCol w:w="1135"/>
        <w:gridCol w:w="853"/>
        <w:gridCol w:w="1699"/>
        <w:gridCol w:w="1277"/>
        <w:gridCol w:w="907"/>
        <w:gridCol w:w="778"/>
        <w:gridCol w:w="895"/>
        <w:gridCol w:w="850"/>
      </w:tblGrid>
      <w:tr>
        <w:trPr>
          <w:trHeight w:val="281" w:hRule="exact"/>
        </w:trPr>
        <w:tc>
          <w:tcPr>
            <w:tcW w:w="1023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11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94" w:right="106" w:hanging="92"/>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 请</w:t>
            </w:r>
            <w:r>
              <w:rPr>
                <w:rFonts w:ascii="宋体" w:hAnsi="宋体" w:cs="宋体" w:eastAsia="宋体" w:hint="default"/>
                <w:sz w:val="18"/>
                <w:szCs w:val="18"/>
              </w:rPr>
              <w:t>)</w:t>
            </w:r>
            <w:r>
              <w:rPr>
                <w:rFonts w:ascii="宋体" w:hAnsi="宋体" w:cs="宋体" w:eastAsia="宋体" w:hint="default"/>
                <w:sz w:val="18"/>
                <w:szCs w:val="18"/>
              </w:rPr>
              <w:t>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72" w:right="175"/>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 申请</w:t>
            </w:r>
            <w:r>
              <w:rPr>
                <w:rFonts w:ascii="宋体" w:hAnsi="宋体" w:cs="宋体" w:eastAsia="宋体" w:hint="default"/>
                <w:sz w:val="18"/>
                <w:szCs w:val="18"/>
              </w:rPr>
              <w:t>)</w:t>
            </w:r>
            <w:r>
              <w:rPr>
                <w:rFonts w:ascii="宋体" w:hAnsi="宋体" w:cs="宋体" w:eastAsia="宋体" w:hint="default"/>
                <w:sz w:val="18"/>
                <w:szCs w:val="18"/>
              </w:rPr>
              <w:t>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381" w:right="113" w:hanging="272"/>
              <w:jc w:val="left"/>
              <w:rPr>
                <w:rFonts w:ascii="宋体" w:hAnsi="宋体" w:cs="宋体" w:eastAsia="宋体" w:hint="default"/>
                <w:sz w:val="18"/>
                <w:szCs w:val="18"/>
              </w:rPr>
            </w:pPr>
            <w:r>
              <w:rPr>
                <w:rFonts w:ascii="宋体" w:hAnsi="宋体" w:cs="宋体" w:eastAsia="宋体" w:hint="default"/>
                <w:sz w:val="18"/>
                <w:szCs w:val="18"/>
              </w:rPr>
              <w:t>承担连带责 任方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诉讼仲 裁类型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753" w:right="122" w:hanging="632"/>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 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271" w:right="181" w:hanging="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涉及金额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w:t>
            </w:r>
          </w:p>
          <w:p>
            <w:pPr>
              <w:pStyle w:val="TableParagraph"/>
              <w:spacing w:line="237" w:lineRule="auto"/>
              <w:ind w:left="175" w:right="134" w:hanging="46"/>
              <w:jc w:val="both"/>
              <w:rPr>
                <w:rFonts w:ascii="宋体" w:hAnsi="宋体" w:cs="宋体" w:eastAsia="宋体" w:hint="default"/>
                <w:sz w:val="18"/>
                <w:szCs w:val="18"/>
              </w:rPr>
            </w:pPr>
            <w:r>
              <w:rPr>
                <w:rFonts w:ascii="宋体" w:hAnsi="宋体" w:cs="宋体" w:eastAsia="宋体" w:hint="default"/>
                <w:sz w:val="18"/>
                <w:szCs w:val="18"/>
              </w:rPr>
              <w:t>裁</w:t>
            </w:r>
            <w:r>
              <w:rPr>
                <w:rFonts w:ascii="宋体" w:hAnsi="宋体" w:cs="宋体" w:eastAsia="宋体" w:hint="default"/>
                <w:sz w:val="18"/>
                <w:szCs w:val="18"/>
              </w:rPr>
              <w:t>)</w:t>
            </w:r>
            <w:r>
              <w:rPr>
                <w:rFonts w:ascii="宋体" w:hAnsi="宋体" w:cs="宋体" w:eastAsia="宋体" w:hint="default"/>
                <w:sz w:val="18"/>
                <w:szCs w:val="18"/>
              </w:rPr>
              <w:t>是否 形成预 计负债 及金额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2" w:right="113"/>
              <w:jc w:val="center"/>
              <w:rPr>
                <w:rFonts w:ascii="宋体" w:hAnsi="宋体" w:cs="宋体" w:eastAsia="宋体" w:hint="default"/>
                <w:sz w:val="18"/>
                <w:szCs w:val="18"/>
              </w:rPr>
            </w:pPr>
            <w:r>
              <w:rPr>
                <w:rFonts w:ascii="宋体" w:hAnsi="宋体" w:cs="宋体" w:eastAsia="宋体" w:hint="default"/>
                <w:sz w:val="18"/>
                <w:szCs w:val="18"/>
              </w:rPr>
              <w:t>诉讼 </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 </w:t>
            </w:r>
            <w:r>
              <w:rPr>
                <w:rFonts w:ascii="宋体" w:hAnsi="宋体" w:cs="宋体" w:eastAsia="宋体" w:hint="default"/>
                <w:sz w:val="18"/>
                <w:szCs w:val="18"/>
              </w:rPr>
              <w:t>进展情 况</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4" w:right="127"/>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审理 结果及 影响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3"/>
              <w:jc w:val="center"/>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 裁</w:t>
            </w:r>
            <w:r>
              <w:rPr>
                <w:rFonts w:ascii="宋体" w:hAnsi="宋体" w:cs="宋体" w:eastAsia="宋体" w:hint="default"/>
                <w:sz w:val="18"/>
                <w:szCs w:val="18"/>
              </w:rPr>
              <w:t>)</w:t>
            </w:r>
            <w:r>
              <w:rPr>
                <w:rFonts w:ascii="宋体" w:hAnsi="宋体" w:cs="宋体" w:eastAsia="宋体" w:hint="default"/>
                <w:sz w:val="18"/>
                <w:szCs w:val="18"/>
              </w:rPr>
              <w:t>判决 执行情 况</w:t>
            </w:r>
          </w:p>
        </w:tc>
      </w:tr>
      <w:tr>
        <w:trPr>
          <w:trHeight w:val="23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pacing w:val="32"/>
                <w:sz w:val="18"/>
                <w:szCs w:val="18"/>
              </w:rPr>
              <w:t>西安东</w:t>
            </w:r>
            <w:r>
              <w:rPr>
                <w:rFonts w:ascii="宋体" w:hAnsi="宋体" w:cs="宋体" w:eastAsia="宋体" w:hint="default"/>
                <w:spacing w:val="-42"/>
                <w:sz w:val="18"/>
                <w:szCs w:val="18"/>
              </w:rPr>
              <w:t> </w:t>
            </w:r>
            <w:r>
              <w:rPr>
                <w:rFonts w:ascii="宋体" w:hAnsi="宋体" w:cs="宋体" w:eastAsia="宋体" w:hint="default"/>
                <w:spacing w:val="32"/>
                <w:sz w:val="18"/>
                <w:szCs w:val="18"/>
              </w:rPr>
              <w:t>软系统</w:t>
            </w:r>
            <w:r>
              <w:rPr>
                <w:rFonts w:ascii="宋体" w:hAnsi="宋体" w:cs="宋体" w:eastAsia="宋体" w:hint="default"/>
                <w:spacing w:val="-42"/>
                <w:sz w:val="18"/>
                <w:szCs w:val="18"/>
              </w:rPr>
              <w:t> </w:t>
            </w:r>
            <w:r>
              <w:rPr>
                <w:rFonts w:ascii="宋体" w:hAnsi="宋体" w:cs="宋体" w:eastAsia="宋体" w:hint="default"/>
                <w:spacing w:val="32"/>
                <w:sz w:val="18"/>
                <w:szCs w:val="18"/>
              </w:rPr>
              <w:t>集成有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0" w:right="12"/>
              <w:jc w:val="left"/>
              <w:rPr>
                <w:rFonts w:ascii="宋体" w:hAnsi="宋体" w:cs="宋体" w:eastAsia="宋体" w:hint="default"/>
                <w:sz w:val="18"/>
                <w:szCs w:val="18"/>
              </w:rPr>
            </w:pPr>
            <w:r>
              <w:rPr>
                <w:rFonts w:ascii="宋体" w:hAnsi="宋体" w:cs="宋体" w:eastAsia="宋体" w:hint="default"/>
                <w:spacing w:val="14"/>
                <w:sz w:val="18"/>
                <w:szCs w:val="18"/>
              </w:rPr>
              <w:t>陕西太白</w:t>
            </w:r>
            <w:r>
              <w:rPr>
                <w:rFonts w:ascii="宋体" w:hAnsi="宋体" w:cs="宋体" w:eastAsia="宋体" w:hint="default"/>
                <w:spacing w:val="-71"/>
                <w:sz w:val="18"/>
                <w:szCs w:val="18"/>
              </w:rPr>
              <w:t> </w:t>
            </w:r>
            <w:r>
              <w:rPr>
                <w:rFonts w:ascii="宋体" w:hAnsi="宋体" w:cs="宋体" w:eastAsia="宋体" w:hint="default"/>
                <w:spacing w:val="-7"/>
                <w:sz w:val="18"/>
                <w:szCs w:val="18"/>
              </w:rPr>
              <w:t>山（集团）</w:t>
            </w:r>
            <w:r>
              <w:rPr>
                <w:rFonts w:ascii="宋体" w:hAnsi="宋体" w:cs="宋体" w:eastAsia="宋体" w:hint="default"/>
                <w:sz w:val="18"/>
                <w:szCs w:val="18"/>
              </w:rPr>
              <w:t> </w:t>
            </w:r>
            <w:r>
              <w:rPr>
                <w:rFonts w:ascii="宋体" w:hAnsi="宋体" w:cs="宋体" w:eastAsia="宋体" w:hint="default"/>
                <w:spacing w:val="14"/>
                <w:sz w:val="18"/>
                <w:szCs w:val="18"/>
              </w:rPr>
              <w:t>眉县景区</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2"/>
              <w:ind w:left="100" w:right="81"/>
              <w:jc w:val="left"/>
              <w:rPr>
                <w:rFonts w:ascii="宋体" w:hAnsi="宋体" w:cs="宋体" w:eastAsia="宋体" w:hint="default"/>
                <w:sz w:val="18"/>
                <w:szCs w:val="18"/>
              </w:rPr>
            </w:pPr>
            <w:r>
              <w:rPr>
                <w:rFonts w:ascii="宋体" w:hAnsi="宋体" w:cs="宋体" w:eastAsia="宋体" w:hint="default"/>
                <w:spacing w:val="14"/>
                <w:sz w:val="18"/>
                <w:szCs w:val="18"/>
              </w:rPr>
              <w:t>运营有限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陕西太白山 投资集团有 </w:t>
            </w:r>
            <w:r>
              <w:rPr>
                <w:rFonts w:ascii="宋体" w:hAnsi="宋体" w:cs="宋体" w:eastAsia="宋体" w:hint="default"/>
                <w:sz w:val="18"/>
                <w:szCs w:val="18"/>
              </w:rPr>
              <w:t>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公司与陕西太白山</w:t>
            </w:r>
          </w:p>
          <w:p>
            <w:pPr>
              <w:pStyle w:val="TableParagraph"/>
              <w:spacing w:line="237" w:lineRule="auto"/>
              <w:ind w:left="100" w:right="91"/>
              <w:jc w:val="both"/>
              <w:rPr>
                <w:rFonts w:ascii="宋体" w:hAnsi="宋体" w:cs="宋体" w:eastAsia="宋体" w:hint="default"/>
                <w:sz w:val="18"/>
                <w:szCs w:val="18"/>
              </w:rPr>
            </w:pPr>
            <w:r>
              <w:rPr>
                <w:rFonts w:ascii="宋体" w:hAnsi="宋体" w:cs="宋体" w:eastAsia="宋体" w:hint="default"/>
                <w:spacing w:val="6"/>
                <w:sz w:val="18"/>
                <w:szCs w:val="18"/>
              </w:rPr>
              <w:t>（集团）眉县景区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运营</w:t>
            </w:r>
            <w:r>
              <w:rPr>
                <w:rFonts w:ascii="宋体" w:hAnsi="宋体" w:cs="宋体" w:eastAsia="宋体" w:hint="default"/>
                <w:spacing w:val="-52"/>
                <w:sz w:val="18"/>
                <w:szCs w:val="18"/>
              </w:rPr>
              <w:t> </w:t>
            </w:r>
            <w:r>
              <w:rPr>
                <w:rFonts w:ascii="宋体" w:hAnsi="宋体" w:cs="宋体" w:eastAsia="宋体" w:hint="default"/>
                <w:spacing w:val="19"/>
                <w:sz w:val="18"/>
                <w:szCs w:val="18"/>
              </w:rPr>
              <w:t>有限</w:t>
            </w:r>
            <w:r>
              <w:rPr>
                <w:rFonts w:ascii="宋体" w:hAnsi="宋体" w:cs="宋体" w:eastAsia="宋体" w:hint="default"/>
                <w:spacing w:val="-54"/>
                <w:sz w:val="18"/>
                <w:szCs w:val="18"/>
              </w:rPr>
              <w:t> </w:t>
            </w:r>
            <w:r>
              <w:rPr>
                <w:rFonts w:ascii="宋体" w:hAnsi="宋体" w:cs="宋体" w:eastAsia="宋体" w:hint="default"/>
                <w:spacing w:val="19"/>
                <w:sz w:val="18"/>
                <w:szCs w:val="18"/>
              </w:rPr>
              <w:t>公司</w:t>
            </w:r>
            <w:r>
              <w:rPr>
                <w:rFonts w:ascii="宋体" w:hAnsi="宋体" w:cs="宋体" w:eastAsia="宋体" w:hint="default"/>
                <w:spacing w:val="-52"/>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宋体" w:hAnsi="宋体" w:cs="宋体" w:eastAsia="宋体" w:hint="default"/>
                <w:sz w:val="18"/>
                <w:szCs w:val="18"/>
              </w:rPr>
              <w:t>2013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13</w:t>
            </w:r>
            <w:r>
              <w:rPr>
                <w:rFonts w:ascii="宋体" w:hAnsi="宋体" w:cs="宋体" w:eastAsia="宋体" w:hint="default"/>
                <w:spacing w:val="-63"/>
                <w:sz w:val="18"/>
                <w:szCs w:val="18"/>
              </w:rPr>
              <w:t> </w:t>
            </w:r>
            <w:r>
              <w:rPr>
                <w:rFonts w:ascii="宋体" w:hAnsi="宋体" w:cs="宋体" w:eastAsia="宋体" w:hint="default"/>
                <w:sz w:val="18"/>
                <w:szCs w:val="18"/>
              </w:rPr>
              <w:t>日签 </w:t>
            </w:r>
            <w:r>
              <w:rPr>
                <w:rFonts w:ascii="宋体" w:hAnsi="宋体" w:cs="宋体" w:eastAsia="宋体" w:hint="default"/>
                <w:spacing w:val="5"/>
                <w:sz w:val="18"/>
                <w:szCs w:val="18"/>
              </w:rPr>
              <w:t>署《技术开发及系</w:t>
            </w:r>
          </w:p>
          <w:p>
            <w:pPr>
              <w:pStyle w:val="TableParagraph"/>
              <w:spacing w:line="237" w:lineRule="auto"/>
              <w:ind w:left="100" w:right="12"/>
              <w:jc w:val="left"/>
              <w:rPr>
                <w:rFonts w:ascii="宋体" w:hAnsi="宋体" w:cs="宋体" w:eastAsia="宋体" w:hint="default"/>
                <w:sz w:val="18"/>
                <w:szCs w:val="18"/>
              </w:rPr>
            </w:pPr>
            <w:r>
              <w:rPr>
                <w:rFonts w:ascii="宋体" w:hAnsi="宋体" w:cs="宋体" w:eastAsia="宋体" w:hint="default"/>
                <w:spacing w:val="-6"/>
                <w:sz w:val="18"/>
                <w:szCs w:val="18"/>
              </w:rPr>
              <w:t>统集成服务合同》，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未支付合同余款。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月公司 </w:t>
            </w:r>
            <w:r>
              <w:rPr>
                <w:rFonts w:ascii="宋体" w:hAnsi="宋体" w:cs="宋体" w:eastAsia="宋体" w:hint="default"/>
                <w:spacing w:val="5"/>
                <w:sz w:val="18"/>
                <w:szCs w:val="18"/>
              </w:rPr>
              <w:t>向西安市中级人民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法院提起诉讼。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105"/>
              <w:jc w:val="left"/>
              <w:rPr>
                <w:rFonts w:ascii="宋体" w:hAnsi="宋体" w:cs="宋体" w:eastAsia="宋体" w:hint="default"/>
                <w:sz w:val="18"/>
                <w:szCs w:val="18"/>
              </w:rPr>
            </w:pPr>
            <w:r>
              <w:rPr>
                <w:rFonts w:ascii="宋体" w:hAnsi="宋体" w:cs="宋体" w:eastAsia="宋体" w:hint="default"/>
                <w:sz w:val="18"/>
                <w:szCs w:val="18"/>
              </w:rPr>
              <w:t>合 同 欠</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宋体" w:hAnsi="宋体" w:cs="宋体" w:eastAsia="宋体" w:hint="default"/>
                <w:sz w:val="18"/>
                <w:szCs w:val="18"/>
              </w:rPr>
              <w:t> </w:t>
            </w:r>
            <w:r>
              <w:rPr>
                <w:rFonts w:ascii="宋体" w:hAnsi="宋体" w:cs="宋体" w:eastAsia="宋体" w:hint="default"/>
                <w:sz w:val="18"/>
                <w:szCs w:val="18"/>
              </w:rPr>
              <w:t>11,115,414.</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84</w:t>
            </w:r>
            <w:r>
              <w:rPr>
                <w:rFonts w:ascii="宋体" w:hAnsi="宋体" w:cs="宋体" w:eastAsia="宋体" w:hint="default"/>
                <w:spacing w:val="-41"/>
                <w:sz w:val="18"/>
                <w:szCs w:val="18"/>
              </w:rPr>
              <w:t> </w:t>
            </w:r>
            <w:r>
              <w:rPr>
                <w:rFonts w:ascii="宋体" w:hAnsi="宋体" w:cs="宋体" w:eastAsia="宋体" w:hint="default"/>
                <w:spacing w:val="-14"/>
                <w:sz w:val="18"/>
                <w:szCs w:val="18"/>
              </w:rPr>
              <w:t>元，违约金</w:t>
            </w:r>
          </w:p>
          <w:p>
            <w:pPr>
              <w:pStyle w:val="TableParagraph"/>
              <w:spacing w:line="233" w:lineRule="exact"/>
              <w:ind w:left="103" w:right="0"/>
              <w:jc w:val="left"/>
              <w:rPr>
                <w:rFonts w:ascii="宋体" w:hAnsi="宋体" w:cs="宋体" w:eastAsia="宋体" w:hint="default"/>
                <w:sz w:val="18"/>
                <w:szCs w:val="18"/>
              </w:rPr>
            </w:pPr>
            <w:r>
              <w:rPr>
                <w:rFonts w:ascii="宋体"/>
                <w:sz w:val="18"/>
              </w:rPr>
              <w:t>1,619,270.7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元。</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94"/>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21"/>
                <w:sz w:val="18"/>
                <w:szCs w:val="18"/>
              </w:rPr>
              <w:t> </w:t>
            </w:r>
            <w:r>
              <w:rPr>
                <w:rFonts w:ascii="宋体" w:hAnsi="宋体" w:cs="宋体" w:eastAsia="宋体" w:hint="default"/>
                <w:sz w:val="18"/>
                <w:szCs w:val="18"/>
              </w:rPr>
              <w:t>立</w:t>
            </w:r>
            <w:r>
              <w:rPr>
                <w:rFonts w:ascii="宋体" w:hAnsi="宋体" w:cs="宋体" w:eastAsia="宋体" w:hint="default"/>
                <w:sz w:val="18"/>
                <w:szCs w:val="18"/>
              </w:rPr>
              <w:t> </w:t>
            </w:r>
            <w:r>
              <w:rPr>
                <w:rFonts w:ascii="宋体" w:hAnsi="宋体" w:cs="宋体" w:eastAsia="宋体" w:hint="default"/>
                <w:spacing w:val="9"/>
                <w:sz w:val="18"/>
                <w:szCs w:val="18"/>
              </w:rPr>
              <w:t>案，待</w:t>
            </w:r>
            <w:r>
              <w:rPr>
                <w:rFonts w:ascii="宋体" w:hAnsi="宋体" w:cs="宋体" w:eastAsia="宋体" w:hint="default"/>
                <w:spacing w:val="9"/>
                <w:sz w:val="18"/>
                <w:szCs w:val="18"/>
              </w:rPr>
              <w:t> 管辖权 上诉裁 定后开 </w:t>
            </w:r>
            <w:r>
              <w:rPr>
                <w:rFonts w:ascii="宋体" w:hAnsi="宋体" w:cs="宋体" w:eastAsia="宋体" w:hint="default"/>
                <w:sz w:val="18"/>
                <w:szCs w:val="18"/>
              </w:rPr>
              <w:t>庭。</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350" w:right="173" w:hanging="180"/>
              <w:jc w:val="left"/>
              <w:rPr>
                <w:rFonts w:ascii="宋体" w:hAnsi="宋体" w:cs="宋体" w:eastAsia="宋体" w:hint="default"/>
                <w:sz w:val="18"/>
                <w:szCs w:val="18"/>
              </w:rPr>
            </w:pPr>
            <w:r>
              <w:rPr>
                <w:rFonts w:ascii="宋体" w:hAnsi="宋体" w:cs="宋体" w:eastAsia="宋体" w:hint="default"/>
                <w:sz w:val="18"/>
                <w:szCs w:val="18"/>
              </w:rPr>
              <w:t>尚未开 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50"/>
              <w:jc w:val="left"/>
              <w:rPr>
                <w:rFonts w:ascii="宋体" w:hAnsi="宋体" w:cs="宋体" w:eastAsia="宋体" w:hint="default"/>
                <w:sz w:val="18"/>
                <w:szCs w:val="18"/>
              </w:rPr>
            </w:pPr>
            <w:r>
              <w:rPr>
                <w:rFonts w:ascii="宋体" w:hAnsi="宋体" w:cs="宋体" w:eastAsia="宋体" w:hint="default"/>
                <w:spacing w:val="32"/>
                <w:sz w:val="18"/>
                <w:szCs w:val="18"/>
              </w:rPr>
              <w:t>诉讼过</w:t>
            </w:r>
            <w:r>
              <w:rPr>
                <w:rFonts w:ascii="宋体" w:hAnsi="宋体" w:cs="宋体" w:eastAsia="宋体" w:hint="default"/>
                <w:spacing w:val="-42"/>
                <w:sz w:val="18"/>
                <w:szCs w:val="18"/>
              </w:rPr>
              <w:t> </w:t>
            </w:r>
            <w:r>
              <w:rPr>
                <w:rFonts w:ascii="宋体" w:hAnsi="宋体" w:cs="宋体" w:eastAsia="宋体" w:hint="default"/>
                <w:sz w:val="18"/>
                <w:szCs w:val="18"/>
              </w:rPr>
              <w:t>程中</w:t>
            </w:r>
          </w:p>
        </w:tc>
      </w:tr>
    </w:tbl>
    <w:p>
      <w:pPr>
        <w:spacing w:line="240" w:lineRule="auto" w:before="5"/>
        <w:rPr>
          <w:rFonts w:ascii="宋体" w:hAnsi="宋体" w:cs="宋体" w:eastAsia="宋体" w:hint="default"/>
          <w:sz w:val="15"/>
          <w:szCs w:val="15"/>
        </w:rPr>
      </w:pPr>
    </w:p>
    <w:p>
      <w:pPr>
        <w:pStyle w:val="BodyText"/>
        <w:spacing w:line="274" w:lineRule="exact" w:before="36"/>
        <w:ind w:left="1678" w:right="225"/>
        <w:jc w:val="left"/>
      </w:pPr>
      <w:r>
        <w:rPr>
          <w:rFonts w:ascii="宋体" w:hAnsi="宋体" w:cs="宋体" w:eastAsia="宋体" w:hint="default"/>
        </w:rPr>
        <w:t>2013</w:t>
      </w:r>
      <w:r>
        <w:rPr>
          <w:rFonts w:ascii="宋体" w:hAnsi="宋体" w:cs="宋体" w:eastAsia="宋体" w:hint="default"/>
          <w:spacing w:val="-35"/>
        </w:rPr>
        <w:t> </w:t>
      </w:r>
      <w:r>
        <w:rPr/>
        <w:t>年</w:t>
      </w:r>
      <w:r>
        <w:rPr>
          <w:spacing w:val="-32"/>
        </w:rPr>
        <w:t> </w:t>
      </w:r>
      <w:r>
        <w:rPr>
          <w:rFonts w:ascii="宋体" w:hAnsi="宋体" w:cs="宋体" w:eastAsia="宋体" w:hint="default"/>
        </w:rPr>
        <w:t>6</w:t>
      </w:r>
      <w:r>
        <w:rPr>
          <w:rFonts w:ascii="宋体" w:hAnsi="宋体" w:cs="宋体" w:eastAsia="宋体" w:hint="default"/>
          <w:spacing w:val="-35"/>
        </w:rPr>
        <w:t> </w:t>
      </w:r>
      <w:r>
        <w:rPr>
          <w:spacing w:val="-3"/>
        </w:rPr>
        <w:t>月，西安东软系统集成有限公司与陕西太白山（集团）眉县景区运营有限公司签订</w:t>
      </w:r>
    </w:p>
    <w:p>
      <w:pPr>
        <w:pStyle w:val="BodyText"/>
        <w:spacing w:line="237" w:lineRule="auto" w:before="2"/>
        <w:ind w:left="1258" w:right="387"/>
        <w:jc w:val="both"/>
      </w:pPr>
      <w:r>
        <w:rPr/>
        <w:t>《技术开发及系统集成服务合同》。按合同规定，全部款项付款时间应为</w:t>
      </w:r>
      <w:r>
        <w:rPr>
          <w:spacing w:val="-52"/>
        </w:rPr>
        <w:t> </w:t>
      </w:r>
      <w:r>
        <w:rPr>
          <w:rFonts w:ascii="宋体" w:hAnsi="宋体" w:cs="宋体" w:eastAsia="宋体" w:hint="default"/>
        </w:rPr>
        <w:t>2017</w:t>
      </w:r>
      <w:r>
        <w:rPr>
          <w:rFonts w:ascii="宋体" w:hAnsi="宋体" w:cs="宋体" w:eastAsia="宋体" w:hint="default"/>
          <w:spacing w:val="-51"/>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3</w:t>
      </w:r>
      <w:r>
        <w:rPr>
          <w:rFonts w:ascii="宋体" w:hAnsi="宋体" w:cs="宋体" w:eastAsia="宋体" w:hint="default"/>
          <w:spacing w:val="-54"/>
        </w:rPr>
        <w:t> </w:t>
      </w:r>
      <w:r>
        <w:rPr/>
        <w:t>日前，</w:t>
      </w:r>
      <w:r>
        <w:rPr>
          <w:w w:val="100"/>
        </w:rPr>
        <w:t> </w:t>
      </w:r>
      <w:r>
        <w:rPr>
          <w:spacing w:val="-1"/>
        </w:rPr>
        <w:t>合同履行期间陕西太白山（集团）眉县景区运营有限公司股东陕西太白山投资集团有限公司曾代</w:t>
      </w:r>
      <w:r>
        <w:rPr>
          <w:spacing w:val="-55"/>
        </w:rPr>
        <w:t> </w:t>
      </w:r>
      <w:r>
        <w:rPr>
          <w:spacing w:val="-55"/>
        </w:rPr>
      </w:r>
      <w:r>
        <w:rPr>
          <w:spacing w:val="-4"/>
        </w:rPr>
        <w:t>陕西太白山（集团）眉县景区运营有限公司支付部分合同款项。截至</w:t>
      </w:r>
      <w:r>
        <w:rPr>
          <w:spacing w:val="-39"/>
        </w:rPr>
        <w:t> </w:t>
      </w:r>
      <w:r>
        <w:rPr>
          <w:rFonts w:ascii="宋体" w:hAnsi="宋体" w:cs="宋体" w:eastAsia="宋体" w:hint="default"/>
        </w:rPr>
        <w:t>2017</w:t>
      </w:r>
      <w:r>
        <w:rPr>
          <w:rFonts w:ascii="宋体" w:hAnsi="宋体" w:cs="宋体" w:eastAsia="宋体" w:hint="default"/>
          <w:spacing w:val="-39"/>
        </w:rPr>
        <w:t> </w:t>
      </w:r>
      <w:r>
        <w:rPr/>
        <w:t>年</w:t>
      </w:r>
      <w:r>
        <w:rPr>
          <w:spacing w:val="-41"/>
        </w:rPr>
        <w:t> </w:t>
      </w:r>
      <w:r>
        <w:rPr>
          <w:rFonts w:ascii="宋体" w:hAnsi="宋体" w:cs="宋体" w:eastAsia="宋体" w:hint="default"/>
        </w:rPr>
        <w:t>9</w:t>
      </w:r>
      <w:r>
        <w:rPr>
          <w:rFonts w:ascii="宋体" w:hAnsi="宋体" w:cs="宋体" w:eastAsia="宋体" w:hint="default"/>
          <w:spacing w:val="-37"/>
        </w:rPr>
        <w:t> </w:t>
      </w:r>
      <w:r>
        <w:rPr>
          <w:spacing w:val="-5"/>
        </w:rPr>
        <w:t>月，该合同尚欠合</w:t>
      </w:r>
    </w:p>
    <w:p>
      <w:pPr>
        <w:pStyle w:val="BodyText"/>
        <w:spacing w:line="271" w:lineRule="exact"/>
        <w:ind w:left="1258" w:right="0"/>
        <w:jc w:val="both"/>
      </w:pPr>
      <w:r>
        <w:rPr/>
        <w:t>同款</w:t>
      </w:r>
      <w:r>
        <w:rPr>
          <w:spacing w:val="-52"/>
        </w:rPr>
        <w:t> </w:t>
      </w:r>
      <w:r>
        <w:rPr>
          <w:rFonts w:ascii="宋体" w:hAnsi="宋体" w:cs="宋体" w:eastAsia="宋体" w:hint="default"/>
        </w:rPr>
        <w:t>11,115,414.84</w:t>
      </w:r>
      <w:r>
        <w:rPr>
          <w:rFonts w:ascii="宋体" w:hAnsi="宋体" w:cs="宋体" w:eastAsia="宋体" w:hint="default"/>
          <w:spacing w:val="-54"/>
        </w:rPr>
        <w:t> </w:t>
      </w:r>
      <w:r>
        <w:rPr/>
        <w:t>元。</w:t>
      </w:r>
    </w:p>
    <w:p>
      <w:pPr>
        <w:pStyle w:val="BodyText"/>
        <w:spacing w:line="273" w:lineRule="exact"/>
        <w:ind w:left="1678" w:right="225"/>
        <w:jc w:val="left"/>
      </w:pP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28</w:t>
      </w:r>
      <w:r>
        <w:rPr>
          <w:rFonts w:ascii="宋体" w:hAnsi="宋体" w:cs="宋体" w:eastAsia="宋体" w:hint="default"/>
          <w:spacing w:val="-43"/>
        </w:rPr>
        <w:t> </w:t>
      </w:r>
      <w:r>
        <w:rPr/>
        <w:t>日，西安东软系统集成有限公司就上述技术合同纠纷向西安市中级人民法院</w:t>
      </w:r>
    </w:p>
    <w:p>
      <w:pPr>
        <w:pStyle w:val="BodyText"/>
        <w:spacing w:line="273" w:lineRule="exact"/>
        <w:ind w:left="1258" w:right="0"/>
        <w:jc w:val="both"/>
      </w:pPr>
      <w:r>
        <w:rPr/>
        <w:t>提起诉讼，诉请由陕西太白山（集团）眉县景区运营有限公司支付合同款</w:t>
      </w:r>
      <w:r>
        <w:rPr>
          <w:spacing w:val="-50"/>
        </w:rPr>
        <w:t> </w:t>
      </w:r>
      <w:r>
        <w:rPr>
          <w:rFonts w:ascii="宋体" w:hAnsi="宋体" w:cs="宋体" w:eastAsia="宋体" w:hint="default"/>
        </w:rPr>
        <w:t>11,115,414.84</w:t>
      </w:r>
      <w:r>
        <w:rPr>
          <w:rFonts w:ascii="宋体" w:hAnsi="宋体" w:cs="宋体" w:eastAsia="宋体" w:hint="default"/>
          <w:spacing w:val="-50"/>
        </w:rPr>
        <w:t> </w:t>
      </w:r>
      <w:r>
        <w:rPr/>
        <w:t>元，违</w:t>
      </w:r>
    </w:p>
    <w:p>
      <w:pPr>
        <w:pStyle w:val="BodyText"/>
        <w:spacing w:line="272" w:lineRule="exact"/>
        <w:ind w:left="1258" w:right="0"/>
        <w:jc w:val="both"/>
      </w:pPr>
      <w:r>
        <w:rPr/>
        <w:t>约金 </w:t>
      </w:r>
      <w:r>
        <w:rPr>
          <w:rFonts w:ascii="宋体" w:hAnsi="宋体" w:cs="宋体" w:eastAsia="宋体" w:hint="default"/>
        </w:rPr>
        <w:t>1,619,270.74</w:t>
      </w:r>
      <w:r>
        <w:rPr>
          <w:rFonts w:ascii="宋体" w:hAnsi="宋体" w:cs="宋体" w:eastAsia="宋体" w:hint="default"/>
          <w:spacing w:val="-35"/>
        </w:rPr>
        <w:t> </w:t>
      </w:r>
      <w:r>
        <w:rPr>
          <w:spacing w:val="-5"/>
        </w:rPr>
        <w:t>元，陕西太白山投资集团有限公司对付款承担连带责任，西安市中级人民法院</w:t>
      </w:r>
    </w:p>
    <w:p>
      <w:pPr>
        <w:pStyle w:val="BodyText"/>
        <w:spacing w:line="272" w:lineRule="exact"/>
        <w:ind w:left="1258" w:right="0"/>
        <w:jc w:val="both"/>
      </w:pPr>
      <w:r>
        <w:rPr/>
        <w:t>同日已受理该案。</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13</w:t>
      </w:r>
      <w:r>
        <w:rPr>
          <w:rFonts w:ascii="宋体" w:hAnsi="宋体" w:cs="宋体" w:eastAsia="宋体" w:hint="default"/>
          <w:spacing w:val="-47"/>
        </w:rPr>
        <w:t> </w:t>
      </w:r>
      <w:r>
        <w:rPr>
          <w:spacing w:val="-3"/>
        </w:rPr>
        <w:t>日，陕西太白山（集团）眉县景区运营有限公司向西安市中级</w:t>
      </w:r>
    </w:p>
    <w:p>
      <w:pPr>
        <w:pStyle w:val="BodyText"/>
        <w:spacing w:line="237" w:lineRule="auto" w:before="2"/>
        <w:ind w:left="1258" w:right="388"/>
        <w:jc w:val="both"/>
      </w:pPr>
      <w:r>
        <w:rPr/>
        <w:t>人民法院提出管辖权异议申请，请求法院将案件移送宝鸡市中级人民法院管辖，</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53"/>
        </w:rPr>
        <w:t> </w:t>
      </w:r>
      <w:r>
        <w:rPr/>
        <w:t>月</w:t>
      </w:r>
      <w:r>
        <w:rPr>
          <w:spacing w:val="-50"/>
        </w:rPr>
        <w:t> </w:t>
      </w:r>
      <w:r>
        <w:rPr>
          <w:rFonts w:ascii="宋体" w:hAnsi="宋体" w:cs="宋体" w:eastAsia="宋体" w:hint="default"/>
          <w:spacing w:val="-3"/>
        </w:rPr>
        <w:t>24</w:t>
      </w:r>
      <w:r>
        <w:rPr>
          <w:rFonts w:ascii="宋体" w:hAnsi="宋体" w:cs="宋体" w:eastAsia="宋体" w:hint="default"/>
          <w:spacing w:val="-3"/>
          <w:w w:val="100"/>
        </w:rPr>
        <w:t> </w:t>
      </w:r>
      <w:r>
        <w:rPr>
          <w:spacing w:val="-1"/>
        </w:rPr>
        <w:t>日，西安市中级人民法院裁定驳回陕西太白山（集团）眉县景区运营有限公司的异议，后陕西太</w:t>
      </w:r>
      <w:r>
        <w:rPr>
          <w:spacing w:val="-56"/>
        </w:rPr>
        <w:t> </w:t>
      </w:r>
      <w:r>
        <w:rPr>
          <w:spacing w:val="-56"/>
        </w:rPr>
      </w:r>
      <w:r>
        <w:rPr>
          <w:spacing w:val="-1"/>
        </w:rPr>
        <w:t>白山（集团）眉县景区运营有限公司就该裁定向陕西省高级人民法院提起上诉，现管辖权异议上</w:t>
      </w:r>
      <w:r>
        <w:rPr>
          <w:spacing w:val="-55"/>
        </w:rPr>
        <w:t> </w:t>
      </w:r>
      <w:r>
        <w:rPr>
          <w:spacing w:val="-55"/>
        </w:rPr>
      </w:r>
      <w:r>
        <w:rPr/>
        <w:t>诉案件正在处理中。待二审裁定送达并生效后法院会安排开庭审理该案。</w:t>
      </w:r>
    </w:p>
    <w:p>
      <w:pPr>
        <w:spacing w:line="240" w:lineRule="auto" w:before="3"/>
        <w:rPr>
          <w:rFonts w:ascii="宋体" w:hAnsi="宋体" w:cs="宋体" w:eastAsia="宋体" w:hint="default"/>
          <w:sz w:val="25"/>
          <w:szCs w:val="25"/>
        </w:rPr>
      </w:pPr>
    </w:p>
    <w:p>
      <w:pPr>
        <w:pStyle w:val="Heading4"/>
        <w:spacing w:line="240" w:lineRule="auto"/>
        <w:ind w:left="125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8"/>
        </w:rPr>
        <w:t> </w:t>
      </w:r>
      <w:r>
        <w:rPr/>
        <w:t>其他说明</w:t>
      </w:r>
      <w:r>
        <w:rPr>
          <w:b w:val="0"/>
          <w:bCs w:val="0"/>
        </w:rPr>
      </w:r>
    </w:p>
    <w:p>
      <w:pPr>
        <w:pStyle w:val="BodyText"/>
        <w:spacing w:line="240" w:lineRule="auto" w:before="58"/>
        <w:ind w:left="1258" w:right="0"/>
        <w:jc w:val="both"/>
      </w:pPr>
      <w:r>
        <w:rPr/>
        <w:t>□适用</w:t>
      </w:r>
      <w:r>
        <w:rPr>
          <w:spacing w:val="104"/>
        </w:rPr>
        <w:t> </w:t>
      </w:r>
      <w:r>
        <w:rPr/>
        <w:t>√不适用</w:t>
      </w:r>
    </w:p>
    <w:p>
      <w:pPr>
        <w:spacing w:line="240" w:lineRule="auto" w:before="5"/>
        <w:rPr>
          <w:rFonts w:ascii="宋体" w:hAnsi="宋体" w:cs="宋体" w:eastAsia="宋体" w:hint="default"/>
          <w:sz w:val="27"/>
          <w:szCs w:val="27"/>
        </w:rPr>
      </w:pPr>
    </w:p>
    <w:p>
      <w:pPr>
        <w:pStyle w:val="Heading4"/>
        <w:spacing w:line="272" w:lineRule="exact"/>
        <w:ind w:left="1678" w:right="22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1258"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1258" w:right="0"/>
        <w:jc w:val="both"/>
        <w:rPr>
          <w:b w:val="0"/>
          <w:bCs w:val="0"/>
        </w:rPr>
      </w:pPr>
      <w:r>
        <w:rPr/>
        <w:t>十二、报告期内公司及其控股股东、实际控制人诚信状况的说明</w:t>
      </w:r>
      <w:r>
        <w:rPr>
          <w:b w:val="0"/>
          <w:bCs w:val="0"/>
        </w:rPr>
      </w:r>
    </w:p>
    <w:p>
      <w:pPr>
        <w:pStyle w:val="BodyText"/>
        <w:spacing w:line="240" w:lineRule="auto" w:before="58"/>
        <w:ind w:left="1258" w:right="0"/>
        <w:jc w:val="both"/>
      </w:pPr>
      <w:r>
        <w:rPr/>
        <w:t>□适用</w:t>
      </w:r>
      <w:r>
        <w:rPr>
          <w:spacing w:val="104"/>
        </w:rPr>
        <w:t> </w:t>
      </w:r>
      <w:r>
        <w:rPr/>
        <w:t>√不适用</w:t>
      </w:r>
    </w:p>
    <w:p>
      <w:pPr>
        <w:spacing w:after="0" w:line="240" w:lineRule="auto"/>
        <w:jc w:val="both"/>
        <w:sectPr>
          <w:type w:val="continuous"/>
          <w:pgSz w:w="11910" w:h="16840"/>
          <w:pgMar w:top="1580" w:bottom="280" w:left="540" w:right="880"/>
        </w:sectPr>
      </w:pPr>
    </w:p>
    <w:p>
      <w:pPr>
        <w:spacing w:line="240" w:lineRule="auto" w:before="8"/>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5"/>
        <w:rPr>
          <w:rFonts w:ascii="宋体" w:hAnsi="宋体" w:cs="宋体" w:eastAsia="宋体" w:hint="default"/>
          <w:sz w:val="11"/>
          <w:szCs w:val="11"/>
        </w:rPr>
      </w:pPr>
    </w:p>
    <w:p>
      <w:pPr>
        <w:pStyle w:val="Heading4"/>
        <w:spacing w:line="290" w:lineRule="auto" w:before="36"/>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1452"/>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6"/>
        <w:gridCol w:w="3334"/>
      </w:tblGrid>
      <w:tr>
        <w:trPr>
          <w:trHeight w:val="281"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77"/>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79"/>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7</w:t>
            </w:r>
            <w:r>
              <w:rPr>
                <w:rFonts w:ascii="宋体" w:hAnsi="宋体" w:cs="宋体" w:eastAsia="宋体" w:hint="default"/>
                <w:spacing w:val="-79"/>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14</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3"/>
                <w:w w:val="100"/>
                <w:sz w:val="21"/>
                <w:szCs w:val="21"/>
              </w:rPr>
              <w:t>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二</w:t>
            </w:r>
            <w:r>
              <w:rPr>
                <w:rFonts w:ascii="宋体" w:hAnsi="宋体" w:cs="宋体" w:eastAsia="宋体" w:hint="default"/>
                <w:w w:val="100"/>
                <w:sz w:val="21"/>
                <w:szCs w:val="21"/>
              </w:rPr>
              <w:t>次</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106"/>
                <w:w w:val="100"/>
                <w:sz w:val="21"/>
                <w:szCs w:val="21"/>
              </w:rPr>
              <w:t>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于公司限制性股票激励计划预留限制性股票第一个锁定期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的解锁条件已达成的议案》、《关于公司限制性股票激励计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划预留限制性股票第一次解锁的议案》，董事会认为公司限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制性股票激励计划预留限制性股票第一个锁定期的解锁条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件已达成。董事会同意公司为</w:t>
            </w:r>
            <w:r>
              <w:rPr>
                <w:rFonts w:ascii="宋体" w:hAnsi="宋体" w:cs="宋体" w:eastAsia="宋体" w:hint="default"/>
                <w:spacing w:val="-50"/>
                <w:sz w:val="21"/>
                <w:szCs w:val="21"/>
              </w:rPr>
              <w:t> </w:t>
            </w:r>
            <w:r>
              <w:rPr>
                <w:rFonts w:ascii="宋体" w:hAnsi="宋体" w:cs="宋体" w:eastAsia="宋体" w:hint="default"/>
                <w:sz w:val="21"/>
                <w:szCs w:val="21"/>
              </w:rPr>
              <w:t>46</w:t>
            </w:r>
            <w:r>
              <w:rPr>
                <w:rFonts w:ascii="宋体" w:hAnsi="宋体" w:cs="宋体" w:eastAsia="宋体" w:hint="default"/>
                <w:spacing w:val="-50"/>
                <w:sz w:val="21"/>
                <w:szCs w:val="21"/>
              </w:rPr>
              <w:t> </w:t>
            </w:r>
            <w:r>
              <w:rPr>
                <w:rFonts w:ascii="宋体" w:hAnsi="宋体" w:cs="宋体" w:eastAsia="宋体" w:hint="default"/>
                <w:sz w:val="21"/>
                <w:szCs w:val="21"/>
              </w:rPr>
              <w:t>名激励对象获授的</w:t>
            </w:r>
            <w:r>
              <w:rPr>
                <w:rFonts w:ascii="宋体" w:hAnsi="宋体" w:cs="宋体" w:eastAsia="宋体" w:hint="default"/>
                <w:spacing w:val="-48"/>
                <w:sz w:val="21"/>
                <w:szCs w:val="21"/>
              </w:rPr>
              <w:t> </w:t>
            </w:r>
            <w:r>
              <w:rPr>
                <w:rFonts w:ascii="宋体" w:hAnsi="宋体" w:cs="宋体" w:eastAsia="宋体" w:hint="default"/>
                <w:sz w:val="21"/>
                <w:szCs w:val="21"/>
              </w:rPr>
              <w:t>49.575</w:t>
            </w:r>
            <w:r>
              <w:rPr>
                <w:rFonts w:ascii="宋体" w:hAnsi="宋体" w:cs="宋体" w:eastAsia="宋体" w:hint="default"/>
                <w:w w:val="100"/>
                <w:sz w:val="21"/>
                <w:szCs w:val="21"/>
              </w:rPr>
              <w:t> </w:t>
            </w:r>
            <w:r>
              <w:rPr>
                <w:rFonts w:ascii="宋体" w:hAnsi="宋体" w:cs="宋体" w:eastAsia="宋体" w:hint="default"/>
                <w:spacing w:val="-3"/>
                <w:sz w:val="21"/>
                <w:szCs w:val="21"/>
              </w:rPr>
              <w:t>万股预留限制性股票申请解锁，并在激励对象解锁申请被接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受后，由公司董事会统一办理符合解锁条件的限制性股票解</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锁相关事宜。</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具体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89"/>
                <w:w w:val="100"/>
                <w:sz w:val="21"/>
                <w:szCs w:val="21"/>
              </w:rPr>
              <w:t>，</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15</w:t>
            </w:r>
            <w:r>
              <w:rPr>
                <w:rFonts w:ascii="宋体" w:hAnsi="宋体" w:cs="宋体" w:eastAsia="宋体" w:hint="default"/>
                <w:spacing w:val="-35"/>
                <w:sz w:val="21"/>
                <w:szCs w:val="21"/>
              </w:rPr>
              <w:t> </w:t>
            </w:r>
            <w:r>
              <w:rPr>
                <w:rFonts w:ascii="宋体" w:hAnsi="宋体" w:cs="宋体" w:eastAsia="宋体" w:hint="default"/>
                <w:sz w:val="21"/>
                <w:szCs w:val="21"/>
              </w:rPr>
              <w:t>日刊登在《中国证券报》、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r>
        <w:trPr>
          <w:trHeight w:val="1370"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77"/>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79"/>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8</w:t>
            </w:r>
            <w:r>
              <w:rPr>
                <w:rFonts w:ascii="宋体" w:hAnsi="宋体" w:cs="宋体" w:eastAsia="宋体" w:hint="default"/>
                <w:spacing w:val="-79"/>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29</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3"/>
                <w:w w:val="100"/>
                <w:sz w:val="21"/>
                <w:szCs w:val="21"/>
              </w:rPr>
              <w:t>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六</w:t>
            </w:r>
            <w:r>
              <w:rPr>
                <w:rFonts w:ascii="宋体" w:hAnsi="宋体" w:cs="宋体" w:eastAsia="宋体" w:hint="default"/>
                <w:w w:val="100"/>
                <w:sz w:val="21"/>
                <w:szCs w:val="21"/>
              </w:rPr>
              <w:t>次</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106"/>
                <w:w w:val="100"/>
                <w:sz w:val="21"/>
                <w:szCs w:val="21"/>
              </w:rPr>
              <w:t>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于公司回购注销部分限制性股票的议案》，因激励对象发生</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离职等不符合全部解锁要求的情形，根据相关规定以及股东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大会的授权，董事会同意公司回购并注销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名激励对象持</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有的已获授但未解锁的</w:t>
            </w:r>
            <w:r>
              <w:rPr>
                <w:rFonts w:ascii="宋体" w:hAnsi="宋体" w:cs="宋体" w:eastAsia="宋体" w:hint="default"/>
                <w:spacing w:val="-53"/>
                <w:sz w:val="21"/>
                <w:szCs w:val="21"/>
              </w:rPr>
              <w:t> </w:t>
            </w:r>
            <w:r>
              <w:rPr>
                <w:rFonts w:ascii="宋体" w:hAnsi="宋体" w:cs="宋体" w:eastAsia="宋体" w:hint="default"/>
                <w:sz w:val="21"/>
                <w:szCs w:val="21"/>
              </w:rPr>
              <w:t>51.974</w:t>
            </w:r>
            <w:r>
              <w:rPr>
                <w:rFonts w:ascii="宋体" w:hAnsi="宋体" w:cs="宋体" w:eastAsia="宋体" w:hint="default"/>
                <w:spacing w:val="-56"/>
                <w:sz w:val="21"/>
                <w:szCs w:val="21"/>
              </w:rPr>
              <w:t> </w:t>
            </w:r>
            <w:r>
              <w:rPr>
                <w:rFonts w:ascii="宋体" w:hAnsi="宋体" w:cs="宋体" w:eastAsia="宋体" w:hint="default"/>
                <w:sz w:val="21"/>
                <w:szCs w:val="21"/>
              </w:rPr>
              <w:t>万股限制性股票。</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具体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89"/>
                <w:w w:val="100"/>
                <w:sz w:val="21"/>
                <w:szCs w:val="21"/>
              </w:rPr>
              <w:t>，</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35"/>
                <w:sz w:val="21"/>
                <w:szCs w:val="21"/>
              </w:rPr>
              <w:t> </w:t>
            </w:r>
            <w:r>
              <w:rPr>
                <w:rFonts w:ascii="宋体" w:hAnsi="宋体" w:cs="宋体" w:eastAsia="宋体" w:hint="default"/>
                <w:sz w:val="21"/>
                <w:szCs w:val="21"/>
              </w:rPr>
              <w:t>日刊登在《中国证券报》、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r>
        <w:trPr>
          <w:trHeight w:val="246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77"/>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79"/>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8</w:t>
            </w:r>
            <w:r>
              <w:rPr>
                <w:rFonts w:ascii="宋体" w:hAnsi="宋体" w:cs="宋体" w:eastAsia="宋体" w:hint="default"/>
                <w:spacing w:val="-79"/>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29</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3"/>
                <w:w w:val="100"/>
                <w:sz w:val="21"/>
                <w:szCs w:val="21"/>
              </w:rPr>
              <w:t>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六</w:t>
            </w:r>
            <w:r>
              <w:rPr>
                <w:rFonts w:ascii="宋体" w:hAnsi="宋体" w:cs="宋体" w:eastAsia="宋体" w:hint="default"/>
                <w:w w:val="100"/>
                <w:sz w:val="21"/>
                <w:szCs w:val="21"/>
              </w:rPr>
              <w:t>次</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106"/>
                <w:w w:val="100"/>
                <w:sz w:val="21"/>
                <w:szCs w:val="21"/>
              </w:rPr>
              <w:t>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pacing w:val="4"/>
                <w:sz w:val="21"/>
                <w:szCs w:val="21"/>
              </w:rPr>
              <w:t>于公司限制性股票激励计划首次授予限制性股票第二个锁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定期的解锁条件已达成的议案》、《关于公司限制性股票激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励计划首次授予限制性股票第二次解锁的议案》。董事会认</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为公司限制性股票激励计划首次授予限制性股票第二个锁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定期的解锁条件已达成。董事会同意符合解锁条件的 </w:t>
            </w:r>
            <w:r>
              <w:rPr>
                <w:rFonts w:ascii="宋体" w:hAnsi="宋体" w:cs="宋体" w:eastAsia="宋体" w:hint="default"/>
                <w:sz w:val="21"/>
                <w:szCs w:val="21"/>
              </w:rPr>
              <w:t>358</w:t>
            </w:r>
            <w:r>
              <w:rPr>
                <w:rFonts w:ascii="宋体" w:hAnsi="宋体" w:cs="宋体" w:eastAsia="宋体" w:hint="default"/>
                <w:spacing w:val="-52"/>
                <w:sz w:val="21"/>
                <w:szCs w:val="21"/>
              </w:rPr>
              <w:t> </w:t>
            </w:r>
            <w:r>
              <w:rPr>
                <w:rFonts w:ascii="宋体" w:hAnsi="宋体" w:cs="宋体" w:eastAsia="宋体" w:hint="default"/>
                <w:sz w:val="21"/>
                <w:szCs w:val="21"/>
              </w:rPr>
              <w:t>名</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z w:val="21"/>
                <w:szCs w:val="21"/>
              </w:rPr>
              <w:t>激励对象获授的</w:t>
            </w:r>
            <w:r>
              <w:rPr>
                <w:rFonts w:ascii="宋体" w:hAnsi="宋体" w:cs="宋体" w:eastAsia="宋体" w:hint="default"/>
                <w:spacing w:val="-45"/>
                <w:sz w:val="21"/>
                <w:szCs w:val="21"/>
              </w:rPr>
              <w:t> </w:t>
            </w:r>
            <w:r>
              <w:rPr>
                <w:rFonts w:ascii="宋体" w:hAnsi="宋体" w:cs="宋体" w:eastAsia="宋体" w:hint="default"/>
                <w:sz w:val="21"/>
                <w:szCs w:val="21"/>
              </w:rPr>
              <w:t>415.194</w:t>
            </w:r>
            <w:r>
              <w:rPr>
                <w:rFonts w:ascii="宋体" w:hAnsi="宋体" w:cs="宋体" w:eastAsia="宋体" w:hint="default"/>
                <w:spacing w:val="-47"/>
                <w:sz w:val="21"/>
                <w:szCs w:val="21"/>
              </w:rPr>
              <w:t> </w:t>
            </w:r>
            <w:r>
              <w:rPr>
                <w:rFonts w:ascii="宋体" w:hAnsi="宋体" w:cs="宋体" w:eastAsia="宋体" w:hint="default"/>
                <w:spacing w:val="-4"/>
                <w:sz w:val="21"/>
                <w:szCs w:val="21"/>
              </w:rPr>
              <w:t>万股限制性股票申请解锁，并在激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励对象解锁申请被接受后，由公司董事会统一办理符合解锁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条件的限制性股票解锁相关事宜。</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具体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89"/>
                <w:w w:val="100"/>
                <w:sz w:val="21"/>
                <w:szCs w:val="21"/>
              </w:rPr>
              <w:t>，</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35"/>
                <w:sz w:val="21"/>
                <w:szCs w:val="21"/>
              </w:rPr>
              <w:t> </w:t>
            </w:r>
            <w:r>
              <w:rPr>
                <w:rFonts w:ascii="宋体" w:hAnsi="宋体" w:cs="宋体" w:eastAsia="宋体" w:hint="default"/>
                <w:sz w:val="21"/>
                <w:szCs w:val="21"/>
              </w:rPr>
              <w:t>日刊登在《中国证券报》、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r>
        <w:trPr>
          <w:trHeight w:val="828"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w:t>
            </w:r>
            <w:r>
              <w:rPr>
                <w:rFonts w:ascii="宋体" w:hAnsi="宋体" w:cs="宋体" w:eastAsia="宋体" w:hint="default"/>
                <w:spacing w:val="-1"/>
                <w:w w:val="100"/>
                <w:sz w:val="21"/>
                <w:szCs w:val="21"/>
              </w:rPr>
              <w:t>1</w:t>
            </w:r>
            <w:r>
              <w:rPr>
                <w:rFonts w:ascii="宋体" w:hAnsi="宋体" w:cs="宋体" w:eastAsia="宋体" w:hint="default"/>
                <w:w w:val="100"/>
                <w:sz w:val="21"/>
                <w:szCs w:val="21"/>
              </w:rPr>
              <w:t>7</w:t>
            </w:r>
            <w:r>
              <w:rPr>
                <w:rFonts w:ascii="宋体" w:hAnsi="宋体" w:cs="宋体" w:eastAsia="宋体" w:hint="default"/>
                <w:spacing w:val="-67"/>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11</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w w:val="100"/>
                <w:sz w:val="21"/>
                <w:szCs w:val="21"/>
              </w:rPr>
              <w:t>20</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27</w:t>
            </w:r>
            <w:r>
              <w:rPr>
                <w:rFonts w:ascii="宋体" w:hAnsi="宋体" w:cs="宋体" w:eastAsia="宋体" w:hint="default"/>
                <w:spacing w:val="-66"/>
                <w:sz w:val="21"/>
                <w:szCs w:val="21"/>
              </w:rPr>
              <w:t> </w:t>
            </w:r>
            <w:r>
              <w:rPr>
                <w:rFonts w:ascii="宋体" w:hAnsi="宋体" w:cs="宋体" w:eastAsia="宋体" w:hint="default"/>
                <w:spacing w:val="-3"/>
                <w:w w:val="100"/>
                <w:sz w:val="21"/>
                <w:szCs w:val="21"/>
              </w:rPr>
              <w:t>名激</w:t>
            </w:r>
            <w:r>
              <w:rPr>
                <w:rFonts w:ascii="宋体" w:hAnsi="宋体" w:cs="宋体" w:eastAsia="宋体" w:hint="default"/>
                <w:w w:val="100"/>
                <w:sz w:val="21"/>
                <w:szCs w:val="21"/>
              </w:rPr>
              <w:t>励对</w:t>
            </w:r>
            <w:r>
              <w:rPr>
                <w:rFonts w:ascii="宋体" w:hAnsi="宋体" w:cs="宋体" w:eastAsia="宋体" w:hint="default"/>
                <w:spacing w:val="-3"/>
                <w:w w:val="100"/>
                <w:sz w:val="21"/>
                <w:szCs w:val="21"/>
              </w:rPr>
              <w:t>象</w:t>
            </w:r>
            <w:r>
              <w:rPr>
                <w:rFonts w:ascii="宋体" w:hAnsi="宋体" w:cs="宋体" w:eastAsia="宋体" w:hint="default"/>
                <w:w w:val="100"/>
                <w:sz w:val="21"/>
                <w:szCs w:val="21"/>
              </w:rPr>
              <w:t>已</w:t>
            </w:r>
            <w:r>
              <w:rPr>
                <w:rFonts w:ascii="宋体" w:hAnsi="宋体" w:cs="宋体" w:eastAsia="宋体" w:hint="default"/>
                <w:spacing w:val="-3"/>
                <w:w w:val="100"/>
                <w:sz w:val="21"/>
                <w:szCs w:val="21"/>
              </w:rPr>
              <w:t>获</w:t>
            </w:r>
            <w:r>
              <w:rPr>
                <w:rFonts w:ascii="宋体" w:hAnsi="宋体" w:cs="宋体" w:eastAsia="宋体" w:hint="default"/>
                <w:w w:val="100"/>
                <w:sz w:val="21"/>
                <w:szCs w:val="21"/>
              </w:rPr>
              <w:t>授</w:t>
            </w:r>
            <w:r>
              <w:rPr>
                <w:rFonts w:ascii="宋体" w:hAnsi="宋体" w:cs="宋体" w:eastAsia="宋体" w:hint="default"/>
                <w:spacing w:val="-3"/>
                <w:w w:val="100"/>
                <w:sz w:val="21"/>
                <w:szCs w:val="21"/>
              </w:rPr>
              <w:t>但</w:t>
            </w:r>
            <w:r>
              <w:rPr>
                <w:rFonts w:ascii="宋体" w:hAnsi="宋体" w:cs="宋体" w:eastAsia="宋体" w:hint="default"/>
                <w:w w:val="100"/>
                <w:sz w:val="21"/>
                <w:szCs w:val="21"/>
              </w:rPr>
              <w:t>未</w:t>
            </w:r>
            <w:r>
              <w:rPr>
                <w:rFonts w:ascii="宋体" w:hAnsi="宋体" w:cs="宋体" w:eastAsia="宋体" w:hint="default"/>
                <w:spacing w:val="-3"/>
                <w:w w:val="100"/>
                <w:sz w:val="21"/>
                <w:szCs w:val="21"/>
              </w:rPr>
              <w:t>解</w:t>
            </w:r>
            <w:r>
              <w:rPr>
                <w:rFonts w:ascii="宋体" w:hAnsi="宋体" w:cs="宋体" w:eastAsia="宋体" w:hint="default"/>
                <w:w w:val="100"/>
                <w:sz w:val="21"/>
                <w:szCs w:val="21"/>
              </w:rPr>
              <w:t>锁的</w:t>
            </w:r>
            <w:r>
              <w:rPr>
                <w:rFonts w:ascii="宋体" w:hAnsi="宋体" w:cs="宋体" w:eastAsia="宋体" w:hint="default"/>
                <w:spacing w:val="-67"/>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1.974</w:t>
            </w:r>
          </w:p>
          <w:p>
            <w:pPr>
              <w:pStyle w:val="TableParagraph"/>
              <w:spacing w:line="272" w:lineRule="exact" w:before="27"/>
              <w:ind w:left="103" w:right="58"/>
              <w:jc w:val="left"/>
              <w:rPr>
                <w:rFonts w:ascii="宋体" w:hAnsi="宋体" w:cs="宋体" w:eastAsia="宋体" w:hint="default"/>
                <w:sz w:val="21"/>
                <w:szCs w:val="21"/>
              </w:rPr>
            </w:pPr>
            <w:r>
              <w:rPr>
                <w:rFonts w:ascii="宋体" w:hAnsi="宋体" w:cs="宋体" w:eastAsia="宋体" w:hint="default"/>
                <w:spacing w:val="-3"/>
                <w:sz w:val="21"/>
                <w:szCs w:val="21"/>
              </w:rPr>
              <w:t>万股限制性股票过户至公司回购专用证券账户内。该账户内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51.974</w:t>
            </w:r>
            <w:r>
              <w:rPr>
                <w:rFonts w:ascii="宋体" w:hAnsi="宋体" w:cs="宋体" w:eastAsia="宋体" w:hint="default"/>
                <w:spacing w:val="-55"/>
                <w:sz w:val="21"/>
                <w:szCs w:val="21"/>
              </w:rPr>
              <w:t> </w:t>
            </w:r>
            <w:r>
              <w:rPr>
                <w:rFonts w:ascii="宋体" w:hAnsi="宋体" w:cs="宋体" w:eastAsia="宋体" w:hint="default"/>
                <w:sz w:val="21"/>
                <w:szCs w:val="21"/>
              </w:rPr>
              <w:t>万股限制性股票于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日完成注销。</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具体内容，详见本公司于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22</w:t>
            </w:r>
            <w:r>
              <w:rPr>
                <w:rFonts w:ascii="宋体" w:hAnsi="宋体" w:cs="宋体" w:eastAsia="宋体" w:hint="default"/>
                <w:spacing w:val="-47"/>
                <w:sz w:val="21"/>
                <w:szCs w:val="21"/>
              </w:rPr>
              <w:t> </w:t>
            </w:r>
            <w:r>
              <w:rPr>
                <w:rFonts w:ascii="宋体" w:hAnsi="宋体" w:cs="宋体" w:eastAsia="宋体" w:hint="default"/>
                <w:spacing w:val="-9"/>
                <w:sz w:val="21"/>
                <w:szCs w:val="21"/>
              </w:rPr>
              <w:t>日刊登在《中国证券报》、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r>
        <w:trPr>
          <w:trHeight w:val="826"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公司限制性股票激励计划首次授予限制性股票第二次解锁，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解锁股票数量为 </w:t>
            </w:r>
            <w:r>
              <w:rPr>
                <w:rFonts w:ascii="宋体" w:hAnsi="宋体" w:cs="宋体" w:eastAsia="宋体" w:hint="default"/>
                <w:sz w:val="21"/>
                <w:szCs w:val="21"/>
              </w:rPr>
              <w:t>415.194</w:t>
            </w:r>
            <w:r>
              <w:rPr>
                <w:rFonts w:ascii="宋体" w:hAnsi="宋体" w:cs="宋体" w:eastAsia="宋体" w:hint="default"/>
                <w:spacing w:val="63"/>
                <w:sz w:val="21"/>
                <w:szCs w:val="21"/>
              </w:rPr>
              <w:t> </w:t>
            </w:r>
            <w:r>
              <w:rPr>
                <w:rFonts w:ascii="宋体" w:hAnsi="宋体" w:cs="宋体" w:eastAsia="宋体" w:hint="default"/>
                <w:sz w:val="21"/>
                <w:szCs w:val="21"/>
              </w:rPr>
              <w:t>万股，解锁股票上市流通时间为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具体内容，详见本公司于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7"/>
                <w:sz w:val="21"/>
                <w:szCs w:val="21"/>
              </w:rPr>
              <w:t> </w:t>
            </w:r>
            <w:r>
              <w:rPr>
                <w:rFonts w:ascii="宋体" w:hAnsi="宋体" w:cs="宋体" w:eastAsia="宋体" w:hint="default"/>
                <w:spacing w:val="-9"/>
                <w:sz w:val="21"/>
                <w:szCs w:val="21"/>
              </w:rPr>
              <w:t>日刊登在《中国证券报》、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bl>
    <w:p>
      <w:pPr>
        <w:spacing w:line="240" w:lineRule="auto" w:before="2"/>
        <w:rPr>
          <w:rFonts w:ascii="宋体" w:hAnsi="宋体" w:cs="宋体" w:eastAsia="宋体" w:hint="default"/>
          <w:sz w:val="20"/>
          <w:szCs w:val="20"/>
        </w:rPr>
      </w:pPr>
    </w:p>
    <w:p>
      <w:pPr>
        <w:spacing w:line="290"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right="1452"/>
        <w:jc w:val="left"/>
      </w:pPr>
      <w:r>
        <w:rPr/>
        <w:t>□适用</w:t>
      </w:r>
      <w:r>
        <w:rPr>
          <w:spacing w:val="-1"/>
        </w:rPr>
        <w:t> </w:t>
      </w:r>
      <w:r>
        <w:rPr/>
        <w:t>√不适用</w:t>
      </w:r>
    </w:p>
    <w:p>
      <w:pPr>
        <w:pStyle w:val="BodyText"/>
        <w:spacing w:line="272" w:lineRule="exact"/>
        <w:ind w:right="1452"/>
        <w:jc w:val="left"/>
      </w:pPr>
      <w:r>
        <w:rPr/>
        <w:t>其他说明</w:t>
      </w:r>
    </w:p>
    <w:p>
      <w:pPr>
        <w:pStyle w:val="BodyText"/>
        <w:tabs>
          <w:tab w:pos="1060" w:val="left" w:leader="none"/>
        </w:tabs>
        <w:spacing w:line="272" w:lineRule="exact" w:before="27"/>
        <w:ind w:right="730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2" w:lineRule="exact" w:before="1"/>
        <w:ind w:right="7303"/>
        <w:jc w:val="left"/>
      </w:pPr>
      <w:r>
        <w:rPr>
          <w:spacing w:val="-1"/>
        </w:rPr>
        <w:t>□适用</w:t>
        <w:tab/>
      </w:r>
      <w:r>
        <w:rPr>
          <w:spacing w:val="-2"/>
        </w:rPr>
        <w:t>√不适用</w:t>
      </w:r>
      <w:r>
        <w:rPr>
          <w:spacing w:val="-99"/>
        </w:rPr>
        <w:t> </w:t>
      </w:r>
      <w:r>
        <w:rPr>
          <w:spacing w:val="-99"/>
        </w:rPr>
      </w:r>
      <w:r>
        <w:rPr/>
        <w:t>其他激励措施</w:t>
      </w:r>
    </w:p>
    <w:p>
      <w:pPr>
        <w:pStyle w:val="BodyText"/>
        <w:spacing w:line="249" w:lineRule="exact"/>
        <w:ind w:right="1452"/>
        <w:jc w:val="left"/>
      </w:pPr>
      <w:r>
        <w:rPr/>
        <w:t>□适用</w:t>
      </w:r>
      <w:r>
        <w:rPr>
          <w:spacing w:val="-1"/>
        </w:rPr>
        <w:t> </w:t>
      </w:r>
      <w:r>
        <w:rPr/>
        <w:t>√不适用</w:t>
      </w:r>
    </w:p>
    <w:p>
      <w:pPr>
        <w:spacing w:after="0" w:line="249" w:lineRule="exact"/>
        <w:jc w:val="left"/>
        <w:sectPr>
          <w:headerReference w:type="default" r:id="rId26"/>
          <w:footerReference w:type="default" r:id="rId27"/>
          <w:pgSz w:w="11910" w:h="16840"/>
          <w:pgMar w:header="0" w:footer="1248" w:top="840" w:bottom="1440" w:left="1580" w:right="1120"/>
          <w:pgNumType w:start="33"/>
        </w:sectPr>
      </w:pPr>
    </w:p>
    <w:p>
      <w:pPr>
        <w:spacing w:line="240" w:lineRule="auto" w:before="8"/>
        <w:rPr>
          <w:rFonts w:ascii="宋体" w:hAnsi="宋体" w:cs="宋体" w:eastAsia="宋体" w:hint="default"/>
          <w:sz w:val="6"/>
          <w:szCs w:val="6"/>
        </w:rPr>
      </w:pPr>
    </w:p>
    <w:p>
      <w:pPr>
        <w:spacing w:line="360" w:lineRule="exact"/>
        <w:ind w:left="637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5"/>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28"/>
          <w:footerReference w:type="default" r:id="rId29"/>
          <w:pgSz w:w="11910" w:h="16840"/>
          <w:pgMar w:header="0" w:footer="1248" w:top="840" w:bottom="1440" w:left="1420" w:right="880"/>
          <w:pgNumType w:start="34"/>
        </w:sectPr>
      </w:pPr>
    </w:p>
    <w:p>
      <w:pPr>
        <w:pStyle w:val="Heading4"/>
        <w:spacing w:line="240" w:lineRule="auto" w:before="36"/>
        <w:ind w:left="378" w:right="-15"/>
        <w:jc w:val="left"/>
        <w:rPr>
          <w:b w:val="0"/>
          <w:bCs w:val="0"/>
        </w:rPr>
      </w:pPr>
      <w:r>
        <w:rPr/>
        <w:t>十四、重大关联交易</w:t>
      </w:r>
      <w:r>
        <w:rPr>
          <w:b w:val="0"/>
          <w:bCs w:val="0"/>
        </w:rPr>
      </w:r>
    </w:p>
    <w:p>
      <w:pPr>
        <w:pStyle w:val="Heading4"/>
        <w:spacing w:line="290" w:lineRule="auto" w:before="58"/>
        <w:ind w:left="378" w:right="-1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与日常经营相关的关联交易</w:t>
      </w:r>
      <w:r>
        <w:rPr>
          <w:w w:val="100"/>
        </w:rPr>
        <w:t> </w:t>
      </w:r>
      <w:r>
        <w:rPr>
          <w:rFonts w:ascii="宋体" w:hAnsi="宋体" w:cs="宋体" w:eastAsia="宋体" w:hint="default"/>
        </w:rPr>
        <w:t>1</w:t>
      </w:r>
      <w:r>
        <w:rPr/>
        <w:t>、报告期内关于执行</w:t>
      </w:r>
      <w:r>
        <w:rPr>
          <w:spacing w:val="-54"/>
        </w:rPr>
        <w:t> </w:t>
      </w:r>
      <w:r>
        <w:rPr>
          <w:rFonts w:ascii="宋体" w:hAnsi="宋体" w:cs="宋体" w:eastAsia="宋体" w:hint="default"/>
        </w:rPr>
        <w:t>2017</w:t>
      </w:r>
      <w:r>
        <w:rPr>
          <w:rFonts w:ascii="宋体" w:hAnsi="宋体" w:cs="宋体" w:eastAsia="宋体" w:hint="default"/>
          <w:spacing w:val="-55"/>
        </w:rPr>
        <w:t> </w:t>
      </w:r>
      <w:r>
        <w:rPr/>
        <w:t>年度预计日常关联交易情况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006" w:right="0"/>
        <w:jc w:val="left"/>
      </w:pPr>
      <w:r>
        <w:rPr/>
        <w:t>单位：元</w:t>
      </w:r>
      <w:r>
        <w:rPr>
          <w:spacing w:val="1"/>
        </w:rPr>
        <w:t> </w:t>
      </w:r>
      <w:r>
        <w:rPr/>
        <w:t>币种：人民币</w:t>
      </w:r>
    </w:p>
    <w:p>
      <w:pPr>
        <w:spacing w:after="0" w:line="240" w:lineRule="auto"/>
        <w:jc w:val="left"/>
        <w:sectPr>
          <w:type w:val="continuous"/>
          <w:pgSz w:w="11910" w:h="16840"/>
          <w:pgMar w:top="1580" w:bottom="280" w:left="1420" w:right="880"/>
          <w:cols w:num="2" w:equalWidth="0">
            <w:col w:w="5443" w:space="556"/>
            <w:col w:w="3611"/>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612"/>
        <w:gridCol w:w="2110"/>
        <w:gridCol w:w="2146"/>
        <w:gridCol w:w="2182"/>
      </w:tblGrid>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0"/>
              <w:jc w:val="left"/>
              <w:rPr>
                <w:rFonts w:ascii="宋体" w:hAnsi="宋体" w:cs="宋体" w:eastAsia="宋体" w:hint="default"/>
                <w:sz w:val="21"/>
                <w:szCs w:val="21"/>
              </w:rPr>
            </w:pPr>
            <w:r>
              <w:rPr>
                <w:rFonts w:ascii="宋体" w:hAnsi="宋体" w:cs="宋体" w:eastAsia="宋体" w:hint="default"/>
                <w:sz w:val="21"/>
                <w:szCs w:val="21"/>
              </w:rPr>
              <w:t>关联交易类别</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实际发生金额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2" w:right="0" w:firstLine="79"/>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预计总金额</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预计金额比例</w:t>
            </w:r>
            <w:r>
              <w:rPr>
                <w:rFonts w:ascii="宋体" w:hAnsi="宋体" w:cs="宋体" w:eastAsia="宋体" w:hint="default"/>
                <w:sz w:val="21"/>
                <w:szCs w:val="21"/>
              </w:rPr>
              <w:t>(%)</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向关联人购买原材料</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148,614,042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104.66</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向关联人销售产品、商品</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503,662,402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102.79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向关联人提供劳务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44,043,226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30,380,000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144.97</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接受关联人提供的劳务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579,883,700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643,540,000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90.11</w:t>
            </w:r>
          </w:p>
        </w:tc>
      </w:tr>
    </w:tbl>
    <w:p>
      <w:pPr>
        <w:spacing w:line="240" w:lineRule="auto" w:before="2"/>
        <w:rPr>
          <w:rFonts w:ascii="宋体" w:hAnsi="宋体" w:cs="宋体" w:eastAsia="宋体" w:hint="default"/>
          <w:sz w:val="20"/>
          <w:szCs w:val="20"/>
        </w:rPr>
      </w:pPr>
    </w:p>
    <w:p>
      <w:pPr>
        <w:pStyle w:val="Heading4"/>
        <w:spacing w:line="240" w:lineRule="auto" w:before="36"/>
        <w:ind w:left="378" w:right="0"/>
        <w:jc w:val="left"/>
        <w:rPr>
          <w:b w:val="0"/>
          <w:bCs w:val="0"/>
        </w:rPr>
      </w:pPr>
      <w:r>
        <w:rPr>
          <w:rFonts w:ascii="宋体" w:hAnsi="宋体" w:cs="宋体" w:eastAsia="宋体" w:hint="default"/>
        </w:rPr>
        <w:t>2</w:t>
      </w:r>
      <w:r>
        <w:rPr/>
        <w:t>、与日常经营相关的关联交易</w:t>
      </w:r>
      <w:r>
        <w:rPr>
          <w:b w:val="0"/>
          <w:bCs w:val="0"/>
        </w:rPr>
      </w:r>
    </w:p>
    <w:p>
      <w:pPr>
        <w:pStyle w:val="BodyText"/>
        <w:spacing w:line="240" w:lineRule="auto" w:before="56"/>
        <w:ind w:left="0" w:right="390"/>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9"/>
        <w:gridCol w:w="1129"/>
        <w:gridCol w:w="991"/>
        <w:gridCol w:w="996"/>
        <w:gridCol w:w="708"/>
        <w:gridCol w:w="852"/>
        <w:gridCol w:w="708"/>
        <w:gridCol w:w="709"/>
        <w:gridCol w:w="792"/>
        <w:gridCol w:w="778"/>
      </w:tblGrid>
      <w:tr>
        <w:trPr>
          <w:trHeight w:val="14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关联交易方</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79" w:right="377"/>
              <w:jc w:val="center"/>
              <w:rPr>
                <w:rFonts w:ascii="宋体" w:hAnsi="宋体" w:cs="宋体" w:eastAsia="宋体" w:hint="default"/>
                <w:sz w:val="18"/>
                <w:szCs w:val="18"/>
              </w:rPr>
            </w:pPr>
            <w:r>
              <w:rPr>
                <w:rFonts w:ascii="宋体" w:hAnsi="宋体" w:cs="宋体" w:eastAsia="宋体" w:hint="default"/>
                <w:sz w:val="18"/>
                <w:szCs w:val="18"/>
              </w:rPr>
              <w:t>关联 关系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09" w:right="1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12" w:right="1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关联交 易 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占同</w:t>
            </w:r>
          </w:p>
          <w:p>
            <w:pPr>
              <w:pStyle w:val="TableParagraph"/>
              <w:spacing w:line="237" w:lineRule="auto"/>
              <w:ind w:left="165" w:right="170"/>
              <w:jc w:val="both"/>
              <w:rPr>
                <w:rFonts w:ascii="宋体" w:hAnsi="宋体" w:cs="宋体" w:eastAsia="宋体" w:hint="default"/>
                <w:sz w:val="18"/>
                <w:szCs w:val="18"/>
              </w:rPr>
            </w:pPr>
            <w:r>
              <w:rPr>
                <w:rFonts w:ascii="宋体" w:hAnsi="宋体" w:cs="宋体" w:eastAsia="宋体" w:hint="default"/>
                <w:sz w:val="18"/>
                <w:szCs w:val="18"/>
              </w:rPr>
              <w:t>类交 易金 额的 比例 </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5" w:right="171"/>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9" w:right="120" w:hanging="18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both"/>
              <w:rPr>
                <w:rFonts w:ascii="宋体" w:hAnsi="宋体" w:cs="宋体" w:eastAsia="宋体" w:hint="default"/>
                <w:sz w:val="18"/>
                <w:szCs w:val="18"/>
              </w:rPr>
            </w:pPr>
            <w:r>
              <w:rPr>
                <w:rFonts w:ascii="宋体" w:hAnsi="宋体" w:cs="宋体" w:eastAsia="宋体" w:hint="default"/>
                <w:sz w:val="18"/>
                <w:szCs w:val="18"/>
              </w:rPr>
              <w:t>交易价</w:t>
            </w:r>
          </w:p>
          <w:p>
            <w:pPr>
              <w:pStyle w:val="TableParagraph"/>
              <w:spacing w:line="237" w:lineRule="auto"/>
              <w:ind w:left="112" w:right="113"/>
              <w:jc w:val="both"/>
              <w:rPr>
                <w:rFonts w:ascii="宋体" w:hAnsi="宋体" w:cs="宋体" w:eastAsia="宋体" w:hint="default"/>
                <w:sz w:val="18"/>
                <w:szCs w:val="18"/>
              </w:rPr>
            </w:pPr>
            <w:r>
              <w:rPr>
                <w:rFonts w:ascii="宋体" w:hAnsi="宋体" w:cs="宋体" w:eastAsia="宋体" w:hint="default"/>
                <w:sz w:val="18"/>
                <w:szCs w:val="18"/>
              </w:rPr>
              <w:t>格与市 场参考 价格差 异较大 的原因</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阿尔派株式会社及</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5"/>
                <w:sz w:val="18"/>
                <w:szCs w:val="18"/>
              </w:rPr>
              <w:t>其子公司</w:t>
            </w:r>
            <w:r>
              <w:rPr>
                <w:rFonts w:ascii="宋体" w:hAnsi="宋体" w:cs="宋体" w:eastAsia="宋体" w:hint="default"/>
                <w:spacing w:val="-5"/>
                <w:sz w:val="18"/>
                <w:szCs w:val="18"/>
              </w:rPr>
              <w:t>(</w:t>
            </w:r>
            <w:r>
              <w:rPr>
                <w:rFonts w:ascii="宋体" w:hAnsi="宋体" w:cs="宋体" w:eastAsia="宋体" w:hint="default"/>
                <w:spacing w:val="-5"/>
                <w:sz w:val="18"/>
                <w:szCs w:val="18"/>
              </w:rPr>
              <w:t>合称“阿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尔派”</w:t>
            </w:r>
            <w:r>
              <w:rPr>
                <w:rFonts w:ascii="宋体" w:hAnsi="宋体" w:cs="宋体" w:eastAsia="宋体"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11"/>
              <w:jc w:val="left"/>
              <w:rPr>
                <w:rFonts w:ascii="宋体" w:hAnsi="宋体" w:cs="宋体" w:eastAsia="宋体" w:hint="default"/>
                <w:sz w:val="18"/>
                <w:szCs w:val="18"/>
              </w:rPr>
            </w:pPr>
            <w:r>
              <w:rPr>
                <w:rFonts w:ascii="宋体" w:hAnsi="宋体" w:cs="宋体" w:eastAsia="宋体" w:hint="default"/>
                <w:sz w:val="18"/>
                <w:szCs w:val="18"/>
              </w:rPr>
              <w:t>持本公司 </w:t>
            </w:r>
            <w:r>
              <w:rPr>
                <w:rFonts w:ascii="宋体" w:hAnsi="宋体" w:cs="宋体" w:eastAsia="宋体" w:hint="default"/>
                <w:sz w:val="18"/>
                <w:szCs w:val="18"/>
              </w:rPr>
              <w:t>5%</w:t>
            </w:r>
            <w:r>
              <w:rPr>
                <w:rFonts w:ascii="宋体" w:hAnsi="宋体" w:cs="宋体" w:eastAsia="宋体" w:hint="default"/>
                <w:sz w:val="18"/>
                <w:szCs w:val="18"/>
              </w:rPr>
              <w:t>以上股权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32" w:lineRule="exact" w:before="23"/>
              <w:ind w:left="103" w:right="161"/>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阿尔派株式会社及</w:t>
            </w:r>
          </w:p>
          <w:p>
            <w:pPr>
              <w:pStyle w:val="TableParagraph"/>
              <w:spacing w:line="234" w:lineRule="exact" w:before="21"/>
              <w:ind w:left="103" w:right="422"/>
              <w:jc w:val="left"/>
              <w:rPr>
                <w:rFonts w:ascii="宋体" w:hAnsi="宋体" w:cs="宋体" w:eastAsia="宋体" w:hint="default"/>
                <w:sz w:val="18"/>
                <w:szCs w:val="18"/>
              </w:rPr>
            </w:pPr>
            <w:r>
              <w:rPr>
                <w:rFonts w:ascii="宋体" w:hAnsi="宋体" w:cs="宋体" w:eastAsia="宋体" w:hint="default"/>
                <w:sz w:val="18"/>
                <w:szCs w:val="18"/>
              </w:rPr>
              <w:t>其子公司</w:t>
            </w:r>
            <w:r>
              <w:rPr>
                <w:rFonts w:ascii="宋体" w:hAnsi="宋体" w:cs="宋体" w:eastAsia="宋体" w:hint="default"/>
                <w:sz w:val="18"/>
                <w:szCs w:val="18"/>
              </w:rPr>
              <w:t>(</w:t>
            </w:r>
            <w:r>
              <w:rPr>
                <w:rFonts w:ascii="宋体" w:hAnsi="宋体" w:cs="宋体" w:eastAsia="宋体" w:hint="default"/>
                <w:sz w:val="18"/>
                <w:szCs w:val="18"/>
              </w:rPr>
              <w:t>合称 “阿尔派”)</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11"/>
              <w:jc w:val="left"/>
              <w:rPr>
                <w:rFonts w:ascii="宋体" w:hAnsi="宋体" w:cs="宋体" w:eastAsia="宋体" w:hint="default"/>
                <w:sz w:val="18"/>
                <w:szCs w:val="18"/>
              </w:rPr>
            </w:pPr>
            <w:r>
              <w:rPr>
                <w:rFonts w:ascii="宋体" w:hAnsi="宋体" w:cs="宋体" w:eastAsia="宋体" w:hint="default"/>
                <w:sz w:val="18"/>
                <w:szCs w:val="18"/>
              </w:rPr>
              <w:t>持本公司 </w:t>
            </w:r>
            <w:r>
              <w:rPr>
                <w:rFonts w:ascii="宋体" w:hAnsi="宋体" w:cs="宋体" w:eastAsia="宋体" w:hint="default"/>
                <w:sz w:val="18"/>
                <w:szCs w:val="18"/>
              </w:rPr>
              <w:t>5%</w:t>
            </w:r>
            <w:r>
              <w:rPr>
                <w:rFonts w:ascii="宋体" w:hAnsi="宋体" w:cs="宋体" w:eastAsia="宋体" w:hint="default"/>
                <w:sz w:val="18"/>
                <w:szCs w:val="18"/>
              </w:rPr>
              <w:t>以上股权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34" w:lineRule="exact" w:before="21"/>
              <w:ind w:left="103" w:right="156"/>
              <w:jc w:val="left"/>
              <w:rPr>
                <w:rFonts w:ascii="宋体" w:hAnsi="宋体" w:cs="宋体" w:eastAsia="宋体" w:hint="default"/>
                <w:sz w:val="18"/>
                <w:szCs w:val="18"/>
              </w:rPr>
            </w:pPr>
            <w:r>
              <w:rPr>
                <w:rFonts w:ascii="宋体" w:hAnsi="宋体" w:cs="宋体" w:eastAsia="宋体" w:hint="default"/>
                <w:sz w:val="18"/>
                <w:szCs w:val="18"/>
              </w:rPr>
              <w:t>购买原材 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61"/>
              <w:jc w:val="left"/>
              <w:rPr>
                <w:rFonts w:ascii="宋体" w:hAnsi="宋体" w:cs="宋体" w:eastAsia="宋体" w:hint="default"/>
                <w:sz w:val="18"/>
                <w:szCs w:val="18"/>
              </w:rPr>
            </w:pPr>
            <w:r>
              <w:rPr>
                <w:rFonts w:ascii="宋体" w:hAnsi="宋体" w:cs="宋体" w:eastAsia="宋体" w:hint="default"/>
                <w:sz w:val="18"/>
                <w:szCs w:val="18"/>
              </w:rPr>
              <w:t>采购原材 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12,726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株式会社东芝及其</w:t>
            </w:r>
          </w:p>
          <w:p>
            <w:pPr>
              <w:pStyle w:val="TableParagraph"/>
              <w:spacing w:line="232" w:lineRule="exact" w:before="23"/>
              <w:ind w:left="103" w:right="153"/>
              <w:jc w:val="left"/>
              <w:rPr>
                <w:rFonts w:ascii="宋体" w:hAnsi="宋体" w:cs="宋体" w:eastAsia="宋体" w:hint="default"/>
                <w:sz w:val="18"/>
                <w:szCs w:val="18"/>
              </w:rPr>
            </w:pPr>
            <w:r>
              <w:rPr>
                <w:rFonts w:ascii="宋体" w:hAnsi="宋体" w:cs="宋体" w:eastAsia="宋体" w:hint="default"/>
                <w:sz w:val="18"/>
                <w:szCs w:val="18"/>
              </w:rPr>
              <w:t>子公司（合称：东 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其子公司与</w:t>
            </w:r>
          </w:p>
          <w:p>
            <w:pPr>
              <w:pStyle w:val="TableParagraph"/>
              <w:spacing w:line="232" w:lineRule="exact" w:before="23"/>
              <w:ind w:left="103" w:right="113"/>
              <w:jc w:val="left"/>
              <w:rPr>
                <w:rFonts w:ascii="宋体" w:hAnsi="宋体" w:cs="宋体" w:eastAsia="宋体" w:hint="default"/>
                <w:sz w:val="18"/>
                <w:szCs w:val="18"/>
              </w:rPr>
            </w:pPr>
            <w:r>
              <w:rPr>
                <w:rFonts w:ascii="宋体" w:hAnsi="宋体" w:cs="宋体" w:eastAsia="宋体" w:hint="default"/>
                <w:sz w:val="18"/>
                <w:szCs w:val="18"/>
              </w:rPr>
              <w:t>本公司同一 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32" w:lineRule="exact" w:before="23"/>
              <w:ind w:left="103" w:right="161"/>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9,616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9,616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53"/>
              <w:jc w:val="both"/>
              <w:rPr>
                <w:rFonts w:ascii="宋体" w:hAnsi="宋体" w:cs="宋体" w:eastAsia="宋体" w:hint="default"/>
                <w:sz w:val="18"/>
                <w:szCs w:val="18"/>
              </w:rPr>
            </w:pPr>
            <w:r>
              <w:rPr>
                <w:rFonts w:ascii="宋体" w:hAnsi="宋体" w:cs="宋体" w:eastAsia="宋体" w:hint="default"/>
                <w:sz w:val="18"/>
                <w:szCs w:val="18"/>
              </w:rPr>
              <w:t>诺基亚东软通信技 术有限公司（简称 “诺基亚东软”）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本公司董事</w:t>
            </w:r>
          </w:p>
          <w:p>
            <w:pPr>
              <w:pStyle w:val="TableParagraph"/>
              <w:spacing w:line="232" w:lineRule="exact" w:before="23"/>
              <w:ind w:left="103" w:right="113"/>
              <w:jc w:val="both"/>
              <w:rPr>
                <w:rFonts w:ascii="宋体" w:hAnsi="宋体" w:cs="宋体" w:eastAsia="宋体" w:hint="default"/>
                <w:sz w:val="18"/>
                <w:szCs w:val="18"/>
              </w:rPr>
            </w:pPr>
            <w:r>
              <w:rPr>
                <w:rFonts w:ascii="宋体" w:hAnsi="宋体" w:cs="宋体" w:eastAsia="宋体" w:hint="default"/>
                <w:sz w:val="18"/>
                <w:szCs w:val="18"/>
              </w:rPr>
              <w:t>长为诺基亚 东软副董事 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56"/>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61"/>
              <w:jc w:val="both"/>
              <w:rPr>
                <w:rFonts w:ascii="宋体" w:hAnsi="宋体" w:cs="宋体" w:eastAsia="宋体" w:hint="default"/>
                <w:sz w:val="18"/>
                <w:szCs w:val="18"/>
              </w:rPr>
            </w:pPr>
            <w:r>
              <w:rPr>
                <w:rFonts w:ascii="宋体" w:hAnsi="宋体" w:cs="宋体" w:eastAsia="宋体" w:hint="default"/>
                <w:sz w:val="18"/>
                <w:szCs w:val="18"/>
              </w:rPr>
              <w:t>系统集成 或软件销 售收入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6,215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6,215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大连东软控股有限</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公司及其分子公司</w:t>
            </w:r>
          </w:p>
          <w:p>
            <w:pPr>
              <w:pStyle w:val="TableParagraph"/>
              <w:spacing w:line="240" w:lineRule="auto"/>
              <w:ind w:left="103" w:right="333"/>
              <w:jc w:val="left"/>
              <w:rPr>
                <w:rFonts w:ascii="宋体" w:hAnsi="宋体" w:cs="宋体" w:eastAsia="宋体" w:hint="default"/>
                <w:sz w:val="18"/>
                <w:szCs w:val="18"/>
              </w:rPr>
            </w:pPr>
            <w:r>
              <w:rPr>
                <w:rFonts w:ascii="宋体" w:hAnsi="宋体" w:cs="宋体" w:eastAsia="宋体" w:hint="default"/>
                <w:sz w:val="18"/>
                <w:szCs w:val="18"/>
              </w:rPr>
              <w:t>（合称“东软控 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11"/>
              <w:jc w:val="left"/>
              <w:rPr>
                <w:rFonts w:ascii="宋体" w:hAnsi="宋体" w:cs="宋体" w:eastAsia="宋体" w:hint="default"/>
                <w:sz w:val="18"/>
                <w:szCs w:val="18"/>
              </w:rPr>
            </w:pPr>
            <w:r>
              <w:rPr>
                <w:rFonts w:ascii="宋体" w:hAnsi="宋体" w:cs="宋体" w:eastAsia="宋体" w:hint="default"/>
                <w:sz w:val="18"/>
                <w:szCs w:val="18"/>
              </w:rPr>
              <w:t>持本公司 </w:t>
            </w:r>
            <w:r>
              <w:rPr>
                <w:rFonts w:ascii="宋体" w:hAnsi="宋体" w:cs="宋体" w:eastAsia="宋体" w:hint="default"/>
                <w:sz w:val="18"/>
                <w:szCs w:val="18"/>
              </w:rPr>
              <w:t>5%</w:t>
            </w:r>
            <w:r>
              <w:rPr>
                <w:rFonts w:ascii="宋体" w:hAnsi="宋体" w:cs="宋体" w:eastAsia="宋体" w:hint="default"/>
                <w:sz w:val="18"/>
                <w:szCs w:val="18"/>
              </w:rPr>
              <w:t>以上股权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6"/>
              <w:jc w:val="both"/>
              <w:rPr>
                <w:rFonts w:ascii="宋体" w:hAnsi="宋体" w:cs="宋体" w:eastAsia="宋体" w:hint="default"/>
                <w:sz w:val="18"/>
                <w:szCs w:val="18"/>
              </w:rPr>
            </w:pPr>
            <w:r>
              <w:rPr>
                <w:rFonts w:ascii="宋体" w:hAnsi="宋体" w:cs="宋体" w:eastAsia="宋体" w:hint="default"/>
                <w:sz w:val="18"/>
                <w:szCs w:val="18"/>
              </w:rPr>
              <w:t>接受关联 人提供的 劳务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61"/>
              <w:jc w:val="left"/>
              <w:rPr>
                <w:rFonts w:ascii="宋体" w:hAnsi="宋体" w:cs="宋体" w:eastAsia="宋体" w:hint="default"/>
                <w:sz w:val="18"/>
                <w:szCs w:val="18"/>
              </w:rPr>
            </w:pPr>
            <w:r>
              <w:rPr>
                <w:rFonts w:ascii="宋体" w:hAnsi="宋体" w:cs="宋体" w:eastAsia="宋体" w:hint="default"/>
                <w:sz w:val="18"/>
                <w:szCs w:val="18"/>
              </w:rPr>
              <w:t>软件开发 及服务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53,427</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43.75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53,427</w:t>
            </w:r>
            <w:r>
              <w:rPr>
                <w:rFonts w:ascii="宋体"/>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沈阳东软系统集成</w:t>
            </w:r>
          </w:p>
          <w:p>
            <w:pPr>
              <w:pStyle w:val="TableParagraph"/>
              <w:spacing w:line="240" w:lineRule="auto"/>
              <w:ind w:left="103" w:right="153"/>
              <w:jc w:val="left"/>
              <w:rPr>
                <w:rFonts w:ascii="宋体" w:hAnsi="宋体" w:cs="宋体" w:eastAsia="宋体" w:hint="default"/>
                <w:sz w:val="18"/>
                <w:szCs w:val="18"/>
              </w:rPr>
            </w:pPr>
            <w:r>
              <w:rPr>
                <w:rFonts w:ascii="宋体" w:hAnsi="宋体" w:cs="宋体" w:eastAsia="宋体" w:hint="default"/>
                <w:sz w:val="18"/>
                <w:szCs w:val="18"/>
              </w:rPr>
              <w:t>工程有限公司（简 称“沈阳工程”）</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其控股股东</w:t>
            </w:r>
          </w:p>
          <w:p>
            <w:pPr>
              <w:pStyle w:val="TableParagraph"/>
              <w:spacing w:line="240" w:lineRule="auto"/>
              <w:ind w:left="103" w:right="113"/>
              <w:jc w:val="left"/>
              <w:rPr>
                <w:rFonts w:ascii="宋体" w:hAnsi="宋体" w:cs="宋体" w:eastAsia="宋体" w:hint="default"/>
                <w:sz w:val="18"/>
                <w:szCs w:val="18"/>
              </w:rPr>
            </w:pPr>
            <w:r>
              <w:rPr>
                <w:rFonts w:ascii="宋体" w:hAnsi="宋体" w:cs="宋体" w:eastAsia="宋体" w:hint="default"/>
                <w:sz w:val="18"/>
                <w:szCs w:val="18"/>
              </w:rPr>
              <w:t>与本公司同 一董事长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40" w:lineRule="auto"/>
              <w:ind w:left="103" w:right="161"/>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18,811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18,811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沈阳东软系统集成</w:t>
            </w:r>
          </w:p>
          <w:p>
            <w:pPr>
              <w:pStyle w:val="TableParagraph"/>
              <w:spacing w:line="240" w:lineRule="auto"/>
              <w:ind w:left="103" w:right="153"/>
              <w:jc w:val="left"/>
              <w:rPr>
                <w:rFonts w:ascii="宋体" w:hAnsi="宋体" w:cs="宋体" w:eastAsia="宋体" w:hint="default"/>
                <w:sz w:val="18"/>
                <w:szCs w:val="18"/>
              </w:rPr>
            </w:pPr>
            <w:r>
              <w:rPr>
                <w:rFonts w:ascii="宋体" w:hAnsi="宋体" w:cs="宋体" w:eastAsia="宋体" w:hint="default"/>
                <w:sz w:val="18"/>
                <w:szCs w:val="18"/>
              </w:rPr>
              <w:t>工程有限公司（简 称“沈阳工程”）</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其控股股东</w:t>
            </w:r>
          </w:p>
          <w:p>
            <w:pPr>
              <w:pStyle w:val="TableParagraph"/>
              <w:spacing w:line="240" w:lineRule="auto"/>
              <w:ind w:left="103" w:right="113"/>
              <w:jc w:val="left"/>
              <w:rPr>
                <w:rFonts w:ascii="宋体" w:hAnsi="宋体" w:cs="宋体" w:eastAsia="宋体" w:hint="default"/>
                <w:sz w:val="18"/>
                <w:szCs w:val="18"/>
              </w:rPr>
            </w:pPr>
            <w:r>
              <w:rPr>
                <w:rFonts w:ascii="宋体" w:hAnsi="宋体" w:cs="宋体" w:eastAsia="宋体" w:hint="default"/>
                <w:sz w:val="18"/>
                <w:szCs w:val="18"/>
              </w:rPr>
              <w:t>与本公司同 一董事长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接受关联</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人提供的 劳务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61"/>
              <w:jc w:val="left"/>
              <w:rPr>
                <w:rFonts w:ascii="宋体" w:hAnsi="宋体" w:cs="宋体" w:eastAsia="宋体" w:hint="default"/>
                <w:sz w:val="18"/>
                <w:szCs w:val="18"/>
              </w:rPr>
            </w:pPr>
            <w:r>
              <w:rPr>
                <w:rFonts w:ascii="宋体" w:hAnsi="宋体" w:cs="宋体" w:eastAsia="宋体" w:hint="default"/>
                <w:sz w:val="18"/>
                <w:szCs w:val="18"/>
              </w:rPr>
              <w:t>软件开发 及服务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8" w:right="16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5" w:right="171"/>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115,283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type w:val="continuous"/>
          <w:pgSz w:w="11910" w:h="16840"/>
          <w:pgMar w:top="1580" w:bottom="280" w:left="1420" w:right="880"/>
        </w:sectPr>
      </w:pPr>
    </w:p>
    <w:p>
      <w:pPr>
        <w:spacing w:line="240" w:lineRule="auto" w:before="3"/>
        <w:rPr>
          <w:rFonts w:ascii="宋体" w:hAnsi="宋体" w:cs="宋体" w:eastAsia="宋体" w:hint="default"/>
          <w:sz w:val="11"/>
          <w:szCs w:val="11"/>
        </w:rPr>
      </w:pPr>
    </w:p>
    <w:p>
      <w:pPr>
        <w:pStyle w:val="Heading4"/>
        <w:spacing w:line="240" w:lineRule="auto" w:before="36"/>
        <w:ind w:right="2760"/>
        <w:jc w:val="left"/>
        <w:rPr>
          <w:b w:val="0"/>
          <w:bCs w:val="0"/>
        </w:rPr>
      </w:pPr>
      <w:r>
        <w:rPr>
          <w:rFonts w:ascii="宋体" w:hAnsi="宋体" w:cs="宋体" w:eastAsia="宋体" w:hint="default"/>
        </w:rPr>
        <w:t>3</w:t>
      </w:r>
      <w:r>
        <w:rPr/>
        <w:t>、已在临时公告披露且后续实施无进展或变化的事项</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0"/>
        <w:gridCol w:w="3269"/>
      </w:tblGrid>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89"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6"/>
                <w:sz w:val="21"/>
                <w:szCs w:val="21"/>
              </w:rPr>
              <w:t> </w:t>
            </w:r>
            <w:r>
              <w:rPr>
                <w:rFonts w:ascii="宋体" w:hAnsi="宋体" w:cs="宋体" w:eastAsia="宋体" w:hint="default"/>
                <w:sz w:val="21"/>
                <w:szCs w:val="21"/>
              </w:rPr>
              <w:t>2017</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25</w:t>
            </w:r>
            <w:r>
              <w:rPr>
                <w:rFonts w:ascii="宋体" w:hAnsi="宋体" w:cs="宋体" w:eastAsia="宋体" w:hint="default"/>
                <w:spacing w:val="-38"/>
                <w:sz w:val="21"/>
                <w:szCs w:val="21"/>
              </w:rPr>
              <w:t> </w:t>
            </w:r>
            <w:r>
              <w:rPr>
                <w:rFonts w:ascii="宋体" w:hAnsi="宋体" w:cs="宋体" w:eastAsia="宋体" w:hint="default"/>
                <w:sz w:val="21"/>
                <w:szCs w:val="21"/>
              </w:rPr>
              <w:t>日召开的公司七届三十八次董事会审议通</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2"/>
                <w:sz w:val="21"/>
                <w:szCs w:val="21"/>
              </w:rPr>
              <w:t>过了《关于与太仓阿尔派电子有限公司签订采购和销售协议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的议案》，董事会同意本公司与太仓阿尔派电子有限公司签</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订采购和销售协议，包括《基本交易合同书》、《购买基本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合同书》、《备忘录》等。根据协议约定，太仓阿尔派电子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有限公司将根据东软的需求，进行车载终端产品的生产。在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车载终端产品的生产中，太仓阿尔派电子有限公司应使用东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软向其销售的指定车载零部件。</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33"/>
                <w:sz w:val="21"/>
                <w:szCs w:val="21"/>
              </w:rPr>
              <w:t> </w:t>
            </w: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4</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26</w:t>
            </w:r>
            <w:r>
              <w:rPr>
                <w:rFonts w:ascii="宋体" w:hAnsi="宋体" w:cs="宋体" w:eastAsia="宋体" w:hint="default"/>
                <w:spacing w:val="-50"/>
                <w:sz w:val="21"/>
                <w:szCs w:val="21"/>
              </w:rPr>
              <w:t> </w:t>
            </w:r>
            <w:r>
              <w:rPr>
                <w:rFonts w:ascii="宋体" w:hAnsi="宋体" w:cs="宋体" w:eastAsia="宋体" w:hint="default"/>
                <w:sz w:val="21"/>
                <w:szCs w:val="21"/>
              </w:rPr>
              <w:t>日刊登在《中国证券报》、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r>
        <w:trPr>
          <w:trHeight w:val="2189"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日召开的公司八届九次董事会审议通过了</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2"/>
                <w:sz w:val="21"/>
                <w:szCs w:val="21"/>
              </w:rPr>
              <w:t>《关于与大连阿尔派电子有限公司签订采购和销售协议的议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案》，董事会同意本公司与大连阿尔派签订采购和销售协议，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包括《基本交易合同书》、《采购基本合同书》、《合同备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忘录》等法律文件。根据协议约定，大连阿尔派将根据东软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的需求，进行车载终端产品硬件的生产。在车载终端产品硬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件的生产中，大连阿尔派应使用东软向其销售的指定车载零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部件。</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日刊登在《中国证券报》、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《上海证券报》上的相关公告。</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4</w:t>
      </w:r>
      <w:r>
        <w:rPr/>
        <w:t>、已在临时公告披露，但有后续实施的进展或变化的事项</w:t>
      </w:r>
      <w:r>
        <w:rPr>
          <w:b w:val="0"/>
          <w:bCs w:val="0"/>
        </w:rPr>
      </w:r>
    </w:p>
    <w:p>
      <w:pPr>
        <w:pStyle w:val="BodyText"/>
        <w:tabs>
          <w:tab w:pos="1060" w:val="left" w:leader="none"/>
        </w:tabs>
        <w:spacing w:line="240" w:lineRule="auto" w:before="56"/>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5</w:t>
      </w:r>
      <w:r>
        <w:rPr/>
        <w:t>、临时公告未披露的事项</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58"/>
        <w:ind w:right="276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29</w:t>
            </w:r>
            <w:r>
              <w:rPr>
                <w:rFonts w:ascii="宋体" w:hAnsi="宋体" w:cs="宋体" w:eastAsia="宋体" w:hint="default"/>
                <w:spacing w:val="-58"/>
                <w:sz w:val="21"/>
                <w:szCs w:val="21"/>
              </w:rPr>
              <w:t> </w:t>
            </w:r>
            <w:r>
              <w:rPr>
                <w:rFonts w:ascii="宋体" w:hAnsi="宋体" w:cs="宋体" w:eastAsia="宋体" w:hint="default"/>
                <w:sz w:val="21"/>
                <w:szCs w:val="21"/>
              </w:rPr>
              <w:t>日召开的公司七届三十六次董事会审议通过了</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《关于东软（澄迈）置业有限公司增资的议案》，董事会同意本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0"/>
                <w:w w:val="100"/>
                <w:sz w:val="21"/>
                <w:szCs w:val="21"/>
              </w:rPr>
              <w:t>公司之子公司东软集团（海南）有限公司（以下简称“东软海南”）、</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
                <w:sz w:val="21"/>
                <w:szCs w:val="21"/>
              </w:rPr>
              <w:t>东软（澄迈）置业有限公司（以下简称“澄迈置业”）与大连熙</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13"/>
                <w:sz w:val="21"/>
                <w:szCs w:val="21"/>
              </w:rPr>
              <w:t>康云舍发展有限公司（以下简称“大连云舍”）签订《增资协议》。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根据协议约定，大连云舍以货币方式认缴澄迈置业</w:t>
            </w:r>
            <w:r>
              <w:rPr>
                <w:rFonts w:ascii="宋体" w:hAnsi="宋体" w:cs="宋体" w:eastAsia="宋体" w:hint="default"/>
                <w:spacing w:val="68"/>
                <w:sz w:val="21"/>
                <w:szCs w:val="21"/>
              </w:rPr>
              <w:t> </w:t>
            </w:r>
            <w:r>
              <w:rPr>
                <w:rFonts w:ascii="宋体" w:hAnsi="宋体" w:cs="宋体" w:eastAsia="宋体" w:hint="default"/>
                <w:sz w:val="21"/>
                <w:szCs w:val="21"/>
              </w:rPr>
              <w:t>40,365,735</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元新增注册资本出资额，增资价格为</w:t>
            </w:r>
            <w:r>
              <w:rPr>
                <w:rFonts w:ascii="宋体" w:hAnsi="宋体" w:cs="宋体" w:eastAsia="宋体" w:hint="default"/>
                <w:spacing w:val="-49"/>
                <w:sz w:val="21"/>
                <w:szCs w:val="21"/>
              </w:rPr>
              <w:t> </w:t>
            </w:r>
            <w:r>
              <w:rPr>
                <w:rFonts w:ascii="宋体" w:hAnsi="宋体" w:cs="宋体" w:eastAsia="宋体" w:hint="default"/>
                <w:sz w:val="21"/>
                <w:szCs w:val="21"/>
              </w:rPr>
              <w:t>1.19</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股等于</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元</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注册资本），增资总金额为 </w:t>
            </w:r>
            <w:r>
              <w:rPr>
                <w:rFonts w:ascii="宋体" w:hAnsi="宋体" w:cs="宋体" w:eastAsia="宋体" w:hint="default"/>
                <w:sz w:val="21"/>
                <w:szCs w:val="21"/>
              </w:rPr>
              <w:t>48,144,520</w:t>
            </w:r>
            <w:r>
              <w:rPr>
                <w:rFonts w:ascii="宋体" w:hAnsi="宋体" w:cs="宋体" w:eastAsia="宋体" w:hint="default"/>
                <w:spacing w:val="-37"/>
                <w:sz w:val="21"/>
                <w:szCs w:val="21"/>
              </w:rPr>
              <w:t> </w:t>
            </w:r>
            <w:r>
              <w:rPr>
                <w:rFonts w:ascii="宋体" w:hAnsi="宋体" w:cs="宋体" w:eastAsia="宋体" w:hint="default"/>
                <w:sz w:val="21"/>
                <w:szCs w:val="21"/>
              </w:rPr>
              <w:t>元，东软海南放弃优先</w:t>
            </w:r>
            <w:r>
              <w:rPr>
                <w:rFonts w:ascii="宋体" w:hAnsi="宋体" w:cs="宋体" w:eastAsia="宋体" w:hint="default"/>
                <w:w w:val="100"/>
                <w:sz w:val="21"/>
                <w:szCs w:val="21"/>
              </w:rPr>
              <w:t> </w:t>
            </w:r>
            <w:r>
              <w:rPr>
                <w:rFonts w:ascii="宋体" w:hAnsi="宋体" w:cs="宋体" w:eastAsia="宋体" w:hint="default"/>
                <w:sz w:val="21"/>
                <w:szCs w:val="21"/>
              </w:rPr>
              <w:t>认购前述新增注册资本的权利。</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0"/>
                <w:sz w:val="21"/>
                <w:szCs w:val="21"/>
              </w:rPr>
              <w:t>具体内容详见本公司于</w:t>
            </w:r>
            <w:r>
              <w:rPr>
                <w:rFonts w:ascii="宋体" w:hAnsi="宋体" w:cs="宋体" w:eastAsia="宋体" w:hint="default"/>
                <w:spacing w:val="40"/>
                <w:sz w:val="21"/>
                <w:szCs w:val="21"/>
              </w:rPr>
              <w:t> </w:t>
            </w:r>
            <w:r>
              <w:rPr>
                <w:rFonts w:ascii="宋体" w:hAnsi="宋体" w:cs="宋体" w:eastAsia="宋体" w:hint="default"/>
                <w:sz w:val="21"/>
                <w:szCs w:val="21"/>
              </w:rPr>
              <w:t>2017</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9"/>
                <w:sz w:val="21"/>
                <w:szCs w:val="21"/>
              </w:rPr>
              <w:t>日刊登在《中国证券</w:t>
            </w:r>
            <w:r>
              <w:rPr>
                <w:rFonts w:ascii="宋体" w:hAnsi="宋体" w:cs="宋体" w:eastAsia="宋体" w:hint="default"/>
                <w:w w:val="100"/>
                <w:sz w:val="21"/>
                <w:szCs w:val="21"/>
              </w:rPr>
              <w:t> </w:t>
            </w:r>
            <w:r>
              <w:rPr>
                <w:rFonts w:ascii="宋体" w:hAnsi="宋体" w:cs="宋体" w:eastAsia="宋体" w:hint="default"/>
                <w:sz w:val="21"/>
                <w:szCs w:val="21"/>
              </w:rPr>
              <w:t>报》、《上海证券报》上的相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关公告。</w:t>
            </w:r>
          </w:p>
        </w:tc>
      </w:tr>
      <w:tr>
        <w:trPr>
          <w:trHeight w:val="137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29</w:t>
            </w:r>
            <w:r>
              <w:rPr>
                <w:rFonts w:ascii="宋体" w:hAnsi="宋体" w:cs="宋体" w:eastAsia="宋体" w:hint="default"/>
                <w:spacing w:val="-58"/>
                <w:sz w:val="21"/>
                <w:szCs w:val="21"/>
              </w:rPr>
              <w:t> </w:t>
            </w:r>
            <w:r>
              <w:rPr>
                <w:rFonts w:ascii="宋体" w:hAnsi="宋体" w:cs="宋体" w:eastAsia="宋体" w:hint="default"/>
                <w:sz w:val="21"/>
                <w:szCs w:val="21"/>
              </w:rPr>
              <w:t>日召开的公司七届三十六次董事会审议通过了</w:t>
            </w:r>
          </w:p>
          <w:p>
            <w:pPr>
              <w:pStyle w:val="TableParagraph"/>
              <w:spacing w:line="237" w:lineRule="auto" w:before="2"/>
              <w:ind w:left="103" w:right="82"/>
              <w:jc w:val="both"/>
              <w:rPr>
                <w:rFonts w:ascii="宋体" w:hAnsi="宋体" w:cs="宋体" w:eastAsia="宋体" w:hint="default"/>
                <w:sz w:val="21"/>
                <w:szCs w:val="21"/>
              </w:rPr>
            </w:pPr>
            <w:r>
              <w:rPr>
                <w:rFonts w:ascii="宋体" w:hAnsi="宋体" w:cs="宋体" w:eastAsia="宋体" w:hint="default"/>
                <w:spacing w:val="-3"/>
                <w:w w:val="100"/>
                <w:sz w:val="21"/>
                <w:szCs w:val="21"/>
              </w:rPr>
              <w:t>《关于向大连东软控股有限公司出售定制项目资产的议案》。董</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3"/>
                <w:sz w:val="21"/>
                <w:szCs w:val="21"/>
              </w:rPr>
              <w:t>事会同意东软（大连）有限公司将作为项目用地的土地及地上建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3"/>
                <w:sz w:val="21"/>
                <w:szCs w:val="21"/>
              </w:rPr>
              <w:t>筑物一并转让给大连东软控股有限公司，实际成交总金额为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10,709</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pacing w:val="10"/>
                <w:sz w:val="21"/>
                <w:szCs w:val="21"/>
              </w:rPr>
              <w:t>具体内容详见本公司于</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9"/>
                <w:sz w:val="21"/>
                <w:szCs w:val="21"/>
              </w:rPr>
              <w:t>日刊登在《中国证券</w:t>
            </w:r>
            <w:r>
              <w:rPr>
                <w:rFonts w:ascii="宋体" w:hAnsi="宋体" w:cs="宋体" w:eastAsia="宋体" w:hint="default"/>
                <w:w w:val="100"/>
                <w:sz w:val="21"/>
                <w:szCs w:val="21"/>
              </w:rPr>
              <w:t> </w:t>
            </w:r>
            <w:r>
              <w:rPr>
                <w:rFonts w:ascii="宋体" w:hAnsi="宋体" w:cs="宋体" w:eastAsia="宋体" w:hint="default"/>
                <w:sz w:val="21"/>
                <w:szCs w:val="21"/>
              </w:rPr>
              <w:t>报》、《上海证券报》上的相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关公告。</w:t>
            </w:r>
          </w:p>
        </w:tc>
      </w:tr>
    </w:tbl>
    <w:p>
      <w:pPr>
        <w:spacing w:after="0" w:line="237" w:lineRule="auto"/>
        <w:jc w:val="both"/>
        <w:rPr>
          <w:rFonts w:ascii="宋体" w:hAnsi="宋体" w:cs="宋体" w:eastAsia="宋体" w:hint="default"/>
          <w:sz w:val="21"/>
          <w:szCs w:val="21"/>
        </w:rPr>
        <w:sectPr>
          <w:headerReference w:type="default" r:id="rId30"/>
          <w:pgSz w:w="11910" w:h="16840"/>
          <w:pgMar w:header="945" w:footer="1248" w:top="1300" w:bottom="1440" w:left="1580" w:right="1040"/>
        </w:sectPr>
      </w:pPr>
    </w:p>
    <w:p>
      <w:pPr>
        <w:spacing w:line="240" w:lineRule="auto" w:before="8"/>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8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00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58"/>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17</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5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的公</w:t>
            </w:r>
            <w:r>
              <w:rPr>
                <w:rFonts w:ascii="宋体" w:hAnsi="宋体" w:cs="宋体" w:eastAsia="宋体" w:hint="default"/>
                <w:spacing w:val="-2"/>
                <w:w w:val="100"/>
                <w:sz w:val="21"/>
                <w:szCs w:val="21"/>
              </w:rPr>
              <w:t>司</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九</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spacing w:val="-106"/>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于对子公司北京东软望海科技有限公司增资的议案》，董事会同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意本公司、东软望海与中国平安人寿保险股份有限公司、泰康人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寿保险有限责任公司等投资人、自然人段成惠共同签订《投资协</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议》，本次《投资协议》约定的投资事项及激励安排全部实施完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成后，东软望海注册资本将增加至 </w:t>
            </w:r>
            <w:r>
              <w:rPr>
                <w:rFonts w:ascii="宋体" w:hAnsi="宋体" w:cs="宋体" w:eastAsia="宋体" w:hint="default"/>
                <w:sz w:val="21"/>
                <w:szCs w:val="21"/>
              </w:rPr>
              <w:t>72,270,861</w:t>
            </w:r>
            <w:r>
              <w:rPr>
                <w:rFonts w:ascii="宋体" w:hAnsi="宋体" w:cs="宋体" w:eastAsia="宋体" w:hint="default"/>
                <w:spacing w:val="-38"/>
                <w:sz w:val="21"/>
                <w:szCs w:val="21"/>
              </w:rPr>
              <w:t> </w:t>
            </w:r>
            <w:r>
              <w:rPr>
                <w:rFonts w:ascii="宋体" w:hAnsi="宋体" w:cs="宋体" w:eastAsia="宋体" w:hint="default"/>
                <w:sz w:val="21"/>
                <w:szCs w:val="21"/>
              </w:rPr>
              <w:t>元人民币，本公</w:t>
            </w:r>
            <w:r>
              <w:rPr>
                <w:rFonts w:ascii="宋体" w:hAnsi="宋体" w:cs="宋体" w:eastAsia="宋体" w:hint="default"/>
                <w:w w:val="100"/>
                <w:sz w:val="21"/>
                <w:szCs w:val="21"/>
              </w:rPr>
              <w:t> </w:t>
            </w:r>
            <w:r>
              <w:rPr>
                <w:rFonts w:ascii="宋体" w:hAnsi="宋体" w:cs="宋体" w:eastAsia="宋体" w:hint="default"/>
                <w:sz w:val="21"/>
                <w:szCs w:val="21"/>
              </w:rPr>
              <w:t>司持有东软望海的股权比例将下降至</w:t>
            </w:r>
            <w:r>
              <w:rPr>
                <w:rFonts w:ascii="宋体" w:hAnsi="宋体" w:cs="宋体" w:eastAsia="宋体" w:hint="default"/>
                <w:spacing w:val="-56"/>
                <w:sz w:val="21"/>
                <w:szCs w:val="21"/>
              </w:rPr>
              <w:t> </w:t>
            </w:r>
            <w:r>
              <w:rPr>
                <w:rFonts w:ascii="宋体" w:hAnsi="宋体" w:cs="宋体" w:eastAsia="宋体" w:hint="default"/>
                <w:sz w:val="21"/>
                <w:szCs w:val="21"/>
              </w:rPr>
              <w:t>29.30%</w:t>
            </w:r>
            <w:r>
              <w:rPr>
                <w:rFonts w:ascii="宋体" w:hAnsi="宋体" w:cs="宋体" w:eastAsia="宋体" w:hint="default"/>
                <w:sz w:val="21"/>
                <w:szCs w:val="21"/>
              </w:rPr>
              <w:t>。</w:t>
            </w:r>
          </w:p>
          <w:p>
            <w:pPr>
              <w:pStyle w:val="TableParagraph"/>
              <w:spacing w:line="237" w:lineRule="auto" w:before="1"/>
              <w:ind w:left="103" w:right="62"/>
              <w:jc w:val="both"/>
              <w:rPr>
                <w:rFonts w:ascii="宋体" w:hAnsi="宋体" w:cs="宋体" w:eastAsia="宋体" w:hint="default"/>
                <w:sz w:val="21"/>
                <w:szCs w:val="21"/>
              </w:rPr>
            </w:pPr>
            <w:r>
              <w:rPr>
                <w:rFonts w:ascii="宋体" w:hAnsi="宋体" w:cs="宋体" w:eastAsia="宋体" w:hint="default"/>
                <w:w w:val="100"/>
                <w:sz w:val="21"/>
                <w:szCs w:val="21"/>
              </w:rPr>
              <w:t>2017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12</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22</w:t>
            </w:r>
            <w:r>
              <w:rPr>
                <w:rFonts w:ascii="宋体" w:hAnsi="宋体" w:cs="宋体" w:eastAsia="宋体" w:hint="default"/>
                <w:spacing w:val="-52"/>
                <w:w w:val="100"/>
                <w:sz w:val="21"/>
                <w:szCs w:val="21"/>
              </w:rPr>
              <w:t> </w:t>
            </w:r>
            <w:r>
              <w:rPr>
                <w:rFonts w:ascii="宋体" w:hAnsi="宋体" w:cs="宋体" w:eastAsia="宋体" w:hint="default"/>
                <w:spacing w:val="-6"/>
                <w:w w:val="100"/>
                <w:sz w:val="21"/>
                <w:szCs w:val="21"/>
              </w:rPr>
              <w:t>日，本公司以及各投资人的本次增资价款均已全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额支付至东软望海指定的银行账户。至此，本次投资交割完成，</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本公司不再拥有对东软望海的控制权，不再将东软望海纳入公司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的合并报表范围。</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98"/>
              <w:jc w:val="left"/>
              <w:rPr>
                <w:rFonts w:ascii="宋体" w:hAnsi="宋体" w:cs="宋体" w:eastAsia="宋体" w:hint="default"/>
                <w:sz w:val="21"/>
                <w:szCs w:val="21"/>
              </w:rPr>
            </w:pPr>
            <w:r>
              <w:rPr>
                <w:rFonts w:ascii="宋体" w:hAnsi="宋体" w:cs="宋体" w:eastAsia="宋体" w:hint="default"/>
                <w:spacing w:val="10"/>
                <w:sz w:val="21"/>
                <w:szCs w:val="21"/>
              </w:rPr>
              <w:t>具体内容详见本公司于</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15</w:t>
            </w:r>
            <w:r>
              <w:rPr>
                <w:rFonts w:ascii="宋体" w:hAnsi="宋体" w:cs="宋体" w:eastAsia="宋体" w:hint="default"/>
                <w:spacing w:val="-39"/>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日刊登在《中国证券报》、</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《上海证券报》上的相关公告。</w:t>
            </w:r>
          </w:p>
        </w:tc>
      </w:tr>
    </w:tbl>
    <w:p>
      <w:pPr>
        <w:spacing w:line="240" w:lineRule="auto" w:before="13"/>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pStyle w:val="Heading4"/>
        <w:spacing w:line="240" w:lineRule="auto" w:before="56"/>
        <w:ind w:right="276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760"/>
        <w:jc w:val="left"/>
      </w:pPr>
      <w:r>
        <w:rPr/>
        <w:t>□适用</w:t>
      </w:r>
      <w:r>
        <w:rPr>
          <w:spacing w:val="-1"/>
        </w:rPr>
        <w:t> </w:t>
      </w:r>
      <w:r>
        <w:rPr/>
        <w:t>√不适用</w:t>
      </w:r>
    </w:p>
    <w:p>
      <w:pPr>
        <w:pStyle w:val="Heading4"/>
        <w:spacing w:line="240" w:lineRule="auto" w:before="56"/>
        <w:ind w:right="276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w:t>
      </w:r>
      <w:r>
        <w:rPr/>
        <w:t>三</w:t>
      </w:r>
      <w:r>
        <w:rPr>
          <w:rFonts w:ascii="宋体" w:hAnsi="宋体" w:cs="宋体" w:eastAsia="宋体" w:hint="default"/>
        </w:rPr>
        <w:t>)</w:t>
      </w:r>
      <w:r>
        <w:rPr/>
        <w:t>共同对外投资的重大关联交易</w:t>
      </w:r>
      <w:r>
        <w:rPr>
          <w:b w:val="0"/>
          <w:bCs w:val="0"/>
        </w:rPr>
      </w:r>
    </w:p>
    <w:p>
      <w:pPr>
        <w:pStyle w:val="Heading4"/>
        <w:spacing w:line="240" w:lineRule="auto" w:before="58"/>
        <w:ind w:right="276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47"/>
        <w:gridCol w:w="2703"/>
      </w:tblGrid>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34"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日召开的公司八届三次董事会审议通过了《关于</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对东软医疗产业园发展有限公司增资的议案》，董事会同意本公司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与东软医疗、东软医疗产业园发展有限公司（以下简称“医疗产业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园公司”）签订《增资协议》。根据协议约定本，公司以货币方式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认缴医疗产业园公司 </w:t>
            </w:r>
            <w:r>
              <w:rPr>
                <w:rFonts w:ascii="宋体" w:hAnsi="宋体" w:cs="宋体" w:eastAsia="宋体" w:hint="default"/>
                <w:sz w:val="21"/>
                <w:szCs w:val="21"/>
              </w:rPr>
              <w:t>10,000</w:t>
            </w:r>
            <w:r>
              <w:rPr>
                <w:rFonts w:ascii="宋体" w:hAnsi="宋体" w:cs="宋体" w:eastAsia="宋体" w:hint="default"/>
                <w:spacing w:val="-78"/>
                <w:sz w:val="21"/>
                <w:szCs w:val="21"/>
              </w:rPr>
              <w:t> </w:t>
            </w:r>
            <w:r>
              <w:rPr>
                <w:rFonts w:ascii="宋体" w:hAnsi="宋体" w:cs="宋体" w:eastAsia="宋体" w:hint="default"/>
                <w:spacing w:val="-6"/>
                <w:sz w:val="21"/>
                <w:szCs w:val="21"/>
              </w:rPr>
              <w:t>万元新增注册资本出资额，增资价格为</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5"/>
                <w:sz w:val="21"/>
                <w:szCs w:val="21"/>
              </w:rPr>
              <w:t>元</w:t>
            </w:r>
            <w:r>
              <w:rPr>
                <w:rFonts w:ascii="宋体" w:hAnsi="宋体" w:cs="宋体" w:eastAsia="宋体" w:hint="default"/>
                <w:spacing w:val="-5"/>
                <w:sz w:val="21"/>
                <w:szCs w:val="21"/>
              </w:rPr>
              <w:t>/</w:t>
            </w:r>
            <w:r>
              <w:rPr>
                <w:rFonts w:ascii="宋体" w:hAnsi="宋体" w:cs="宋体" w:eastAsia="宋体" w:hint="default"/>
                <w:spacing w:val="-5"/>
                <w:sz w:val="21"/>
                <w:szCs w:val="21"/>
              </w:rPr>
              <w:t>股（</w:t>
            </w:r>
            <w:r>
              <w:rPr>
                <w:rFonts w:ascii="宋体" w:hAnsi="宋体" w:cs="宋体" w:eastAsia="宋体" w:hint="default"/>
                <w:spacing w:val="-5"/>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股等于</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5"/>
                <w:sz w:val="21"/>
                <w:szCs w:val="21"/>
              </w:rPr>
              <w:t>元注册资本），增资总额为</w:t>
            </w:r>
            <w:r>
              <w:rPr>
                <w:rFonts w:ascii="宋体" w:hAnsi="宋体" w:cs="宋体" w:eastAsia="宋体" w:hint="default"/>
                <w:spacing w:val="-45"/>
                <w:sz w:val="21"/>
                <w:szCs w:val="21"/>
              </w:rPr>
              <w:t> </w:t>
            </w:r>
            <w:r>
              <w:rPr>
                <w:rFonts w:ascii="宋体" w:hAnsi="宋体" w:cs="宋体" w:eastAsia="宋体" w:hint="default"/>
                <w:sz w:val="21"/>
                <w:szCs w:val="21"/>
              </w:rPr>
              <w:t>10,000</w:t>
            </w:r>
            <w:r>
              <w:rPr>
                <w:rFonts w:ascii="宋体" w:hAnsi="宋体" w:cs="宋体" w:eastAsia="宋体" w:hint="default"/>
                <w:spacing w:val="-45"/>
                <w:sz w:val="21"/>
                <w:szCs w:val="21"/>
              </w:rPr>
              <w:t> </w:t>
            </w:r>
            <w:r>
              <w:rPr>
                <w:rFonts w:ascii="宋体" w:hAnsi="宋体" w:cs="宋体" w:eastAsia="宋体" w:hint="default"/>
                <w:spacing w:val="-5"/>
                <w:sz w:val="21"/>
                <w:szCs w:val="21"/>
              </w:rPr>
              <w:t>万元。本次</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增资完成后，医疗产业园公司注册资本由</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10,100</w:t>
            </w:r>
            <w:r>
              <w:rPr>
                <w:rFonts w:ascii="宋体" w:hAnsi="宋体" w:cs="宋体" w:eastAsia="宋体" w:hint="default"/>
                <w:spacing w:val="-57"/>
                <w:w w:val="100"/>
                <w:sz w:val="21"/>
                <w:szCs w:val="21"/>
              </w:rPr>
              <w:t> </w:t>
            </w:r>
            <w:r>
              <w:rPr>
                <w:rFonts w:ascii="宋体" w:hAnsi="宋体" w:cs="宋体" w:eastAsia="宋体" w:hint="default"/>
                <w:spacing w:val="-1"/>
                <w:w w:val="100"/>
                <w:sz w:val="21"/>
                <w:szCs w:val="21"/>
              </w:rPr>
              <w:t>万元变更为</w:t>
            </w:r>
            <w:r>
              <w:rPr>
                <w:rFonts w:ascii="宋体" w:hAnsi="宋体" w:cs="宋体" w:eastAsia="宋体" w:hint="default"/>
                <w:spacing w:val="-57"/>
                <w:w w:val="100"/>
                <w:sz w:val="21"/>
                <w:szCs w:val="21"/>
              </w:rPr>
              <w:t> </w:t>
            </w:r>
            <w:r>
              <w:rPr>
                <w:rFonts w:ascii="宋体" w:hAnsi="宋体" w:cs="宋体" w:eastAsia="宋体" w:hint="default"/>
                <w:spacing w:val="-1"/>
                <w:w w:val="100"/>
                <w:sz w:val="21"/>
                <w:szCs w:val="21"/>
              </w:rPr>
              <w:t>20,100</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sz w:val="21"/>
                <w:szCs w:val="21"/>
              </w:rPr>
              <w:t>万元，医疗产业园公司仍为本公司控股子公司，持股比例为</w:t>
            </w:r>
            <w:r>
              <w:rPr>
                <w:rFonts w:ascii="宋体" w:hAnsi="宋体" w:cs="宋体" w:eastAsia="宋体" w:hint="default"/>
                <w:spacing w:val="-30"/>
                <w:sz w:val="21"/>
                <w:szCs w:val="21"/>
              </w:rPr>
              <w:t> </w:t>
            </w:r>
            <w:r>
              <w:rPr>
                <w:rFonts w:ascii="宋体" w:hAnsi="宋体" w:cs="宋体" w:eastAsia="宋体" w:hint="default"/>
                <w:sz w:val="21"/>
                <w:szCs w:val="21"/>
              </w:rPr>
              <w:t>74.63%</w:t>
            </w:r>
            <w:r>
              <w:rPr>
                <w:rFonts w:ascii="宋体" w:hAnsi="宋体" w:cs="宋体" w:eastAsia="宋体" w:hint="default"/>
                <w:sz w:val="21"/>
                <w:szCs w:val="21"/>
              </w:rPr>
              <w:t>。</w:t>
            </w:r>
            <w:r>
              <w:rPr>
                <w:rFonts w:ascii="宋体" w:hAnsi="宋体" w:cs="宋体" w:eastAsia="宋体" w:hint="default"/>
                <w:spacing w:val="-96"/>
                <w:sz w:val="21"/>
                <w:szCs w:val="21"/>
              </w:rPr>
              <w:t> </w:t>
            </w:r>
            <w:r>
              <w:rPr>
                <w:rFonts w:ascii="宋体" w:hAnsi="宋体" w:cs="宋体" w:eastAsia="宋体" w:hint="default"/>
                <w:sz w:val="21"/>
                <w:szCs w:val="21"/>
              </w:rPr>
              <w:t>因东软医疗尚未实缴出资，根据医疗产业园公司章程及本公司与东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软医疗协商，双方确认东软医疗对本次增资不享有优先认缴权。</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61"/>
                <w:sz w:val="21"/>
                <w:szCs w:val="21"/>
              </w:rPr>
              <w:t> </w:t>
            </w:r>
            <w:r>
              <w:rPr>
                <w:rFonts w:ascii="宋体" w:hAnsi="宋体" w:cs="宋体" w:eastAsia="宋体" w:hint="default"/>
                <w:sz w:val="21"/>
                <w:szCs w:val="21"/>
              </w:rPr>
              <w:t>体</w:t>
            </w:r>
            <w:r>
              <w:rPr>
                <w:rFonts w:ascii="宋体" w:hAnsi="宋体" w:cs="宋体" w:eastAsia="宋体" w:hint="default"/>
                <w:spacing w:val="-65"/>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容</w:t>
            </w:r>
            <w:r>
              <w:rPr>
                <w:rFonts w:ascii="宋体" w:hAnsi="宋体" w:cs="宋体" w:eastAsia="宋体" w:hint="default"/>
                <w:spacing w:val="-65"/>
                <w:sz w:val="21"/>
                <w:szCs w:val="21"/>
              </w:rPr>
              <w:t> </w:t>
            </w:r>
            <w:r>
              <w:rPr>
                <w:rFonts w:ascii="宋体" w:hAnsi="宋体" w:cs="宋体" w:eastAsia="宋体" w:hint="default"/>
                <w:sz w:val="21"/>
                <w:szCs w:val="21"/>
              </w:rPr>
              <w:t>详</w:t>
            </w:r>
            <w:r>
              <w:rPr>
                <w:rFonts w:ascii="宋体" w:hAnsi="宋体" w:cs="宋体" w:eastAsia="宋体" w:hint="default"/>
                <w:spacing w:val="-61"/>
                <w:sz w:val="21"/>
                <w:szCs w:val="21"/>
              </w:rPr>
              <w:t> </w:t>
            </w:r>
            <w:r>
              <w:rPr>
                <w:rFonts w:ascii="宋体" w:hAnsi="宋体" w:cs="宋体" w:eastAsia="宋体" w:hint="default"/>
                <w:sz w:val="21"/>
                <w:szCs w:val="21"/>
              </w:rPr>
              <w:t>见</w:t>
            </w:r>
            <w:r>
              <w:rPr>
                <w:rFonts w:ascii="宋体" w:hAnsi="宋体" w:cs="宋体" w:eastAsia="宋体" w:hint="default"/>
                <w:spacing w:val="-65"/>
                <w:sz w:val="21"/>
                <w:szCs w:val="21"/>
              </w:rPr>
              <w:t> </w:t>
            </w: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5"/>
                <w:sz w:val="21"/>
                <w:szCs w:val="21"/>
              </w:rPr>
              <w:t> </w:t>
            </w:r>
            <w:r>
              <w:rPr>
                <w:rFonts w:ascii="宋体" w:hAnsi="宋体" w:cs="宋体" w:eastAsia="宋体" w:hint="default"/>
                <w:sz w:val="21"/>
                <w:szCs w:val="21"/>
              </w:rPr>
              <w:t>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w w:val="100"/>
                <w:sz w:val="21"/>
                <w:szCs w:val="21"/>
              </w:rPr>
              <w:t>2017</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6</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16"/>
                <w:w w:val="100"/>
                <w:sz w:val="21"/>
                <w:szCs w:val="21"/>
              </w:rPr>
              <w:t>日刊登在《中</w:t>
            </w:r>
            <w:r>
              <w:rPr>
                <w:rFonts w:ascii="宋体" w:hAnsi="宋体" w:cs="宋体" w:eastAsia="宋体" w:hint="default"/>
                <w:w w:val="100"/>
                <w:sz w:val="21"/>
                <w:szCs w:val="21"/>
              </w:rPr>
              <w:t> </w:t>
            </w:r>
            <w:r>
              <w:rPr>
                <w:rFonts w:ascii="宋体" w:hAnsi="宋体" w:cs="宋体" w:eastAsia="宋体" w:hint="default"/>
                <w:spacing w:val="-12"/>
                <w:w w:val="100"/>
                <w:sz w:val="21"/>
                <w:szCs w:val="21"/>
              </w:rPr>
              <w:t>国证券报》、《上海证券报》</w:t>
            </w:r>
            <w:r>
              <w:rPr>
                <w:rFonts w:ascii="宋体" w:hAnsi="宋体" w:cs="宋体" w:eastAsia="宋体" w:hint="default"/>
                <w:w w:val="100"/>
                <w:sz w:val="21"/>
                <w:szCs w:val="21"/>
              </w:rPr>
              <w:t> </w:t>
            </w:r>
            <w:r>
              <w:rPr>
                <w:rFonts w:ascii="宋体" w:hAnsi="宋体" w:cs="宋体" w:eastAsia="宋体" w:hint="default"/>
                <w:sz w:val="21"/>
                <w:szCs w:val="21"/>
              </w:rPr>
              <w:t>上的相关公告。</w:t>
            </w:r>
          </w:p>
        </w:tc>
      </w:tr>
    </w:tbl>
    <w:p>
      <w:pPr>
        <w:spacing w:line="240" w:lineRule="auto" w:before="13"/>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after="0" w:line="240" w:lineRule="auto"/>
        <w:jc w:val="left"/>
        <w:sectPr>
          <w:headerReference w:type="default" r:id="rId31"/>
          <w:pgSz w:w="11910" w:h="16840"/>
          <w:pgMar w:header="945" w:footer="1248" w:top="1300" w:bottom="1440" w:left="1580" w:right="1040"/>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5" w:footer="1248" w:top="1300" w:bottom="1440" w:left="1400" w:right="540"/>
        </w:sectPr>
      </w:pPr>
    </w:p>
    <w:p>
      <w:pPr>
        <w:pStyle w:val="Heading4"/>
        <w:spacing w:line="240" w:lineRule="auto" w:before="36"/>
        <w:ind w:left="39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4" w:val="left" w:leader="none"/>
        </w:tabs>
        <w:spacing w:line="240" w:lineRule="auto"/>
        <w:ind w:left="3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400" w:right="540"/>
          <w:cols w:num="2" w:equalWidth="0">
            <w:col w:w="2928" w:space="3805"/>
            <w:col w:w="323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871"/>
        <w:gridCol w:w="809"/>
        <w:gridCol w:w="807"/>
        <w:gridCol w:w="1754"/>
        <w:gridCol w:w="1116"/>
        <w:gridCol w:w="1116"/>
        <w:gridCol w:w="1136"/>
        <w:gridCol w:w="1154"/>
        <w:gridCol w:w="972"/>
      </w:tblGrid>
      <w:tr>
        <w:trPr>
          <w:trHeight w:val="1176"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7" w:right="161" w:hanging="89"/>
              <w:jc w:val="left"/>
              <w:rPr>
                <w:rFonts w:ascii="宋体" w:hAnsi="宋体" w:cs="宋体" w:eastAsia="宋体" w:hint="default"/>
                <w:sz w:val="18"/>
                <w:szCs w:val="18"/>
              </w:rPr>
            </w:pPr>
            <w:r>
              <w:rPr>
                <w:rFonts w:ascii="宋体" w:hAnsi="宋体" w:cs="宋体" w:eastAsia="宋体" w:hint="default"/>
                <w:sz w:val="18"/>
                <w:szCs w:val="18"/>
              </w:rPr>
              <w:t>共同投 资方</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8" w:right="21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7" w:right="128"/>
              <w:jc w:val="both"/>
              <w:rPr>
                <w:rFonts w:ascii="宋体" w:hAnsi="宋体" w:cs="宋体" w:eastAsia="宋体" w:hint="default"/>
                <w:sz w:val="18"/>
                <w:szCs w:val="18"/>
              </w:rPr>
            </w:pPr>
            <w:r>
              <w:rPr>
                <w:rFonts w:ascii="宋体" w:hAnsi="宋体" w:cs="宋体" w:eastAsia="宋体" w:hint="default"/>
                <w:sz w:val="18"/>
                <w:szCs w:val="18"/>
              </w:rPr>
              <w:t>被投资 企业的 名称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691" w:right="151" w:hanging="540"/>
              <w:jc w:val="left"/>
              <w:rPr>
                <w:rFonts w:ascii="宋体" w:hAnsi="宋体" w:cs="宋体" w:eastAsia="宋体" w:hint="default"/>
                <w:sz w:val="18"/>
                <w:szCs w:val="18"/>
              </w:rPr>
            </w:pPr>
            <w:r>
              <w:rPr>
                <w:rFonts w:ascii="宋体" w:hAnsi="宋体" w:cs="宋体" w:eastAsia="宋体" w:hint="default"/>
                <w:sz w:val="18"/>
                <w:szCs w:val="18"/>
              </w:rPr>
              <w:t>被投资企业的主营 业务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91" w:right="101" w:hanging="89"/>
              <w:jc w:val="left"/>
              <w:rPr>
                <w:rFonts w:ascii="宋体" w:hAnsi="宋体" w:cs="宋体" w:eastAsia="宋体" w:hint="default"/>
                <w:sz w:val="18"/>
                <w:szCs w:val="18"/>
              </w:rPr>
            </w:pPr>
            <w:r>
              <w:rPr>
                <w:rFonts w:ascii="宋体" w:hAnsi="宋体" w:cs="宋体" w:eastAsia="宋体" w:hint="default"/>
                <w:sz w:val="18"/>
                <w:szCs w:val="18"/>
              </w:rPr>
              <w:t>被投资企业 的总资产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被投资企业 的净资产</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1" w:right="122" w:hanging="92"/>
              <w:jc w:val="left"/>
              <w:rPr>
                <w:rFonts w:ascii="宋体" w:hAnsi="宋体" w:cs="宋体" w:eastAsia="宋体" w:hint="default"/>
                <w:sz w:val="18"/>
                <w:szCs w:val="18"/>
              </w:rPr>
            </w:pPr>
            <w:r>
              <w:rPr>
                <w:rFonts w:ascii="宋体" w:hAnsi="宋体" w:cs="宋体" w:eastAsia="宋体" w:hint="default"/>
                <w:sz w:val="18"/>
                <w:szCs w:val="18"/>
              </w:rPr>
              <w:t>被投资企业 的净利润</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被投资企</w:t>
            </w:r>
          </w:p>
          <w:p>
            <w:pPr>
              <w:pStyle w:val="TableParagraph"/>
              <w:spacing w:line="237" w:lineRule="auto"/>
              <w:ind w:left="119" w:right="120"/>
              <w:jc w:val="center"/>
              <w:rPr>
                <w:rFonts w:ascii="宋体" w:hAnsi="宋体" w:cs="宋体" w:eastAsia="宋体" w:hint="default"/>
                <w:sz w:val="18"/>
                <w:szCs w:val="18"/>
              </w:rPr>
            </w:pPr>
            <w:r>
              <w:rPr>
                <w:rFonts w:ascii="宋体" w:hAnsi="宋体" w:cs="宋体" w:eastAsia="宋体" w:hint="default"/>
                <w:sz w:val="18"/>
                <w:szCs w:val="18"/>
              </w:rPr>
              <w:t>业的重大 在建项目 的进展情 况</w:t>
            </w:r>
          </w:p>
        </w:tc>
      </w:tr>
      <w:tr>
        <w:trPr>
          <w:trHeight w:val="1412"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8"/>
                <w:sz w:val="18"/>
                <w:szCs w:val="18"/>
              </w:rPr>
              <w:t>辽宁东</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2" w:lineRule="exact" w:before="23"/>
              <w:ind w:left="100" w:right="45"/>
              <w:jc w:val="both"/>
              <w:rPr>
                <w:rFonts w:ascii="宋体" w:hAnsi="宋体" w:cs="宋体" w:eastAsia="宋体" w:hint="default"/>
                <w:sz w:val="18"/>
                <w:szCs w:val="18"/>
              </w:rPr>
            </w:pPr>
            <w:r>
              <w:rPr>
                <w:rFonts w:ascii="宋体" w:hAnsi="宋体" w:cs="宋体" w:eastAsia="宋体" w:hint="default"/>
                <w:spacing w:val="38"/>
                <w:sz w:val="18"/>
                <w:szCs w:val="18"/>
              </w:rPr>
              <w:t>软创业</w:t>
            </w:r>
            <w:r>
              <w:rPr>
                <w:rFonts w:ascii="宋体" w:hAnsi="宋体" w:cs="宋体" w:eastAsia="宋体" w:hint="default"/>
                <w:spacing w:val="-33"/>
                <w:sz w:val="18"/>
                <w:szCs w:val="18"/>
              </w:rPr>
              <w:t> </w:t>
            </w:r>
            <w:r>
              <w:rPr>
                <w:rFonts w:ascii="宋体" w:hAnsi="宋体" w:cs="宋体" w:eastAsia="宋体" w:hint="default"/>
                <w:spacing w:val="38"/>
                <w:sz w:val="18"/>
                <w:szCs w:val="18"/>
              </w:rPr>
              <w:t>投资有</w:t>
            </w:r>
            <w:r>
              <w:rPr>
                <w:rFonts w:ascii="宋体" w:hAnsi="宋体" w:cs="宋体" w:eastAsia="宋体" w:hint="default"/>
                <w:spacing w:val="-33"/>
                <w:sz w:val="18"/>
                <w:szCs w:val="18"/>
              </w:rPr>
              <w:t> </w:t>
            </w:r>
            <w:r>
              <w:rPr>
                <w:rFonts w:ascii="宋体" w:hAnsi="宋体" w:cs="宋体" w:eastAsia="宋体" w:hint="default"/>
                <w:sz w:val="18"/>
                <w:szCs w:val="18"/>
              </w:rPr>
              <w:t>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关联人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103" w:right="74"/>
              <w:jc w:val="both"/>
              <w:rPr>
                <w:rFonts w:ascii="宋体" w:hAnsi="宋体" w:cs="宋体" w:eastAsia="宋体" w:hint="default"/>
                <w:sz w:val="18"/>
                <w:szCs w:val="18"/>
              </w:rPr>
            </w:pPr>
            <w:r>
              <w:rPr>
                <w:rFonts w:ascii="宋体" w:hAnsi="宋体" w:cs="宋体" w:eastAsia="宋体" w:hint="default"/>
                <w:spacing w:val="17"/>
                <w:sz w:val="18"/>
                <w:szCs w:val="18"/>
              </w:rPr>
              <w:t>（与公</w:t>
            </w:r>
            <w:r>
              <w:rPr>
                <w:rFonts w:ascii="宋体" w:hAnsi="宋体" w:cs="宋体" w:eastAsia="宋体" w:hint="default"/>
                <w:spacing w:val="-64"/>
                <w:sz w:val="18"/>
                <w:szCs w:val="18"/>
              </w:rPr>
              <w:t> </w:t>
            </w:r>
            <w:r>
              <w:rPr>
                <w:rFonts w:ascii="宋体" w:hAnsi="宋体" w:cs="宋体" w:eastAsia="宋体" w:hint="default"/>
                <w:spacing w:val="17"/>
                <w:sz w:val="18"/>
                <w:szCs w:val="18"/>
              </w:rPr>
              <w:t>司同一</w:t>
            </w:r>
            <w:r>
              <w:rPr>
                <w:rFonts w:ascii="宋体" w:hAnsi="宋体" w:cs="宋体" w:eastAsia="宋体" w:hint="default"/>
                <w:spacing w:val="-64"/>
                <w:sz w:val="18"/>
                <w:szCs w:val="18"/>
              </w:rPr>
              <w:t> </w:t>
            </w:r>
            <w:r>
              <w:rPr>
                <w:rFonts w:ascii="宋体" w:hAnsi="宋体" w:cs="宋体" w:eastAsia="宋体" w:hint="default"/>
                <w:sz w:val="18"/>
                <w:szCs w:val="18"/>
              </w:rPr>
              <w:t>董</w:t>
            </w:r>
            <w:r>
              <w:rPr>
                <w:rFonts w:ascii="宋体" w:hAnsi="宋体" w:cs="宋体" w:eastAsia="宋体" w:hint="default"/>
                <w:spacing w:val="52"/>
                <w:sz w:val="18"/>
                <w:szCs w:val="18"/>
              </w:rPr>
              <w:t> </w:t>
            </w:r>
            <w:r>
              <w:rPr>
                <w:rFonts w:ascii="宋体" w:hAnsi="宋体" w:cs="宋体" w:eastAsia="宋体" w:hint="default"/>
                <w:sz w:val="18"/>
                <w:szCs w:val="18"/>
              </w:rPr>
              <w:t>事</w:t>
            </w:r>
            <w:r>
              <w:rPr>
                <w:rFonts w:ascii="宋体" w:hAnsi="宋体" w:cs="宋体" w:eastAsia="宋体" w:hint="default"/>
                <w:sz w:val="18"/>
                <w:szCs w:val="18"/>
              </w:rPr>
              <w:t> 长）</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汉朗网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tabs>
                <w:tab w:pos="513" w:val="left" w:leader="none"/>
              </w:tabs>
              <w:spacing w:line="232" w:lineRule="exact" w:before="23"/>
              <w:ind w:left="100" w:right="75"/>
              <w:jc w:val="left"/>
              <w:rPr>
                <w:rFonts w:ascii="宋体" w:hAnsi="宋体" w:cs="宋体" w:eastAsia="宋体" w:hint="default"/>
                <w:sz w:val="18"/>
                <w:szCs w:val="18"/>
              </w:rPr>
            </w:pPr>
            <w:r>
              <w:rPr>
                <w:rFonts w:ascii="宋体" w:hAnsi="宋体" w:cs="宋体" w:eastAsia="宋体" w:hint="default"/>
                <w:spacing w:val="17"/>
                <w:sz w:val="18"/>
                <w:szCs w:val="18"/>
              </w:rPr>
              <w:t>络信息</w:t>
            </w:r>
            <w:r>
              <w:rPr>
                <w:rFonts w:ascii="宋体" w:hAnsi="宋体" w:cs="宋体" w:eastAsia="宋体" w:hint="default"/>
                <w:spacing w:val="-64"/>
                <w:sz w:val="18"/>
                <w:szCs w:val="18"/>
              </w:rPr>
              <w:t> </w:t>
            </w:r>
            <w:r>
              <w:rPr>
                <w:rFonts w:ascii="宋体" w:hAnsi="宋体" w:cs="宋体" w:eastAsia="宋体" w:hint="default"/>
                <w:sz w:val="18"/>
                <w:szCs w:val="18"/>
              </w:rPr>
              <w:t>科</w:t>
              <w:tab/>
              <w:t>技</w:t>
            </w:r>
          </w:p>
          <w:p>
            <w:pPr>
              <w:pStyle w:val="TableParagraph"/>
              <w:tabs>
                <w:tab w:pos="513" w:val="left" w:leader="none"/>
              </w:tabs>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tab/>
              <w:t>北</w:t>
            </w:r>
          </w:p>
          <w:p>
            <w:pPr>
              <w:pStyle w:val="TableParagraph"/>
              <w:spacing w:line="234" w:lineRule="exact" w:before="23"/>
              <w:ind w:left="100" w:right="75"/>
              <w:jc w:val="left"/>
              <w:rPr>
                <w:rFonts w:ascii="宋体" w:hAnsi="宋体" w:cs="宋体" w:eastAsia="宋体" w:hint="default"/>
                <w:sz w:val="18"/>
                <w:szCs w:val="18"/>
              </w:rPr>
            </w:pPr>
            <w:r>
              <w:rPr>
                <w:rFonts w:ascii="宋体" w:hAnsi="宋体" w:cs="宋体" w:eastAsia="宋体" w:hint="default"/>
                <w:spacing w:val="17"/>
                <w:sz w:val="18"/>
                <w:szCs w:val="18"/>
              </w:rPr>
              <w:t>京）有</w:t>
            </w:r>
            <w:r>
              <w:rPr>
                <w:rFonts w:ascii="宋体" w:hAnsi="宋体" w:cs="宋体" w:eastAsia="宋体" w:hint="default"/>
                <w:spacing w:val="-64"/>
                <w:sz w:val="18"/>
                <w:szCs w:val="18"/>
              </w:rPr>
              <w:t> </w:t>
            </w:r>
            <w:r>
              <w:rPr>
                <w:rFonts w:ascii="宋体" w:hAnsi="宋体" w:cs="宋体" w:eastAsia="宋体" w:hint="default"/>
                <w:sz w:val="18"/>
                <w:szCs w:val="18"/>
              </w:rPr>
              <w:t>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基于电子货架标签</w:t>
            </w:r>
            <w:r>
              <w:rPr>
                <w:rFonts w:ascii="宋体" w:hAnsi="宋体" w:cs="宋体" w:eastAsia="宋体" w:hint="default"/>
                <w:sz w:val="18"/>
                <w:szCs w:val="18"/>
              </w:rPr>
            </w:r>
          </w:p>
          <w:p>
            <w:pPr>
              <w:pStyle w:val="TableParagraph"/>
              <w:spacing w:line="237" w:lineRule="auto"/>
              <w:ind w:left="103" w:right="8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ESL</w:t>
            </w:r>
            <w:r>
              <w:rPr>
                <w:rFonts w:ascii="宋体" w:hAnsi="宋体" w:cs="宋体" w:eastAsia="宋体" w:hint="default"/>
                <w:sz w:val="18"/>
                <w:szCs w:val="18"/>
              </w:rPr>
              <w:t>）为超市搭建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涵盖信息流、实物</w:t>
            </w:r>
            <w:r>
              <w:rPr>
                <w:rFonts w:ascii="宋体" w:hAnsi="宋体" w:cs="宋体" w:eastAsia="宋体" w:hint="default"/>
                <w:spacing w:val="14"/>
                <w:sz w:val="18"/>
                <w:szCs w:val="18"/>
              </w:rPr>
              <w:t> </w:t>
            </w:r>
            <w:r>
              <w:rPr>
                <w:rFonts w:ascii="宋体" w:hAnsi="宋体" w:cs="宋体" w:eastAsia="宋体" w:hint="default"/>
                <w:spacing w:val="-10"/>
                <w:sz w:val="18"/>
                <w:szCs w:val="18"/>
              </w:rPr>
              <w:t>流、管理流及面向品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牌制造商的竞拍业</w:t>
            </w:r>
            <w:r>
              <w:rPr>
                <w:rFonts w:ascii="宋体" w:hAnsi="宋体" w:cs="宋体" w:eastAsia="宋体" w:hint="default"/>
                <w:spacing w:val="14"/>
                <w:sz w:val="18"/>
                <w:szCs w:val="18"/>
              </w:rPr>
              <w:t> </w:t>
            </w:r>
            <w:r>
              <w:rPr>
                <w:rFonts w:ascii="宋体" w:hAnsi="宋体" w:cs="宋体" w:eastAsia="宋体" w:hint="default"/>
                <w:sz w:val="18"/>
                <w:szCs w:val="18"/>
              </w:rPr>
              <w:t>务一体化生态系统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12,250,000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45,737,563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0" w:right="0"/>
              <w:jc w:val="left"/>
              <w:rPr>
                <w:rFonts w:ascii="宋体" w:hAnsi="宋体" w:cs="宋体" w:eastAsia="宋体" w:hint="default"/>
                <w:sz w:val="18"/>
                <w:szCs w:val="18"/>
              </w:rPr>
            </w:pPr>
            <w:r>
              <w:rPr>
                <w:rFonts w:ascii="宋体"/>
                <w:sz w:val="18"/>
              </w:rPr>
              <w:t>32,939,552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1" w:right="0"/>
              <w:jc w:val="left"/>
              <w:rPr>
                <w:rFonts w:ascii="宋体" w:hAnsi="宋体" w:cs="宋体" w:eastAsia="宋体" w:hint="default"/>
                <w:sz w:val="18"/>
                <w:szCs w:val="18"/>
              </w:rPr>
            </w:pPr>
            <w:r>
              <w:rPr>
                <w:rFonts w:ascii="宋体"/>
                <w:sz w:val="18"/>
              </w:rPr>
              <w:t>-2,817,474</w:t>
            </w:r>
          </w:p>
        </w:tc>
        <w:tc>
          <w:tcPr>
            <w:tcW w:w="9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398" w:right="724"/>
        <w:jc w:val="left"/>
      </w:pPr>
      <w:r>
        <w:rPr/>
        <w:t>注：上述数据为汉朗网络信息科技（北京）有限公司截至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日数据。</w:t>
      </w:r>
    </w:p>
    <w:p>
      <w:pPr>
        <w:spacing w:line="240" w:lineRule="auto" w:before="8"/>
        <w:rPr>
          <w:rFonts w:ascii="宋体" w:hAnsi="宋体" w:cs="宋体" w:eastAsia="宋体" w:hint="default"/>
          <w:sz w:val="20"/>
          <w:szCs w:val="20"/>
        </w:rPr>
      </w:pPr>
    </w:p>
    <w:p>
      <w:pPr>
        <w:pStyle w:val="BodyText"/>
        <w:spacing w:line="274" w:lineRule="exact"/>
        <w:ind w:left="398" w:right="724"/>
        <w:jc w:val="left"/>
      </w:pPr>
      <w:r>
        <w:rPr/>
        <w:t>共同对外投资的重大关联交易情况说明</w:t>
      </w:r>
    </w:p>
    <w:p>
      <w:pPr>
        <w:pStyle w:val="BodyText"/>
        <w:spacing w:line="237" w:lineRule="auto" w:before="2"/>
        <w:ind w:left="398" w:right="728" w:firstLine="419"/>
        <w:jc w:val="both"/>
      </w:pPr>
      <w:r>
        <w:rPr>
          <w:rFonts w:ascii="宋体" w:hAnsi="宋体" w:cs="宋体" w:eastAsia="宋体" w:hint="default"/>
        </w:rPr>
        <w:t>2017</w:t>
      </w:r>
      <w:r>
        <w:rPr>
          <w:rFonts w:ascii="宋体" w:hAnsi="宋体" w:cs="宋体" w:eastAsia="宋体" w:hint="default"/>
          <w:spacing w:val="-38"/>
        </w:rPr>
        <w:t> </w:t>
      </w:r>
      <w:r>
        <w:rPr/>
        <w:t>年</w:t>
      </w:r>
      <w:r>
        <w:rPr>
          <w:spacing w:val="-36"/>
        </w:rPr>
        <w:t> </w:t>
      </w:r>
      <w:r>
        <w:rPr>
          <w:rFonts w:ascii="宋体" w:hAnsi="宋体" w:cs="宋体" w:eastAsia="宋体" w:hint="default"/>
        </w:rPr>
        <w:t>3</w:t>
      </w:r>
      <w:r>
        <w:rPr>
          <w:rFonts w:ascii="宋体" w:hAnsi="宋体" w:cs="宋体" w:eastAsia="宋体" w:hint="default"/>
          <w:spacing w:val="-38"/>
        </w:rPr>
        <w:t> </w:t>
      </w:r>
      <w:r>
        <w:rPr>
          <w:spacing w:val="-3"/>
        </w:rPr>
        <w:t>月，本公司与辽宁东软创业投资有限公司（以下简称“东软创投”）共同参与认购</w:t>
      </w:r>
      <w:r>
        <w:rPr>
          <w:spacing w:val="-3"/>
          <w:w w:val="100"/>
        </w:rPr>
        <w:t> </w:t>
      </w:r>
      <w:r>
        <w:rPr>
          <w:spacing w:val="-1"/>
        </w:rPr>
        <w:t>汉朗网络信息科技（北京）有限公司（以下简称“汉朗”）新增发行的注册资本额。本公司出资</w:t>
      </w:r>
      <w:r>
        <w:rPr>
          <w:spacing w:val="-54"/>
        </w:rPr>
        <w:t> </w:t>
      </w:r>
      <w:r>
        <w:rPr>
          <w:spacing w:val="-54"/>
        </w:rPr>
      </w:r>
      <w:r>
        <w:rPr>
          <w:rFonts w:ascii="宋体" w:hAnsi="宋体" w:cs="宋体" w:eastAsia="宋体" w:hint="default"/>
        </w:rPr>
        <w:t>1,500</w:t>
      </w:r>
      <w:r>
        <w:rPr>
          <w:rFonts w:ascii="宋体" w:hAnsi="宋体" w:cs="宋体" w:eastAsia="宋体" w:hint="default"/>
          <w:spacing w:val="-42"/>
        </w:rPr>
        <w:t> </w:t>
      </w:r>
      <w:r>
        <w:rPr>
          <w:spacing w:val="-3"/>
        </w:rPr>
        <w:t>万元，认购其新增发行的注册资本</w:t>
      </w:r>
      <w:r>
        <w:rPr>
          <w:spacing w:val="-39"/>
        </w:rPr>
        <w:t> </w:t>
      </w:r>
      <w:r>
        <w:rPr>
          <w:rFonts w:ascii="宋体" w:hAnsi="宋体" w:cs="宋体" w:eastAsia="宋体" w:hint="default"/>
        </w:rPr>
        <w:t>1,020,833</w:t>
      </w:r>
      <w:r>
        <w:rPr>
          <w:rFonts w:ascii="宋体" w:hAnsi="宋体" w:cs="宋体" w:eastAsia="宋体" w:hint="default"/>
          <w:spacing w:val="-42"/>
        </w:rPr>
        <w:t> </w:t>
      </w:r>
      <w:r>
        <w:rPr>
          <w:spacing w:val="-5"/>
        </w:rPr>
        <w:t>元，占汉朗（融资后）注册资本的</w:t>
      </w:r>
      <w:r>
        <w:rPr>
          <w:spacing w:val="-38"/>
        </w:rPr>
        <w:t> </w:t>
      </w:r>
      <w:r>
        <w:rPr>
          <w:rFonts w:ascii="宋体" w:hAnsi="宋体" w:cs="宋体" w:eastAsia="宋体" w:hint="default"/>
          <w:spacing w:val="-8"/>
        </w:rPr>
        <w:t>6.83%</w:t>
      </w:r>
      <w:r>
        <w:rPr>
          <w:spacing w:val="-8"/>
        </w:rPr>
        <w:t>；东</w:t>
      </w:r>
      <w:r>
        <w:rPr/>
      </w:r>
    </w:p>
    <w:p>
      <w:pPr>
        <w:pStyle w:val="BodyText"/>
        <w:spacing w:line="274" w:lineRule="exact" w:before="22"/>
        <w:ind w:left="398" w:right="724"/>
        <w:jc w:val="left"/>
      </w:pPr>
      <w:r>
        <w:rPr/>
        <w:t>软创投出资</w:t>
      </w:r>
      <w:r>
        <w:rPr>
          <w:spacing w:val="-50"/>
        </w:rPr>
        <w:t> </w:t>
      </w:r>
      <w:r>
        <w:rPr>
          <w:rFonts w:ascii="宋体" w:hAnsi="宋体" w:cs="宋体" w:eastAsia="宋体" w:hint="default"/>
        </w:rPr>
        <w:t>1,500</w:t>
      </w:r>
      <w:r>
        <w:rPr>
          <w:rFonts w:ascii="宋体" w:hAnsi="宋体" w:cs="宋体" w:eastAsia="宋体" w:hint="default"/>
          <w:spacing w:val="-53"/>
        </w:rPr>
        <w:t> </w:t>
      </w:r>
      <w:r>
        <w:rPr/>
        <w:t>万元，认购其新增发行的注册资本</w:t>
      </w:r>
      <w:r>
        <w:rPr>
          <w:spacing w:val="-50"/>
        </w:rPr>
        <w:t> </w:t>
      </w:r>
      <w:r>
        <w:rPr>
          <w:rFonts w:ascii="宋体" w:hAnsi="宋体" w:cs="宋体" w:eastAsia="宋体" w:hint="default"/>
        </w:rPr>
        <w:t>1,020,833</w:t>
      </w:r>
      <w:r>
        <w:rPr>
          <w:rFonts w:ascii="宋体" w:hAnsi="宋体" w:cs="宋体" w:eastAsia="宋体" w:hint="default"/>
          <w:spacing w:val="-53"/>
        </w:rPr>
        <w:t> </w:t>
      </w:r>
      <w:r>
        <w:rPr/>
        <w:t>元，占汉朗注册资本（融资后）</w:t>
      </w:r>
      <w:r>
        <w:rPr>
          <w:w w:val="100"/>
        </w:rPr>
        <w:t> </w:t>
      </w:r>
      <w:r>
        <w:rPr/>
        <w:t>的 </w:t>
      </w:r>
      <w:r>
        <w:rPr>
          <w:rFonts w:ascii="宋体" w:hAnsi="宋体" w:cs="宋体" w:eastAsia="宋体" w:hint="default"/>
          <w:spacing w:val="-6"/>
        </w:rPr>
        <w:t>6.83%</w:t>
      </w:r>
      <w:r>
        <w:rPr>
          <w:spacing w:val="-6"/>
        </w:rPr>
        <w:t>。上述认购款项分三期支付，截至本报告期末，本公司已支付第一期认购款项 </w:t>
      </w:r>
      <w:r>
        <w:rPr>
          <w:rFonts w:ascii="宋体" w:hAnsi="宋体" w:cs="宋体" w:eastAsia="宋体" w:hint="default"/>
        </w:rPr>
        <w:t>750</w:t>
      </w:r>
      <w:r>
        <w:rPr>
          <w:rFonts w:ascii="宋体" w:hAnsi="宋体" w:cs="宋体" w:eastAsia="宋体" w:hint="default"/>
          <w:spacing w:val="-69"/>
        </w:rPr>
        <w:t> </w:t>
      </w:r>
      <w:r>
        <w:rPr>
          <w:spacing w:val="-3"/>
        </w:rPr>
        <w:t>万元。</w:t>
      </w:r>
      <w:r>
        <w:rPr/>
      </w:r>
    </w:p>
    <w:p>
      <w:pPr>
        <w:spacing w:line="240" w:lineRule="auto" w:before="4"/>
        <w:rPr>
          <w:rFonts w:ascii="宋体" w:hAnsi="宋体" w:cs="宋体" w:eastAsia="宋体" w:hint="default"/>
          <w:sz w:val="23"/>
          <w:szCs w:val="23"/>
        </w:rPr>
      </w:pPr>
    </w:p>
    <w:p>
      <w:pPr>
        <w:pStyle w:val="Heading4"/>
        <w:spacing w:line="240" w:lineRule="auto"/>
        <w:ind w:left="398" w:right="724"/>
        <w:jc w:val="left"/>
        <w:rPr>
          <w:b w:val="0"/>
          <w:bCs w:val="0"/>
        </w:rPr>
      </w:pPr>
      <w:r>
        <w:rPr>
          <w:rFonts w:ascii="宋体" w:hAnsi="宋体" w:cs="宋体" w:eastAsia="宋体" w:hint="default"/>
        </w:rPr>
        <w:t>(</w:t>
      </w:r>
      <w:r>
        <w:rPr/>
        <w:t>四</w:t>
      </w:r>
      <w:r>
        <w:rPr>
          <w:rFonts w:ascii="宋体" w:hAnsi="宋体" w:cs="宋体" w:eastAsia="宋体" w:hint="default"/>
        </w:rPr>
        <w:t>)</w:t>
      </w:r>
      <w:r>
        <w:rPr/>
        <w:t>关联债权债务往来</w:t>
      </w:r>
      <w:r>
        <w:rPr>
          <w:b w:val="0"/>
          <w:bCs w:val="0"/>
        </w:rPr>
      </w:r>
    </w:p>
    <w:p>
      <w:pPr>
        <w:pStyle w:val="Heading4"/>
        <w:spacing w:line="240" w:lineRule="auto" w:before="56"/>
        <w:ind w:left="398" w:right="724"/>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left="398" w:right="724"/>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left="398" w:right="724"/>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240" w:val="left" w:leader="none"/>
        </w:tabs>
        <w:spacing w:line="240" w:lineRule="auto" w:before="58"/>
        <w:ind w:left="398" w:right="72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398" w:right="724"/>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398" w:right="724"/>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4"/>
        <w:spacing w:line="240" w:lineRule="auto"/>
        <w:ind w:left="398" w:right="724"/>
        <w:jc w:val="left"/>
        <w:rPr>
          <w:b w:val="0"/>
          <w:bCs w:val="0"/>
        </w:rPr>
      </w:pPr>
      <w:r>
        <w:rPr>
          <w:rFonts w:ascii="宋体" w:hAnsi="宋体" w:cs="宋体" w:eastAsia="宋体" w:hint="default"/>
        </w:rPr>
        <w:t>(</w:t>
      </w:r>
      <w:r>
        <w:rPr/>
        <w:t>五</w:t>
      </w:r>
      <w:r>
        <w:rPr>
          <w:rFonts w:ascii="宋体" w:hAnsi="宋体" w:cs="宋体" w:eastAsia="宋体" w:hint="default"/>
        </w:rPr>
        <w:t>)</w:t>
      </w:r>
      <w:r>
        <w:rPr/>
        <w:t>其他</w:t>
      </w:r>
      <w:r>
        <w:rPr>
          <w:b w:val="0"/>
          <w:bCs w:val="0"/>
        </w:rPr>
      </w:r>
    </w:p>
    <w:p>
      <w:pPr>
        <w:pStyle w:val="BodyText"/>
        <w:tabs>
          <w:tab w:pos="1240" w:val="left" w:leader="none"/>
        </w:tabs>
        <w:spacing w:line="240" w:lineRule="auto" w:before="56"/>
        <w:ind w:left="398" w:right="72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398" w:right="6807"/>
        <w:jc w:val="left"/>
        <w:rPr>
          <w:b w:val="0"/>
          <w:bCs w:val="0"/>
        </w:rPr>
      </w:pPr>
      <w:r>
        <w:rPr/>
        <w:t>十五、重大合同及其履行情况</w:t>
      </w:r>
      <w:r>
        <w:rPr>
          <w:w w:val="100"/>
        </w:rPr>
        <w:t> </w:t>
      </w:r>
      <w:r>
        <w:rPr>
          <w:rFonts w:ascii="宋体" w:hAnsi="宋体" w:cs="宋体" w:eastAsia="宋体" w:hint="default"/>
        </w:rPr>
        <w:t>(</w:t>
      </w:r>
      <w:r>
        <w:rPr/>
        <w:t>一</w:t>
      </w:r>
      <w:r>
        <w:rPr>
          <w:rFonts w:ascii="宋体" w:hAnsi="宋体" w:cs="宋体" w:eastAsia="宋体" w:hint="default"/>
        </w:rPr>
        <w:t>)</w:t>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398" w:right="72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398" w:right="724"/>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398" w:right="724"/>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40" w:lineRule="auto"/>
        <w:ind w:left="398" w:right="724"/>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398" w:right="724"/>
        <w:jc w:val="left"/>
      </w:pPr>
      <w:r>
        <w:rPr/>
        <w:t>□适用</w:t>
      </w:r>
      <w:r>
        <w:rPr>
          <w:spacing w:val="-1"/>
        </w:rPr>
        <w:t> </w:t>
      </w:r>
      <w:r>
        <w:rPr/>
        <w:t>√不适用</w:t>
      </w:r>
    </w:p>
    <w:p>
      <w:pPr>
        <w:spacing w:after="0" w:line="240" w:lineRule="auto"/>
        <w:jc w:val="left"/>
        <w:sectPr>
          <w:type w:val="continuous"/>
          <w:pgSz w:w="11910" w:h="16840"/>
          <w:pgMar w:top="1580" w:bottom="280" w:left="1400" w:right="540"/>
        </w:sectPr>
      </w:pPr>
    </w:p>
    <w:p>
      <w:pPr>
        <w:tabs>
          <w:tab w:pos="1200" w:val="left" w:leader="none"/>
        </w:tabs>
        <w:spacing w:line="260" w:lineRule="exact" w:before="0"/>
        <w:ind w:left="0" w:right="715"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w:t>
      </w:r>
      <w:r>
        <w:rPr>
          <w:rFonts w:ascii="宋体" w:hAnsi="宋体" w:cs="宋体" w:eastAsia="宋体" w:hint="default"/>
          <w:spacing w:val="-2"/>
          <w:sz w:val="20"/>
          <w:szCs w:val="20"/>
        </w:rPr>
        <w:t> </w:t>
      </w:r>
      <w:r>
        <w:rPr>
          <w:rFonts w:ascii="宋体" w:hAnsi="宋体" w:cs="宋体" w:eastAsia="宋体" w:hint="default"/>
          <w:sz w:val="20"/>
          <w:szCs w:val="20"/>
        </w:rPr>
        <w:t>万元</w:t>
        <w:tab/>
        <w:t>币种</w:t>
      </w:r>
      <w:r>
        <w:rPr>
          <w:rFonts w:ascii="宋体" w:hAnsi="宋体" w:cs="宋体" w:eastAsia="宋体" w:hint="default"/>
          <w:sz w:val="20"/>
          <w:szCs w:val="20"/>
        </w:rPr>
        <w:t>:</w:t>
      </w:r>
      <w:r>
        <w:rPr>
          <w:rFonts w:ascii="宋体" w:hAnsi="宋体" w:cs="宋体" w:eastAsia="宋体" w:hint="default"/>
          <w:spacing w:val="-3"/>
          <w:sz w:val="20"/>
          <w:szCs w:val="20"/>
        </w:rPr>
        <w:t> </w:t>
      </w:r>
      <w:r>
        <w:rPr>
          <w:rFonts w:ascii="宋体" w:hAnsi="宋体" w:cs="宋体" w:eastAsia="宋体" w:hint="default"/>
          <w:sz w:val="20"/>
          <w:szCs w:val="20"/>
        </w:rPr>
        <w:t>人民币</w:t>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3"/>
        <w:gridCol w:w="713"/>
        <w:gridCol w:w="1671"/>
        <w:gridCol w:w="734"/>
        <w:gridCol w:w="854"/>
        <w:gridCol w:w="852"/>
        <w:gridCol w:w="991"/>
        <w:gridCol w:w="850"/>
        <w:gridCol w:w="709"/>
        <w:gridCol w:w="569"/>
        <w:gridCol w:w="566"/>
        <w:gridCol w:w="571"/>
        <w:gridCol w:w="704"/>
      </w:tblGrid>
      <w:tr>
        <w:trPr>
          <w:trHeight w:val="305" w:hRule="exact"/>
        </w:trPr>
        <w:tc>
          <w:tcPr>
            <w:tcW w:w="109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454" w:right="0"/>
              <w:jc w:val="left"/>
              <w:rPr>
                <w:rFonts w:ascii="宋体" w:hAnsi="宋体" w:cs="宋体" w:eastAsia="宋体" w:hint="default"/>
                <w:sz w:val="20"/>
                <w:szCs w:val="20"/>
              </w:rPr>
            </w:pPr>
            <w:r>
              <w:rPr>
                <w:rFonts w:ascii="宋体" w:hAnsi="宋体" w:cs="宋体" w:eastAsia="宋体" w:hint="default"/>
                <w:sz w:val="20"/>
                <w:szCs w:val="20"/>
              </w:rPr>
              <w:t>公司对外担保情况（不包括对子公司的担保）</w:t>
            </w:r>
          </w:p>
        </w:tc>
      </w:tr>
      <w:tr>
        <w:trPr>
          <w:trHeight w:val="317" w:hRule="exact"/>
        </w:trPr>
        <w:tc>
          <w:tcPr>
            <w:tcW w:w="59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报告期内担保发生额合计（不包括对子公司的担保）</w:t>
            </w:r>
          </w:p>
        </w:tc>
        <w:tc>
          <w:tcPr>
            <w:tcW w:w="49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319" w:hRule="exact"/>
        </w:trPr>
        <w:tc>
          <w:tcPr>
            <w:tcW w:w="59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报告期末担保余额合计（</w:t>
            </w:r>
            <w:r>
              <w:rPr>
                <w:rFonts w:ascii="宋体" w:hAnsi="宋体" w:cs="宋体" w:eastAsia="宋体" w:hint="default"/>
                <w:sz w:val="20"/>
                <w:szCs w:val="20"/>
              </w:rPr>
              <w:t>A</w:t>
            </w:r>
            <w:r>
              <w:rPr>
                <w:rFonts w:ascii="宋体" w:hAnsi="宋体" w:cs="宋体" w:eastAsia="宋体" w:hint="default"/>
                <w:sz w:val="20"/>
                <w:szCs w:val="20"/>
              </w:rPr>
              <w:t>）（不包括对子公司的担保）</w:t>
            </w:r>
          </w:p>
        </w:tc>
        <w:tc>
          <w:tcPr>
            <w:tcW w:w="49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317" w:hRule="exact"/>
        </w:trPr>
        <w:tc>
          <w:tcPr>
            <w:tcW w:w="109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95"/>
              <w:jc w:val="center"/>
              <w:rPr>
                <w:rFonts w:ascii="宋体" w:hAnsi="宋体" w:cs="宋体" w:eastAsia="宋体" w:hint="default"/>
                <w:sz w:val="20"/>
                <w:szCs w:val="20"/>
              </w:rPr>
            </w:pPr>
            <w:r>
              <w:rPr>
                <w:rFonts w:ascii="宋体" w:hAnsi="宋体" w:cs="宋体" w:eastAsia="宋体" w:hint="default"/>
                <w:sz w:val="20"/>
                <w:szCs w:val="20"/>
              </w:rPr>
              <w:t>公司及其子公司对子公司的担保情况</w:t>
            </w:r>
          </w:p>
        </w:tc>
      </w:tr>
      <w:tr>
        <w:trPr>
          <w:trHeight w:val="156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担保方</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both"/>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37" w:lineRule="auto" w:before="1"/>
              <w:ind w:left="24" w:right="278"/>
              <w:jc w:val="both"/>
              <w:rPr>
                <w:rFonts w:ascii="宋体" w:hAnsi="宋体" w:cs="宋体" w:eastAsia="宋体" w:hint="default"/>
                <w:sz w:val="20"/>
                <w:szCs w:val="20"/>
              </w:rPr>
            </w:pPr>
            <w:r>
              <w:rPr>
                <w:rFonts w:ascii="宋体" w:hAnsi="宋体" w:cs="宋体" w:eastAsia="宋体" w:hint="default"/>
                <w:sz w:val="20"/>
                <w:szCs w:val="20"/>
              </w:rPr>
              <w:t>方与</w:t>
            </w:r>
            <w:r>
              <w:rPr>
                <w:rFonts w:ascii="宋体" w:hAnsi="宋体" w:cs="宋体" w:eastAsia="宋体" w:hint="default"/>
                <w:w w:val="99"/>
                <w:sz w:val="20"/>
                <w:szCs w:val="20"/>
              </w:rPr>
              <w:t> </w:t>
            </w:r>
            <w:r>
              <w:rPr>
                <w:rFonts w:ascii="宋体" w:hAnsi="宋体" w:cs="宋体" w:eastAsia="宋体" w:hint="default"/>
                <w:sz w:val="20"/>
                <w:szCs w:val="20"/>
              </w:rPr>
              <w:t>上市</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w w:val="99"/>
                <w:sz w:val="20"/>
                <w:szCs w:val="20"/>
              </w:rPr>
              <w:t> </w:t>
            </w:r>
            <w:r>
              <w:rPr>
                <w:rFonts w:ascii="宋体" w:hAnsi="宋体" w:cs="宋体" w:eastAsia="宋体" w:hint="default"/>
                <w:sz w:val="20"/>
                <w:szCs w:val="20"/>
              </w:rPr>
              <w:t>的关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被担保方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3" w:right="30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26" w:right="218"/>
              <w:jc w:val="left"/>
              <w:rPr>
                <w:rFonts w:ascii="宋体" w:hAnsi="宋体" w:cs="宋体" w:eastAsia="宋体" w:hint="default"/>
                <w:sz w:val="20"/>
                <w:szCs w:val="20"/>
              </w:rPr>
            </w:pPr>
            <w:r>
              <w:rPr>
                <w:rFonts w:ascii="宋体" w:hAnsi="宋体" w:cs="宋体" w:eastAsia="宋体" w:hint="default"/>
                <w:sz w:val="20"/>
                <w:szCs w:val="20"/>
              </w:rPr>
              <w:t>担保发</w:t>
            </w:r>
            <w:r>
              <w:rPr>
                <w:rFonts w:ascii="宋体" w:hAnsi="宋体" w:cs="宋体" w:eastAsia="宋体" w:hint="default"/>
                <w:w w:val="99"/>
                <w:sz w:val="20"/>
                <w:szCs w:val="20"/>
              </w:rPr>
              <w:t> </w:t>
            </w:r>
            <w:r>
              <w:rPr>
                <w:rFonts w:ascii="宋体" w:hAnsi="宋体" w:cs="宋体" w:eastAsia="宋体" w:hint="default"/>
                <w:sz w:val="20"/>
                <w:szCs w:val="20"/>
              </w:rPr>
              <w:t>生日期</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协议</w:t>
            </w:r>
            <w:r>
              <w:rPr>
                <w:rFonts w:ascii="宋体" w:hAnsi="宋体" w:cs="宋体" w:eastAsia="宋体" w:hint="default"/>
                <w:w w:val="99"/>
                <w:sz w:val="20"/>
                <w:szCs w:val="20"/>
              </w:rPr>
              <w:t> </w:t>
            </w:r>
            <w:r>
              <w:rPr>
                <w:rFonts w:ascii="宋体" w:hAnsi="宋体" w:cs="宋体" w:eastAsia="宋体" w:hint="default"/>
                <w:sz w:val="20"/>
                <w:szCs w:val="20"/>
              </w:rPr>
              <w:t>签署</w:t>
            </w:r>
            <w:r>
              <w:rPr>
                <w:rFonts w:ascii="宋体" w:hAnsi="宋体" w:cs="宋体" w:eastAsia="宋体" w:hint="default"/>
                <w:w w:val="99"/>
                <w:sz w:val="20"/>
                <w:szCs w:val="20"/>
              </w:rPr>
              <w:t> </w:t>
            </w:r>
            <w:r>
              <w:rPr>
                <w:rFonts w:ascii="宋体" w:hAnsi="宋体" w:cs="宋体" w:eastAsia="宋体" w:hint="default"/>
                <w:sz w:val="20"/>
                <w:szCs w:val="20"/>
              </w:rPr>
              <w:t>日</w:t>
            </w:r>
            <w:r>
              <w:rPr>
                <w:rFonts w:ascii="宋体" w:hAnsi="宋体" w:cs="宋体" w:eastAsia="宋体" w:hint="default"/>
                <w:sz w:val="20"/>
                <w:szCs w:val="20"/>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3" w:right="219"/>
              <w:jc w:val="left"/>
              <w:rPr>
                <w:rFonts w:ascii="宋体" w:hAnsi="宋体" w:cs="宋体" w:eastAsia="宋体" w:hint="default"/>
                <w:sz w:val="20"/>
                <w:szCs w:val="20"/>
              </w:rPr>
            </w:pPr>
            <w:r>
              <w:rPr>
                <w:rFonts w:ascii="宋体" w:hAnsi="宋体" w:cs="宋体" w:eastAsia="宋体" w:hint="default"/>
                <w:sz w:val="20"/>
                <w:szCs w:val="20"/>
              </w:rPr>
              <w:t>担保起</w:t>
            </w:r>
            <w:r>
              <w:rPr>
                <w:rFonts w:ascii="宋体" w:hAnsi="宋体" w:cs="宋体" w:eastAsia="宋体" w:hint="default"/>
                <w:w w:val="99"/>
                <w:sz w:val="20"/>
                <w:szCs w:val="20"/>
              </w:rPr>
              <w:t> </w:t>
            </w:r>
            <w:r>
              <w:rPr>
                <w:rFonts w:ascii="宋体" w:hAnsi="宋体" w:cs="宋体" w:eastAsia="宋体" w:hint="default"/>
                <w:sz w:val="20"/>
                <w:szCs w:val="20"/>
              </w:rPr>
              <w:t>始日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3" w:right="158"/>
              <w:jc w:val="left"/>
              <w:rPr>
                <w:rFonts w:ascii="宋体" w:hAnsi="宋体" w:cs="宋体" w:eastAsia="宋体" w:hint="default"/>
                <w:sz w:val="20"/>
                <w:szCs w:val="20"/>
              </w:rPr>
            </w:pPr>
            <w:r>
              <w:rPr>
                <w:rFonts w:ascii="宋体" w:hAnsi="宋体" w:cs="宋体" w:eastAsia="宋体" w:hint="default"/>
                <w:sz w:val="20"/>
                <w:szCs w:val="20"/>
              </w:rPr>
              <w:t>担保到期</w:t>
            </w:r>
            <w:r>
              <w:rPr>
                <w:rFonts w:ascii="宋体" w:hAnsi="宋体" w:cs="宋体" w:eastAsia="宋体" w:hint="default"/>
                <w:w w:val="99"/>
                <w:sz w:val="20"/>
                <w:szCs w:val="20"/>
              </w:rPr>
              <w:t> </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3" w:right="216"/>
              <w:jc w:val="left"/>
              <w:rPr>
                <w:rFonts w:ascii="宋体" w:hAnsi="宋体" w:cs="宋体" w:eastAsia="宋体" w:hint="default"/>
                <w:sz w:val="20"/>
                <w:szCs w:val="20"/>
              </w:rPr>
            </w:pPr>
            <w:r>
              <w:rPr>
                <w:rFonts w:ascii="宋体" w:hAnsi="宋体" w:cs="宋体" w:eastAsia="宋体" w:hint="default"/>
                <w:sz w:val="20"/>
                <w:szCs w:val="20"/>
              </w:rPr>
              <w:t>担保类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26" w:right="272"/>
              <w:jc w:val="both"/>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已经</w:t>
            </w:r>
            <w:r>
              <w:rPr>
                <w:rFonts w:ascii="宋体" w:hAnsi="宋体" w:cs="宋体" w:eastAsia="宋体" w:hint="default"/>
                <w:w w:val="99"/>
                <w:sz w:val="20"/>
                <w:szCs w:val="20"/>
              </w:rPr>
              <w:t> </w:t>
            </w:r>
            <w:r>
              <w:rPr>
                <w:rFonts w:ascii="宋体" w:hAnsi="宋体" w:cs="宋体" w:eastAsia="宋体" w:hint="default"/>
                <w:sz w:val="20"/>
                <w:szCs w:val="20"/>
              </w:rPr>
              <w:t>履行</w:t>
            </w:r>
            <w:r>
              <w:rPr>
                <w:rFonts w:ascii="宋体" w:hAnsi="宋体" w:cs="宋体" w:eastAsia="宋体" w:hint="default"/>
                <w:w w:val="99"/>
                <w:sz w:val="20"/>
                <w:szCs w:val="20"/>
              </w:rPr>
              <w:t> </w:t>
            </w:r>
            <w:r>
              <w:rPr>
                <w:rFonts w:ascii="宋体" w:hAnsi="宋体" w:cs="宋体" w:eastAsia="宋体" w:hint="default"/>
                <w:sz w:val="20"/>
                <w:szCs w:val="20"/>
              </w:rPr>
              <w:t>完毕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24" w:right="134"/>
              <w:jc w:val="both"/>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逾期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24" w:right="132"/>
              <w:jc w:val="both"/>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逾期</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23" w:right="137"/>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99"/>
                <w:sz w:val="20"/>
                <w:szCs w:val="20"/>
              </w:rPr>
              <w:t> </w:t>
            </w:r>
            <w:r>
              <w:rPr>
                <w:rFonts w:ascii="宋体" w:hAnsi="宋体" w:cs="宋体" w:eastAsia="宋体" w:hint="default"/>
                <w:sz w:val="20"/>
                <w:szCs w:val="20"/>
              </w:rPr>
              <w:t>存在</w:t>
            </w:r>
            <w:r>
              <w:rPr>
                <w:rFonts w:ascii="宋体" w:hAnsi="宋体" w:cs="宋体" w:eastAsia="宋体" w:hint="default"/>
                <w:w w:val="99"/>
                <w:sz w:val="20"/>
                <w:szCs w:val="20"/>
              </w:rPr>
              <w:t> </w:t>
            </w:r>
            <w:r>
              <w:rPr>
                <w:rFonts w:ascii="宋体" w:hAnsi="宋体" w:cs="宋体" w:eastAsia="宋体" w:hint="default"/>
                <w:sz w:val="20"/>
                <w:szCs w:val="20"/>
              </w:rPr>
              <w:t>反担</w:t>
            </w:r>
            <w:r>
              <w:rPr>
                <w:rFonts w:ascii="宋体" w:hAnsi="宋体" w:cs="宋体" w:eastAsia="宋体" w:hint="default"/>
                <w:w w:val="99"/>
                <w:sz w:val="20"/>
                <w:szCs w:val="20"/>
              </w:rPr>
              <w:t> </w:t>
            </w:r>
            <w:r>
              <w:rPr>
                <w:rFonts w:ascii="宋体" w:hAnsi="宋体" w:cs="宋体" w:eastAsia="宋体" w:hint="default"/>
                <w:sz w:val="20"/>
                <w:szCs w:val="20"/>
              </w:rPr>
              <w:t>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98" w:right="195"/>
              <w:jc w:val="both"/>
              <w:rPr>
                <w:rFonts w:ascii="宋体" w:hAnsi="宋体" w:cs="宋体" w:eastAsia="宋体" w:hint="default"/>
                <w:sz w:val="20"/>
                <w:szCs w:val="20"/>
              </w:rPr>
            </w:pPr>
            <w:r>
              <w:rPr>
                <w:rFonts w:ascii="宋体" w:hAnsi="宋体" w:cs="宋体" w:eastAsia="宋体" w:hint="default"/>
                <w:sz w:val="20"/>
                <w:szCs w:val="20"/>
              </w:rPr>
              <w:t>与本</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w w:val="99"/>
                <w:sz w:val="20"/>
                <w:szCs w:val="20"/>
              </w:rPr>
              <w:t> </w:t>
            </w:r>
            <w:r>
              <w:rPr>
                <w:rFonts w:ascii="宋体" w:hAnsi="宋体" w:cs="宋体" w:eastAsia="宋体" w:hint="default"/>
                <w:sz w:val="20"/>
                <w:szCs w:val="20"/>
              </w:rPr>
              <w:t>关系</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200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2</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17</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2</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17</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2017</w:t>
            </w:r>
            <w:r>
              <w:rPr>
                <w:rFonts w:ascii="宋体" w:hAnsi="宋体" w:cs="宋体" w:eastAsia="宋体" w:hint="default"/>
                <w:spacing w:val="4"/>
                <w:sz w:val="20"/>
                <w:szCs w:val="20"/>
              </w:rPr>
              <w:t>年</w:t>
            </w:r>
            <w:r>
              <w:rPr>
                <w:rFonts w:ascii="宋体" w:hAnsi="宋体" w:cs="宋体" w:eastAsia="宋体" w:hint="default"/>
                <w:spacing w:val="4"/>
                <w:sz w:val="20"/>
                <w:szCs w:val="20"/>
              </w:rPr>
              <w:t>3</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16</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03" w:right="119"/>
              <w:jc w:val="left"/>
              <w:rPr>
                <w:rFonts w:ascii="宋体" w:hAnsi="宋体" w:cs="宋体" w:eastAsia="宋体" w:hint="default"/>
                <w:sz w:val="20"/>
                <w:szCs w:val="20"/>
              </w:rPr>
            </w:pPr>
            <w:r>
              <w:rPr>
                <w:rFonts w:ascii="宋体" w:hAnsi="宋体" w:cs="宋体" w:eastAsia="宋体" w:hint="default"/>
                <w:sz w:val="20"/>
                <w:szCs w:val="20"/>
              </w:rPr>
              <w:t>50</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2</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24</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2</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24</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2017</w:t>
            </w:r>
            <w:r>
              <w:rPr>
                <w:rFonts w:ascii="宋体" w:hAnsi="宋体" w:cs="宋体" w:eastAsia="宋体" w:hint="default"/>
                <w:spacing w:val="4"/>
                <w:sz w:val="20"/>
                <w:szCs w:val="20"/>
              </w:rPr>
              <w:t>年</w:t>
            </w:r>
            <w:r>
              <w:rPr>
                <w:rFonts w:ascii="宋体" w:hAnsi="宋体" w:cs="宋体" w:eastAsia="宋体" w:hint="default"/>
                <w:spacing w:val="4"/>
                <w:sz w:val="20"/>
                <w:szCs w:val="20"/>
              </w:rPr>
              <w:t>3</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5"/>
                <w:sz w:val="20"/>
                <w:szCs w:val="20"/>
              </w:rPr>
              <w:t> </w:t>
            </w:r>
            <w:r>
              <w:rPr>
                <w:rFonts w:ascii="宋体" w:hAnsi="宋体" w:cs="宋体" w:eastAsia="宋体" w:hint="default"/>
                <w:sz w:val="20"/>
                <w:szCs w:val="20"/>
              </w:rPr>
              <w:t>年</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11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宋体" w:hAnsi="宋体" w:cs="宋体" w:eastAsia="宋体" w:hint="default"/>
                <w:sz w:val="20"/>
                <w:szCs w:val="20"/>
              </w:rPr>
              <w:t>25</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1"/>
                <w:sz w:val="20"/>
                <w:szCs w:val="20"/>
              </w:rPr>
              <w:t> </w:t>
            </w:r>
            <w:r>
              <w:rPr>
                <w:rFonts w:ascii="宋体" w:hAnsi="宋体" w:cs="宋体" w:eastAsia="宋体" w:hint="default"/>
                <w:sz w:val="20"/>
                <w:szCs w:val="20"/>
              </w:rPr>
              <w:t>年</w:t>
            </w:r>
          </w:p>
          <w:p>
            <w:pPr>
              <w:pStyle w:val="TableParagraph"/>
              <w:spacing w:line="259" w:lineRule="exact"/>
              <w:ind w:left="23" w:right="0"/>
              <w:jc w:val="left"/>
              <w:rPr>
                <w:rFonts w:ascii="宋体" w:hAnsi="宋体" w:cs="宋体" w:eastAsia="宋体" w:hint="default"/>
                <w:sz w:val="20"/>
                <w:szCs w:val="20"/>
              </w:rPr>
            </w:pPr>
            <w:r>
              <w:rPr>
                <w:rFonts w:ascii="宋体" w:hAnsi="宋体" w:cs="宋体" w:eastAsia="宋体" w:hint="default"/>
                <w:sz w:val="20"/>
                <w:szCs w:val="20"/>
              </w:rPr>
              <w:t>11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宋体" w:hAnsi="宋体" w:cs="宋体" w:eastAsia="宋体" w:hint="default"/>
                <w:sz w:val="20"/>
                <w:szCs w:val="20"/>
              </w:rPr>
              <w:t>25</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宋体" w:hAnsi="宋体" w:cs="宋体" w:eastAsia="宋体" w:hint="default"/>
                <w:sz w:val="20"/>
                <w:szCs w:val="20"/>
              </w:rPr>
              <w:t>12</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27</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z w:val="20"/>
                <w:szCs w:val="20"/>
              </w:rPr>
              <w:t>万</w:t>
            </w:r>
          </w:p>
          <w:p>
            <w:pPr>
              <w:pStyle w:val="TableParagraph"/>
              <w:spacing w:line="261"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5"/>
                <w:sz w:val="20"/>
                <w:szCs w:val="20"/>
              </w:rPr>
              <w:t> </w:t>
            </w:r>
            <w:r>
              <w:rPr>
                <w:rFonts w:ascii="宋体" w:hAnsi="宋体" w:cs="宋体" w:eastAsia="宋体" w:hint="default"/>
                <w:sz w:val="20"/>
                <w:szCs w:val="20"/>
              </w:rPr>
              <w:t>年</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11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宋体" w:hAnsi="宋体" w:cs="宋体" w:eastAsia="宋体" w:hint="default"/>
                <w:sz w:val="20"/>
                <w:szCs w:val="20"/>
              </w:rPr>
              <w:t>28</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1"/>
                <w:sz w:val="20"/>
                <w:szCs w:val="20"/>
              </w:rPr>
              <w:t> </w:t>
            </w:r>
            <w:r>
              <w:rPr>
                <w:rFonts w:ascii="宋体" w:hAnsi="宋体" w:cs="宋体" w:eastAsia="宋体" w:hint="default"/>
                <w:sz w:val="20"/>
                <w:szCs w:val="20"/>
              </w:rPr>
              <w:t>年</w:t>
            </w:r>
          </w:p>
          <w:p>
            <w:pPr>
              <w:pStyle w:val="TableParagraph"/>
              <w:spacing w:line="259" w:lineRule="exact"/>
              <w:ind w:left="23" w:right="0"/>
              <w:jc w:val="left"/>
              <w:rPr>
                <w:rFonts w:ascii="宋体" w:hAnsi="宋体" w:cs="宋体" w:eastAsia="宋体" w:hint="default"/>
                <w:sz w:val="20"/>
                <w:szCs w:val="20"/>
              </w:rPr>
            </w:pPr>
            <w:r>
              <w:rPr>
                <w:rFonts w:ascii="宋体" w:hAnsi="宋体" w:cs="宋体" w:eastAsia="宋体" w:hint="default"/>
                <w:sz w:val="20"/>
                <w:szCs w:val="20"/>
              </w:rPr>
              <w:t>11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宋体" w:hAnsi="宋体" w:cs="宋体" w:eastAsia="宋体" w:hint="default"/>
                <w:sz w:val="20"/>
                <w:szCs w:val="20"/>
              </w:rPr>
              <w:t>28</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宋体" w:hAnsi="宋体" w:cs="宋体" w:eastAsia="宋体" w:hint="default"/>
                <w:sz w:val="20"/>
                <w:szCs w:val="20"/>
              </w:rPr>
              <w:t>12</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27</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203" w:right="119"/>
              <w:jc w:val="left"/>
              <w:rPr>
                <w:rFonts w:ascii="宋体" w:hAnsi="宋体" w:cs="宋体" w:eastAsia="宋体" w:hint="default"/>
                <w:sz w:val="20"/>
                <w:szCs w:val="20"/>
              </w:rPr>
            </w:pPr>
            <w:r>
              <w:rPr>
                <w:rFonts w:ascii="宋体" w:hAnsi="宋体" w:cs="宋体" w:eastAsia="宋体" w:hint="default"/>
                <w:sz w:val="20"/>
                <w:szCs w:val="20"/>
              </w:rPr>
              <w:t>50</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5</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5</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5</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8</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24</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8</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24</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2</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26</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200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9</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22</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9</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22</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3</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21</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sz w:val="20"/>
              </w:rPr>
              <w:t>Neusoft</w:t>
            </w:r>
          </w:p>
          <w:p>
            <w:pPr>
              <w:pStyle w:val="TableParagraph"/>
              <w:spacing w:line="240" w:lineRule="auto"/>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105" w:right="0"/>
              <w:jc w:val="left"/>
              <w:rPr>
                <w:rFonts w:ascii="宋体" w:hAnsi="宋体" w:cs="宋体" w:eastAsia="宋体" w:hint="default"/>
                <w:sz w:val="20"/>
                <w:szCs w:val="20"/>
              </w:rPr>
            </w:pPr>
            <w:r>
              <w:rPr>
                <w:rFonts w:ascii="宋体" w:hAnsi="宋体" w:cs="宋体" w:eastAsia="宋体" w:hint="default"/>
                <w:sz w:val="20"/>
                <w:szCs w:val="20"/>
              </w:rPr>
              <w:t>150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9</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26</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9</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z w:val="20"/>
                <w:szCs w:val="20"/>
              </w:rPr>
              <w:t>26</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0"/>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3</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26</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sz w:val="20"/>
              </w:rPr>
              <w:t>Neusoft</w:t>
            </w:r>
          </w:p>
          <w:p>
            <w:pPr>
              <w:pStyle w:val="TableParagraph"/>
              <w:spacing w:line="260" w:lineRule="exact" w:before="24"/>
              <w:ind w:left="23" w:right="236"/>
              <w:jc w:val="left"/>
              <w:rPr>
                <w:rFonts w:ascii="宋体" w:hAnsi="宋体" w:cs="宋体" w:eastAsia="宋体" w:hint="default"/>
                <w:sz w:val="20"/>
                <w:szCs w:val="20"/>
              </w:rPr>
            </w:pPr>
            <w:r>
              <w:rPr>
                <w:rFonts w:ascii="宋体"/>
                <w:sz w:val="20"/>
              </w:rPr>
              <w:t>Technology</w:t>
            </w:r>
            <w:r>
              <w:rPr>
                <w:rFonts w:ascii="宋体"/>
                <w:w w:val="99"/>
                <w:sz w:val="20"/>
              </w:rPr>
              <w:t> </w:t>
            </w:r>
            <w:r>
              <w:rPr>
                <w:rFonts w:ascii="宋体"/>
                <w:sz w:val="20"/>
              </w:rPr>
              <w:t>Solutions</w:t>
            </w:r>
            <w:r>
              <w:rPr>
                <w:rFonts w:ascii="宋体"/>
                <w:spacing w:val="-5"/>
                <w:sz w:val="20"/>
              </w:rPr>
              <w:t> </w:t>
            </w:r>
            <w:r>
              <w:rPr>
                <w:rFonts w:ascii="宋体"/>
                <w:sz w:val="20"/>
              </w:rPr>
              <w:t>GmbH</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200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5"/>
                <w:sz w:val="20"/>
                <w:szCs w:val="20"/>
              </w:rPr>
              <w:t> </w:t>
            </w:r>
            <w:r>
              <w:rPr>
                <w:rFonts w:ascii="宋体" w:hAnsi="宋体" w:cs="宋体" w:eastAsia="宋体" w:hint="default"/>
                <w:sz w:val="20"/>
                <w:szCs w:val="20"/>
              </w:rPr>
              <w:t>年</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9</w:t>
            </w:r>
            <w:r>
              <w:rPr>
                <w:rFonts w:ascii="宋体" w:hAnsi="宋体" w:cs="宋体" w:eastAsia="宋体" w:hint="default"/>
                <w:sz w:val="20"/>
                <w:szCs w:val="20"/>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1"/>
                <w:sz w:val="20"/>
                <w:szCs w:val="20"/>
              </w:rPr>
              <w:t> </w:t>
            </w:r>
            <w:r>
              <w:rPr>
                <w:rFonts w:ascii="宋体" w:hAnsi="宋体" w:cs="宋体" w:eastAsia="宋体" w:hint="default"/>
                <w:sz w:val="20"/>
                <w:szCs w:val="20"/>
              </w:rPr>
              <w:t>年</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9</w:t>
            </w:r>
            <w:r>
              <w:rPr>
                <w:rFonts w:ascii="宋体" w:hAnsi="宋体" w:cs="宋体" w:eastAsia="宋体" w:hint="default"/>
                <w:sz w:val="20"/>
                <w:szCs w:val="20"/>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1</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8</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9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22"/>
              <w:jc w:val="left"/>
              <w:rPr>
                <w:rFonts w:ascii="宋体" w:hAnsi="宋体" w:cs="宋体" w:eastAsia="宋体" w:hint="default"/>
                <w:sz w:val="20"/>
                <w:szCs w:val="20"/>
              </w:rPr>
            </w:pPr>
            <w:r>
              <w:rPr>
                <w:rFonts w:ascii="宋体" w:hAnsi="宋体" w:cs="宋体" w:eastAsia="宋体" w:hint="default"/>
                <w:sz w:val="20"/>
                <w:szCs w:val="20"/>
              </w:rPr>
              <w:t>东软（香港）有限</w:t>
            </w:r>
            <w:r>
              <w:rPr>
                <w:rFonts w:ascii="宋体" w:hAnsi="宋体" w:cs="宋体" w:eastAsia="宋体" w:hint="default"/>
                <w:spacing w:val="-91"/>
                <w:sz w:val="20"/>
                <w:szCs w:val="20"/>
              </w:rPr>
              <w:t> </w:t>
            </w:r>
            <w:r>
              <w:rPr>
                <w:rFonts w:ascii="宋体" w:hAnsi="宋体" w:cs="宋体" w:eastAsia="宋体" w:hint="default"/>
                <w:sz w:val="20"/>
                <w:szCs w:val="20"/>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800</w:t>
            </w:r>
            <w:r>
              <w:rPr>
                <w:rFonts w:ascii="宋体" w:hAnsi="宋体" w:cs="宋体" w:eastAsia="宋体" w:hint="default"/>
                <w:sz w:val="20"/>
                <w:szCs w:val="20"/>
              </w:rPr>
              <w:t>万</w:t>
            </w:r>
          </w:p>
          <w:p>
            <w:pPr>
              <w:pStyle w:val="TableParagraph"/>
              <w:spacing w:line="240" w:lineRule="auto"/>
              <w:ind w:left="20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5"/>
                <w:sz w:val="20"/>
                <w:szCs w:val="20"/>
              </w:rPr>
              <w:t> </w:t>
            </w:r>
            <w:r>
              <w:rPr>
                <w:rFonts w:ascii="宋体" w:hAnsi="宋体" w:cs="宋体" w:eastAsia="宋体" w:hint="default"/>
                <w:sz w:val="20"/>
                <w:szCs w:val="20"/>
              </w:rPr>
              <w:t>年</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12 </w:t>
            </w:r>
            <w:r>
              <w:rPr>
                <w:rFonts w:ascii="宋体" w:hAnsi="宋体" w:cs="宋体" w:eastAsia="宋体" w:hint="default"/>
                <w:sz w:val="20"/>
                <w:szCs w:val="20"/>
              </w:rPr>
              <w:t>月</w:t>
            </w:r>
            <w:r>
              <w:rPr>
                <w:rFonts w:ascii="宋体" w:hAnsi="宋体" w:cs="宋体" w:eastAsia="宋体" w:hint="default"/>
                <w:spacing w:val="-7"/>
                <w:sz w:val="20"/>
                <w:szCs w:val="20"/>
              </w:rPr>
              <w:t> </w:t>
            </w:r>
            <w:r>
              <w:rPr>
                <w:rFonts w:ascii="宋体" w:hAnsi="宋体" w:cs="宋体" w:eastAsia="宋体" w:hint="default"/>
                <w:sz w:val="20"/>
                <w:szCs w:val="20"/>
              </w:rPr>
              <w:t>11</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1"/>
                <w:sz w:val="20"/>
                <w:szCs w:val="20"/>
              </w:rPr>
              <w:t> </w:t>
            </w:r>
            <w:r>
              <w:rPr>
                <w:rFonts w:ascii="宋体" w:hAnsi="宋体" w:cs="宋体" w:eastAsia="宋体" w:hint="default"/>
                <w:sz w:val="20"/>
                <w:szCs w:val="20"/>
              </w:rPr>
              <w:t>年</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12 </w:t>
            </w:r>
            <w:r>
              <w:rPr>
                <w:rFonts w:ascii="宋体" w:hAnsi="宋体" w:cs="宋体" w:eastAsia="宋体" w:hint="default"/>
                <w:sz w:val="20"/>
                <w:szCs w:val="20"/>
              </w:rPr>
              <w:t>月</w:t>
            </w:r>
            <w:r>
              <w:rPr>
                <w:rFonts w:ascii="宋体" w:hAnsi="宋体" w:cs="宋体" w:eastAsia="宋体" w:hint="default"/>
                <w:spacing w:val="-7"/>
                <w:sz w:val="20"/>
                <w:szCs w:val="20"/>
              </w:rPr>
              <w:t> </w:t>
            </w:r>
            <w:r>
              <w:rPr>
                <w:rFonts w:ascii="宋体" w:hAnsi="宋体" w:cs="宋体" w:eastAsia="宋体" w:hint="default"/>
                <w:sz w:val="20"/>
                <w:szCs w:val="20"/>
              </w:rPr>
              <w:t>11</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1</w:t>
            </w:r>
            <w:r>
              <w:rPr>
                <w:rFonts w:ascii="宋体" w:hAnsi="宋体" w:cs="宋体" w:eastAsia="宋体" w:hint="default"/>
                <w:spacing w:val="4"/>
                <w:sz w:val="20"/>
                <w:szCs w:val="20"/>
              </w:rPr>
              <w:t>月</w:t>
            </w: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7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6" w:right="25"/>
              <w:jc w:val="left"/>
              <w:rPr>
                <w:rFonts w:ascii="宋体" w:hAnsi="宋体" w:cs="宋体" w:eastAsia="宋体" w:hint="default"/>
                <w:sz w:val="20"/>
                <w:szCs w:val="20"/>
              </w:rPr>
            </w:pPr>
            <w:r>
              <w:rPr>
                <w:rFonts w:ascii="宋体" w:hAnsi="宋体" w:cs="宋体" w:eastAsia="宋体" w:hint="default"/>
                <w:spacing w:val="14"/>
                <w:sz w:val="20"/>
                <w:szCs w:val="20"/>
              </w:rPr>
              <w:t>东软集团股</w:t>
            </w:r>
            <w:r>
              <w:rPr>
                <w:rFonts w:ascii="宋体" w:hAnsi="宋体" w:cs="宋体" w:eastAsia="宋体" w:hint="default"/>
                <w:w w:val="99"/>
                <w:sz w:val="20"/>
                <w:szCs w:val="20"/>
              </w:rPr>
              <w:t> </w:t>
            </w:r>
            <w:r>
              <w:rPr>
                <w:rFonts w:ascii="宋体" w:hAnsi="宋体" w:cs="宋体" w:eastAsia="宋体" w:hint="default"/>
                <w:sz w:val="20"/>
                <w:szCs w:val="20"/>
              </w:rPr>
              <w:t>份有限公司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4" w:right="0"/>
              <w:jc w:val="left"/>
              <w:rPr>
                <w:rFonts w:ascii="宋体" w:hAnsi="宋体" w:cs="宋体" w:eastAsia="宋体" w:hint="default"/>
                <w:sz w:val="20"/>
                <w:szCs w:val="20"/>
              </w:rPr>
            </w:pPr>
            <w:r>
              <w:rPr>
                <w:rFonts w:ascii="宋体" w:hAnsi="宋体" w:cs="宋体" w:eastAsia="宋体" w:hint="default"/>
                <w:spacing w:val="17"/>
                <w:sz w:val="20"/>
                <w:szCs w:val="20"/>
              </w:rPr>
              <w:t>公司本</w:t>
            </w:r>
            <w:r>
              <w:rPr>
                <w:rFonts w:ascii="宋体" w:hAnsi="宋体" w:cs="宋体" w:eastAsia="宋体" w:hint="default"/>
                <w:spacing w:val="-74"/>
                <w:sz w:val="20"/>
                <w:szCs w:val="20"/>
              </w:rPr>
              <w:t> </w:t>
            </w:r>
            <w:r>
              <w:rPr>
                <w:rFonts w:ascii="宋体" w:hAnsi="宋体" w:cs="宋体" w:eastAsia="宋体" w:hint="default"/>
                <w:sz w:val="20"/>
                <w:szCs w:val="20"/>
              </w:rPr>
              <w:t>部</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3" w:right="22"/>
              <w:jc w:val="left"/>
              <w:rPr>
                <w:rFonts w:ascii="宋体" w:hAnsi="宋体" w:cs="宋体" w:eastAsia="宋体" w:hint="default"/>
                <w:sz w:val="20"/>
                <w:szCs w:val="20"/>
              </w:rPr>
            </w:pPr>
            <w:r>
              <w:rPr>
                <w:rFonts w:ascii="宋体" w:hAnsi="宋体" w:cs="宋体" w:eastAsia="宋体" w:hint="default"/>
                <w:sz w:val="20"/>
                <w:szCs w:val="20"/>
              </w:rPr>
              <w:t>东软（香港）有限</w:t>
            </w:r>
            <w:r>
              <w:rPr>
                <w:rFonts w:ascii="宋体" w:hAnsi="宋体" w:cs="宋体" w:eastAsia="宋体" w:hint="default"/>
                <w:spacing w:val="-91"/>
                <w:sz w:val="20"/>
                <w:szCs w:val="20"/>
              </w:rPr>
              <w:t> </w:t>
            </w:r>
            <w:r>
              <w:rPr>
                <w:rFonts w:ascii="宋体" w:hAnsi="宋体" w:cs="宋体" w:eastAsia="宋体" w:hint="default"/>
                <w:sz w:val="20"/>
                <w:szCs w:val="20"/>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5" w:right="0"/>
              <w:jc w:val="left"/>
              <w:rPr>
                <w:rFonts w:ascii="宋体" w:hAnsi="宋体" w:cs="宋体" w:eastAsia="宋体" w:hint="default"/>
                <w:sz w:val="20"/>
                <w:szCs w:val="20"/>
              </w:rPr>
            </w:pPr>
            <w:r>
              <w:rPr>
                <w:rFonts w:ascii="宋体" w:hAnsi="宋体" w:cs="宋体" w:eastAsia="宋体" w:hint="default"/>
                <w:sz w:val="20"/>
                <w:szCs w:val="20"/>
              </w:rPr>
              <w:t>200</w:t>
            </w:r>
            <w:r>
              <w:rPr>
                <w:rFonts w:ascii="宋体" w:hAnsi="宋体" w:cs="宋体" w:eastAsia="宋体" w:hint="default"/>
                <w:sz w:val="20"/>
                <w:szCs w:val="20"/>
              </w:rPr>
              <w:t>万</w:t>
            </w:r>
          </w:p>
          <w:p>
            <w:pPr>
              <w:pStyle w:val="TableParagraph"/>
              <w:spacing w:line="260" w:lineRule="exact"/>
              <w:ind w:left="203"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5"/>
                <w:sz w:val="20"/>
                <w:szCs w:val="20"/>
              </w:rPr>
              <w:t> </w:t>
            </w:r>
            <w:r>
              <w:rPr>
                <w:rFonts w:ascii="宋体" w:hAnsi="宋体" w:cs="宋体" w:eastAsia="宋体" w:hint="default"/>
                <w:sz w:val="20"/>
                <w:szCs w:val="20"/>
              </w:rPr>
              <w:t>年</w:t>
            </w:r>
          </w:p>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12 </w:t>
            </w:r>
            <w:r>
              <w:rPr>
                <w:rFonts w:ascii="宋体" w:hAnsi="宋体" w:cs="宋体" w:eastAsia="宋体" w:hint="default"/>
                <w:sz w:val="20"/>
                <w:szCs w:val="20"/>
              </w:rPr>
              <w:t>月</w:t>
            </w:r>
            <w:r>
              <w:rPr>
                <w:rFonts w:ascii="宋体" w:hAnsi="宋体" w:cs="宋体" w:eastAsia="宋体" w:hint="default"/>
                <w:spacing w:val="-7"/>
                <w:sz w:val="20"/>
                <w:szCs w:val="20"/>
              </w:rPr>
              <w:t> </w:t>
            </w:r>
            <w:r>
              <w:rPr>
                <w:rFonts w:ascii="宋体" w:hAnsi="宋体" w:cs="宋体" w:eastAsia="宋体" w:hint="default"/>
                <w:sz w:val="20"/>
                <w:szCs w:val="20"/>
              </w:rPr>
              <w:t>12</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91"/>
                <w:sz w:val="20"/>
                <w:szCs w:val="20"/>
              </w:rPr>
              <w:t> </w:t>
            </w:r>
            <w:r>
              <w:rPr>
                <w:rFonts w:ascii="宋体" w:hAnsi="宋体" w:cs="宋体" w:eastAsia="宋体" w:hint="default"/>
                <w:sz w:val="20"/>
                <w:szCs w:val="20"/>
              </w:rPr>
              <w:t>年</w:t>
            </w:r>
          </w:p>
          <w:p>
            <w:pPr>
              <w:pStyle w:val="TableParagraph"/>
              <w:spacing w:line="259" w:lineRule="exact"/>
              <w:ind w:left="23" w:right="0"/>
              <w:jc w:val="left"/>
              <w:rPr>
                <w:rFonts w:ascii="宋体" w:hAnsi="宋体" w:cs="宋体" w:eastAsia="宋体" w:hint="default"/>
                <w:sz w:val="20"/>
                <w:szCs w:val="20"/>
              </w:rPr>
            </w:pPr>
            <w:r>
              <w:rPr>
                <w:rFonts w:ascii="宋体" w:hAnsi="宋体" w:cs="宋体" w:eastAsia="宋体" w:hint="default"/>
                <w:sz w:val="20"/>
                <w:szCs w:val="20"/>
              </w:rPr>
              <w:t>12 </w:t>
            </w:r>
            <w:r>
              <w:rPr>
                <w:rFonts w:ascii="宋体" w:hAnsi="宋体" w:cs="宋体" w:eastAsia="宋体" w:hint="default"/>
                <w:sz w:val="20"/>
                <w:szCs w:val="20"/>
              </w:rPr>
              <w:t>月</w:t>
            </w:r>
            <w:r>
              <w:rPr>
                <w:rFonts w:ascii="宋体" w:hAnsi="宋体" w:cs="宋体" w:eastAsia="宋体" w:hint="default"/>
                <w:spacing w:val="-7"/>
                <w:sz w:val="20"/>
                <w:szCs w:val="20"/>
              </w:rPr>
              <w:t> </w:t>
            </w:r>
            <w:r>
              <w:rPr>
                <w:rFonts w:ascii="宋体" w:hAnsi="宋体" w:cs="宋体" w:eastAsia="宋体" w:hint="default"/>
                <w:sz w:val="20"/>
                <w:szCs w:val="20"/>
              </w:rPr>
              <w:t>12</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23" w:right="0"/>
              <w:jc w:val="left"/>
              <w:rPr>
                <w:rFonts w:ascii="宋体" w:hAnsi="宋体" w:cs="宋体" w:eastAsia="宋体" w:hint="default"/>
                <w:sz w:val="20"/>
                <w:szCs w:val="20"/>
              </w:rPr>
            </w:pPr>
            <w:r>
              <w:rPr>
                <w:rFonts w:ascii="宋体" w:hAnsi="宋体" w:cs="宋体" w:eastAsia="宋体" w:hint="default"/>
                <w:spacing w:val="4"/>
                <w:sz w:val="20"/>
                <w:szCs w:val="20"/>
              </w:rPr>
              <w:t>2018</w:t>
            </w:r>
            <w:r>
              <w:rPr>
                <w:rFonts w:ascii="宋体" w:hAnsi="宋体" w:cs="宋体" w:eastAsia="宋体" w:hint="default"/>
                <w:spacing w:val="4"/>
                <w:sz w:val="20"/>
                <w:szCs w:val="20"/>
              </w:rPr>
              <w:t>年</w:t>
            </w:r>
            <w:r>
              <w:rPr>
                <w:rFonts w:ascii="宋体" w:hAnsi="宋体" w:cs="宋体" w:eastAsia="宋体" w:hint="default"/>
                <w:spacing w:val="4"/>
                <w:sz w:val="20"/>
                <w:szCs w:val="20"/>
              </w:rPr>
              <w:t>1</w:t>
            </w:r>
            <w:r>
              <w:rPr>
                <w:rFonts w:ascii="宋体" w:hAnsi="宋体" w:cs="宋体" w:eastAsia="宋体" w:hint="default"/>
                <w:spacing w:val="4"/>
                <w:sz w:val="20"/>
                <w:szCs w:val="20"/>
              </w:rPr>
              <w:t>月</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z w:val="20"/>
                <w:szCs w:val="20"/>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9" w:right="120"/>
              <w:jc w:val="left"/>
              <w:rPr>
                <w:rFonts w:ascii="宋体" w:hAnsi="宋体" w:cs="宋体" w:eastAsia="宋体" w:hint="default"/>
                <w:sz w:val="20"/>
                <w:szCs w:val="20"/>
              </w:rPr>
            </w:pPr>
            <w:r>
              <w:rPr>
                <w:rFonts w:ascii="宋体" w:hAnsi="宋体" w:cs="宋体" w:eastAsia="宋体" w:hint="default"/>
                <w:sz w:val="20"/>
                <w:szCs w:val="20"/>
              </w:rPr>
              <w:t>连带责</w:t>
            </w:r>
            <w:r>
              <w:rPr>
                <w:rFonts w:ascii="宋体" w:hAnsi="宋体" w:cs="宋体" w:eastAsia="宋体" w:hint="default"/>
                <w:w w:val="99"/>
                <w:sz w:val="20"/>
                <w:szCs w:val="20"/>
              </w:rPr>
              <w:t> </w:t>
            </w:r>
            <w:r>
              <w:rPr>
                <w:rFonts w:ascii="宋体" w:hAnsi="宋体" w:cs="宋体" w:eastAsia="宋体" w:hint="default"/>
                <w:sz w:val="20"/>
                <w:szCs w:val="20"/>
              </w:rPr>
              <w:t>任担保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sz w:val="20"/>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6" w:right="48" w:hanging="101"/>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319" w:hRule="exact"/>
        </w:trPr>
        <w:tc>
          <w:tcPr>
            <w:tcW w:w="59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报告期内对子公司担保发生额合计</w:t>
            </w:r>
          </w:p>
        </w:tc>
        <w:tc>
          <w:tcPr>
            <w:tcW w:w="49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8"/>
              <w:jc w:val="right"/>
              <w:rPr>
                <w:rFonts w:ascii="宋体" w:hAnsi="宋体" w:cs="宋体" w:eastAsia="宋体" w:hint="default"/>
                <w:sz w:val="20"/>
                <w:szCs w:val="20"/>
              </w:rPr>
            </w:pPr>
            <w:r>
              <w:rPr>
                <w:rFonts w:ascii="宋体"/>
                <w:w w:val="95"/>
                <w:sz w:val="20"/>
              </w:rPr>
              <w:t>15,507</w:t>
            </w:r>
            <w:r>
              <w:rPr>
                <w:rFonts w:ascii="宋体"/>
                <w:sz w:val="20"/>
              </w:rPr>
            </w:r>
          </w:p>
        </w:tc>
      </w:tr>
      <w:tr>
        <w:trPr>
          <w:trHeight w:val="317" w:hRule="exact"/>
        </w:trPr>
        <w:tc>
          <w:tcPr>
            <w:tcW w:w="59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报告期末对子公司担保余额合计（</w:t>
            </w:r>
            <w:r>
              <w:rPr>
                <w:rFonts w:ascii="宋体" w:hAnsi="宋体" w:cs="宋体" w:eastAsia="宋体" w:hint="default"/>
                <w:sz w:val="20"/>
                <w:szCs w:val="20"/>
              </w:rPr>
              <w:t>B</w:t>
            </w:r>
            <w:r>
              <w:rPr>
                <w:rFonts w:ascii="宋体" w:hAnsi="宋体" w:cs="宋体" w:eastAsia="宋体" w:hint="default"/>
                <w:sz w:val="20"/>
                <w:szCs w:val="20"/>
              </w:rPr>
              <w:t>）</w:t>
            </w:r>
          </w:p>
        </w:tc>
        <w:tc>
          <w:tcPr>
            <w:tcW w:w="49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8"/>
              <w:jc w:val="right"/>
              <w:rPr>
                <w:rFonts w:ascii="宋体" w:hAnsi="宋体" w:cs="宋体" w:eastAsia="宋体" w:hint="default"/>
                <w:sz w:val="20"/>
                <w:szCs w:val="20"/>
              </w:rPr>
            </w:pPr>
            <w:r>
              <w:rPr>
                <w:rFonts w:ascii="宋体"/>
                <w:w w:val="95"/>
                <w:sz w:val="20"/>
              </w:rPr>
              <w:t>11,996</w:t>
            </w:r>
            <w:r>
              <w:rPr>
                <w:rFonts w:ascii="宋体"/>
                <w:sz w:val="20"/>
              </w:rPr>
            </w:r>
          </w:p>
        </w:tc>
      </w:tr>
      <w:tr>
        <w:trPr>
          <w:trHeight w:val="320" w:hRule="exact"/>
        </w:trPr>
        <w:tc>
          <w:tcPr>
            <w:tcW w:w="109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07" w:right="0"/>
              <w:jc w:val="left"/>
              <w:rPr>
                <w:rFonts w:ascii="宋体" w:hAnsi="宋体" w:cs="宋体" w:eastAsia="宋体" w:hint="default"/>
                <w:sz w:val="20"/>
                <w:szCs w:val="20"/>
              </w:rPr>
            </w:pPr>
            <w:r>
              <w:rPr>
                <w:rFonts w:ascii="宋体" w:hAnsi="宋体" w:cs="宋体" w:eastAsia="宋体" w:hint="default"/>
                <w:sz w:val="20"/>
                <w:szCs w:val="20"/>
              </w:rPr>
              <w:t>公司担保总额情况（包括对子公司的担保）</w:t>
            </w:r>
          </w:p>
        </w:tc>
      </w:tr>
      <w:tr>
        <w:trPr>
          <w:trHeight w:val="300" w:hRule="exact"/>
        </w:trPr>
        <w:tc>
          <w:tcPr>
            <w:tcW w:w="59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0"/>
                <w:szCs w:val="20"/>
              </w:rPr>
            </w:pPr>
            <w:r>
              <w:rPr>
                <w:rFonts w:ascii="宋体" w:hAnsi="宋体" w:cs="宋体" w:eastAsia="宋体" w:hint="default"/>
                <w:sz w:val="20"/>
                <w:szCs w:val="20"/>
              </w:rPr>
              <w:t>担保总额（</w:t>
            </w:r>
            <w:r>
              <w:rPr>
                <w:rFonts w:ascii="宋体" w:hAnsi="宋体" w:cs="宋体" w:eastAsia="宋体" w:hint="default"/>
                <w:sz w:val="20"/>
                <w:szCs w:val="20"/>
              </w:rPr>
              <w:t>A+B</w:t>
            </w:r>
            <w:r>
              <w:rPr>
                <w:rFonts w:ascii="宋体" w:hAnsi="宋体" w:cs="宋体" w:eastAsia="宋体" w:hint="default"/>
                <w:sz w:val="20"/>
                <w:szCs w:val="20"/>
              </w:rPr>
              <w:t>）</w:t>
            </w:r>
          </w:p>
        </w:tc>
        <w:tc>
          <w:tcPr>
            <w:tcW w:w="49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8"/>
              <w:jc w:val="right"/>
              <w:rPr>
                <w:rFonts w:ascii="宋体" w:hAnsi="宋体" w:cs="宋体" w:eastAsia="宋体" w:hint="default"/>
                <w:sz w:val="20"/>
                <w:szCs w:val="20"/>
              </w:rPr>
            </w:pPr>
            <w:r>
              <w:rPr>
                <w:rFonts w:ascii="宋体"/>
                <w:w w:val="95"/>
                <w:sz w:val="20"/>
              </w:rPr>
              <w:t>11,996</w:t>
            </w:r>
            <w:r>
              <w:rPr>
                <w:rFonts w:ascii="宋体"/>
                <w:sz w:val="20"/>
              </w:rPr>
            </w:r>
          </w:p>
        </w:tc>
      </w:tr>
    </w:tbl>
    <w:p>
      <w:pPr>
        <w:spacing w:after="0" w:line="244" w:lineRule="exact"/>
        <w:jc w:val="right"/>
        <w:rPr>
          <w:rFonts w:ascii="宋体" w:hAnsi="宋体" w:cs="宋体" w:eastAsia="宋体" w:hint="default"/>
          <w:sz w:val="20"/>
          <w:szCs w:val="20"/>
        </w:rPr>
        <w:sectPr>
          <w:headerReference w:type="default" r:id="rId32"/>
          <w:pgSz w:w="11910" w:h="16840"/>
          <w:pgMar w:header="945" w:footer="1248" w:top="2080" w:bottom="1440" w:left="540" w:right="200"/>
        </w:sectPr>
      </w:pPr>
    </w:p>
    <w:p>
      <w:pPr>
        <w:spacing w:line="240" w:lineRule="auto" w:before="8"/>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5958"/>
        <w:gridCol w:w="4959"/>
      </w:tblGrid>
      <w:tr>
        <w:trPr>
          <w:trHeight w:val="320"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0"/>
                <w:szCs w:val="20"/>
              </w:rPr>
            </w:pPr>
            <w:r>
              <w:rPr>
                <w:rFonts w:ascii="宋体" w:hAnsi="宋体" w:cs="宋体" w:eastAsia="宋体" w:hint="default"/>
                <w:sz w:val="20"/>
                <w:szCs w:val="20"/>
              </w:rPr>
              <w:t>担保总额占公司净资产的比例</w:t>
            </w:r>
            <w:r>
              <w:rPr>
                <w:rFonts w:ascii="宋体" w:hAnsi="宋体" w:cs="宋体" w:eastAsia="宋体" w:hint="default"/>
                <w:sz w:val="20"/>
                <w:szCs w:val="20"/>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17"/>
              <w:jc w:val="right"/>
              <w:rPr>
                <w:rFonts w:ascii="宋体" w:hAnsi="宋体" w:cs="宋体" w:eastAsia="宋体" w:hint="default"/>
                <w:sz w:val="20"/>
                <w:szCs w:val="20"/>
              </w:rPr>
            </w:pPr>
            <w:r>
              <w:rPr>
                <w:rFonts w:ascii="宋体"/>
                <w:sz w:val="20"/>
              </w:rPr>
              <w:t>1.34</w:t>
            </w:r>
          </w:p>
        </w:tc>
      </w:tr>
      <w:tr>
        <w:trPr>
          <w:trHeight w:val="317" w:hRule="exact"/>
        </w:trPr>
        <w:tc>
          <w:tcPr>
            <w:tcW w:w="10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p>
        </w:tc>
      </w:tr>
      <w:tr>
        <w:trPr>
          <w:trHeight w:val="319"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为股东、实际控制人及其关联方提供担保的金额（</w:t>
            </w:r>
            <w:r>
              <w:rPr>
                <w:rFonts w:ascii="宋体" w:hAnsi="宋体" w:cs="宋体" w:eastAsia="宋体" w:hint="default"/>
                <w:sz w:val="20"/>
                <w:szCs w:val="20"/>
              </w:rPr>
              <w:t>C</w:t>
            </w:r>
            <w:r>
              <w:rPr>
                <w:rFonts w:ascii="宋体" w:hAnsi="宋体" w:cs="宋体" w:eastAsia="宋体" w:hint="default"/>
                <w:sz w:val="20"/>
                <w:szCs w:val="20"/>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528"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6"/>
                <w:sz w:val="20"/>
                <w:szCs w:val="20"/>
              </w:rPr>
              <w:t>直接或间接为资产负债率超过</w:t>
            </w:r>
            <w:r>
              <w:rPr>
                <w:rFonts w:ascii="宋体" w:hAnsi="宋体" w:cs="宋体" w:eastAsia="宋体" w:hint="default"/>
                <w:spacing w:val="6"/>
                <w:sz w:val="20"/>
                <w:szCs w:val="20"/>
              </w:rPr>
              <w:t>70%</w:t>
            </w:r>
            <w:r>
              <w:rPr>
                <w:rFonts w:ascii="宋体" w:hAnsi="宋体" w:cs="宋体" w:eastAsia="宋体" w:hint="default"/>
                <w:spacing w:val="6"/>
                <w:sz w:val="20"/>
                <w:szCs w:val="20"/>
              </w:rPr>
              <w:t>的被担保对象提供的债务担保金</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额（</w:t>
            </w:r>
            <w:r>
              <w:rPr>
                <w:rFonts w:ascii="宋体" w:hAnsi="宋体" w:cs="宋体" w:eastAsia="宋体" w:hint="default"/>
                <w:sz w:val="20"/>
                <w:szCs w:val="20"/>
              </w:rPr>
              <w:t>D</w:t>
            </w:r>
            <w:r>
              <w:rPr>
                <w:rFonts w:ascii="宋体" w:hAnsi="宋体" w:cs="宋体" w:eastAsia="宋体" w:hint="default"/>
                <w:sz w:val="20"/>
                <w:szCs w:val="20"/>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319"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担保总额超过净资产</w:t>
            </w:r>
            <w:r>
              <w:rPr>
                <w:rFonts w:ascii="宋体" w:hAnsi="宋体" w:cs="宋体" w:eastAsia="宋体" w:hint="default"/>
                <w:sz w:val="20"/>
                <w:szCs w:val="20"/>
              </w:rPr>
              <w:t>50%</w:t>
            </w:r>
            <w:r>
              <w:rPr>
                <w:rFonts w:ascii="宋体" w:hAnsi="宋体" w:cs="宋体" w:eastAsia="宋体" w:hint="default"/>
                <w:sz w:val="20"/>
                <w:szCs w:val="20"/>
              </w:rPr>
              <w:t>部分的金额（</w:t>
            </w:r>
            <w:r>
              <w:rPr>
                <w:rFonts w:ascii="宋体" w:hAnsi="宋体" w:cs="宋体" w:eastAsia="宋体" w:hint="default"/>
                <w:sz w:val="20"/>
                <w:szCs w:val="20"/>
              </w:rPr>
              <w:t>E</w:t>
            </w:r>
            <w:r>
              <w:rPr>
                <w:rFonts w:ascii="宋体" w:hAnsi="宋体" w:cs="宋体" w:eastAsia="宋体" w:hint="default"/>
                <w:sz w:val="20"/>
                <w:szCs w:val="20"/>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317"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上述三项担保金额合计（</w:t>
            </w:r>
            <w:r>
              <w:rPr>
                <w:rFonts w:ascii="宋体" w:hAnsi="宋体" w:cs="宋体" w:eastAsia="宋体" w:hint="default"/>
                <w:sz w:val="20"/>
                <w:szCs w:val="20"/>
              </w:rPr>
              <w:t>C+D+E</w:t>
            </w:r>
            <w:r>
              <w:rPr>
                <w:rFonts w:ascii="宋体" w:hAnsi="宋体" w:cs="宋体" w:eastAsia="宋体" w:hint="default"/>
                <w:sz w:val="20"/>
                <w:szCs w:val="20"/>
              </w:rPr>
              <w:t>）</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9"/>
              <w:jc w:val="right"/>
              <w:rPr>
                <w:rFonts w:ascii="宋体" w:hAnsi="宋体" w:cs="宋体" w:eastAsia="宋体" w:hint="default"/>
                <w:sz w:val="20"/>
                <w:szCs w:val="20"/>
              </w:rPr>
            </w:pPr>
            <w:r>
              <w:rPr>
                <w:rFonts w:ascii="宋体"/>
                <w:w w:val="99"/>
                <w:sz w:val="20"/>
              </w:rPr>
              <w:t>0</w:t>
            </w:r>
            <w:r>
              <w:rPr>
                <w:rFonts w:ascii="宋体"/>
                <w:sz w:val="20"/>
              </w:rPr>
            </w:r>
          </w:p>
        </w:tc>
      </w:tr>
      <w:tr>
        <w:trPr>
          <w:trHeight w:val="319"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未到期担保可能承担连带清偿责任说明</w:t>
            </w:r>
          </w:p>
        </w:tc>
        <w:tc>
          <w:tcPr>
            <w:tcW w:w="49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担保情况说明</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2"/>
              <w:jc w:val="right"/>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z w:val="20"/>
                <w:szCs w:val="20"/>
              </w:rPr>
            </w:r>
          </w:p>
        </w:tc>
      </w:tr>
    </w:tbl>
    <w:p>
      <w:pPr>
        <w:spacing w:line="240" w:lineRule="auto" w:before="7"/>
        <w:rPr>
          <w:rFonts w:ascii="宋体" w:hAnsi="宋体" w:cs="宋体" w:eastAsia="宋体" w:hint="default"/>
          <w:sz w:val="15"/>
          <w:szCs w:val="15"/>
        </w:rPr>
      </w:pPr>
    </w:p>
    <w:p>
      <w:pPr>
        <w:pStyle w:val="BodyText"/>
        <w:spacing w:line="273" w:lineRule="exact" w:before="36"/>
        <w:ind w:left="1678" w:right="0"/>
        <w:jc w:val="left"/>
      </w:pPr>
      <w:r>
        <w:rPr/>
        <w:t>担保情况说明：</w:t>
      </w:r>
    </w:p>
    <w:p>
      <w:pPr>
        <w:pStyle w:val="BodyText"/>
        <w:spacing w:line="237" w:lineRule="auto" w:before="1"/>
        <w:ind w:left="1258" w:right="1068" w:firstLine="419"/>
        <w:jc w:val="both"/>
      </w:pPr>
      <w:r>
        <w:rPr/>
        <w:t>注</w:t>
      </w:r>
      <w:r>
        <w:rPr>
          <w:spacing w:val="-53"/>
        </w:rPr>
        <w:t> </w:t>
      </w:r>
      <w:r>
        <w:rPr>
          <w:rFonts w:ascii="宋体" w:hAnsi="宋体" w:cs="宋体" w:eastAsia="宋体" w:hint="default"/>
        </w:rPr>
        <w:t>1</w:t>
      </w:r>
      <w:r>
        <w:rPr/>
        <w:t>：以上对</w:t>
      </w:r>
      <w:r>
        <w:rPr>
          <w:spacing w:val="-53"/>
        </w:rPr>
        <w:t> </w:t>
      </w:r>
      <w:r>
        <w:rPr>
          <w:rFonts w:ascii="宋体" w:hAnsi="宋体" w:cs="宋体" w:eastAsia="宋体" w:hint="default"/>
        </w:rPr>
        <w:t>Neusoft</w:t>
      </w:r>
      <w:r>
        <w:rPr>
          <w:rFonts w:ascii="宋体" w:hAnsi="宋体" w:cs="宋体" w:eastAsia="宋体" w:hint="default"/>
          <w:spacing w:val="-31"/>
        </w:rPr>
        <w:t> </w:t>
      </w:r>
      <w:r>
        <w:rPr>
          <w:rFonts w:ascii="宋体" w:hAnsi="宋体" w:cs="宋体" w:eastAsia="宋体" w:hint="default"/>
        </w:rPr>
        <w:t>Technology</w:t>
      </w:r>
      <w:r>
        <w:rPr>
          <w:rFonts w:ascii="宋体" w:hAnsi="宋体" w:cs="宋体" w:eastAsia="宋体" w:hint="default"/>
          <w:spacing w:val="-31"/>
        </w:rPr>
        <w:t> </w:t>
      </w:r>
      <w:r>
        <w:rPr>
          <w:rFonts w:ascii="宋体" w:hAnsi="宋体" w:cs="宋体" w:eastAsia="宋体" w:hint="default"/>
        </w:rPr>
        <w:t>Solutions</w:t>
      </w:r>
      <w:r>
        <w:rPr>
          <w:rFonts w:ascii="宋体" w:hAnsi="宋体" w:cs="宋体" w:eastAsia="宋体" w:hint="default"/>
          <w:spacing w:val="-31"/>
        </w:rPr>
        <w:t> </w:t>
      </w:r>
      <w:r>
        <w:rPr>
          <w:rFonts w:ascii="宋体" w:hAnsi="宋体" w:cs="宋体" w:eastAsia="宋体" w:hint="default"/>
        </w:rPr>
        <w:t>GmbH</w:t>
      </w:r>
      <w:r>
        <w:rPr>
          <w:rFonts w:ascii="宋体" w:hAnsi="宋体" w:cs="宋体" w:eastAsia="宋体" w:hint="default"/>
          <w:spacing w:val="-54"/>
        </w:rPr>
        <w:t> </w:t>
      </w:r>
      <w:r>
        <w:rPr/>
        <w:t>的担保事项，依据公司于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w w:val="100"/>
        </w:rPr>
        <w:t> </w:t>
      </w:r>
      <w:r>
        <w:rPr>
          <w:spacing w:val="17"/>
        </w:rPr>
        <w:t>日召开的公司七届九次董事会审议通过的《</w:t>
      </w:r>
      <w:r>
        <w:rPr>
          <w:spacing w:val="-78"/>
        </w:rPr>
        <w:t> </w:t>
      </w:r>
      <w:r>
        <w:rPr>
          <w:spacing w:val="17"/>
        </w:rPr>
        <w:t>关于为间接全资子公司</w:t>
      </w:r>
      <w:r>
        <w:rPr>
          <w:spacing w:val="-68"/>
        </w:rPr>
        <w:t> </w:t>
      </w:r>
      <w:r>
        <w:rPr/>
        <w:t>—</w:t>
      </w:r>
      <w:r>
        <w:rPr>
          <w:rFonts w:ascii="宋体" w:hAnsi="宋体" w:cs="宋体" w:eastAsia="宋体" w:hint="default"/>
        </w:rPr>
        <w:t>Neusoft</w:t>
      </w:r>
      <w:r>
        <w:rPr>
          <w:rFonts w:ascii="宋体" w:hAnsi="宋体" w:cs="宋体" w:eastAsia="宋体" w:hint="default"/>
          <w:spacing w:val="73"/>
        </w:rPr>
        <w:t> </w:t>
      </w:r>
      <w:r>
        <w:rPr>
          <w:rFonts w:ascii="宋体" w:hAnsi="宋体" w:cs="宋体" w:eastAsia="宋体" w:hint="default"/>
        </w:rPr>
        <w:t>Technology</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Solutions</w:t>
      </w:r>
      <w:r>
        <w:rPr>
          <w:rFonts w:ascii="宋体" w:hAnsi="宋体" w:cs="宋体" w:eastAsia="宋体" w:hint="default"/>
          <w:spacing w:val="23"/>
        </w:rPr>
        <w:t> </w:t>
      </w:r>
      <w:r>
        <w:rPr>
          <w:rFonts w:ascii="宋体" w:hAnsi="宋体" w:cs="宋体" w:eastAsia="宋体" w:hint="default"/>
        </w:rPr>
        <w:t>GmbH</w:t>
      </w:r>
      <w:r>
        <w:rPr>
          <w:rFonts w:ascii="宋体" w:hAnsi="宋体" w:cs="宋体" w:eastAsia="宋体" w:hint="default"/>
          <w:spacing w:val="23"/>
        </w:rPr>
        <w:t> </w:t>
      </w:r>
      <w:r>
        <w:rPr>
          <w:spacing w:val="4"/>
        </w:rPr>
        <w:t>提供银行借款担保额度的议案》，董事会同意本公司为</w:t>
      </w:r>
      <w:r>
        <w:rPr>
          <w:spacing w:val="29"/>
        </w:rPr>
        <w:t> </w:t>
      </w:r>
      <w:r>
        <w:rPr>
          <w:rFonts w:ascii="宋体" w:hAnsi="宋体" w:cs="宋体" w:eastAsia="宋体" w:hint="default"/>
        </w:rPr>
        <w:t>Neusoft</w:t>
      </w:r>
      <w:r>
        <w:rPr>
          <w:rFonts w:ascii="宋体" w:hAnsi="宋体" w:cs="宋体" w:eastAsia="宋体" w:hint="default"/>
          <w:spacing w:val="20"/>
        </w:rPr>
        <w:t> </w:t>
      </w:r>
      <w:r>
        <w:rPr>
          <w:rFonts w:ascii="宋体" w:hAnsi="宋体" w:cs="宋体" w:eastAsia="宋体" w:hint="default"/>
        </w:rPr>
        <w:t>Technology</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Solutions</w:t>
      </w:r>
      <w:r>
        <w:rPr>
          <w:rFonts w:ascii="宋体" w:hAnsi="宋体" w:cs="宋体" w:eastAsia="宋体" w:hint="default"/>
          <w:spacing w:val="-41"/>
        </w:rPr>
        <w:t> </w:t>
      </w:r>
      <w:r>
        <w:rPr>
          <w:rFonts w:ascii="宋体" w:hAnsi="宋体" w:cs="宋体" w:eastAsia="宋体" w:hint="default"/>
        </w:rPr>
        <w:t>GmbH</w:t>
      </w:r>
      <w:r>
        <w:rPr>
          <w:rFonts w:ascii="宋体" w:hAnsi="宋体" w:cs="宋体" w:eastAsia="宋体" w:hint="default"/>
          <w:spacing w:val="-55"/>
        </w:rPr>
        <w:t> </w:t>
      </w:r>
      <w:r>
        <w:rPr/>
        <w:t>提供银行借款担保，担保总额度为</w:t>
      </w:r>
      <w:r>
        <w:rPr>
          <w:spacing w:val="-55"/>
        </w:rPr>
        <w:t> </w:t>
      </w:r>
      <w:r>
        <w:rPr>
          <w:rFonts w:ascii="宋体" w:hAnsi="宋体" w:cs="宋体" w:eastAsia="宋体" w:hint="default"/>
        </w:rPr>
        <w:t>2,000</w:t>
      </w:r>
      <w:r>
        <w:rPr>
          <w:rFonts w:ascii="宋体" w:hAnsi="宋体" w:cs="宋体" w:eastAsia="宋体" w:hint="default"/>
          <w:spacing w:val="-55"/>
        </w:rPr>
        <w:t> </w:t>
      </w:r>
      <w:r>
        <w:rPr/>
        <w:t>万欧元或等值其他币种，该额度期限为</w:t>
      </w:r>
      <w:r>
        <w:rPr>
          <w:w w:val="100"/>
        </w:rPr>
        <w:t> </w:t>
      </w:r>
      <w:r>
        <w:rPr/>
        <w:t>二年，即从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日起至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日止。</w:t>
      </w:r>
    </w:p>
    <w:p>
      <w:pPr>
        <w:pStyle w:val="BodyText"/>
        <w:spacing w:line="272" w:lineRule="exact"/>
        <w:ind w:left="167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8</w:t>
      </w:r>
      <w:r>
        <w:rPr>
          <w:rFonts w:ascii="宋体" w:hAnsi="宋体" w:cs="宋体" w:eastAsia="宋体" w:hint="default"/>
          <w:spacing w:val="-53"/>
        </w:rPr>
        <w:t> </w:t>
      </w:r>
      <w:r>
        <w:rPr>
          <w:spacing w:val="-3"/>
          <w:w w:val="100"/>
        </w:rPr>
        <w:t>日</w:t>
      </w:r>
      <w:r>
        <w:rPr>
          <w:w w:val="100"/>
        </w:rPr>
        <w:t>召</w:t>
      </w:r>
      <w:r>
        <w:rPr>
          <w:spacing w:val="-3"/>
          <w:w w:val="100"/>
        </w:rPr>
        <w:t>开的</w:t>
      </w:r>
      <w:r>
        <w:rPr>
          <w:w w:val="100"/>
        </w:rPr>
        <w:t>公司</w:t>
      </w:r>
      <w:r>
        <w:rPr>
          <w:spacing w:val="-3"/>
          <w:w w:val="100"/>
        </w:rPr>
        <w:t>七</w:t>
      </w:r>
      <w:r>
        <w:rPr>
          <w:w w:val="100"/>
        </w:rPr>
        <w:t>届</w:t>
      </w:r>
      <w:r>
        <w:rPr>
          <w:spacing w:val="-3"/>
          <w:w w:val="100"/>
        </w:rPr>
        <w:t>三</w:t>
      </w:r>
      <w:r>
        <w:rPr>
          <w:w w:val="100"/>
        </w:rPr>
        <w:t>十</w:t>
      </w:r>
      <w:r>
        <w:rPr>
          <w:spacing w:val="-3"/>
          <w:w w:val="100"/>
        </w:rPr>
        <w:t>五</w:t>
      </w:r>
      <w:r>
        <w:rPr>
          <w:w w:val="100"/>
        </w:rPr>
        <w:t>次</w:t>
      </w:r>
      <w:r>
        <w:rPr>
          <w:spacing w:val="-3"/>
          <w:w w:val="100"/>
        </w:rPr>
        <w:t>董</w:t>
      </w:r>
      <w:r>
        <w:rPr>
          <w:w w:val="100"/>
        </w:rPr>
        <w:t>事</w:t>
      </w:r>
      <w:r>
        <w:rPr>
          <w:spacing w:val="-3"/>
          <w:w w:val="100"/>
        </w:rPr>
        <w:t>会</w:t>
      </w:r>
      <w:r>
        <w:rPr>
          <w:w w:val="100"/>
        </w:rPr>
        <w:t>审议</w:t>
      </w:r>
      <w:r>
        <w:rPr>
          <w:spacing w:val="-3"/>
          <w:w w:val="100"/>
        </w:rPr>
        <w:t>通</w:t>
      </w:r>
      <w:r>
        <w:rPr>
          <w:w w:val="100"/>
        </w:rPr>
        <w:t>过</w:t>
      </w:r>
      <w:r>
        <w:rPr>
          <w:spacing w:val="-94"/>
          <w:w w:val="100"/>
        </w:rPr>
        <w:t>了</w:t>
      </w:r>
      <w:r>
        <w:rPr>
          <w:spacing w:val="-3"/>
          <w:w w:val="100"/>
        </w:rPr>
        <w:t>《</w:t>
      </w:r>
      <w:r>
        <w:rPr>
          <w:w w:val="100"/>
        </w:rPr>
        <w:t>关</w:t>
      </w:r>
      <w:r>
        <w:rPr>
          <w:spacing w:val="-3"/>
          <w:w w:val="100"/>
        </w:rPr>
        <w:t>于</w:t>
      </w:r>
      <w:r>
        <w:rPr>
          <w:w w:val="100"/>
        </w:rPr>
        <w:t>继</w:t>
      </w:r>
      <w:r>
        <w:rPr>
          <w:spacing w:val="-3"/>
          <w:w w:val="100"/>
        </w:rPr>
        <w:t>续</w:t>
      </w:r>
      <w:r>
        <w:rPr>
          <w:w w:val="100"/>
        </w:rPr>
        <w:t>为</w:t>
      </w:r>
      <w:r>
        <w:rPr>
          <w:spacing w:val="-3"/>
          <w:w w:val="100"/>
        </w:rPr>
        <w:t>间</w:t>
      </w:r>
      <w:r>
        <w:rPr>
          <w:w w:val="100"/>
        </w:rPr>
        <w:t>接全</w:t>
      </w:r>
      <w:r>
        <w:rPr>
          <w:spacing w:val="-3"/>
          <w:w w:val="100"/>
        </w:rPr>
        <w:t>资</w:t>
      </w:r>
      <w:r>
        <w:rPr>
          <w:w w:val="100"/>
        </w:rPr>
        <w:t>子</w:t>
      </w:r>
      <w:r>
        <w:rPr>
          <w:spacing w:val="-3"/>
          <w:w w:val="100"/>
        </w:rPr>
        <w:t>公</w:t>
      </w:r>
      <w:r>
        <w:rPr>
          <w:w w:val="100"/>
        </w:rPr>
        <w:t>司</w:t>
      </w:r>
    </w:p>
    <w:p>
      <w:pPr>
        <w:pStyle w:val="BodyText"/>
        <w:spacing w:line="237" w:lineRule="auto"/>
        <w:ind w:left="1258" w:right="1068"/>
        <w:jc w:val="both"/>
      </w:pPr>
      <w:r>
        <w:rPr/>
        <w:t>—</w:t>
      </w:r>
      <w:r>
        <w:rPr>
          <w:rFonts w:ascii="宋体" w:hAnsi="宋体" w:cs="宋体" w:eastAsia="宋体" w:hint="default"/>
        </w:rPr>
        <w:t>Neusoft Technology Solutions GmbH</w:t>
      </w:r>
      <w:r>
        <w:rPr>
          <w:rFonts w:ascii="宋体" w:hAnsi="宋体" w:cs="宋体" w:eastAsia="宋体" w:hint="default"/>
          <w:spacing w:val="5"/>
        </w:rPr>
        <w:t> </w:t>
      </w:r>
      <w:r>
        <w:rPr/>
        <w:t>提供银行借款担保额度的议案》，鉴于上述担保额度将</w:t>
      </w:r>
      <w:r>
        <w:rPr>
          <w:w w:val="100"/>
        </w:rPr>
        <w:t> </w:t>
      </w:r>
      <w:r>
        <w:rPr/>
        <w:t>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日到期，根据公司业务发展需要，董事会同意在上述额度到期后，本公司继续</w:t>
      </w:r>
      <w:r>
        <w:rPr>
          <w:w w:val="100"/>
        </w:rPr>
        <w:t> </w:t>
      </w:r>
      <w:r>
        <w:rPr/>
        <w:t>为</w:t>
      </w:r>
      <w:r>
        <w:rPr>
          <w:spacing w:val="-52"/>
        </w:rPr>
        <w:t> </w:t>
      </w:r>
      <w:r>
        <w:rPr>
          <w:rFonts w:ascii="宋体" w:hAnsi="宋体" w:cs="宋体" w:eastAsia="宋体" w:hint="default"/>
        </w:rPr>
        <w:t>NTS</w:t>
      </w:r>
      <w:r>
        <w:rPr>
          <w:rFonts w:ascii="宋体" w:hAnsi="宋体" w:cs="宋体" w:eastAsia="宋体" w:hint="default"/>
          <w:spacing w:val="-52"/>
        </w:rPr>
        <w:t> </w:t>
      </w:r>
      <w:r>
        <w:rPr/>
        <w:t>提供银行借款担保，担保额度为</w:t>
      </w:r>
      <w:r>
        <w:rPr>
          <w:spacing w:val="-52"/>
        </w:rPr>
        <w:t> </w:t>
      </w:r>
      <w:r>
        <w:rPr>
          <w:rFonts w:ascii="宋体" w:hAnsi="宋体" w:cs="宋体" w:eastAsia="宋体" w:hint="default"/>
        </w:rPr>
        <w:t>2,000</w:t>
      </w:r>
      <w:r>
        <w:rPr>
          <w:rFonts w:ascii="宋体" w:hAnsi="宋体" w:cs="宋体" w:eastAsia="宋体" w:hint="default"/>
          <w:spacing w:val="-52"/>
        </w:rPr>
        <w:t> </w:t>
      </w:r>
      <w:r>
        <w:rPr/>
        <w:t>万欧元或等值其他币种，该额度期限为二年，即从</w:t>
      </w:r>
      <w:r>
        <w:rPr>
          <w:w w:val="100"/>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日起至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日止。</w:t>
      </w:r>
    </w:p>
    <w:p>
      <w:pPr>
        <w:pStyle w:val="BodyText"/>
        <w:spacing w:line="237" w:lineRule="auto"/>
        <w:ind w:left="1258" w:right="1067" w:firstLine="419"/>
        <w:jc w:val="both"/>
      </w:pPr>
      <w:r>
        <w:rPr/>
        <w:t>注</w:t>
      </w:r>
      <w:r>
        <w:rPr>
          <w:spacing w:val="-52"/>
        </w:rPr>
        <w:t> </w:t>
      </w:r>
      <w:r>
        <w:rPr>
          <w:rFonts w:ascii="宋体" w:hAnsi="宋体" w:cs="宋体" w:eastAsia="宋体" w:hint="default"/>
        </w:rPr>
        <w:t>2</w:t>
      </w:r>
      <w:r>
        <w:rPr/>
        <w:t>：以上对东软（香港）有限公司的担保事项，依据公司于</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23</w:t>
      </w:r>
      <w:r>
        <w:rPr>
          <w:rFonts w:ascii="宋体" w:hAnsi="宋体" w:cs="宋体" w:eastAsia="宋体" w:hint="default"/>
          <w:spacing w:val="-52"/>
        </w:rPr>
        <w:t> </w:t>
      </w:r>
      <w:r>
        <w:rPr/>
        <w:t>日召开的</w:t>
      </w:r>
      <w:r>
        <w:rPr>
          <w:spacing w:val="-52"/>
        </w:rPr>
        <w:t> </w:t>
      </w:r>
      <w:r>
        <w:rPr>
          <w:rFonts w:ascii="宋体" w:hAnsi="宋体" w:cs="宋体" w:eastAsia="宋体" w:hint="default"/>
        </w:rPr>
        <w:t>2015</w:t>
      </w:r>
      <w:r>
        <w:rPr>
          <w:rFonts w:ascii="宋体" w:hAnsi="宋体" w:cs="宋体" w:eastAsia="宋体" w:hint="default"/>
          <w:w w:val="100"/>
        </w:rPr>
        <w:t> </w:t>
      </w:r>
      <w:r>
        <w:rPr>
          <w:spacing w:val="-1"/>
        </w:rPr>
        <w:t>年第一次临时股东大会审议通过的《关于继续为全资子公司—东软（香港）有限公司提供银行借</w:t>
      </w:r>
      <w:r>
        <w:rPr>
          <w:spacing w:val="-55"/>
        </w:rPr>
        <w:t> </w:t>
      </w:r>
      <w:r>
        <w:rPr>
          <w:spacing w:val="-55"/>
        </w:rPr>
      </w:r>
      <w:r>
        <w:rPr/>
        <w:t>款担保额度的议案》，股东大会同意本公司为东软香港提供银行借款担保，担保额度为</w:t>
      </w:r>
      <w:r>
        <w:rPr>
          <w:spacing w:val="-49"/>
        </w:rPr>
        <w:t> </w:t>
      </w:r>
      <w:r>
        <w:rPr>
          <w:rFonts w:ascii="宋体" w:hAnsi="宋体" w:cs="宋体" w:eastAsia="宋体" w:hint="default"/>
        </w:rPr>
        <w:t>5,000</w:t>
      </w:r>
      <w:r>
        <w:rPr>
          <w:rFonts w:ascii="宋体" w:hAnsi="宋体" w:cs="宋体" w:eastAsia="宋体" w:hint="default"/>
          <w:spacing w:val="-52"/>
        </w:rPr>
        <w:t> </w:t>
      </w:r>
      <w:r>
        <w:rPr/>
        <w:t>万</w:t>
      </w:r>
    </w:p>
    <w:p>
      <w:pPr>
        <w:pStyle w:val="BodyText"/>
        <w:spacing w:line="272" w:lineRule="exact"/>
        <w:ind w:left="1258" w:right="0"/>
        <w:jc w:val="both"/>
      </w:pPr>
      <w:r>
        <w:rPr/>
        <w:t>美元或等值其他币种，该额度期限为二年，即从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日起至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日止。</w:t>
      </w:r>
    </w:p>
    <w:p>
      <w:pPr>
        <w:pStyle w:val="BodyText"/>
        <w:spacing w:line="271" w:lineRule="exact"/>
        <w:ind w:left="1678" w:right="0"/>
        <w:jc w:val="left"/>
      </w:pPr>
      <w:r>
        <w:rPr/>
        <w:t>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2"/>
        </w:rPr>
        <w:t> </w:t>
      </w:r>
      <w:r>
        <w:rPr/>
        <w:t>日召开的公司八届六次董事会审议通过了《关于继续为全资子公司—东软</w:t>
      </w:r>
    </w:p>
    <w:p>
      <w:pPr>
        <w:pStyle w:val="BodyText"/>
        <w:spacing w:line="237" w:lineRule="auto"/>
        <w:ind w:left="1258" w:right="1067"/>
        <w:jc w:val="both"/>
        <w:rPr>
          <w:rFonts w:ascii="宋体" w:hAnsi="宋体" w:cs="宋体" w:eastAsia="宋体" w:hint="default"/>
        </w:rPr>
      </w:pPr>
      <w:r>
        <w:rPr/>
        <w:t>（香港）有限公司提供银行借款担保额度的议案》，鉴于上述担保总额度将于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11</w:t>
      </w:r>
      <w:r>
        <w:rPr>
          <w:rFonts w:ascii="宋体" w:hAnsi="宋体" w:cs="宋体" w:eastAsia="宋体" w:hint="default"/>
          <w:spacing w:val="-54"/>
        </w:rPr>
        <w:t> </w:t>
      </w:r>
      <w:r>
        <w:rPr/>
        <w:t>日</w:t>
      </w:r>
      <w:r>
        <w:rPr>
          <w:w w:val="100"/>
        </w:rPr>
        <w:t> </w:t>
      </w:r>
      <w:r>
        <w:rPr>
          <w:spacing w:val="-2"/>
        </w:rPr>
        <w:t>到期，根据公司业务发展需要，董事会同意在上述额度到期后，本公司继续为东软香港提供银行</w:t>
      </w:r>
      <w:r>
        <w:rPr>
          <w:spacing w:val="-15"/>
        </w:rPr>
        <w:t> </w:t>
      </w:r>
      <w:r>
        <w:rPr>
          <w:spacing w:val="-15"/>
        </w:rPr>
      </w:r>
      <w:r>
        <w:rPr/>
        <w:t>借款担保，担保额度为</w:t>
      </w:r>
      <w:r>
        <w:rPr>
          <w:spacing w:val="-44"/>
        </w:rPr>
        <w:t> </w:t>
      </w:r>
      <w:r>
        <w:rPr>
          <w:rFonts w:ascii="宋体" w:hAnsi="宋体" w:cs="宋体" w:eastAsia="宋体" w:hint="default"/>
        </w:rPr>
        <w:t>5,000</w:t>
      </w:r>
      <w:r>
        <w:rPr>
          <w:rFonts w:ascii="宋体" w:hAnsi="宋体" w:cs="宋体" w:eastAsia="宋体" w:hint="default"/>
          <w:spacing w:val="-44"/>
        </w:rPr>
        <w:t> </w:t>
      </w:r>
      <w:r>
        <w:rPr/>
        <w:t>万美元或等值其他币种，该额度期限为二年，即从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4"/>
        </w:rPr>
        <w:t> </w:t>
      </w:r>
      <w:r>
        <w:rPr/>
        <w:t>月</w:t>
      </w:r>
      <w:r>
        <w:rPr>
          <w:spacing w:val="-46"/>
        </w:rPr>
        <w:t> </w:t>
      </w:r>
      <w:r>
        <w:rPr>
          <w:rFonts w:ascii="宋体" w:hAnsi="宋体" w:cs="宋体" w:eastAsia="宋体" w:hint="default"/>
        </w:rPr>
        <w:t>12</w:t>
      </w:r>
    </w:p>
    <w:p>
      <w:pPr>
        <w:pStyle w:val="BodyText"/>
        <w:spacing w:line="274" w:lineRule="exact"/>
        <w:ind w:left="1258" w:right="0"/>
        <w:jc w:val="both"/>
      </w:pPr>
      <w:r>
        <w:rPr/>
        <w:t>日起至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2"/>
        </w:rPr>
        <w:t> </w:t>
      </w:r>
      <w:r>
        <w:rPr/>
        <w:t>日止。</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33"/>
          <w:pgSz w:w="11910" w:h="16840"/>
          <w:pgMar w:header="945" w:footer="1248" w:top="1300" w:bottom="1440" w:left="540" w:right="200"/>
        </w:sectPr>
      </w:pPr>
    </w:p>
    <w:p>
      <w:pPr>
        <w:pStyle w:val="Heading4"/>
        <w:spacing w:line="290" w:lineRule="auto" w:before="36"/>
        <w:ind w:left="1258" w:right="-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r>
      <w:r>
        <w:rPr>
          <w:spacing w:val="-1"/>
        </w:rPr>
        <w:t>委托他人进行现金资产管理的情况</w:t>
      </w:r>
      <w:r>
        <w:rPr>
          <w:spacing w:val="-90"/>
        </w:rPr>
        <w:t> </w:t>
      </w:r>
      <w:r>
        <w:rPr>
          <w:spacing w:val="-90"/>
        </w:rPr>
      </w:r>
      <w:r>
        <w:rPr>
          <w:rFonts w:ascii="宋体" w:hAnsi="宋体" w:cs="宋体" w:eastAsia="宋体" w:hint="default"/>
        </w:rPr>
        <w:t>1</w:t>
      </w:r>
      <w:r>
        <w:rPr/>
        <w:t>、</w:t>
      </w:r>
      <w:r>
        <w:rPr>
          <w:spacing w:val="1"/>
        </w:rPr>
        <w:t> </w:t>
      </w:r>
      <w:r>
        <w:rPr/>
        <w:t>委托理财情况</w:t>
      </w:r>
      <w:r>
        <w:rPr>
          <w:b w:val="0"/>
          <w:bCs w:val="0"/>
        </w:rPr>
      </w:r>
    </w:p>
    <w:p>
      <w:pPr>
        <w:pStyle w:val="Heading4"/>
        <w:spacing w:line="273" w:lineRule="exact" w:before="14"/>
        <w:ind w:left="1258" w:right="-1"/>
        <w:jc w:val="left"/>
        <w:rPr>
          <w:b w:val="0"/>
          <w:bCs w:val="0"/>
        </w:rPr>
      </w:pPr>
      <w:r>
        <w:rPr/>
        <w:t>（</w:t>
      </w:r>
      <w:r>
        <w:rPr>
          <w:rFonts w:ascii="宋体" w:hAnsi="宋体" w:cs="宋体" w:eastAsia="宋体" w:hint="default"/>
        </w:rPr>
        <w:t>1</w:t>
      </w:r>
      <w:r>
        <w:rPr/>
        <w:t>）委托理财总体情况</w:t>
      </w:r>
      <w:r>
        <w:rPr>
          <w:b w:val="0"/>
          <w:bCs w:val="0"/>
        </w:rPr>
      </w:r>
    </w:p>
    <w:p>
      <w:pPr>
        <w:pStyle w:val="BodyText"/>
        <w:tabs>
          <w:tab w:pos="2100" w:val="left" w:leader="none"/>
        </w:tabs>
        <w:spacing w:line="273" w:lineRule="exact"/>
        <w:ind w:left="1258" w:right="-1"/>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2520" w:val="left" w:leader="none"/>
        </w:tabs>
        <w:spacing w:line="240" w:lineRule="auto"/>
        <w:ind w:left="1258" w:right="0"/>
        <w:jc w:val="left"/>
      </w:pPr>
      <w:r>
        <w:rPr>
          <w:spacing w:val="-1"/>
        </w:rPr>
        <w:t>单位：万元</w:t>
        <w:tab/>
      </w:r>
      <w:r>
        <w:rPr>
          <w:spacing w:val="-2"/>
        </w:rPr>
        <w:t>币种：人民币</w:t>
      </w:r>
    </w:p>
    <w:p>
      <w:pPr>
        <w:spacing w:after="0" w:line="240" w:lineRule="auto"/>
        <w:jc w:val="left"/>
        <w:sectPr>
          <w:type w:val="continuous"/>
          <w:pgSz w:w="11910" w:h="16840"/>
          <w:pgMar w:top="1580" w:bottom="280" w:left="540" w:right="200"/>
          <w:cols w:num="2" w:equalWidth="0">
            <w:col w:w="4844" w:space="1466"/>
            <w:col w:w="4860"/>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6"/>
              <w:jc w:val="righ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5"/>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sz w:val="21"/>
              </w:rPr>
              <w:t>91,300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sz w:val="21"/>
              </w:rPr>
              <w:t>62,000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15"/>
          <w:szCs w:val="15"/>
        </w:rPr>
      </w:pPr>
    </w:p>
    <w:p>
      <w:pPr>
        <w:pStyle w:val="Heading4"/>
        <w:spacing w:line="274" w:lineRule="exact" w:before="36"/>
        <w:ind w:left="1258" w:right="0"/>
        <w:jc w:val="left"/>
        <w:rPr>
          <w:b w:val="0"/>
          <w:bCs w:val="0"/>
        </w:rPr>
      </w:pPr>
      <w:r>
        <w:rPr/>
        <w:t>其他情况</w:t>
      </w:r>
      <w:r>
        <w:rPr>
          <w:b w:val="0"/>
          <w:bCs w:val="0"/>
        </w:rPr>
      </w:r>
    </w:p>
    <w:p>
      <w:pPr>
        <w:pStyle w:val="BodyText"/>
        <w:tabs>
          <w:tab w:pos="2100" w:val="left" w:leader="none"/>
        </w:tabs>
        <w:spacing w:line="274" w:lineRule="exact"/>
        <w:ind w:left="1258" w:right="0"/>
        <w:jc w:val="left"/>
      </w:pPr>
      <w:r>
        <w:rPr>
          <w:spacing w:val="-1"/>
        </w:rPr>
        <w:t>□适用</w:t>
        <w:tab/>
      </w:r>
      <w:r>
        <w:rPr>
          <w:spacing w:val="-2"/>
        </w:rPr>
        <w:t>√不适用</w:t>
      </w:r>
    </w:p>
    <w:p>
      <w:pPr>
        <w:spacing w:after="0" w:line="274" w:lineRule="exact"/>
        <w:jc w:val="left"/>
        <w:sectPr>
          <w:type w:val="continuous"/>
          <w:pgSz w:w="11910" w:h="16840"/>
          <w:pgMar w:top="1580" w:bottom="280" w:left="540" w:right="200"/>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34"/>
          <w:pgSz w:w="11910" w:h="16840"/>
          <w:pgMar w:footer="1248" w:header="945" w:top="1300" w:bottom="1440" w:left="540" w:right="480"/>
        </w:sectPr>
      </w:pPr>
    </w:p>
    <w:p>
      <w:pPr>
        <w:pStyle w:val="Heading4"/>
        <w:spacing w:line="274" w:lineRule="exact" w:before="36"/>
        <w:ind w:left="1258" w:right="-17"/>
        <w:jc w:val="left"/>
        <w:rPr>
          <w:b w:val="0"/>
          <w:bCs w:val="0"/>
        </w:rPr>
      </w:pPr>
      <w:r>
        <w:rPr/>
        <w:t>（</w:t>
      </w:r>
      <w:r>
        <w:rPr>
          <w:rFonts w:ascii="宋体" w:hAnsi="宋体" w:cs="宋体" w:eastAsia="宋体" w:hint="default"/>
        </w:rPr>
        <w:t>2</w:t>
      </w:r>
      <w:r>
        <w:rPr/>
        <w:t>）单项委托理财情况</w:t>
      </w:r>
      <w:r>
        <w:rPr>
          <w:b w:val="0"/>
          <w:bCs w:val="0"/>
        </w:rPr>
      </w:r>
    </w:p>
    <w:p>
      <w:pPr>
        <w:pStyle w:val="BodyText"/>
        <w:tabs>
          <w:tab w:pos="2100" w:val="left" w:leader="none"/>
        </w:tabs>
        <w:spacing w:line="274" w:lineRule="exact"/>
        <w:ind w:left="125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520" w:val="left" w:leader="none"/>
        </w:tabs>
        <w:spacing w:line="240" w:lineRule="auto"/>
        <w:ind w:left="1258" w:right="0"/>
        <w:jc w:val="left"/>
      </w:pPr>
      <w:r>
        <w:rPr>
          <w:spacing w:val="-1"/>
        </w:rPr>
        <w:t>单位：万元</w:t>
        <w:tab/>
      </w:r>
      <w:r>
        <w:rPr>
          <w:spacing w:val="-2"/>
        </w:rPr>
        <w:t>币种：人民币</w:t>
      </w:r>
    </w:p>
    <w:p>
      <w:pPr>
        <w:spacing w:after="0" w:line="240" w:lineRule="auto"/>
        <w:jc w:val="left"/>
        <w:sectPr>
          <w:type w:val="continuous"/>
          <w:pgSz w:w="11910" w:h="16840"/>
          <w:pgMar w:top="1580" w:bottom="280" w:left="540" w:right="480"/>
          <w:cols w:num="2" w:equalWidth="0">
            <w:col w:w="3476" w:space="2834"/>
            <w:col w:w="458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92"/>
        <w:gridCol w:w="943"/>
        <w:gridCol w:w="936"/>
        <w:gridCol w:w="939"/>
        <w:gridCol w:w="938"/>
        <w:gridCol w:w="794"/>
        <w:gridCol w:w="1078"/>
        <w:gridCol w:w="792"/>
        <w:gridCol w:w="794"/>
        <w:gridCol w:w="651"/>
        <w:gridCol w:w="922"/>
        <w:gridCol w:w="490"/>
        <w:gridCol w:w="566"/>
      </w:tblGrid>
      <w:tr>
        <w:trPr>
          <w:trHeight w:val="234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283" w:right="108" w:hanging="180"/>
              <w:jc w:val="left"/>
              <w:rPr>
                <w:rFonts w:ascii="宋体" w:hAnsi="宋体" w:cs="宋体" w:eastAsia="宋体" w:hint="default"/>
                <w:sz w:val="18"/>
                <w:szCs w:val="18"/>
              </w:rPr>
            </w:pPr>
            <w:r>
              <w:rPr>
                <w:rFonts w:ascii="宋体" w:hAnsi="宋体" w:cs="宋体" w:eastAsia="宋体" w:hint="default"/>
                <w:sz w:val="18"/>
                <w:szCs w:val="18"/>
              </w:rPr>
              <w:t>委托理财 类型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280" w:right="10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03" w:right="104"/>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11" w:right="21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350" w:right="177" w:hanging="181"/>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17" w:right="122" w:firstLine="91"/>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19" w:right="121" w:hanging="2"/>
              <w:jc w:val="center"/>
              <w:rPr>
                <w:rFonts w:ascii="宋体" w:hAnsi="宋体" w:cs="宋体" w:eastAsia="宋体" w:hint="default"/>
                <w:sz w:val="18"/>
                <w:szCs w:val="18"/>
              </w:rPr>
            </w:pPr>
            <w:r>
              <w:rPr>
                <w:rFonts w:ascii="宋体" w:hAnsi="宋体" w:cs="宋体" w:eastAsia="宋体" w:hint="default"/>
                <w:sz w:val="18"/>
                <w:szCs w:val="18"/>
              </w:rPr>
              <w:t>预期收 益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36" w:right="142"/>
              <w:jc w:val="both"/>
              <w:rPr>
                <w:rFonts w:ascii="宋体" w:hAnsi="宋体" w:cs="宋体" w:eastAsia="宋体" w:hint="default"/>
                <w:sz w:val="18"/>
                <w:szCs w:val="18"/>
              </w:rPr>
            </w:pPr>
            <w:r>
              <w:rPr>
                <w:rFonts w:ascii="宋体" w:hAnsi="宋体" w:cs="宋体" w:eastAsia="宋体" w:hint="default"/>
                <w:sz w:val="18"/>
                <w:szCs w:val="18"/>
              </w:rPr>
              <w:t>实际 收益 或损 失</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84" w:right="185"/>
              <w:jc w:val="left"/>
              <w:rPr>
                <w:rFonts w:ascii="宋体" w:hAnsi="宋体" w:cs="宋体" w:eastAsia="宋体" w:hint="default"/>
                <w:sz w:val="18"/>
                <w:szCs w:val="18"/>
              </w:rPr>
            </w:pPr>
            <w:r>
              <w:rPr>
                <w:rFonts w:ascii="宋体" w:hAnsi="宋体" w:cs="宋体" w:eastAsia="宋体" w:hint="default"/>
                <w:sz w:val="18"/>
                <w:szCs w:val="18"/>
              </w:rPr>
              <w:t>实际收 回情况</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41" w:right="143" w:firstLine="45"/>
              <w:jc w:val="both"/>
              <w:rPr>
                <w:rFonts w:ascii="宋体" w:hAnsi="宋体" w:cs="宋体" w:eastAsia="宋体" w:hint="default"/>
                <w:sz w:val="18"/>
                <w:szCs w:val="18"/>
              </w:rPr>
            </w:pPr>
            <w:r>
              <w:rPr>
                <w:rFonts w:ascii="宋体" w:hAnsi="宋体" w:cs="宋体" w:eastAsia="宋体" w:hint="default"/>
                <w:sz w:val="18"/>
                <w:szCs w:val="18"/>
              </w:rPr>
              <w:t>值 准 备 计 提 金 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4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r>
      <w:tr>
        <w:trPr>
          <w:trHeight w:val="47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2016/12/</w:t>
            </w:r>
          </w:p>
          <w:p>
            <w:pPr>
              <w:pStyle w:val="TableParagraph"/>
              <w:spacing w:line="234" w:lineRule="exact"/>
              <w:ind w:left="103" w:right="0"/>
              <w:jc w:val="left"/>
              <w:rPr>
                <w:rFonts w:ascii="宋体" w:hAnsi="宋体" w:cs="宋体" w:eastAsia="宋体" w:hint="default"/>
                <w:sz w:val="18"/>
                <w:szCs w:val="18"/>
              </w:rPr>
            </w:pPr>
            <w:r>
              <w:rPr>
                <w:rFonts w:ascii="宋体"/>
                <w:sz w:val="18"/>
              </w:rPr>
              <w:t>27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2017/1/1</w:t>
            </w:r>
          </w:p>
          <w:p>
            <w:pPr>
              <w:pStyle w:val="TableParagraph"/>
              <w:spacing w:line="234" w:lineRule="exact"/>
              <w:ind w:left="103" w:right="0"/>
              <w:jc w:val="left"/>
              <w:rPr>
                <w:rFonts w:ascii="宋体" w:hAnsi="宋体" w:cs="宋体" w:eastAsia="宋体" w:hint="default"/>
                <w:sz w:val="18"/>
                <w:szCs w:val="18"/>
              </w:rPr>
            </w:pPr>
            <w:r>
              <w:rPr>
                <w:rFonts w:ascii="宋体"/>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3.60%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2016/12/</w:t>
            </w:r>
          </w:p>
          <w:p>
            <w:pPr>
              <w:pStyle w:val="TableParagraph"/>
              <w:spacing w:line="234" w:lineRule="exact"/>
              <w:ind w:left="103" w:right="0"/>
              <w:jc w:val="left"/>
              <w:rPr>
                <w:rFonts w:ascii="宋体" w:hAnsi="宋体" w:cs="宋体" w:eastAsia="宋体" w:hint="default"/>
                <w:sz w:val="18"/>
                <w:szCs w:val="18"/>
              </w:rPr>
            </w:pPr>
            <w:r>
              <w:rPr>
                <w:rFonts w:ascii="宋体"/>
                <w:sz w:val="18"/>
              </w:rPr>
              <w:t>27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2017/1/1</w:t>
            </w:r>
          </w:p>
          <w:p>
            <w:pPr>
              <w:pStyle w:val="TableParagraph"/>
              <w:spacing w:line="234" w:lineRule="exact"/>
              <w:ind w:left="103" w:right="0"/>
              <w:jc w:val="left"/>
              <w:rPr>
                <w:rFonts w:ascii="宋体" w:hAnsi="宋体" w:cs="宋体" w:eastAsia="宋体" w:hint="default"/>
                <w:sz w:val="18"/>
                <w:szCs w:val="18"/>
              </w:rPr>
            </w:pPr>
            <w:r>
              <w:rPr>
                <w:rFonts w:ascii="宋体"/>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交通银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2016/12/</w:t>
            </w:r>
          </w:p>
          <w:p>
            <w:pPr>
              <w:pStyle w:val="TableParagraph"/>
              <w:spacing w:line="234" w:lineRule="exact"/>
              <w:ind w:left="103" w:right="0"/>
              <w:jc w:val="left"/>
              <w:rPr>
                <w:rFonts w:ascii="宋体" w:hAnsi="宋体" w:cs="宋体" w:eastAsia="宋体" w:hint="default"/>
                <w:sz w:val="18"/>
                <w:szCs w:val="18"/>
              </w:rPr>
            </w:pPr>
            <w:r>
              <w:rPr>
                <w:rFonts w:ascii="宋体"/>
                <w:sz w:val="18"/>
              </w:rPr>
              <w:t>30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2017/4/1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到期还本</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交通银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2016/12/</w:t>
            </w:r>
          </w:p>
          <w:p>
            <w:pPr>
              <w:pStyle w:val="TableParagraph"/>
              <w:spacing w:line="234" w:lineRule="exact"/>
              <w:ind w:left="103" w:right="0"/>
              <w:jc w:val="left"/>
              <w:rPr>
                <w:rFonts w:ascii="宋体" w:hAnsi="宋体" w:cs="宋体" w:eastAsia="宋体" w:hint="default"/>
                <w:sz w:val="18"/>
                <w:szCs w:val="18"/>
              </w:rPr>
            </w:pPr>
            <w:r>
              <w:rPr>
                <w:rFonts w:ascii="宋体"/>
                <w:sz w:val="18"/>
              </w:rPr>
              <w:t>30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2017/3/1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2016/12/</w:t>
            </w:r>
          </w:p>
          <w:p>
            <w:pPr>
              <w:pStyle w:val="TableParagraph"/>
              <w:spacing w:line="234" w:lineRule="exact"/>
              <w:ind w:left="103" w:right="0"/>
              <w:jc w:val="left"/>
              <w:rPr>
                <w:rFonts w:ascii="宋体" w:hAnsi="宋体" w:cs="宋体" w:eastAsia="宋体" w:hint="default"/>
                <w:sz w:val="18"/>
                <w:szCs w:val="18"/>
              </w:rPr>
            </w:pPr>
            <w:r>
              <w:rPr>
                <w:rFonts w:ascii="宋体"/>
                <w:sz w:val="18"/>
              </w:rPr>
              <w:t>30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2017/3/1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2017/1/1</w:t>
            </w: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2017/2/1</w:t>
            </w: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2017/1/1</w:t>
            </w:r>
          </w:p>
          <w:p>
            <w:pPr>
              <w:pStyle w:val="TableParagraph"/>
              <w:spacing w:line="234" w:lineRule="exact"/>
              <w:ind w:left="103" w:right="0"/>
              <w:jc w:val="left"/>
              <w:rPr>
                <w:rFonts w:ascii="宋体" w:hAnsi="宋体" w:cs="宋体" w:eastAsia="宋体" w:hint="default"/>
                <w:sz w:val="18"/>
                <w:szCs w:val="18"/>
              </w:rPr>
            </w:pPr>
            <w:r>
              <w:rPr>
                <w:rFonts w:ascii="宋体"/>
                <w:sz w:val="18"/>
              </w:rPr>
              <w:t>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2017/2/1</w:t>
            </w:r>
          </w:p>
          <w:p>
            <w:pPr>
              <w:pStyle w:val="TableParagraph"/>
              <w:spacing w:line="234" w:lineRule="exact"/>
              <w:ind w:left="103" w:right="0"/>
              <w:jc w:val="left"/>
              <w:rPr>
                <w:rFonts w:ascii="宋体" w:hAnsi="宋体" w:cs="宋体" w:eastAsia="宋体" w:hint="default"/>
                <w:sz w:val="18"/>
                <w:szCs w:val="18"/>
              </w:rPr>
            </w:pPr>
            <w:r>
              <w:rPr>
                <w:rFonts w:ascii="宋体"/>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2017/2/1</w:t>
            </w:r>
          </w:p>
          <w:p>
            <w:pPr>
              <w:pStyle w:val="TableParagraph"/>
              <w:spacing w:line="234" w:lineRule="exact"/>
              <w:ind w:left="103" w:right="0"/>
              <w:jc w:val="left"/>
              <w:rPr>
                <w:rFonts w:ascii="宋体" w:hAnsi="宋体" w:cs="宋体" w:eastAsia="宋体" w:hint="default"/>
                <w:sz w:val="18"/>
                <w:szCs w:val="18"/>
              </w:rPr>
            </w:pPr>
            <w:r>
              <w:rPr>
                <w:rFonts w:ascii="宋体"/>
                <w:sz w:val="18"/>
              </w:rPr>
              <w:t>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2017/3/1</w:t>
            </w:r>
          </w:p>
          <w:p>
            <w:pPr>
              <w:pStyle w:val="TableParagraph"/>
              <w:spacing w:line="234" w:lineRule="exact"/>
              <w:ind w:left="103" w:right="0"/>
              <w:jc w:val="left"/>
              <w:rPr>
                <w:rFonts w:ascii="宋体" w:hAnsi="宋体" w:cs="宋体" w:eastAsia="宋体" w:hint="default"/>
                <w:sz w:val="18"/>
                <w:szCs w:val="18"/>
              </w:rPr>
            </w:pPr>
            <w:r>
              <w:rPr>
                <w:rFonts w:ascii="宋体"/>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3.75%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2017/2/1</w:t>
            </w:r>
          </w:p>
          <w:p>
            <w:pPr>
              <w:pStyle w:val="TableParagraph"/>
              <w:spacing w:line="240" w:lineRule="auto"/>
              <w:ind w:left="103" w:right="0"/>
              <w:jc w:val="left"/>
              <w:rPr>
                <w:rFonts w:ascii="宋体" w:hAnsi="宋体" w:cs="宋体" w:eastAsia="宋体" w:hint="default"/>
                <w:sz w:val="18"/>
                <w:szCs w:val="18"/>
              </w:rPr>
            </w:pPr>
            <w:r>
              <w:rPr>
                <w:rFonts w:ascii="宋体"/>
                <w:sz w:val="18"/>
              </w:rPr>
              <w:t>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2017/3/2</w:t>
            </w: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2017/3/2</w:t>
            </w:r>
          </w:p>
          <w:p>
            <w:pPr>
              <w:pStyle w:val="TableParagraph"/>
              <w:spacing w:line="234" w:lineRule="exact"/>
              <w:ind w:left="103" w:right="0"/>
              <w:jc w:val="left"/>
              <w:rPr>
                <w:rFonts w:ascii="宋体" w:hAnsi="宋体" w:cs="宋体" w:eastAsia="宋体" w:hint="default"/>
                <w:sz w:val="18"/>
                <w:szCs w:val="18"/>
              </w:rPr>
            </w:pPr>
            <w:r>
              <w:rPr>
                <w:rFonts w:ascii="宋体"/>
                <w:sz w:val="18"/>
              </w:rPr>
              <w:t>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2017/4/2</w:t>
            </w:r>
          </w:p>
          <w:p>
            <w:pPr>
              <w:pStyle w:val="TableParagraph"/>
              <w:spacing w:line="234" w:lineRule="exact"/>
              <w:ind w:left="103" w:right="0"/>
              <w:jc w:val="left"/>
              <w:rPr>
                <w:rFonts w:ascii="宋体" w:hAnsi="宋体" w:cs="宋体" w:eastAsia="宋体" w:hint="default"/>
                <w:sz w:val="18"/>
                <w:szCs w:val="18"/>
              </w:rPr>
            </w:pPr>
            <w:r>
              <w:rPr>
                <w:rFonts w:ascii="宋体"/>
                <w:sz w:val="18"/>
              </w:rPr>
              <w:t>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2017/5/5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2017/6/5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4.40%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75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75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2017/6/6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2017/6/2</w:t>
            </w:r>
          </w:p>
          <w:p>
            <w:pPr>
              <w:pStyle w:val="TableParagraph"/>
              <w:spacing w:line="234" w:lineRule="exact"/>
              <w:ind w:left="103" w:right="0"/>
              <w:jc w:val="lef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2017/6/2</w:t>
            </w:r>
          </w:p>
          <w:p>
            <w:pPr>
              <w:pStyle w:val="TableParagraph"/>
              <w:spacing w:line="234" w:lineRule="exact"/>
              <w:ind w:left="103" w:right="0"/>
              <w:jc w:val="left"/>
              <w:rPr>
                <w:rFonts w:ascii="宋体" w:hAnsi="宋体" w:cs="宋体" w:eastAsia="宋体" w:hint="default"/>
                <w:sz w:val="18"/>
                <w:szCs w:val="18"/>
              </w:rPr>
            </w:pPr>
            <w:r>
              <w:rPr>
                <w:rFonts w:ascii="宋体"/>
                <w:sz w:val="18"/>
              </w:rPr>
              <w:t>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2017/7/2</w:t>
            </w:r>
          </w:p>
          <w:p>
            <w:pPr>
              <w:pStyle w:val="TableParagraph"/>
              <w:spacing w:line="234" w:lineRule="exact"/>
              <w:ind w:left="103" w:right="0"/>
              <w:jc w:val="lef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2017/7/1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2017/12/</w:t>
            </w:r>
          </w:p>
          <w:p>
            <w:pPr>
              <w:pStyle w:val="TableParagraph"/>
              <w:spacing w:line="234" w:lineRule="exact"/>
              <w:ind w:left="103" w:right="0"/>
              <w:jc w:val="left"/>
              <w:rPr>
                <w:rFonts w:ascii="宋体" w:hAnsi="宋体" w:cs="宋体" w:eastAsia="宋体" w:hint="default"/>
                <w:sz w:val="18"/>
                <w:szCs w:val="18"/>
              </w:rPr>
            </w:pPr>
            <w:r>
              <w:rPr>
                <w:rFonts w:ascii="宋体"/>
                <w:sz w:val="18"/>
              </w:rPr>
              <w:t>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到期还本</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2017/12/</w:t>
            </w:r>
          </w:p>
          <w:p>
            <w:pPr>
              <w:pStyle w:val="TableParagraph"/>
              <w:spacing w:line="234" w:lineRule="exact"/>
              <w:ind w:left="103" w:right="0"/>
              <w:jc w:val="left"/>
              <w:rPr>
                <w:rFonts w:ascii="宋体" w:hAnsi="宋体" w:cs="宋体" w:eastAsia="宋体" w:hint="default"/>
                <w:sz w:val="18"/>
                <w:szCs w:val="18"/>
              </w:rPr>
            </w:pPr>
            <w:r>
              <w:rPr>
                <w:rFonts w:ascii="宋体"/>
                <w:sz w:val="18"/>
              </w:rPr>
              <w:t>13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2018/2/2</w:t>
            </w:r>
          </w:p>
          <w:p>
            <w:pPr>
              <w:pStyle w:val="TableParagraph"/>
              <w:spacing w:line="234" w:lineRule="exact"/>
              <w:ind w:left="103" w:right="0"/>
              <w:jc w:val="left"/>
              <w:rPr>
                <w:rFonts w:ascii="宋体" w:hAnsi="宋体" w:cs="宋体" w:eastAsia="宋体" w:hint="default"/>
                <w:sz w:val="18"/>
                <w:szCs w:val="18"/>
              </w:rPr>
            </w:pPr>
            <w:r>
              <w:rPr>
                <w:rFonts w:ascii="宋体"/>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w:t>
            </w:r>
          </w:p>
        </w:tc>
        <w:tc>
          <w:tcPr>
            <w:tcW w:w="6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w:t>
            </w:r>
          </w:p>
          <w:p>
            <w:pPr>
              <w:pStyle w:val="TableParagraph"/>
              <w:spacing w:line="240" w:lineRule="auto"/>
              <w:ind w:left="103" w:right="0"/>
              <w:jc w:val="left"/>
              <w:rPr>
                <w:rFonts w:ascii="宋体" w:hAnsi="宋体" w:cs="宋体" w:eastAsia="宋体" w:hint="default"/>
                <w:sz w:val="18"/>
                <w:szCs w:val="18"/>
              </w:rPr>
            </w:pPr>
            <w:r>
              <w:rPr>
                <w:rFonts w:ascii="宋体"/>
                <w:sz w:val="18"/>
              </w:rPr>
              <w:t>21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w:t>
            </w: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43</w:t>
            </w:r>
          </w:p>
        </w:tc>
        <w:tc>
          <w:tcPr>
            <w:tcW w:w="6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2017/12/</w:t>
            </w:r>
          </w:p>
          <w:p>
            <w:pPr>
              <w:pStyle w:val="TableParagraph"/>
              <w:spacing w:line="234" w:lineRule="exact"/>
              <w:ind w:left="103" w:right="0"/>
              <w:jc w:val="left"/>
              <w:rPr>
                <w:rFonts w:ascii="宋体" w:hAnsi="宋体" w:cs="宋体" w:eastAsia="宋体" w:hint="default"/>
                <w:sz w:val="18"/>
                <w:szCs w:val="18"/>
              </w:rPr>
            </w:pPr>
            <w:r>
              <w:rPr>
                <w:rFonts w:ascii="宋体"/>
                <w:sz w:val="18"/>
              </w:rPr>
              <w:t>27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2018/3/2</w:t>
            </w:r>
          </w:p>
          <w:p>
            <w:pPr>
              <w:pStyle w:val="TableParagraph"/>
              <w:spacing w:line="234" w:lineRule="exact"/>
              <w:ind w:left="103" w:right="0"/>
              <w:jc w:val="left"/>
              <w:rPr>
                <w:rFonts w:ascii="宋体" w:hAnsi="宋体" w:cs="宋体" w:eastAsia="宋体" w:hint="default"/>
                <w:sz w:val="18"/>
                <w:szCs w:val="18"/>
              </w:rPr>
            </w:pPr>
            <w:r>
              <w:rPr>
                <w:rFonts w:ascii="宋体"/>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244</w:t>
            </w:r>
          </w:p>
        </w:tc>
        <w:tc>
          <w:tcPr>
            <w:tcW w:w="6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兴业银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银行理财</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产品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20,000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2017/12/</w:t>
            </w:r>
          </w:p>
          <w:p>
            <w:pPr>
              <w:pStyle w:val="TableParagraph"/>
              <w:spacing w:line="234" w:lineRule="exact"/>
              <w:ind w:left="103" w:right="0"/>
              <w:jc w:val="left"/>
              <w:rPr>
                <w:rFonts w:ascii="宋体" w:hAnsi="宋体" w:cs="宋体" w:eastAsia="宋体" w:hint="default"/>
                <w:sz w:val="18"/>
                <w:szCs w:val="18"/>
              </w:rPr>
            </w:pPr>
            <w:r>
              <w:rPr>
                <w:rFonts w:ascii="宋体"/>
                <w:sz w:val="18"/>
              </w:rPr>
              <w:t>27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2018/3/2</w:t>
            </w:r>
          </w:p>
          <w:p>
            <w:pPr>
              <w:pStyle w:val="TableParagraph"/>
              <w:spacing w:line="234" w:lineRule="exact"/>
              <w:ind w:left="103" w:right="0"/>
              <w:jc w:val="left"/>
              <w:rPr>
                <w:rFonts w:ascii="宋体" w:hAnsi="宋体" w:cs="宋体" w:eastAsia="宋体" w:hint="default"/>
                <w:sz w:val="18"/>
                <w:szCs w:val="18"/>
              </w:rPr>
            </w:pPr>
            <w:r>
              <w:rPr>
                <w:rFonts w:ascii="宋体"/>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到期后还</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4.95%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244</w:t>
            </w:r>
          </w:p>
        </w:tc>
        <w:tc>
          <w:tcPr>
            <w:tcW w:w="65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4"/>
        <w:spacing w:line="273" w:lineRule="exact" w:before="36"/>
        <w:ind w:left="1258" w:right="0"/>
        <w:jc w:val="left"/>
        <w:rPr>
          <w:b w:val="0"/>
          <w:bCs w:val="0"/>
        </w:rPr>
      </w:pPr>
      <w:r>
        <w:rPr/>
        <w:t>其他情况</w:t>
      </w:r>
      <w:r>
        <w:rPr>
          <w:b w:val="0"/>
          <w:bCs w:val="0"/>
        </w:rPr>
      </w:r>
    </w:p>
    <w:p>
      <w:pPr>
        <w:pStyle w:val="BodyText"/>
        <w:tabs>
          <w:tab w:pos="2100" w:val="left" w:leader="none"/>
        </w:tabs>
        <w:spacing w:line="273" w:lineRule="exact"/>
        <w:ind w:left="12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ind w:left="1258" w:right="0"/>
        <w:jc w:val="left"/>
        <w:rPr>
          <w:b w:val="0"/>
          <w:bCs w:val="0"/>
        </w:rPr>
      </w:pPr>
      <w:r>
        <w:rPr/>
        <w:t>（</w:t>
      </w:r>
      <w:r>
        <w:rPr>
          <w:rFonts w:ascii="宋体" w:hAnsi="宋体" w:cs="宋体" w:eastAsia="宋体" w:hint="default"/>
        </w:rPr>
        <w:t>3</w:t>
      </w:r>
      <w:r>
        <w:rPr/>
        <w:t>）委托理财减值准备</w:t>
      </w:r>
      <w:r>
        <w:rPr>
          <w:b w:val="0"/>
          <w:bCs w:val="0"/>
        </w:rPr>
      </w:r>
    </w:p>
    <w:p>
      <w:pPr>
        <w:spacing w:after="0" w:line="240" w:lineRule="auto"/>
        <w:jc w:val="left"/>
        <w:sectPr>
          <w:type w:val="continuous"/>
          <w:pgSz w:w="11910" w:h="16840"/>
          <w:pgMar w:top="1580" w:bottom="280" w:left="540" w:right="480"/>
        </w:sectPr>
      </w:pPr>
    </w:p>
    <w:p>
      <w:pPr>
        <w:spacing w:line="240" w:lineRule="auto" w:before="3"/>
        <w:rPr>
          <w:rFonts w:ascii="宋体" w:hAnsi="宋体" w:cs="宋体" w:eastAsia="宋体" w:hint="default"/>
          <w:b/>
          <w:bCs/>
          <w:sz w:val="11"/>
          <w:szCs w:val="11"/>
        </w:rPr>
      </w:pPr>
    </w:p>
    <w:p>
      <w:pPr>
        <w:pStyle w:val="BodyText"/>
        <w:tabs>
          <w:tab w:pos="960" w:val="left" w:leader="none"/>
        </w:tabs>
        <w:spacing w:line="240" w:lineRule="auto" w:before="36"/>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Heading4"/>
        <w:spacing w:line="273" w:lineRule="exact" w:before="58"/>
        <w:ind w:left="118" w:right="0"/>
        <w:jc w:val="left"/>
        <w:rPr>
          <w:b w:val="0"/>
          <w:bCs w:val="0"/>
        </w:rPr>
      </w:pPr>
      <w:r>
        <w:rPr/>
        <w:t>（</w:t>
      </w:r>
      <w:r>
        <w:rPr>
          <w:rFonts w:ascii="宋体" w:hAnsi="宋体" w:cs="宋体" w:eastAsia="宋体" w:hint="default"/>
        </w:rPr>
        <w:t>1</w:t>
      </w:r>
      <w:r>
        <w:rPr/>
        <w:t>）委托贷款总体情况</w:t>
      </w:r>
      <w:r>
        <w:rPr>
          <w:b w:val="0"/>
          <w:bCs w:val="0"/>
        </w:rPr>
      </w:r>
    </w:p>
    <w:p>
      <w:pPr>
        <w:tabs>
          <w:tab w:pos="960" w:val="left" w:leader="none"/>
        </w:tabs>
        <w:spacing w:before="0"/>
        <w:ind w:left="118" w:right="72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60" w:val="left" w:leader="none"/>
        </w:tabs>
        <w:spacing w:line="271" w:lineRule="exact"/>
        <w:ind w:left="118" w:right="0"/>
        <w:jc w:val="left"/>
      </w:pPr>
      <w:r>
        <w:rPr>
          <w:spacing w:val="-1"/>
        </w:rPr>
        <w:t>□适用</w:t>
        <w:tab/>
      </w:r>
      <w:r>
        <w:rPr>
          <w:spacing w:val="-2"/>
        </w:rPr>
        <w:t>√不适用</w:t>
      </w:r>
    </w:p>
    <w:p>
      <w:pPr>
        <w:pStyle w:val="Heading4"/>
        <w:spacing w:line="272" w:lineRule="exact"/>
        <w:ind w:left="118" w:right="0"/>
        <w:jc w:val="left"/>
        <w:rPr>
          <w:b w:val="0"/>
          <w:bCs w:val="0"/>
        </w:rPr>
      </w:pPr>
      <w:r>
        <w:rPr/>
        <w:t>（</w:t>
      </w:r>
      <w:r>
        <w:rPr>
          <w:rFonts w:ascii="宋体" w:hAnsi="宋体" w:cs="宋体" w:eastAsia="宋体" w:hint="default"/>
        </w:rPr>
        <w:t>2</w:t>
      </w:r>
      <w:r>
        <w:rPr/>
        <w:t>）单项委托贷款情况</w:t>
      </w:r>
      <w:r>
        <w:rPr>
          <w:b w:val="0"/>
          <w:bCs w:val="0"/>
        </w:rPr>
      </w:r>
    </w:p>
    <w:p>
      <w:pPr>
        <w:tabs>
          <w:tab w:pos="960" w:val="left" w:leader="none"/>
        </w:tabs>
        <w:spacing w:before="0"/>
        <w:ind w:left="118" w:right="72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60" w:val="left" w:leader="none"/>
        </w:tabs>
        <w:spacing w:line="271" w:lineRule="exact"/>
        <w:ind w:left="118" w:right="0"/>
        <w:jc w:val="left"/>
      </w:pPr>
      <w:r>
        <w:rPr>
          <w:spacing w:val="-1"/>
        </w:rPr>
        <w:t>□适用</w:t>
        <w:tab/>
      </w:r>
      <w:r>
        <w:rPr>
          <w:spacing w:val="-2"/>
        </w:rPr>
        <w:t>√不适用</w:t>
      </w:r>
    </w:p>
    <w:p>
      <w:pPr>
        <w:pStyle w:val="Heading4"/>
        <w:spacing w:line="273" w:lineRule="exact"/>
        <w:ind w:left="118" w:right="0"/>
        <w:jc w:val="left"/>
        <w:rPr>
          <w:b w:val="0"/>
          <w:bCs w:val="0"/>
        </w:rPr>
      </w:pPr>
      <w:r>
        <w:rPr/>
        <w:t>（</w:t>
      </w:r>
      <w:r>
        <w:rPr>
          <w:rFonts w:ascii="宋体" w:hAnsi="宋体" w:cs="宋体" w:eastAsia="宋体" w:hint="default"/>
        </w:rPr>
        <w:t>3</w:t>
      </w:r>
      <w:r>
        <w:rPr/>
        <w:t>）委托贷款减值准备</w:t>
      </w:r>
      <w:r>
        <w:rPr>
          <w:b w:val="0"/>
          <w:bCs w:val="0"/>
        </w:rPr>
      </w:r>
    </w:p>
    <w:p>
      <w:pPr>
        <w:tabs>
          <w:tab w:pos="960" w:val="left" w:leader="none"/>
        </w:tabs>
        <w:spacing w:line="290" w:lineRule="auto" w:before="0"/>
        <w:ind w:left="118" w:right="72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60" w:val="left" w:leader="none"/>
        </w:tabs>
        <w:spacing w:line="240" w:lineRule="auto" w:before="12"/>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t>其他重大合同</w:t>
      </w:r>
      <w:r>
        <w:rPr>
          <w:b w:val="0"/>
          <w:bCs w:val="0"/>
        </w:rPr>
      </w:r>
    </w:p>
    <w:p>
      <w:pPr>
        <w:pStyle w:val="BodyText"/>
        <w:tabs>
          <w:tab w:pos="960" w:val="left" w:leader="none"/>
        </w:tabs>
        <w:spacing w:line="273" w:lineRule="exact" w:before="58"/>
        <w:ind w:left="118" w:right="0"/>
        <w:jc w:val="left"/>
      </w:pPr>
      <w:r>
        <w:rPr>
          <w:spacing w:val="-1"/>
        </w:rPr>
        <w:t>√适用</w:t>
        <w:tab/>
      </w:r>
      <w:r>
        <w:rPr>
          <w:spacing w:val="-2"/>
        </w:rPr>
        <w:t>□不适用</w:t>
      </w:r>
    </w:p>
    <w:p>
      <w:pPr>
        <w:pStyle w:val="BodyText"/>
        <w:spacing w:line="237" w:lineRule="auto"/>
        <w:ind w:left="118" w:right="107" w:firstLine="419"/>
        <w:jc w:val="both"/>
      </w:pPr>
      <w:r>
        <w:rPr>
          <w:rFonts w:ascii="宋体" w:hAnsi="宋体" w:cs="宋体" w:eastAsia="宋体" w:hint="default"/>
          <w:spacing w:val="-16"/>
        </w:rPr>
        <w:t>1</w:t>
      </w:r>
      <w:r>
        <w:rPr>
          <w:spacing w:val="-16"/>
        </w:rPr>
        <w:t>、于</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12</w:t>
      </w:r>
      <w:r>
        <w:rPr>
          <w:rFonts w:ascii="宋体" w:hAnsi="宋体" w:cs="宋体" w:eastAsia="宋体" w:hint="default"/>
          <w:spacing w:val="-47"/>
        </w:rPr>
        <w:t> </w:t>
      </w:r>
      <w:r>
        <w:rPr>
          <w:spacing w:val="-3"/>
        </w:rPr>
        <w:t>日召开的公司六届八次董事会审议通过了《关于与奇瑞量子汽车有限公</w:t>
      </w:r>
      <w:r>
        <w:rPr>
          <w:w w:val="100"/>
        </w:rPr>
        <w:t> </w:t>
      </w:r>
      <w:r>
        <w:rPr>
          <w:spacing w:val="-1"/>
        </w:rPr>
        <w:t>司（现已更名为“观致汽车有限公司”）签订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等相关文件的议案》、《关于与阿尔派电</w:t>
      </w:r>
      <w:r>
        <w:rPr>
          <w:spacing w:val="-55"/>
        </w:rPr>
        <w:t> </w:t>
      </w:r>
      <w:r>
        <w:rPr>
          <w:spacing w:val="-55"/>
        </w:rPr>
      </w:r>
      <w:r>
        <w:rPr/>
        <w:t>子（中国）有限公司签订</w:t>
      </w:r>
      <w:r>
        <w:rPr>
          <w:rFonts w:ascii="宋体" w:hAnsi="宋体" w:cs="宋体" w:eastAsia="宋体" w:hint="default"/>
        </w:rPr>
        <w:t>&lt;</w:t>
      </w:r>
      <w:r>
        <w:rPr/>
        <w:t>意向书</w:t>
      </w:r>
      <w:r>
        <w:rPr>
          <w:rFonts w:ascii="宋体" w:hAnsi="宋体" w:cs="宋体" w:eastAsia="宋体" w:hint="default"/>
        </w:rPr>
        <w:t>&gt;</w:t>
      </w:r>
      <w:r>
        <w:rPr/>
        <w:t>等相关文件的议案》。于</w:t>
      </w:r>
      <w:r>
        <w:rPr>
          <w:spacing w:val="-31"/>
        </w:rPr>
        <w:t> </w:t>
      </w:r>
      <w:r>
        <w:rPr>
          <w:rFonts w:ascii="宋体" w:hAnsi="宋体" w:cs="宋体" w:eastAsia="宋体" w:hint="default"/>
        </w:rPr>
        <w:t>2012</w:t>
      </w:r>
      <w:r>
        <w:rPr>
          <w:rFonts w:ascii="宋体" w:hAnsi="宋体" w:cs="宋体" w:eastAsia="宋体" w:hint="default"/>
          <w:spacing w:val="-31"/>
        </w:rPr>
        <w:t> </w:t>
      </w:r>
      <w:r>
        <w:rPr/>
        <w:t>年</w:t>
      </w:r>
      <w:r>
        <w:rPr>
          <w:spacing w:val="-29"/>
        </w:rPr>
        <w:t> </w:t>
      </w:r>
      <w:r>
        <w:rPr>
          <w:rFonts w:ascii="宋体" w:hAnsi="宋体" w:cs="宋体" w:eastAsia="宋体" w:hint="default"/>
        </w:rPr>
        <w:t>3</w:t>
      </w:r>
      <w:r>
        <w:rPr>
          <w:rFonts w:ascii="宋体" w:hAnsi="宋体" w:cs="宋体" w:eastAsia="宋体" w:hint="default"/>
          <w:spacing w:val="-31"/>
        </w:rPr>
        <w:t> </w:t>
      </w:r>
      <w:r>
        <w:rPr/>
        <w:t>月</w:t>
      </w:r>
      <w:r>
        <w:rPr>
          <w:spacing w:val="-29"/>
        </w:rPr>
        <w:t> </w:t>
      </w:r>
      <w:r>
        <w:rPr>
          <w:rFonts w:ascii="宋体" w:hAnsi="宋体" w:cs="宋体" w:eastAsia="宋体" w:hint="default"/>
        </w:rPr>
        <w:t>30</w:t>
      </w:r>
      <w:r>
        <w:rPr>
          <w:rFonts w:ascii="宋体" w:hAnsi="宋体" w:cs="宋体" w:eastAsia="宋体" w:hint="default"/>
          <w:spacing w:val="-31"/>
        </w:rPr>
        <w:t> </w:t>
      </w:r>
      <w:r>
        <w:rPr/>
        <w:t>日召开的公司</w:t>
      </w:r>
      <w:r>
        <w:rPr>
          <w:spacing w:val="-31"/>
        </w:rPr>
        <w:t> </w:t>
      </w:r>
      <w:r>
        <w:rPr>
          <w:rFonts w:ascii="宋体" w:hAnsi="宋体" w:cs="宋体" w:eastAsia="宋体" w:hint="default"/>
        </w:rPr>
        <w:t>2012</w:t>
      </w:r>
      <w:r>
        <w:rPr>
          <w:rFonts w:ascii="宋体" w:hAnsi="宋体" w:cs="宋体" w:eastAsia="宋体" w:hint="default"/>
          <w:w w:val="100"/>
        </w:rPr>
        <w:t> </w:t>
      </w:r>
      <w:r>
        <w:rPr>
          <w:spacing w:val="-1"/>
        </w:rPr>
        <w:t>年第一次临时股东大会审议通过了《关于与阿尔派电子（中国）有限公司签订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w:t>
      </w:r>
      <w:r>
        <w:rPr>
          <w:spacing w:val="-55"/>
        </w:rPr>
        <w:t> </w:t>
      </w:r>
      <w:r>
        <w:rPr>
          <w:spacing w:val="-55"/>
        </w:rPr>
      </w:r>
      <w:r>
        <w:rPr>
          <w:spacing w:val="-11"/>
        </w:rPr>
        <w:t>件的议案》。具体内容详见本公司于</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3</w:t>
      </w:r>
      <w:r>
        <w:rPr>
          <w:rFonts w:ascii="宋体" w:hAnsi="宋体" w:cs="宋体" w:eastAsia="宋体" w:hint="default"/>
          <w:spacing w:val="-49"/>
        </w:rPr>
        <w:t> </w:t>
      </w:r>
      <w:r>
        <w:rPr/>
        <w:t>月</w:t>
      </w:r>
      <w:r>
        <w:rPr>
          <w:spacing w:val="-47"/>
        </w:rPr>
        <w:t> </w:t>
      </w:r>
      <w:r>
        <w:rPr>
          <w:rFonts w:ascii="宋体" w:hAnsi="宋体" w:cs="宋体" w:eastAsia="宋体" w:hint="default"/>
        </w:rPr>
        <w:t>15</w:t>
      </w:r>
      <w:r>
        <w:rPr>
          <w:rFonts w:ascii="宋体" w:hAnsi="宋体" w:cs="宋体" w:eastAsia="宋体" w:hint="default"/>
          <w:spacing w:val="-49"/>
        </w:rPr>
        <w:t> </w:t>
      </w:r>
      <w:r>
        <w:rPr>
          <w:spacing w:val="-13"/>
        </w:rPr>
        <w:t>日、</w:t>
      </w:r>
      <w:r>
        <w:rPr>
          <w:rFonts w:ascii="宋体" w:hAnsi="宋体" w:cs="宋体" w:eastAsia="宋体" w:hint="default"/>
          <w:spacing w:val="-13"/>
        </w:rPr>
        <w:t>2012</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4"/>
        </w:rPr>
        <w:t>日刊登在《中国证券报》、</w:t>
      </w:r>
    </w:p>
    <w:p>
      <w:pPr>
        <w:pStyle w:val="BodyText"/>
        <w:spacing w:line="274" w:lineRule="exact" w:before="23"/>
        <w:ind w:left="538" w:right="104" w:hanging="420"/>
        <w:jc w:val="left"/>
      </w:pPr>
      <w:r>
        <w:rPr/>
        <w:t>《上海证券报》的相关公告。</w:t>
      </w:r>
      <w:r>
        <w:rPr>
          <w:w w:val="100"/>
        </w:rPr>
        <w:t> </w:t>
      </w:r>
      <w:r>
        <w:rPr/>
        <w:t>报告期内，公司按照观致汽车有限公司的需求开展业务，为此确认营业收入</w:t>
      </w:r>
      <w:r>
        <w:rPr>
          <w:spacing w:val="-51"/>
        </w:rPr>
        <w:t> </w:t>
      </w:r>
      <w:r>
        <w:rPr>
          <w:rFonts w:ascii="宋体" w:hAnsi="宋体" w:cs="宋体" w:eastAsia="宋体" w:hint="default"/>
        </w:rPr>
        <w:t>1,405</w:t>
      </w:r>
      <w:r>
        <w:rPr>
          <w:rFonts w:ascii="宋体" w:hAnsi="宋体" w:cs="宋体" w:eastAsia="宋体" w:hint="default"/>
          <w:spacing w:val="-50"/>
        </w:rPr>
        <w:t> </w:t>
      </w:r>
      <w:r>
        <w:rPr/>
        <w:t>万元。同</w:t>
      </w:r>
    </w:p>
    <w:p>
      <w:pPr>
        <w:pStyle w:val="BodyText"/>
        <w:spacing w:line="245" w:lineRule="exact"/>
        <w:ind w:left="118" w:right="0"/>
        <w:jc w:val="left"/>
      </w:pPr>
      <w:r>
        <w:rPr/>
        <w:t>时，公司向阿尔派电子（中国）有限公司采购，报告期内为此确认营业成本</w:t>
      </w:r>
      <w:r>
        <w:rPr>
          <w:spacing w:val="-56"/>
        </w:rPr>
        <w:t> </w:t>
      </w:r>
      <w:r>
        <w:rPr>
          <w:rFonts w:ascii="宋体" w:hAnsi="宋体" w:cs="宋体" w:eastAsia="宋体" w:hint="default"/>
        </w:rPr>
        <w:t>1,269</w:t>
      </w:r>
      <w:r>
        <w:rPr>
          <w:rFonts w:ascii="宋体" w:hAnsi="宋体" w:cs="宋体" w:eastAsia="宋体" w:hint="default"/>
          <w:spacing w:val="-55"/>
        </w:rPr>
        <w:t> </w:t>
      </w:r>
      <w:r>
        <w:rPr/>
        <w:t>万元。</w:t>
      </w:r>
    </w:p>
    <w:p>
      <w:pPr>
        <w:pStyle w:val="BodyText"/>
        <w:spacing w:line="237" w:lineRule="auto" w:before="2"/>
        <w:ind w:left="118" w:right="107" w:firstLine="419"/>
        <w:jc w:val="both"/>
      </w:pPr>
      <w:r>
        <w:rPr>
          <w:rFonts w:ascii="宋体" w:hAnsi="宋体" w:cs="宋体" w:eastAsia="宋体" w:hint="default"/>
          <w:spacing w:val="-16"/>
        </w:rPr>
        <w:t>2</w:t>
      </w:r>
      <w:r>
        <w:rPr>
          <w:spacing w:val="-16"/>
        </w:rPr>
        <w:t>、于</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5"/>
        </w:rPr>
        <w:t> </w:t>
      </w:r>
      <w:r>
        <w:rPr>
          <w:rFonts w:ascii="宋体" w:hAnsi="宋体" w:cs="宋体" w:eastAsia="宋体" w:hint="default"/>
        </w:rPr>
        <w:t>18</w:t>
      </w:r>
      <w:r>
        <w:rPr>
          <w:rFonts w:ascii="宋体" w:hAnsi="宋体" w:cs="宋体" w:eastAsia="宋体" w:hint="default"/>
          <w:spacing w:val="-47"/>
        </w:rPr>
        <w:t> </w:t>
      </w:r>
      <w:r>
        <w:rPr>
          <w:spacing w:val="-3"/>
        </w:rPr>
        <w:t>日召开的公司七届十一次董事会审议通过了《关于与观致汽车有限公司</w:t>
      </w:r>
      <w:r>
        <w:rPr>
          <w:w w:val="100"/>
        </w:rPr>
        <w:t> </w:t>
      </w:r>
      <w:r>
        <w:rPr>
          <w:spacing w:val="-1"/>
        </w:rPr>
        <w:t>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等相关文件的议案》、《关于与阿尔派电子（中国）有限公司签订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w:t>
      </w:r>
      <w:r>
        <w:rPr>
          <w:spacing w:val="-56"/>
        </w:rPr>
        <w:t> </w:t>
      </w:r>
      <w:r>
        <w:rPr>
          <w:spacing w:val="-56"/>
        </w:rPr>
      </w:r>
      <w:r>
        <w:rPr>
          <w:spacing w:val="-9"/>
        </w:rPr>
        <w:t>文件的议案》。于</w:t>
      </w:r>
      <w:r>
        <w:rPr>
          <w:spacing w:val="-47"/>
        </w:rPr>
        <w:t> </w:t>
      </w:r>
      <w:r>
        <w:rPr>
          <w:rFonts w:ascii="宋体" w:hAnsi="宋体" w:cs="宋体" w:eastAsia="宋体" w:hint="default"/>
        </w:rPr>
        <w:t>2015</w:t>
      </w:r>
      <w:r>
        <w:rPr>
          <w:rFonts w:ascii="宋体" w:hAnsi="宋体" w:cs="宋体" w:eastAsia="宋体" w:hint="default"/>
          <w:spacing w:val="-46"/>
        </w:rPr>
        <w:t> </w:t>
      </w:r>
      <w:r>
        <w:rPr/>
        <w:t>年</w:t>
      </w:r>
      <w:r>
        <w:rPr>
          <w:spacing w:val="-50"/>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10</w:t>
      </w:r>
      <w:r>
        <w:rPr>
          <w:rFonts w:ascii="宋体" w:hAnsi="宋体" w:cs="宋体" w:eastAsia="宋体" w:hint="default"/>
          <w:spacing w:val="-47"/>
        </w:rPr>
        <w:t> </w:t>
      </w:r>
      <w:r>
        <w:rPr/>
        <w:t>日召开的公司</w:t>
      </w:r>
      <w:r>
        <w:rPr>
          <w:spacing w:val="-47"/>
        </w:rPr>
        <w:t> </w:t>
      </w:r>
      <w:r>
        <w:rPr>
          <w:rFonts w:ascii="宋体" w:hAnsi="宋体" w:cs="宋体" w:eastAsia="宋体" w:hint="default"/>
        </w:rPr>
        <w:t>2014</w:t>
      </w:r>
      <w:r>
        <w:rPr>
          <w:rFonts w:ascii="宋体" w:hAnsi="宋体" w:cs="宋体" w:eastAsia="宋体" w:hint="default"/>
          <w:spacing w:val="-46"/>
        </w:rPr>
        <w:t> </w:t>
      </w:r>
      <w:r>
        <w:rPr>
          <w:spacing w:val="-4"/>
        </w:rPr>
        <w:t>年年度股东大会审议通过了《关于与阿尔派</w:t>
      </w:r>
    </w:p>
    <w:p>
      <w:pPr>
        <w:pStyle w:val="BodyText"/>
        <w:spacing w:line="271" w:lineRule="exact"/>
        <w:ind w:left="118" w:right="0"/>
        <w:jc w:val="left"/>
      </w:pPr>
      <w:r>
        <w:rPr/>
        <w:t>电子（中国）有限公司签订</w:t>
      </w:r>
      <w:r>
        <w:rPr>
          <w:rFonts w:ascii="宋体" w:hAnsi="宋体" w:cs="宋体" w:eastAsia="宋体" w:hint="default"/>
        </w:rPr>
        <w:t>&lt;</w:t>
      </w:r>
      <w:r>
        <w:rPr/>
        <w:t>意向书</w:t>
      </w:r>
      <w:r>
        <w:rPr>
          <w:rFonts w:ascii="宋体" w:hAnsi="宋体" w:cs="宋体" w:eastAsia="宋体" w:hint="default"/>
        </w:rPr>
        <w:t>&gt;</w:t>
      </w:r>
      <w:r>
        <w:rPr/>
        <w:t>等相关文件的议案》。具体内容详见本公司于</w:t>
      </w:r>
      <w:r>
        <w:rPr>
          <w:spacing w:val="-26"/>
        </w:rPr>
        <w:t> </w:t>
      </w:r>
      <w:r>
        <w:rPr>
          <w:rFonts w:ascii="宋体" w:hAnsi="宋体" w:cs="宋体" w:eastAsia="宋体" w:hint="default"/>
        </w:rPr>
        <w:t>2015</w:t>
      </w:r>
      <w:r>
        <w:rPr>
          <w:rFonts w:ascii="宋体" w:hAnsi="宋体" w:cs="宋体" w:eastAsia="宋体" w:hint="default"/>
          <w:spacing w:val="-24"/>
        </w:rPr>
        <w:t> </w:t>
      </w:r>
      <w:r>
        <w:rPr/>
        <w:t>年</w:t>
      </w:r>
      <w:r>
        <w:rPr>
          <w:spacing w:val="-26"/>
        </w:rPr>
        <w:t> </w:t>
      </w:r>
      <w:r>
        <w:rPr>
          <w:rFonts w:ascii="宋体" w:hAnsi="宋体" w:cs="宋体" w:eastAsia="宋体" w:hint="default"/>
        </w:rPr>
        <w:t>5</w:t>
      </w:r>
      <w:r>
        <w:rPr>
          <w:rFonts w:ascii="宋体" w:hAnsi="宋体" w:cs="宋体" w:eastAsia="宋体" w:hint="default"/>
          <w:spacing w:val="-26"/>
        </w:rPr>
        <w:t> </w:t>
      </w:r>
      <w:r>
        <w:rPr/>
        <w:t>月</w:t>
      </w:r>
    </w:p>
    <w:p>
      <w:pPr>
        <w:pStyle w:val="BodyText"/>
        <w:spacing w:line="272" w:lineRule="exact"/>
        <w:ind w:left="118" w:right="0"/>
        <w:jc w:val="left"/>
      </w:pPr>
      <w:r>
        <w:rPr>
          <w:rFonts w:ascii="宋体" w:hAnsi="宋体" w:cs="宋体" w:eastAsia="宋体" w:hint="default"/>
        </w:rPr>
        <w:t>20</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2"/>
        </w:rPr>
        <w:t> </w:t>
      </w:r>
      <w:r>
        <w:rPr/>
        <w:t>日刊登在《中国证券报》、《上海证券报》的相关公告。</w:t>
      </w:r>
    </w:p>
    <w:p>
      <w:pPr>
        <w:pStyle w:val="BodyText"/>
        <w:spacing w:line="272" w:lineRule="exact"/>
        <w:ind w:left="538" w:right="0"/>
        <w:jc w:val="left"/>
      </w:pPr>
      <w:r>
        <w:rPr/>
        <w:t>报告期内，公司按照观致汽车有限公司的需求开展业务，为此确认营业收入</w:t>
      </w:r>
      <w:r>
        <w:rPr>
          <w:spacing w:val="-51"/>
        </w:rPr>
        <w:t> </w:t>
      </w:r>
      <w:r>
        <w:rPr>
          <w:rFonts w:ascii="宋体" w:hAnsi="宋体" w:cs="宋体" w:eastAsia="宋体" w:hint="default"/>
        </w:rPr>
        <w:t>5,531</w:t>
      </w:r>
      <w:r>
        <w:rPr>
          <w:rFonts w:ascii="宋体" w:hAnsi="宋体" w:cs="宋体" w:eastAsia="宋体" w:hint="default"/>
          <w:spacing w:val="-50"/>
        </w:rPr>
        <w:t> </w:t>
      </w:r>
      <w:r>
        <w:rPr/>
        <w:t>万元。同</w:t>
      </w:r>
    </w:p>
    <w:p>
      <w:pPr>
        <w:pStyle w:val="BodyText"/>
        <w:spacing w:line="272" w:lineRule="exact"/>
        <w:ind w:left="118" w:right="0"/>
        <w:jc w:val="left"/>
      </w:pPr>
      <w:r>
        <w:rPr/>
        <w:t>时，公司向阿尔派电子（中国）有限公司采购，报告期内为此确认营业成本</w:t>
      </w:r>
      <w:r>
        <w:rPr>
          <w:spacing w:val="-57"/>
        </w:rPr>
        <w:t> </w:t>
      </w:r>
      <w:r>
        <w:rPr>
          <w:rFonts w:ascii="宋体" w:hAnsi="宋体" w:cs="宋体" w:eastAsia="宋体" w:hint="default"/>
        </w:rPr>
        <w:t>4,969</w:t>
      </w:r>
      <w:r>
        <w:rPr>
          <w:rFonts w:ascii="宋体" w:hAnsi="宋体" w:cs="宋体" w:eastAsia="宋体" w:hint="default"/>
          <w:spacing w:val="-57"/>
        </w:rPr>
        <w:t> </w:t>
      </w:r>
      <w:r>
        <w:rPr/>
        <w:t>万元。</w:t>
      </w:r>
    </w:p>
    <w:p>
      <w:pPr>
        <w:pStyle w:val="BodyText"/>
        <w:spacing w:line="237" w:lineRule="auto"/>
        <w:ind w:left="118" w:right="107" w:firstLine="419"/>
        <w:jc w:val="both"/>
      </w:pPr>
      <w:r>
        <w:rPr>
          <w:rFonts w:ascii="宋体" w:hAnsi="宋体" w:cs="宋体" w:eastAsia="宋体" w:hint="default"/>
          <w:spacing w:val="-24"/>
        </w:rPr>
        <w:t>3</w:t>
      </w:r>
      <w:r>
        <w:rPr>
          <w:spacing w:val="-24"/>
        </w:rPr>
        <w:t>、于</w:t>
      </w:r>
      <w:r>
        <w:rPr>
          <w:spacing w:val="-54"/>
        </w:rPr>
        <w:t> </w:t>
      </w:r>
      <w:r>
        <w:rPr>
          <w:rFonts w:ascii="宋体" w:hAnsi="宋体" w:cs="宋体" w:eastAsia="宋体" w:hint="default"/>
        </w:rPr>
        <w:t>2013</w:t>
      </w:r>
      <w:r>
        <w:rPr>
          <w:rFonts w:ascii="宋体" w:hAnsi="宋体" w:cs="宋体" w:eastAsia="宋体" w:hint="default"/>
          <w:spacing w:val="-51"/>
        </w:rPr>
        <w:t> </w:t>
      </w:r>
      <w:r>
        <w:rPr/>
        <w:t>年</w:t>
      </w:r>
      <w:r>
        <w:rPr>
          <w:spacing w:val="-54"/>
        </w:rPr>
        <w:t> </w:t>
      </w:r>
      <w:r>
        <w:rPr>
          <w:rFonts w:ascii="宋体" w:hAnsi="宋体" w:cs="宋体" w:eastAsia="宋体" w:hint="default"/>
        </w:rPr>
        <w:t>3</w:t>
      </w:r>
      <w:r>
        <w:rPr>
          <w:rFonts w:ascii="宋体" w:hAnsi="宋体" w:cs="宋体" w:eastAsia="宋体" w:hint="default"/>
          <w:spacing w:val="-51"/>
        </w:rPr>
        <w:t> </w:t>
      </w:r>
      <w:r>
        <w:rPr/>
        <w:t>月</w:t>
      </w:r>
      <w:r>
        <w:rPr>
          <w:spacing w:val="-50"/>
        </w:rPr>
        <w:t> </w:t>
      </w:r>
      <w:r>
        <w:rPr>
          <w:rFonts w:ascii="宋体" w:hAnsi="宋体" w:cs="宋体" w:eastAsia="宋体" w:hint="default"/>
        </w:rPr>
        <w:t>27</w:t>
      </w:r>
      <w:r>
        <w:rPr>
          <w:rFonts w:ascii="宋体" w:hAnsi="宋体" w:cs="宋体" w:eastAsia="宋体" w:hint="default"/>
          <w:spacing w:val="-51"/>
        </w:rPr>
        <w:t> </w:t>
      </w:r>
      <w:r>
        <w:rPr>
          <w:spacing w:val="-6"/>
        </w:rPr>
        <w:t>日召开的公司六届十六次董事会、于</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4"/>
        </w:rPr>
        <w:t> </w:t>
      </w:r>
      <w:r>
        <w:rPr>
          <w:rFonts w:ascii="宋体" w:hAnsi="宋体" w:cs="宋体" w:eastAsia="宋体" w:hint="default"/>
        </w:rPr>
        <w:t>4</w:t>
      </w:r>
      <w:r>
        <w:rPr>
          <w:rFonts w:ascii="宋体" w:hAnsi="宋体" w:cs="宋体" w:eastAsia="宋体" w:hint="default"/>
          <w:spacing w:val="-51"/>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t>日召开的公司</w:t>
      </w:r>
      <w:r>
        <w:rPr>
          <w:spacing w:val="-51"/>
        </w:rPr>
        <w:t> </w:t>
      </w:r>
      <w:r>
        <w:rPr>
          <w:rFonts w:ascii="宋体" w:hAnsi="宋体" w:cs="宋体" w:eastAsia="宋体" w:hint="default"/>
        </w:rPr>
        <w:t>2012</w:t>
      </w:r>
      <w:r>
        <w:rPr>
          <w:rFonts w:ascii="宋体" w:hAnsi="宋体" w:cs="宋体" w:eastAsia="宋体" w:hint="default"/>
          <w:w w:val="100"/>
        </w:rPr>
        <w:t> </w:t>
      </w:r>
      <w:r>
        <w:rPr/>
        <w:t>年度股东大会分别审议通过了《关于与</w:t>
      </w:r>
      <w:r>
        <w:rPr>
          <w:spacing w:val="-54"/>
        </w:rPr>
        <w:t> </w:t>
      </w:r>
      <w:r>
        <w:rPr>
          <w:rFonts w:ascii="宋体" w:hAnsi="宋体" w:cs="宋体" w:eastAsia="宋体" w:hint="default"/>
        </w:rPr>
        <w:t>Harman</w:t>
      </w:r>
      <w:r>
        <w:rPr>
          <w:rFonts w:ascii="宋体" w:hAnsi="宋体" w:cs="宋体" w:eastAsia="宋体" w:hint="default"/>
          <w:spacing w:val="-26"/>
        </w:rPr>
        <w:t> </w:t>
      </w:r>
      <w:r>
        <w:rPr>
          <w:rFonts w:ascii="宋体" w:hAnsi="宋体" w:cs="宋体" w:eastAsia="宋体" w:hint="default"/>
        </w:rPr>
        <w:t>Becker</w:t>
      </w:r>
      <w:r>
        <w:rPr>
          <w:rFonts w:ascii="宋体" w:hAnsi="宋体" w:cs="宋体" w:eastAsia="宋体" w:hint="default"/>
          <w:spacing w:val="-26"/>
        </w:rPr>
        <w:t> </w:t>
      </w:r>
      <w:r>
        <w:rPr>
          <w:rFonts w:ascii="宋体" w:hAnsi="宋体" w:cs="宋体" w:eastAsia="宋体" w:hint="default"/>
        </w:rPr>
        <w:t>Automotive</w:t>
      </w:r>
      <w:r>
        <w:rPr>
          <w:rFonts w:ascii="宋体" w:hAnsi="宋体" w:cs="宋体" w:eastAsia="宋体" w:hint="default"/>
          <w:spacing w:val="-26"/>
        </w:rPr>
        <w:t> </w:t>
      </w:r>
      <w:r>
        <w:rPr>
          <w:rFonts w:ascii="宋体" w:hAnsi="宋体" w:cs="宋体" w:eastAsia="宋体" w:hint="default"/>
        </w:rPr>
        <w:t>Systems</w:t>
      </w:r>
      <w:r>
        <w:rPr>
          <w:rFonts w:ascii="宋体" w:hAnsi="宋体" w:cs="宋体" w:eastAsia="宋体" w:hint="default"/>
          <w:spacing w:val="-26"/>
        </w:rPr>
        <w:t> </w:t>
      </w:r>
      <w:r>
        <w:rPr>
          <w:rFonts w:ascii="宋体" w:hAnsi="宋体" w:cs="宋体" w:eastAsia="宋体" w:hint="default"/>
        </w:rPr>
        <w:t>GmbH</w:t>
      </w:r>
      <w:r>
        <w:rPr>
          <w:rFonts w:ascii="宋体" w:hAnsi="宋体" w:cs="宋体" w:eastAsia="宋体" w:hint="default"/>
          <w:spacing w:val="-53"/>
        </w:rPr>
        <w:t> </w:t>
      </w:r>
      <w:r>
        <w:rPr/>
        <w:t>签订</w:t>
      </w:r>
      <w:r>
        <w:rPr>
          <w:rFonts w:ascii="宋体" w:hAnsi="宋体" w:cs="宋体" w:eastAsia="宋体" w:hint="default"/>
        </w:rPr>
        <w:t>&lt;</w:t>
      </w:r>
      <w:r>
        <w:rPr/>
        <w:t>导航地图</w:t>
      </w:r>
      <w:r>
        <w:rPr>
          <w:w w:val="100"/>
        </w:rPr>
        <w:t> </w:t>
      </w:r>
      <w:r>
        <w:rPr>
          <w:spacing w:val="-3"/>
        </w:rPr>
        <w:t>产品协议</w:t>
      </w:r>
      <w:r>
        <w:rPr>
          <w:rFonts w:ascii="宋体" w:hAnsi="宋体" w:cs="宋体" w:eastAsia="宋体" w:hint="default"/>
          <w:spacing w:val="-3"/>
        </w:rPr>
        <w:t>&gt;</w:t>
      </w:r>
      <w:r>
        <w:rPr>
          <w:spacing w:val="-3"/>
        </w:rPr>
        <w:t>的议案》。具体内容详见本公司于</w:t>
      </w:r>
      <w:r>
        <w:rPr>
          <w:spacing w:val="-49"/>
        </w:rPr>
        <w:t> </w:t>
      </w:r>
      <w:r>
        <w:rPr>
          <w:rFonts w:ascii="宋体" w:hAnsi="宋体" w:cs="宋体" w:eastAsia="宋体" w:hint="default"/>
        </w:rPr>
        <w:t>2013</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w:t>
      </w:r>
      <w:r>
        <w:rPr>
          <w:spacing w:val="-49"/>
        </w:rPr>
        <w:t> </w:t>
      </w:r>
      <w:r>
        <w:rPr>
          <w:rFonts w:ascii="宋体" w:hAnsi="宋体" w:cs="宋体" w:eastAsia="宋体" w:hint="default"/>
        </w:rPr>
        <w:t>30</w:t>
      </w:r>
      <w:r>
        <w:rPr>
          <w:rFonts w:ascii="宋体" w:hAnsi="宋体" w:cs="宋体" w:eastAsia="宋体" w:hint="default"/>
          <w:spacing w:val="-51"/>
        </w:rPr>
        <w:t> </w:t>
      </w:r>
      <w:r>
        <w:rPr/>
        <w:t>日、</w:t>
      </w:r>
      <w:r>
        <w:rPr>
          <w:rFonts w:ascii="宋体" w:hAnsi="宋体" w:cs="宋体" w:eastAsia="宋体" w:hint="default"/>
        </w:rPr>
        <w:t>2013</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8"/>
        </w:rPr>
        <w:t> </w:t>
      </w:r>
      <w:r>
        <w:rPr>
          <w:rFonts w:ascii="宋体" w:hAnsi="宋体" w:cs="宋体" w:eastAsia="宋体" w:hint="default"/>
        </w:rPr>
        <w:t>20</w:t>
      </w:r>
      <w:r>
        <w:rPr>
          <w:rFonts w:ascii="宋体" w:hAnsi="宋体" w:cs="宋体" w:eastAsia="宋体" w:hint="default"/>
          <w:spacing w:val="-51"/>
        </w:rPr>
        <w:t> </w:t>
      </w:r>
      <w:r>
        <w:rPr>
          <w:spacing w:val="-3"/>
        </w:rPr>
        <w:t>日刊登在《中国</w:t>
      </w:r>
      <w:r>
        <w:rPr>
          <w:w w:val="100"/>
        </w:rPr>
        <w:t> </w:t>
      </w:r>
      <w:r>
        <w:rPr/>
        <w:t>证券报》、《上海证券报》的相关公告。</w:t>
      </w:r>
    </w:p>
    <w:p>
      <w:pPr>
        <w:pStyle w:val="BodyText"/>
        <w:spacing w:line="237" w:lineRule="auto"/>
        <w:ind w:left="118" w:right="107" w:firstLine="419"/>
        <w:jc w:val="both"/>
      </w:pPr>
      <w:r>
        <w:rPr/>
        <w:t>报告期内，根据约定，本公司间接全资子公司</w:t>
      </w:r>
      <w:r>
        <w:rPr>
          <w:spacing w:val="-47"/>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w:t>
      </w:r>
      <w:r>
        <w:rPr>
          <w:rFonts w:ascii="宋体" w:hAnsi="宋体" w:cs="宋体" w:eastAsia="宋体" w:hint="default"/>
          <w:spacing w:val="-4"/>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48"/>
        </w:rPr>
        <w:t> </w:t>
      </w:r>
      <w:r>
        <w:rPr/>
        <w:t>采购原</w:t>
      </w:r>
      <w:r>
        <w:rPr>
          <w:w w:val="100"/>
        </w:rPr>
        <w:t> </w:t>
      </w:r>
      <w:r>
        <w:rPr>
          <w:spacing w:val="-6"/>
        </w:rPr>
        <w:t>始地图数据，进行车载导航地图产品的制作、开发、测试与集成，并向</w:t>
      </w:r>
      <w:r>
        <w:rPr>
          <w:spacing w:val="-42"/>
        </w:rPr>
        <w:t> </w:t>
      </w:r>
      <w:r>
        <w:rPr>
          <w:rFonts w:ascii="宋体" w:hAnsi="宋体" w:cs="宋体" w:eastAsia="宋体" w:hint="default"/>
        </w:rPr>
        <w:t>Harman</w:t>
      </w:r>
      <w:r>
        <w:rPr>
          <w:rFonts w:ascii="宋体" w:hAnsi="宋体" w:cs="宋体" w:eastAsia="宋体" w:hint="default"/>
          <w:spacing w:val="-45"/>
        </w:rPr>
        <w:t> </w:t>
      </w:r>
      <w:r>
        <w:rPr>
          <w:rFonts w:ascii="宋体" w:hAnsi="宋体" w:cs="宋体" w:eastAsia="宋体" w:hint="default"/>
        </w:rPr>
        <w:t>Becker</w:t>
      </w:r>
      <w:r>
        <w:rPr>
          <w:rFonts w:ascii="宋体" w:hAnsi="宋体" w:cs="宋体" w:eastAsia="宋体" w:hint="default"/>
          <w:spacing w:val="-45"/>
        </w:rPr>
        <w:t> </w:t>
      </w:r>
      <w:r>
        <w:rPr>
          <w:rFonts w:ascii="宋体" w:hAnsi="宋体" w:cs="宋体" w:eastAsia="宋体" w:hint="default"/>
        </w:rPr>
        <w:t>Automotive</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Systems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49"/>
        </w:rPr>
        <w:t> </w:t>
      </w:r>
      <w:r>
        <w:rPr/>
        <w:t>进行地图产品的销售，</w:t>
      </w:r>
      <w:r>
        <w:rPr>
          <w:rFonts w:ascii="宋体" w:hAnsi="宋体" w:cs="宋体" w:eastAsia="宋体" w:hint="default"/>
        </w:rPr>
        <w:t>Harman</w:t>
      </w:r>
      <w:r>
        <w:rPr>
          <w:rFonts w:ascii="宋体" w:hAnsi="宋体" w:cs="宋体" w:eastAsia="宋体" w:hint="default"/>
          <w:spacing w:val="-2"/>
        </w:rPr>
        <w:t> </w:t>
      </w:r>
      <w:r>
        <w:rPr>
          <w:rFonts w:ascii="宋体" w:hAnsi="宋体" w:cs="宋体" w:eastAsia="宋体" w:hint="default"/>
        </w:rPr>
        <w:t>Becker</w:t>
      </w:r>
      <w:r>
        <w:rPr>
          <w:rFonts w:ascii="宋体" w:hAnsi="宋体" w:cs="宋体" w:eastAsia="宋体" w:hint="default"/>
          <w:spacing w:val="-4"/>
        </w:rPr>
        <w:t> </w:t>
      </w:r>
      <w:r>
        <w:rPr>
          <w:rFonts w:ascii="宋体" w:hAnsi="宋体" w:cs="宋体" w:eastAsia="宋体" w:hint="default"/>
        </w:rPr>
        <w:t>Automotive</w:t>
      </w:r>
      <w:r>
        <w:rPr>
          <w:rFonts w:ascii="宋体" w:hAnsi="宋体" w:cs="宋体" w:eastAsia="宋体" w:hint="default"/>
          <w:spacing w:val="-2"/>
        </w:rPr>
        <w:t> </w:t>
      </w:r>
      <w:r>
        <w:rPr>
          <w:rFonts w:ascii="宋体" w:hAnsi="宋体" w:cs="宋体" w:eastAsia="宋体" w:hint="default"/>
        </w:rPr>
        <w:t>Systems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46"/>
        </w:rPr>
        <w:t> </w:t>
      </w:r>
      <w:r>
        <w:rPr/>
        <w:t>将根据购买的套</w:t>
      </w:r>
      <w:r>
        <w:rPr>
          <w:w w:val="100"/>
        </w:rPr>
        <w:t> </w:t>
      </w:r>
      <w:r>
        <w:rPr/>
        <w:t>数向</w:t>
      </w:r>
      <w:r>
        <w:rPr>
          <w:spacing w:val="-54"/>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w:t>
      </w:r>
      <w:r>
        <w:rPr>
          <w:rFonts w:ascii="宋体" w:hAnsi="宋体" w:cs="宋体" w:eastAsia="宋体" w:hint="default"/>
          <w:spacing w:val="-4"/>
        </w:rPr>
        <w:t> </w:t>
      </w:r>
      <w:r>
        <w:rPr>
          <w:rFonts w:ascii="宋体" w:hAnsi="宋体" w:cs="宋体" w:eastAsia="宋体" w:hint="default"/>
        </w:rPr>
        <w:t>Solutions</w:t>
      </w:r>
      <w:r>
        <w:rPr>
          <w:rFonts w:ascii="宋体" w:hAnsi="宋体" w:cs="宋体" w:eastAsia="宋体" w:hint="default"/>
          <w:spacing w:val="-4"/>
        </w:rPr>
        <w:t> </w:t>
      </w:r>
      <w:r>
        <w:rPr>
          <w:rFonts w:ascii="宋体" w:hAnsi="宋体" w:cs="宋体" w:eastAsia="宋体" w:hint="default"/>
        </w:rPr>
        <w:t>GmbH</w:t>
      </w:r>
      <w:r>
        <w:rPr>
          <w:rFonts w:ascii="宋体" w:hAnsi="宋体" w:cs="宋体" w:eastAsia="宋体" w:hint="default"/>
          <w:spacing w:val="-54"/>
        </w:rPr>
        <w:t> </w:t>
      </w:r>
      <w:r>
        <w:rPr/>
        <w:t>支付款项，为此确认营业收入</w:t>
      </w:r>
      <w:r>
        <w:rPr>
          <w:spacing w:val="-54"/>
        </w:rPr>
        <w:t> </w:t>
      </w:r>
      <w:r>
        <w:rPr>
          <w:rFonts w:ascii="宋体" w:hAnsi="宋体" w:cs="宋体" w:eastAsia="宋体" w:hint="default"/>
        </w:rPr>
        <w:t>5,245</w:t>
      </w:r>
      <w:r>
        <w:rPr>
          <w:rFonts w:ascii="宋体" w:hAnsi="宋体" w:cs="宋体" w:eastAsia="宋体" w:hint="default"/>
          <w:spacing w:val="-53"/>
        </w:rPr>
        <w:t> </w:t>
      </w:r>
      <w:r>
        <w:rPr/>
        <w:t>万元。</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t>十六、其他重大事项的说明</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61" w:val="left" w:leader="none"/>
        </w:tabs>
        <w:spacing w:line="290" w:lineRule="auto"/>
        <w:ind w:left="118" w:right="55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18" w:right="0"/>
        <w:jc w:val="left"/>
      </w:pPr>
      <w:r>
        <w:rPr/>
        <w:t>√适用</w:t>
      </w:r>
      <w:r>
        <w:rPr>
          <w:spacing w:val="-1"/>
        </w:rPr>
        <w:t> </w:t>
      </w:r>
      <w:r>
        <w:rPr/>
        <w:t>□不适用</w:t>
      </w:r>
    </w:p>
    <w:p>
      <w:pPr>
        <w:spacing w:after="0" w:line="240" w:lineRule="auto"/>
        <w:jc w:val="left"/>
        <w:sectPr>
          <w:footerReference w:type="default" r:id="rId35"/>
          <w:pgSz w:w="11910" w:h="16840"/>
          <w:pgMar w:footer="1248" w:header="945" w:top="1300" w:bottom="1440" w:left="1680" w:right="1160"/>
          <w:pgNumType w:start="41"/>
        </w:sectPr>
      </w:pPr>
    </w:p>
    <w:p>
      <w:pPr>
        <w:spacing w:line="240" w:lineRule="auto" w:before="3"/>
        <w:rPr>
          <w:rFonts w:ascii="宋体" w:hAnsi="宋体" w:cs="宋体" w:eastAsia="宋体" w:hint="default"/>
          <w:sz w:val="11"/>
          <w:szCs w:val="11"/>
        </w:rPr>
      </w:pPr>
    </w:p>
    <w:p>
      <w:pPr>
        <w:tabs>
          <w:tab w:pos="642" w:val="left" w:leader="none"/>
        </w:tabs>
        <w:spacing w:line="290" w:lineRule="auto" w:before="36"/>
        <w:ind w:left="638" w:right="236"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精准扶贫规划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根据《国务院关于印发“十三五”脱贫攻坚规划的通知》，公司积极响应并制定相关扶贫规</w:t>
      </w:r>
    </w:p>
    <w:p>
      <w:pPr>
        <w:pStyle w:val="BodyText"/>
        <w:spacing w:line="226" w:lineRule="exact"/>
        <w:ind w:right="0"/>
        <w:jc w:val="both"/>
      </w:pPr>
      <w:r>
        <w:rPr/>
        <w:t>划，努力践行社会责任，以实现基本公共服务能力和水平，进一步提升对社会弱势群体的关爱。</w:t>
      </w:r>
    </w:p>
    <w:p>
      <w:pPr>
        <w:pStyle w:val="BodyText"/>
        <w:spacing w:line="237" w:lineRule="auto" w:before="2"/>
        <w:ind w:right="228"/>
        <w:jc w:val="both"/>
      </w:pPr>
      <w:r>
        <w:rPr>
          <w:spacing w:val="-1"/>
        </w:rPr>
        <w:t>公司爱心基金，与公司工会联合党委，开展精准扶贫工作，在原有扶贫项目的基础上扩大扶贫行</w:t>
      </w:r>
      <w:r>
        <w:rPr>
          <w:spacing w:val="-55"/>
        </w:rPr>
        <w:t> </w:t>
      </w:r>
      <w:r>
        <w:rPr>
          <w:spacing w:val="-55"/>
        </w:rPr>
      </w:r>
      <w:r>
        <w:rPr>
          <w:spacing w:val="-1"/>
        </w:rPr>
        <w:t>动的范围和影响。在教育脱贫方面，公司扩大对贫困地区农村义务教育学生的生活改善计划；在</w:t>
      </w:r>
      <w:r>
        <w:rPr>
          <w:spacing w:val="-55"/>
        </w:rPr>
        <w:t> </w:t>
      </w:r>
      <w:r>
        <w:rPr>
          <w:spacing w:val="-55"/>
        </w:rPr>
      </w:r>
      <w:r>
        <w:rPr>
          <w:spacing w:val="-1"/>
        </w:rPr>
        <w:t>兜底保障方面，公司持续向“三留守”人员提供关爱服务；在转移就业扶贫方面，公司持续推进</w:t>
      </w:r>
      <w:r>
        <w:rPr>
          <w:spacing w:val="-55"/>
        </w:rPr>
        <w:t> </w:t>
      </w:r>
      <w:r>
        <w:rPr>
          <w:spacing w:val="-55"/>
        </w:rPr>
      </w:r>
      <w:r>
        <w:rPr>
          <w:spacing w:val="-1"/>
        </w:rPr>
        <w:t>农民工数字综合服务平台系统建设，为农民工提供多样化服务。在健康扶贫领域，子公司东软医</w:t>
      </w:r>
      <w:r>
        <w:rPr>
          <w:spacing w:val="-55"/>
        </w:rPr>
        <w:t> </w:t>
      </w:r>
      <w:r>
        <w:rPr>
          <w:spacing w:val="-55"/>
        </w:rPr>
      </w:r>
      <w:r>
        <w:rPr/>
        <w:t>疗、熙康利用技术优势为基层人员提供医疗保障。</w:t>
      </w:r>
    </w:p>
    <w:p>
      <w:pPr>
        <w:tabs>
          <w:tab w:pos="642" w:val="left" w:leader="none"/>
        </w:tabs>
        <w:spacing w:line="290" w:lineRule="auto" w:before="56"/>
        <w:ind w:left="638" w:right="228"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年度精准扶贫概要</w:t>
      </w:r>
      <w:r>
        <w:rPr>
          <w:rFonts w:ascii="宋体" w:hAnsi="宋体" w:cs="宋体" w:eastAsia="宋体" w:hint="default"/>
          <w:b/>
          <w:bCs/>
          <w:spacing w:val="-103"/>
          <w:sz w:val="21"/>
          <w:szCs w:val="21"/>
        </w:rPr>
        <w:t> </w:t>
      </w:r>
      <w:r>
        <w:rPr>
          <w:rFonts w:ascii="宋体" w:hAnsi="宋体" w:cs="宋体" w:eastAsia="宋体" w:hint="default"/>
          <w:spacing w:val="-9"/>
          <w:w w:val="100"/>
          <w:sz w:val="21"/>
          <w:szCs w:val="21"/>
        </w:rPr>
        <w:t>在教育脱贫方面，公司稳步推进贫困地区农村义务教育学生营养改善计划，开展“童梦•圆梦”</w:t>
      </w:r>
    </w:p>
    <w:p>
      <w:pPr>
        <w:pStyle w:val="BodyText"/>
        <w:spacing w:line="227" w:lineRule="exact"/>
        <w:ind w:right="0"/>
        <w:jc w:val="both"/>
      </w:pPr>
      <w:r>
        <w:rPr/>
        <w:t>行动。公司连续六年助学鞍山岫岩县贫困学生，为岫岩县朝阳镇中心学校援助助学款</w:t>
      </w:r>
      <w:r>
        <w:rPr>
          <w:spacing w:val="-49"/>
        </w:rPr>
        <w:t> </w:t>
      </w:r>
      <w:r>
        <w:rPr>
          <w:rFonts w:ascii="宋体" w:hAnsi="宋体" w:cs="宋体" w:eastAsia="宋体" w:hint="default"/>
        </w:rPr>
        <w:t>10,900</w:t>
      </w:r>
      <w:r>
        <w:rPr>
          <w:rFonts w:ascii="宋体" w:hAnsi="宋体" w:cs="宋体" w:eastAsia="宋体" w:hint="default"/>
          <w:spacing w:val="-49"/>
        </w:rPr>
        <w:t> </w:t>
      </w:r>
      <w:r>
        <w:rPr>
          <w:spacing w:val="-3"/>
        </w:rPr>
        <w:t>元，</w:t>
      </w:r>
      <w:r>
        <w:rPr/>
      </w:r>
    </w:p>
    <w:p>
      <w:pPr>
        <w:pStyle w:val="BodyText"/>
        <w:spacing w:line="237" w:lineRule="auto" w:before="2"/>
        <w:ind w:right="228"/>
        <w:jc w:val="both"/>
      </w:pPr>
      <w:r>
        <w:rPr/>
        <w:t>捐助价值</w:t>
      </w:r>
      <w:r>
        <w:rPr>
          <w:spacing w:val="-52"/>
        </w:rPr>
        <w:t> </w:t>
      </w:r>
      <w:r>
        <w:rPr>
          <w:rFonts w:ascii="宋体" w:hAnsi="宋体" w:cs="宋体" w:eastAsia="宋体" w:hint="default"/>
        </w:rPr>
        <w:t>26,000</w:t>
      </w:r>
      <w:r>
        <w:rPr>
          <w:rFonts w:ascii="宋体" w:hAnsi="宋体" w:cs="宋体" w:eastAsia="宋体" w:hint="default"/>
          <w:spacing w:val="-52"/>
        </w:rPr>
        <w:t> </w:t>
      </w:r>
      <w:r>
        <w:rPr/>
        <w:t>余元物资；为岫岩县石庙子中心学校援助助学款</w:t>
      </w:r>
      <w:r>
        <w:rPr>
          <w:spacing w:val="-52"/>
        </w:rPr>
        <w:t> </w:t>
      </w:r>
      <w:r>
        <w:rPr>
          <w:rFonts w:ascii="宋体" w:hAnsi="宋体" w:cs="宋体" w:eastAsia="宋体" w:hint="default"/>
        </w:rPr>
        <w:t>2,500</w:t>
      </w:r>
      <w:r>
        <w:rPr>
          <w:rFonts w:ascii="宋体" w:hAnsi="宋体" w:cs="宋体" w:eastAsia="宋体" w:hint="default"/>
          <w:spacing w:val="-52"/>
        </w:rPr>
        <w:t> </w:t>
      </w:r>
      <w:r>
        <w:rPr/>
        <w:t>元，捐助价值</w:t>
      </w:r>
      <w:r>
        <w:rPr>
          <w:spacing w:val="-52"/>
        </w:rPr>
        <w:t> </w:t>
      </w:r>
      <w:r>
        <w:rPr>
          <w:rFonts w:ascii="宋体" w:hAnsi="宋体" w:cs="宋体" w:eastAsia="宋体" w:hint="default"/>
        </w:rPr>
        <w:t>18,000</w:t>
      </w:r>
      <w:r>
        <w:rPr>
          <w:rFonts w:ascii="宋体" w:hAnsi="宋体" w:cs="宋体" w:eastAsia="宋体" w:hint="default"/>
          <w:spacing w:val="-52"/>
        </w:rPr>
        <w:t> </w:t>
      </w:r>
      <w:r>
        <w:rPr/>
        <w:t>余</w:t>
      </w:r>
      <w:r>
        <w:rPr>
          <w:w w:val="100"/>
        </w:rPr>
        <w:t> </w:t>
      </w:r>
      <w:r>
        <w:rPr/>
        <w:t>元物资。</w:t>
      </w: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月，东软集团爱心基金走进西南，向贵州从江县翠里乡三工区学校、停洞镇</w:t>
      </w:r>
      <w:r>
        <w:rPr>
          <w:w w:val="100"/>
        </w:rPr>
        <w:t> </w:t>
      </w:r>
      <w:r>
        <w:rPr>
          <w:spacing w:val="-5"/>
        </w:rPr>
        <w:t>架里小学、下讲祥心小学共计捐赠价值</w:t>
      </w:r>
      <w:r>
        <w:rPr>
          <w:spacing w:val="-22"/>
        </w:rPr>
        <w:t> </w:t>
      </w:r>
      <w:r>
        <w:rPr>
          <w:rFonts w:ascii="宋体" w:hAnsi="宋体" w:cs="宋体" w:eastAsia="宋体" w:hint="default"/>
        </w:rPr>
        <w:t>10</w:t>
      </w:r>
      <w:r>
        <w:rPr>
          <w:rFonts w:ascii="宋体" w:hAnsi="宋体" w:cs="宋体" w:eastAsia="宋体" w:hint="default"/>
          <w:spacing w:val="-22"/>
        </w:rPr>
        <w:t> </w:t>
      </w:r>
      <w:r>
        <w:rPr>
          <w:spacing w:val="-4"/>
        </w:rPr>
        <w:t>万元的生活物资，这些生活用品切实改善了孩子们的寄</w:t>
      </w:r>
      <w:r>
        <w:rPr>
          <w:spacing w:val="-91"/>
        </w:rPr>
        <w:t> </w:t>
      </w:r>
      <w:r>
        <w:rPr>
          <w:spacing w:val="-91"/>
        </w:rPr>
      </w:r>
      <w:r>
        <w:rPr/>
        <w:t>宿条件，为他们送去温暖。</w:t>
      </w:r>
    </w:p>
    <w:p>
      <w:pPr>
        <w:pStyle w:val="BodyText"/>
        <w:spacing w:line="272" w:lineRule="exact" w:before="26"/>
        <w:ind w:right="224" w:firstLine="419"/>
        <w:jc w:val="left"/>
      </w:pPr>
      <w:r>
        <w:rPr>
          <w:spacing w:val="-2"/>
        </w:rPr>
        <w:t>在兜底保障方面，向“三留守”人员提供关爱服务，加强对“三留守”人员的生活救助。公</w:t>
      </w:r>
      <w:r>
        <w:rPr>
          <w:w w:val="100"/>
        </w:rPr>
        <w:t> </w:t>
      </w:r>
      <w:r>
        <w:rPr/>
        <w:t>司连续第十一年探访儿童福利院，共度“六一儿童节”；公司承接辽宁省光明学校</w:t>
      </w:r>
      <w:r>
        <w:rPr>
          <w:spacing w:val="-49"/>
        </w:rPr>
        <w:t> </w:t>
      </w:r>
      <w:r>
        <w:rPr>
          <w:rFonts w:ascii="宋体" w:hAnsi="宋体" w:cs="宋体" w:eastAsia="宋体" w:hint="default"/>
        </w:rPr>
        <w:t>150</w:t>
      </w:r>
      <w:r>
        <w:rPr>
          <w:rFonts w:ascii="宋体" w:hAnsi="宋体" w:cs="宋体" w:eastAsia="宋体" w:hint="default"/>
          <w:spacing w:val="-52"/>
        </w:rPr>
        <w:t> </w:t>
      </w:r>
      <w:r>
        <w:rPr/>
        <w:t>名孤儿学</w:t>
      </w:r>
    </w:p>
    <w:p>
      <w:pPr>
        <w:pStyle w:val="BodyText"/>
        <w:spacing w:line="272" w:lineRule="exact" w:before="1"/>
        <w:ind w:left="638" w:right="226" w:hanging="420"/>
        <w:jc w:val="left"/>
      </w:pPr>
      <w:r>
        <w:rPr/>
        <w:t>生及</w:t>
      </w:r>
      <w:r>
        <w:rPr>
          <w:spacing w:val="-53"/>
        </w:rPr>
        <w:t> </w:t>
      </w:r>
      <w:r>
        <w:rPr>
          <w:rFonts w:ascii="宋体" w:hAnsi="宋体" w:cs="宋体" w:eastAsia="宋体" w:hint="default"/>
        </w:rPr>
        <w:t>6</w:t>
      </w:r>
      <w:r>
        <w:rPr>
          <w:rFonts w:ascii="宋体" w:hAnsi="宋体" w:cs="宋体" w:eastAsia="宋体" w:hint="default"/>
          <w:spacing w:val="-55"/>
        </w:rPr>
        <w:t> </w:t>
      </w:r>
      <w:r>
        <w:rPr/>
        <w:t>名教师来公司参观学习。</w:t>
      </w:r>
      <w:r>
        <w:rPr>
          <w:spacing w:val="-101"/>
        </w:rPr>
        <w:t> </w:t>
      </w:r>
      <w:r>
        <w:rPr>
          <w:spacing w:val="-101"/>
        </w:rPr>
      </w:r>
      <w:r>
        <w:rPr>
          <w:spacing w:val="-2"/>
        </w:rPr>
        <w:t>在转移就业扶贫方面，开展农民工数字综合服务平台系统建设，与多地人社厅、移动加油站</w:t>
      </w:r>
    </w:p>
    <w:p>
      <w:pPr>
        <w:pStyle w:val="BodyText"/>
        <w:spacing w:line="246" w:lineRule="exact"/>
        <w:ind w:right="0"/>
        <w:jc w:val="both"/>
      </w:pPr>
      <w:r>
        <w:rPr>
          <w:w w:val="100"/>
        </w:rPr>
        <w:t>合作</w:t>
      </w:r>
      <w:r>
        <w:rPr>
          <w:spacing w:val="-53"/>
          <w:w w:val="100"/>
        </w:rPr>
        <w:t>，</w:t>
      </w:r>
      <w:r>
        <w:rPr>
          <w:w w:val="100"/>
        </w:rPr>
        <w:t>以</w:t>
      </w:r>
      <w:r>
        <w:rPr>
          <w:spacing w:val="-3"/>
          <w:w w:val="100"/>
        </w:rPr>
        <w:t>大</w:t>
      </w:r>
      <w:r>
        <w:rPr>
          <w:w w:val="100"/>
        </w:rPr>
        <w:t>数</w:t>
      </w:r>
      <w:r>
        <w:rPr>
          <w:spacing w:val="-3"/>
          <w:w w:val="100"/>
        </w:rPr>
        <w:t>据</w:t>
      </w:r>
      <w:r>
        <w:rPr>
          <w:w w:val="100"/>
        </w:rPr>
        <w:t>为</w:t>
      </w:r>
      <w:r>
        <w:rPr>
          <w:spacing w:val="-3"/>
          <w:w w:val="100"/>
        </w:rPr>
        <w:t>支</w:t>
      </w:r>
      <w:r>
        <w:rPr>
          <w:w w:val="100"/>
        </w:rPr>
        <w:t>撑</w:t>
      </w:r>
      <w:r>
        <w:rPr>
          <w:spacing w:val="-104"/>
          <w:w w:val="100"/>
        </w:rPr>
        <w:t>，</w:t>
      </w:r>
      <w:r>
        <w:rPr>
          <w:spacing w:val="-3"/>
          <w:w w:val="100"/>
        </w:rPr>
        <w:t>“</w:t>
      </w:r>
      <w:r>
        <w:rPr>
          <w:w w:val="100"/>
        </w:rPr>
        <w:t>互联</w:t>
      </w:r>
      <w:r>
        <w:rPr>
          <w:spacing w:val="-3"/>
          <w:w w:val="100"/>
        </w:rPr>
        <w:t>网</w:t>
      </w:r>
      <w:r>
        <w:rPr>
          <w:w w:val="100"/>
        </w:rPr>
        <w:t>+</w:t>
      </w:r>
      <w:r>
        <w:rPr>
          <w:spacing w:val="-3"/>
          <w:w w:val="100"/>
        </w:rPr>
        <w:t>”</w:t>
      </w:r>
      <w:r>
        <w:rPr>
          <w:spacing w:val="-51"/>
          <w:w w:val="100"/>
        </w:rPr>
        <w:t>、</w:t>
      </w:r>
      <w:r>
        <w:rPr>
          <w:spacing w:val="-3"/>
          <w:w w:val="100"/>
        </w:rPr>
        <w:t>云</w:t>
      </w:r>
      <w:r>
        <w:rPr>
          <w:w w:val="100"/>
        </w:rPr>
        <w:t>服</w:t>
      </w:r>
      <w:r>
        <w:rPr>
          <w:spacing w:val="-3"/>
          <w:w w:val="100"/>
        </w:rPr>
        <w:t>务</w:t>
      </w:r>
      <w:r>
        <w:rPr>
          <w:w w:val="100"/>
        </w:rPr>
        <w:t>为</w:t>
      </w:r>
      <w:r>
        <w:rPr>
          <w:spacing w:val="-3"/>
          <w:w w:val="100"/>
        </w:rPr>
        <w:t>手段</w:t>
      </w:r>
      <w:r>
        <w:rPr>
          <w:spacing w:val="-51"/>
          <w:w w:val="100"/>
        </w:rPr>
        <w:t>，</w:t>
      </w:r>
      <w:r>
        <w:rPr>
          <w:w w:val="100"/>
        </w:rPr>
        <w:t>围</w:t>
      </w:r>
      <w:r>
        <w:rPr>
          <w:spacing w:val="-3"/>
          <w:w w:val="100"/>
        </w:rPr>
        <w:t>绕</w:t>
      </w:r>
      <w:r>
        <w:rPr>
          <w:w w:val="100"/>
        </w:rPr>
        <w:t>农</w:t>
      </w:r>
      <w:r>
        <w:rPr>
          <w:spacing w:val="-3"/>
          <w:w w:val="100"/>
        </w:rPr>
        <w:t>民</w:t>
      </w:r>
      <w:r>
        <w:rPr>
          <w:w w:val="100"/>
        </w:rPr>
        <w:t>工</w:t>
      </w:r>
      <w:r>
        <w:rPr>
          <w:spacing w:val="-3"/>
          <w:w w:val="100"/>
        </w:rPr>
        <w:t>开</w:t>
      </w:r>
      <w:r>
        <w:rPr>
          <w:w w:val="100"/>
        </w:rPr>
        <w:t>展</w:t>
      </w:r>
      <w:r>
        <w:rPr>
          <w:spacing w:val="-3"/>
          <w:w w:val="100"/>
        </w:rPr>
        <w:t>多</w:t>
      </w:r>
      <w:r>
        <w:rPr>
          <w:w w:val="100"/>
        </w:rPr>
        <w:t>样</w:t>
      </w:r>
      <w:r>
        <w:rPr>
          <w:spacing w:val="-3"/>
          <w:w w:val="100"/>
        </w:rPr>
        <w:t>化</w:t>
      </w:r>
      <w:r>
        <w:rPr>
          <w:spacing w:val="-53"/>
          <w:w w:val="100"/>
        </w:rPr>
        <w:t>、</w:t>
      </w:r>
      <w:r>
        <w:rPr>
          <w:w w:val="100"/>
        </w:rPr>
        <w:t>社会</w:t>
      </w:r>
      <w:r>
        <w:rPr>
          <w:spacing w:val="-3"/>
          <w:w w:val="100"/>
        </w:rPr>
        <w:t>化</w:t>
      </w:r>
      <w:r>
        <w:rPr>
          <w:w w:val="100"/>
        </w:rPr>
        <w:t>综</w:t>
      </w:r>
      <w:r>
        <w:rPr>
          <w:spacing w:val="-3"/>
          <w:w w:val="100"/>
        </w:rPr>
        <w:t>合</w:t>
      </w:r>
      <w:r>
        <w:rPr>
          <w:w w:val="100"/>
        </w:rPr>
        <w:t>服</w:t>
      </w:r>
      <w:r>
        <w:rPr>
          <w:spacing w:val="-3"/>
          <w:w w:val="100"/>
        </w:rPr>
        <w:t>务</w:t>
      </w:r>
      <w:r>
        <w:rPr>
          <w:w w:val="100"/>
        </w:rPr>
        <w:t>，</w:t>
      </w:r>
    </w:p>
    <w:p>
      <w:pPr>
        <w:pStyle w:val="BodyText"/>
        <w:spacing w:line="272" w:lineRule="exact" w:before="27"/>
        <w:ind w:right="228"/>
        <w:jc w:val="both"/>
      </w:pPr>
      <w:r>
        <w:rPr>
          <w:spacing w:val="-1"/>
        </w:rPr>
        <w:t>有效的整合社会资源参与到平台建设，使其服务走向规范化。制度化，提升农民工服务的整体能</w:t>
      </w:r>
      <w:r>
        <w:rPr>
          <w:spacing w:val="-55"/>
        </w:rPr>
        <w:t> </w:t>
      </w:r>
      <w:r>
        <w:rPr>
          <w:spacing w:val="-55"/>
        </w:rPr>
      </w:r>
      <w:r>
        <w:rPr/>
        <w:t>力。</w:t>
      </w:r>
    </w:p>
    <w:p>
      <w:pPr>
        <w:pStyle w:val="BodyText"/>
        <w:spacing w:line="272" w:lineRule="exact" w:before="1"/>
        <w:ind w:right="224" w:firstLine="419"/>
        <w:jc w:val="left"/>
      </w:pPr>
      <w:r>
        <w:rPr>
          <w:spacing w:val="-2"/>
        </w:rPr>
        <w:t>在健康扶贫领域，子公司东软医疗在内蒙古乌拉特前旗协助当地政府建立了区域影像中心，</w:t>
      </w:r>
      <w:r>
        <w:rPr>
          <w:w w:val="100"/>
        </w:rPr>
        <w:t> </w:t>
      </w:r>
      <w:r>
        <w:rPr/>
        <w:t>下联 </w:t>
      </w:r>
      <w:r>
        <w:rPr>
          <w:rFonts w:ascii="宋体" w:hAnsi="宋体" w:cs="宋体" w:eastAsia="宋体" w:hint="default"/>
        </w:rPr>
        <w:t>17</w:t>
      </w:r>
      <w:r>
        <w:rPr>
          <w:rFonts w:ascii="宋体" w:hAnsi="宋体" w:cs="宋体" w:eastAsia="宋体" w:hint="default"/>
          <w:spacing w:val="-50"/>
        </w:rPr>
        <w:t> </w:t>
      </w:r>
      <w:r>
        <w:rPr>
          <w:spacing w:val="-4"/>
        </w:rPr>
        <w:t>家乡镇医疗机构，实现上下级医院之间的医疗资源共享，使下级医院能够获得更好的医疗</w:t>
      </w:r>
    </w:p>
    <w:p>
      <w:pPr>
        <w:pStyle w:val="BodyText"/>
        <w:spacing w:line="272" w:lineRule="exact" w:before="1"/>
        <w:ind w:right="227"/>
        <w:jc w:val="both"/>
      </w:pPr>
      <w:r>
        <w:rPr>
          <w:spacing w:val="-1"/>
        </w:rPr>
        <w:t>资源帮助基层人员看病，实现了“小病不出乡，大病不出县”，缓解了看病难的现状。子公司熙</w:t>
      </w:r>
      <w:r>
        <w:rPr>
          <w:spacing w:val="-55"/>
        </w:rPr>
        <w:t> </w:t>
      </w:r>
      <w:r>
        <w:rPr>
          <w:spacing w:val="-55"/>
        </w:rPr>
      </w:r>
      <w:r>
        <w:rPr/>
        <w:t>康携手爱之光防盲基金会，捐赠</w:t>
      </w:r>
      <w:r>
        <w:rPr>
          <w:spacing w:val="-47"/>
        </w:rPr>
        <w:t> </w:t>
      </w:r>
      <w:r>
        <w:rPr>
          <w:rFonts w:ascii="宋体" w:hAnsi="宋体" w:cs="宋体" w:eastAsia="宋体" w:hint="default"/>
        </w:rPr>
        <w:t>60</w:t>
      </w:r>
      <w:r>
        <w:rPr>
          <w:rFonts w:ascii="宋体" w:hAnsi="宋体" w:cs="宋体" w:eastAsia="宋体" w:hint="default"/>
          <w:spacing w:val="-47"/>
        </w:rPr>
        <w:t> </w:t>
      </w:r>
      <w:r>
        <w:rPr/>
        <w:t>万元成立了</w:t>
      </w:r>
      <w:r>
        <w:rPr>
          <w:spacing w:val="-6"/>
        </w:rPr>
        <w:t> </w:t>
      </w:r>
      <w:r>
        <w:rPr/>
        <w:t>“爱之光·东软熙康公益基金”，并承诺连续十</w:t>
      </w:r>
    </w:p>
    <w:p>
      <w:pPr>
        <w:pStyle w:val="BodyText"/>
        <w:spacing w:line="249" w:lineRule="exact"/>
        <w:ind w:right="0"/>
        <w:jc w:val="both"/>
      </w:pPr>
      <w:r>
        <w:rPr/>
        <w:t>年进行捐赠。该专项基金为盲人、低视力人群提供关爱救治服务，让更多人摆脱失明困扰。</w:t>
      </w:r>
    </w:p>
    <w:p>
      <w:pPr>
        <w:spacing w:line="240" w:lineRule="auto" w:before="6"/>
        <w:rPr>
          <w:rFonts w:ascii="宋体" w:hAnsi="宋体" w:cs="宋体" w:eastAsia="宋体" w:hint="default"/>
          <w:sz w:val="22"/>
          <w:szCs w:val="22"/>
        </w:rPr>
      </w:pPr>
    </w:p>
    <w:p>
      <w:pPr>
        <w:pStyle w:val="Heading4"/>
        <w:tabs>
          <w:tab w:pos="642" w:val="left" w:leader="none"/>
        </w:tabs>
        <w:spacing w:line="240" w:lineRule="auto" w:before="36"/>
        <w:ind w:right="2760"/>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1.34</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2.74</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8</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bl>
    <w:p>
      <w:pPr>
        <w:spacing w:line="240" w:lineRule="auto" w:before="11"/>
        <w:rPr>
          <w:rFonts w:ascii="宋体" w:hAnsi="宋体" w:cs="宋体" w:eastAsia="宋体" w:hint="default"/>
          <w:sz w:val="22"/>
          <w:szCs w:val="22"/>
        </w:rPr>
      </w:pPr>
    </w:p>
    <w:p>
      <w:pPr>
        <w:pStyle w:val="Heading4"/>
        <w:tabs>
          <w:tab w:pos="642" w:val="left" w:leader="none"/>
        </w:tabs>
        <w:spacing w:line="240" w:lineRule="auto" w:before="36"/>
        <w:ind w:right="2760"/>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37" w:lineRule="auto" w:before="61"/>
        <w:ind w:right="228" w:firstLine="419"/>
        <w:jc w:val="both"/>
      </w:pPr>
      <w:r>
        <w:rPr>
          <w:rFonts w:ascii="宋体" w:hAnsi="宋体" w:cs="宋体" w:eastAsia="宋体" w:hint="default"/>
        </w:rPr>
        <w:t>2018</w:t>
      </w:r>
      <w:r>
        <w:rPr>
          <w:rFonts w:ascii="宋体" w:hAnsi="宋体" w:cs="宋体" w:eastAsia="宋体" w:hint="default"/>
          <w:spacing w:val="-10"/>
        </w:rPr>
        <w:t> </w:t>
      </w:r>
      <w:r>
        <w:rPr>
          <w:spacing w:val="-3"/>
        </w:rPr>
        <w:t>年，公司将大力持续推进扶贫工作。公司积极响应国家政策方针，牢固树立并切实贯彻</w:t>
      </w:r>
      <w:r>
        <w:rPr>
          <w:w w:val="100"/>
        </w:rPr>
        <w:t> </w:t>
      </w:r>
      <w:r>
        <w:rPr>
          <w:spacing w:val="-1"/>
        </w:rPr>
        <w:t>创新、协调、绿色、开放、共享的发展理念，坚持精准扶贫、精准脱贫，坚持教育脱贫、兜底保</w:t>
      </w:r>
      <w:r>
        <w:rPr>
          <w:spacing w:val="-55"/>
        </w:rPr>
        <w:t> </w:t>
      </w:r>
      <w:r>
        <w:rPr>
          <w:spacing w:val="-55"/>
        </w:rPr>
      </w:r>
      <w:r>
        <w:rPr>
          <w:spacing w:val="-1"/>
        </w:rPr>
        <w:t>障、转移就业脱贫等多项举措齐头并进，结合自身战略发展规划、人才与资源优势，积极履行社</w:t>
      </w:r>
    </w:p>
    <w:p>
      <w:pPr>
        <w:spacing w:after="0" w:line="237" w:lineRule="auto"/>
        <w:jc w:val="both"/>
        <w:sectPr>
          <w:headerReference w:type="default" r:id="rId36"/>
          <w:pgSz w:w="11910" w:h="16840"/>
          <w:pgMar w:header="945" w:footer="1248" w:top="1300" w:bottom="1440" w:left="1580" w:right="1040"/>
        </w:sectPr>
      </w:pPr>
    </w:p>
    <w:p>
      <w:pPr>
        <w:spacing w:line="240" w:lineRule="auto" w:before="3"/>
        <w:rPr>
          <w:rFonts w:ascii="宋体" w:hAnsi="宋体" w:cs="宋体" w:eastAsia="宋体" w:hint="default"/>
          <w:sz w:val="11"/>
          <w:szCs w:val="11"/>
        </w:rPr>
      </w:pPr>
    </w:p>
    <w:p>
      <w:pPr>
        <w:pStyle w:val="BodyText"/>
        <w:spacing w:line="240" w:lineRule="auto" w:before="36"/>
        <w:ind w:left="118" w:right="0"/>
        <w:jc w:val="left"/>
      </w:pPr>
      <w:r>
        <w:rPr>
          <w:spacing w:val="-1"/>
        </w:rPr>
        <w:t>会责任解决出行难、上学难、就医难等问题，实现基本公共服务能力和水平进一步提升以及对社</w:t>
      </w:r>
      <w:r>
        <w:rPr>
          <w:spacing w:val="-55"/>
        </w:rPr>
        <w:t> </w:t>
      </w:r>
      <w:r>
        <w:rPr>
          <w:spacing w:val="-55"/>
        </w:rPr>
      </w:r>
      <w:r>
        <w:rPr/>
        <w:t>会弱势群体的关爱，努力推动贫困地区经济社会更好更快发展。</w:t>
      </w:r>
    </w:p>
    <w:p>
      <w:pPr>
        <w:spacing w:line="240" w:lineRule="auto" w:before="3"/>
        <w:rPr>
          <w:rFonts w:ascii="宋体" w:hAnsi="宋体" w:cs="宋体" w:eastAsia="宋体" w:hint="default"/>
          <w:sz w:val="25"/>
          <w:szCs w:val="25"/>
        </w:rPr>
      </w:pPr>
    </w:p>
    <w:p>
      <w:pPr>
        <w:pStyle w:val="Heading4"/>
        <w:tabs>
          <w:tab w:pos="761" w:val="left" w:leader="none"/>
        </w:tabs>
        <w:spacing w:line="240" w:lineRule="auto"/>
        <w:ind w:left="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60" w:val="left" w:leader="none"/>
        </w:tabs>
        <w:spacing w:line="274" w:lineRule="exact" w:before="56"/>
        <w:ind w:left="118" w:right="0"/>
        <w:jc w:val="left"/>
      </w:pPr>
      <w:r>
        <w:rPr>
          <w:spacing w:val="-1"/>
        </w:rPr>
        <w:t>√适用</w:t>
        <w:tab/>
      </w:r>
      <w:r>
        <w:rPr>
          <w:spacing w:val="-2"/>
        </w:rPr>
        <w:t>□不适用</w:t>
      </w:r>
    </w:p>
    <w:p>
      <w:pPr>
        <w:pStyle w:val="BodyText"/>
        <w:spacing w:line="272" w:lineRule="exact" w:before="27"/>
        <w:ind w:left="118" w:right="108" w:firstLine="419"/>
        <w:jc w:val="both"/>
      </w:pPr>
      <w:r>
        <w:rPr>
          <w:spacing w:val="-3"/>
        </w:rPr>
        <w:t>与本年度报告公告的同时，公司披露《</w:t>
      </w:r>
      <w:r>
        <w:rPr>
          <w:rFonts w:ascii="宋体" w:hAnsi="宋体" w:cs="宋体" w:eastAsia="宋体" w:hint="default"/>
          <w:spacing w:val="-3"/>
        </w:rPr>
        <w:t>2017</w:t>
      </w:r>
      <w:r>
        <w:rPr>
          <w:rFonts w:ascii="宋体" w:hAnsi="宋体" w:cs="宋体" w:eastAsia="宋体" w:hint="default"/>
        </w:rPr>
        <w:t> </w:t>
      </w:r>
      <w:r>
        <w:rPr>
          <w:spacing w:val="-3"/>
        </w:rPr>
        <w:t>年度社会责任报告》，具体内容详见上海证券交</w:t>
      </w:r>
      <w:r>
        <w:rPr>
          <w:w w:val="100"/>
        </w:rPr>
        <w:t> </w:t>
      </w:r>
      <w:r>
        <w:rPr/>
        <w:t>易所网站</w:t>
      </w:r>
      <w:r>
        <w:rPr>
          <w:spacing w:val="-56"/>
        </w:rPr>
        <w:t> </w:t>
      </w:r>
      <w:hyperlink r:id="rId10">
        <w:r>
          <w:rPr>
            <w:rFonts w:ascii="宋体" w:hAnsi="宋体" w:cs="宋体" w:eastAsia="宋体" w:hint="default"/>
          </w:rPr>
          <w:t>http://www.sse.com.cn</w:t>
        </w:r>
      </w:hyperlink>
      <w:r>
        <w:rPr/>
        <w:t>。</w:t>
      </w:r>
    </w:p>
    <w:p>
      <w:pPr>
        <w:spacing w:line="240" w:lineRule="auto" w:before="4"/>
        <w:rPr>
          <w:rFonts w:ascii="宋体" w:hAnsi="宋体" w:cs="宋体" w:eastAsia="宋体" w:hint="default"/>
          <w:sz w:val="23"/>
          <w:szCs w:val="23"/>
        </w:rPr>
      </w:pPr>
    </w:p>
    <w:p>
      <w:pPr>
        <w:pStyle w:val="Heading4"/>
        <w:tabs>
          <w:tab w:pos="761" w:val="left" w:leader="none"/>
        </w:tabs>
        <w:spacing w:line="240" w:lineRule="auto"/>
        <w:ind w:left="11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42" w:val="left" w:leader="none"/>
        </w:tabs>
        <w:spacing w:line="240" w:lineRule="auto" w:before="58"/>
        <w:ind w:left="11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60" w:val="left" w:leader="none"/>
        </w:tabs>
        <w:spacing w:line="273" w:lineRule="exact" w:before="58"/>
        <w:ind w:left="118" w:right="0"/>
        <w:jc w:val="left"/>
      </w:pPr>
      <w:r>
        <w:rPr>
          <w:spacing w:val="-1"/>
        </w:rPr>
        <w:t>√适用</w:t>
        <w:tab/>
      </w:r>
      <w:r>
        <w:rPr>
          <w:spacing w:val="-2"/>
        </w:rPr>
        <w:t>□不适用</w:t>
      </w:r>
    </w:p>
    <w:p>
      <w:pPr>
        <w:pStyle w:val="BodyText"/>
        <w:spacing w:line="237" w:lineRule="auto"/>
        <w:ind w:left="118" w:right="108" w:firstLine="419"/>
        <w:jc w:val="both"/>
      </w:pPr>
      <w:r>
        <w:rPr/>
        <w:t>公司作为 </w:t>
      </w:r>
      <w:r>
        <w:rPr>
          <w:rFonts w:ascii="宋体" w:hAnsi="宋体" w:cs="宋体" w:eastAsia="宋体" w:hint="default"/>
        </w:rPr>
        <w:t>IT</w:t>
      </w:r>
      <w:r>
        <w:rPr>
          <w:rFonts w:ascii="宋体" w:hAnsi="宋体" w:cs="宋体" w:eastAsia="宋体" w:hint="default"/>
          <w:spacing w:val="-45"/>
        </w:rPr>
        <w:t> </w:t>
      </w:r>
      <w:r>
        <w:rPr>
          <w:spacing w:val="-5"/>
        </w:rPr>
        <w:t>解决方案和服务提供商，在软件开发、生产、测试过程中不产生灰尘、废气、废</w:t>
      </w:r>
      <w:r>
        <w:rPr>
          <w:w w:val="100"/>
        </w:rPr>
        <w:t> </w:t>
      </w:r>
      <w:r>
        <w:rPr>
          <w:spacing w:val="-1"/>
        </w:rPr>
        <w:t>水、废渣或噪声等污染物，不会对环境造成污染。同时，公司在业务发展的同时，积极关注信息</w:t>
      </w:r>
      <w:r>
        <w:rPr>
          <w:spacing w:val="-55"/>
        </w:rPr>
        <w:t> </w:t>
      </w:r>
      <w:r>
        <w:rPr>
          <w:spacing w:val="-55"/>
        </w:rPr>
      </w:r>
      <w:r>
        <w:rPr>
          <w:spacing w:val="-5"/>
        </w:rPr>
        <w:t>化对于环境保护的积极作用。目前，东软已通过</w:t>
      </w:r>
      <w:r>
        <w:rPr>
          <w:spacing w:val="-21"/>
        </w:rPr>
        <w:t> </w:t>
      </w:r>
      <w:r>
        <w:rPr>
          <w:rFonts w:ascii="宋体" w:hAnsi="宋体" w:cs="宋体" w:eastAsia="宋体" w:hint="default"/>
        </w:rPr>
        <w:t>ISO14001</w:t>
      </w:r>
      <w:r>
        <w:rPr>
          <w:rFonts w:ascii="宋体" w:hAnsi="宋体" w:cs="宋体" w:eastAsia="宋体" w:hint="default"/>
          <w:spacing w:val="-24"/>
        </w:rPr>
        <w:t> </w:t>
      </w:r>
      <w:r>
        <w:rPr>
          <w:spacing w:val="-4"/>
        </w:rPr>
        <w:t>环境管理体系认证，公司在环境管理方</w:t>
      </w:r>
      <w:r>
        <w:rPr>
          <w:spacing w:val="-93"/>
        </w:rPr>
        <w:t> </w:t>
      </w:r>
      <w:r>
        <w:rPr>
          <w:spacing w:val="-93"/>
        </w:rPr>
      </w:r>
      <w:r>
        <w:rPr/>
        <w:t>面达到了国际水平，在各过程、产品及活动中的各类污染物控制达到了相关要求。</w:t>
      </w:r>
    </w:p>
    <w:p>
      <w:pPr>
        <w:pStyle w:val="BodyText"/>
        <w:spacing w:line="237" w:lineRule="auto"/>
        <w:ind w:left="118" w:right="108" w:firstLine="419"/>
        <w:jc w:val="both"/>
      </w:pPr>
      <w:r>
        <w:rPr>
          <w:spacing w:val="-2"/>
        </w:rPr>
        <w:t>公司始终倡导绿色环保理念，并积极推进节能减排和资源的合理利用。一直以来，公司按照</w:t>
      </w:r>
      <w:r>
        <w:rPr>
          <w:w w:val="100"/>
        </w:rPr>
        <w:t> </w:t>
      </w:r>
      <w:r>
        <w:rPr>
          <w:spacing w:val="-6"/>
        </w:rPr>
        <w:t>“生态、科学、和谐”的理念建设软件园，倡导花园式办公环境，不断提升公司的生态绿化水平，</w:t>
      </w:r>
      <w:r>
        <w:rPr>
          <w:spacing w:val="-53"/>
        </w:rPr>
        <w:t> </w:t>
      </w:r>
      <w:r>
        <w:rPr>
          <w:spacing w:val="-53"/>
        </w:rPr>
      </w:r>
      <w:r>
        <w:rPr/>
        <w:t>目前人均绿化面积约</w:t>
      </w:r>
      <w:r>
        <w:rPr>
          <w:spacing w:val="-34"/>
        </w:rPr>
        <w:t> </w:t>
      </w:r>
      <w:r>
        <w:rPr>
          <w:rFonts w:ascii="宋体" w:hAnsi="宋体" w:cs="宋体" w:eastAsia="宋体" w:hint="default"/>
        </w:rPr>
        <w:t>36</w:t>
      </w:r>
      <w:r>
        <w:rPr>
          <w:rFonts w:ascii="宋体" w:hAnsi="宋体" w:cs="宋体" w:eastAsia="宋体" w:hint="default"/>
          <w:spacing w:val="-36"/>
        </w:rPr>
        <w:t> </w:t>
      </w:r>
      <w:r>
        <w:rPr>
          <w:spacing w:val="-8"/>
        </w:rPr>
        <w:t>平方米。</w:t>
      </w:r>
      <w:r>
        <w:rPr>
          <w:rFonts w:ascii="宋体" w:hAnsi="宋体" w:cs="宋体" w:eastAsia="宋体" w:hint="default"/>
          <w:spacing w:val="-8"/>
        </w:rPr>
        <w:t>2017</w:t>
      </w:r>
      <w:r>
        <w:rPr>
          <w:rFonts w:ascii="宋体" w:hAnsi="宋体" w:cs="宋体" w:eastAsia="宋体" w:hint="default"/>
          <w:spacing w:val="-34"/>
        </w:rPr>
        <w:t> </w:t>
      </w:r>
      <w:r>
        <w:rPr>
          <w:spacing w:val="-6"/>
        </w:rPr>
        <w:t>年，公司积极实践节能环保的企业公民使命，人均用纸量、</w:t>
      </w:r>
      <w:r>
        <w:rPr>
          <w:spacing w:val="-97"/>
        </w:rPr>
        <w:t> </w:t>
      </w:r>
      <w:r>
        <w:rPr>
          <w:spacing w:val="-97"/>
        </w:rPr>
      </w:r>
      <w:r>
        <w:rPr>
          <w:spacing w:val="-3"/>
        </w:rPr>
        <w:t>用水量、用电量均有不同幅度的下降。</w:t>
      </w:r>
      <w:r>
        <w:rPr>
          <w:rFonts w:ascii="宋体" w:hAnsi="宋体" w:cs="宋体" w:eastAsia="宋体" w:hint="default"/>
          <w:spacing w:val="-3"/>
        </w:rPr>
        <w:t>2017</w:t>
      </w:r>
      <w:r>
        <w:rPr>
          <w:rFonts w:ascii="宋体" w:hAnsi="宋体" w:cs="宋体" w:eastAsia="宋体" w:hint="default"/>
          <w:spacing w:val="-43"/>
        </w:rPr>
        <w:t> </w:t>
      </w:r>
      <w:r>
        <w:rPr/>
        <w:t>年，公司筹划在大连河口软件园区建设一座可以光伏</w:t>
      </w:r>
      <w:r>
        <w:rPr>
          <w:spacing w:val="-101"/>
        </w:rPr>
        <w:t> </w:t>
      </w:r>
      <w:r>
        <w:rPr>
          <w:spacing w:val="-101"/>
        </w:rPr>
      </w:r>
      <w:r>
        <w:rPr>
          <w:spacing w:val="-1"/>
        </w:rPr>
        <w:t>储能、无线充电以及自动泊车的现代化停车场，是公司在绿色环保领域的重要举措，该停车场预</w:t>
      </w:r>
      <w:r>
        <w:rPr>
          <w:spacing w:val="-55"/>
        </w:rPr>
        <w:t> </w:t>
      </w:r>
      <w:r>
        <w:rPr>
          <w:spacing w:val="-55"/>
        </w:rPr>
      </w:r>
      <w:r>
        <w:rPr/>
        <w:t>计将在</w:t>
      </w:r>
      <w:r>
        <w:rPr>
          <w:spacing w:val="-54"/>
        </w:rPr>
        <w:t> </w:t>
      </w:r>
      <w:r>
        <w:rPr>
          <w:rFonts w:ascii="宋体" w:hAnsi="宋体" w:cs="宋体" w:eastAsia="宋体" w:hint="default"/>
        </w:rPr>
        <w:t>2018</w:t>
      </w:r>
      <w:r>
        <w:rPr>
          <w:rFonts w:ascii="宋体" w:hAnsi="宋体" w:cs="宋体" w:eastAsia="宋体" w:hint="default"/>
          <w:spacing w:val="-54"/>
        </w:rPr>
        <w:t> </w:t>
      </w:r>
      <w:r>
        <w:rPr/>
        <w:t>年启用。</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761" w:val="left" w:leader="none"/>
        </w:tabs>
        <w:spacing w:line="240" w:lineRule="auto"/>
        <w:ind w:left="11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18" w:right="6398"/>
        <w:jc w:val="left"/>
        <w:rPr>
          <w:b w:val="0"/>
          <w:bCs w:val="0"/>
        </w:rPr>
      </w:pPr>
      <w:r>
        <w:rPr/>
        <w:t>十八、可转换公司债券情况</w:t>
      </w:r>
      <w:r>
        <w:rPr>
          <w:spacing w:val="-103"/>
        </w:rPr>
        <w:t> </w:t>
      </w:r>
      <w:r>
        <w:rPr>
          <w:spacing w:val="-103"/>
        </w:rPr>
      </w:r>
      <w:r>
        <w:rPr>
          <w:rFonts w:ascii="宋体" w:hAnsi="宋体" w:cs="宋体" w:eastAsia="宋体" w:hint="default"/>
        </w:rPr>
        <w:t>(</w:t>
      </w:r>
      <w:r>
        <w:rPr/>
        <w:t>一</w:t>
      </w:r>
      <w:r>
        <w:rPr>
          <w:rFonts w:ascii="宋体" w:hAnsi="宋体" w:cs="宋体" w:eastAsia="宋体" w:hint="default"/>
        </w:rPr>
        <w:t>)</w:t>
      </w:r>
      <w:r>
        <w:rPr/>
        <w:t>转债发行情况</w:t>
      </w:r>
      <w:r>
        <w:rPr>
          <w:b w:val="0"/>
          <w:bCs w:val="0"/>
        </w:rPr>
      </w:r>
    </w:p>
    <w:p>
      <w:pPr>
        <w:pStyle w:val="BodyText"/>
        <w:tabs>
          <w:tab w:pos="960" w:val="left" w:leader="none"/>
        </w:tabs>
        <w:spacing w:line="240" w:lineRule="auto" w:before="13"/>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w:t>
      </w:r>
      <w:r>
        <w:rPr/>
        <w:t>二</w:t>
      </w:r>
      <w:r>
        <w:rPr>
          <w:rFonts w:ascii="宋体" w:hAnsi="宋体" w:cs="宋体" w:eastAsia="宋体" w:hint="default"/>
        </w:rPr>
        <w:t>)</w:t>
      </w:r>
      <w:r>
        <w:rPr/>
        <w:t>报告期转债持有人及担保人情况</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w:t>
      </w:r>
      <w:r>
        <w:rPr/>
        <w:t>三</w:t>
      </w:r>
      <w:r>
        <w:rPr>
          <w:rFonts w:ascii="宋体" w:hAnsi="宋体" w:cs="宋体" w:eastAsia="宋体" w:hint="default"/>
        </w:rPr>
        <w:t>)</w:t>
      </w:r>
      <w:r>
        <w:rPr/>
        <w:t>报告期转债变动情况</w:t>
      </w:r>
      <w:r>
        <w:rPr>
          <w:b w:val="0"/>
          <w:bCs w:val="0"/>
        </w:rPr>
      </w:r>
    </w:p>
    <w:p>
      <w:pPr>
        <w:pStyle w:val="BodyText"/>
        <w:spacing w:line="272" w:lineRule="exact" w:before="84"/>
        <w:ind w:left="118" w:right="5107"/>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18" w:right="0"/>
        <w:jc w:val="left"/>
      </w:pPr>
      <w:r>
        <w:rPr/>
        <w:t>□适用</w:t>
      </w:r>
      <w:r>
        <w:rPr>
          <w:spacing w:val="-1"/>
        </w:rPr>
        <w:t> </w:t>
      </w:r>
      <w:r>
        <w:rPr/>
        <w:t>√不适用</w:t>
      </w:r>
    </w:p>
    <w:p>
      <w:pPr>
        <w:pStyle w:val="Heading4"/>
        <w:spacing w:line="240" w:lineRule="auto" w:before="56"/>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t>转股价格历次调整情况</w:t>
      </w:r>
      <w:r>
        <w:rPr>
          <w:b w:val="0"/>
          <w:bCs w:val="0"/>
        </w:rPr>
      </w:r>
    </w:p>
    <w:p>
      <w:pPr>
        <w:pStyle w:val="BodyText"/>
        <w:spacing w:line="240" w:lineRule="auto" w:before="58"/>
        <w:ind w:left="118" w:right="0"/>
        <w:jc w:val="left"/>
      </w:pPr>
      <w:r>
        <w:rPr/>
        <w:t>□适用</w:t>
      </w:r>
      <w:r>
        <w:rPr>
          <w:spacing w:val="-1"/>
        </w:rPr>
        <w:t> </w:t>
      </w:r>
      <w:r>
        <w:rPr/>
        <w:t>√不适用</w:t>
      </w:r>
    </w:p>
    <w:p>
      <w:pPr>
        <w:spacing w:after="0" w:line="240" w:lineRule="auto"/>
        <w:jc w:val="left"/>
        <w:sectPr>
          <w:pgSz w:w="11910" w:h="16840"/>
          <w:pgMar w:header="945" w:footer="1248" w:top="1300" w:bottom="1440" w:left="1680" w:right="1160"/>
        </w:sectPr>
      </w:pPr>
    </w:p>
    <w:p>
      <w:pPr>
        <w:spacing w:line="240" w:lineRule="auto" w:before="3"/>
        <w:rPr>
          <w:rFonts w:ascii="宋体" w:hAnsi="宋体" w:cs="宋体" w:eastAsia="宋体" w:hint="default"/>
          <w:sz w:val="11"/>
          <w:szCs w:val="11"/>
        </w:rPr>
      </w:pPr>
    </w:p>
    <w:p>
      <w:pPr>
        <w:pStyle w:val="Heading4"/>
        <w:spacing w:line="240" w:lineRule="auto" w:before="36"/>
        <w:ind w:left="118" w:right="0"/>
        <w:jc w:val="left"/>
        <w:rPr>
          <w:b w:val="0"/>
          <w:bCs w:val="0"/>
        </w:rPr>
      </w:pPr>
      <w:r>
        <w:rPr>
          <w:rFonts w:ascii="宋体" w:hAnsi="宋体" w:cs="宋体" w:eastAsia="宋体" w:hint="default"/>
        </w:rPr>
        <w:t>(</w:t>
      </w:r>
      <w:r>
        <w:rPr/>
        <w:t>五</w:t>
      </w:r>
      <w:r>
        <w:rPr>
          <w:rFonts w:ascii="宋体" w:hAnsi="宋体" w:cs="宋体" w:eastAsia="宋体" w:hint="default"/>
        </w:rPr>
        <w:t>)</w:t>
      </w:r>
      <w:r>
        <w:rPr/>
        <w:t>公司的负债情况、资信变化情况及在未来年度还债的现金安排</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w:t>
      </w:r>
      <w:r>
        <w:rPr/>
        <w:t>六</w:t>
      </w:r>
      <w:r>
        <w:rPr>
          <w:rFonts w:ascii="宋体" w:hAnsi="宋体" w:cs="宋体" w:eastAsia="宋体" w:hint="default"/>
        </w:rPr>
        <w:t>)</w:t>
      </w:r>
      <w:r>
        <w:rPr/>
        <w:t>转债其他情况说明</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after="0" w:line="240" w:lineRule="auto"/>
        <w:jc w:val="left"/>
        <w:sectPr>
          <w:pgSz w:w="11910" w:h="16840"/>
          <w:pgMar w:header="945" w:footer="1248" w:top="1300" w:bottom="1440" w:left="168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95" w:right="0"/>
        <w:jc w:val="left"/>
        <w:rPr>
          <w:b w:val="0"/>
          <w:bCs w:val="0"/>
        </w:rPr>
      </w:pPr>
      <w:bookmarkStart w:name="_TOC_250006" w:id="6"/>
      <w:r>
        <w:rPr/>
        <w:t>第六节</w:t>
      </w:r>
      <w:r>
        <w:rPr>
          <w:spacing w:val="-1"/>
        </w:rPr>
        <w:t> </w:t>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945" w:footer="1248" w:top="1300" w:bottom="1440" w:left="540" w:right="640"/>
        </w:sectPr>
      </w:pPr>
    </w:p>
    <w:p>
      <w:pPr>
        <w:pStyle w:val="Heading4"/>
        <w:spacing w:line="290" w:lineRule="auto" w:before="36"/>
        <w:ind w:left="1258" w:right="-18"/>
        <w:jc w:val="left"/>
        <w:rPr>
          <w:b w:val="0"/>
          <w:bCs w:val="0"/>
        </w:rPr>
      </w:pPr>
      <w:r>
        <w:rPr/>
        <w:t>一、</w:t>
      </w:r>
      <w:r>
        <w:rPr>
          <w:spacing w:val="-78"/>
        </w:rPr>
        <w:t> </w:t>
      </w:r>
      <w:r>
        <w:rPr/>
        <w:t>普通股股本变动情况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7"/>
        </w:rPr>
        <w:t> </w:t>
      </w:r>
      <w:r>
        <w:rPr/>
        <w:t>普通股股份变动情况表</w:t>
      </w:r>
      <w:r>
        <w:rPr>
          <w:w w:val="100"/>
        </w:rPr>
        <w:t> </w:t>
      </w:r>
      <w:r>
        <w:rPr>
          <w:rFonts w:ascii="宋体" w:hAnsi="宋体" w:cs="宋体" w:eastAsia="宋体" w:hint="default"/>
        </w:rPr>
        <w:t>1</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258" w:right="0"/>
        <w:jc w:val="left"/>
      </w:pPr>
      <w:r>
        <w:rPr/>
        <w:t>单位：股</w:t>
      </w:r>
    </w:p>
    <w:p>
      <w:pPr>
        <w:spacing w:after="0" w:line="240" w:lineRule="auto"/>
        <w:jc w:val="left"/>
        <w:sectPr>
          <w:type w:val="continuous"/>
          <w:pgSz w:w="11910" w:h="16840"/>
          <w:pgMar w:top="1580" w:bottom="280" w:left="540" w:right="640"/>
          <w:cols w:num="2" w:equalWidth="0">
            <w:col w:w="3935" w:space="4059"/>
            <w:col w:w="2736"/>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84"/>
        <w:gridCol w:w="1582"/>
        <w:gridCol w:w="1186"/>
        <w:gridCol w:w="425"/>
        <w:gridCol w:w="427"/>
        <w:gridCol w:w="535"/>
        <w:gridCol w:w="1265"/>
        <w:gridCol w:w="1267"/>
        <w:gridCol w:w="1582"/>
        <w:gridCol w:w="739"/>
      </w:tblGrid>
      <w:tr>
        <w:trPr>
          <w:trHeight w:val="281" w:hRule="exact"/>
        </w:trPr>
        <w:tc>
          <w:tcPr>
            <w:tcW w:w="1484" w:type="dxa"/>
            <w:vMerge w:val="restart"/>
            <w:tcBorders>
              <w:top w:val="single" w:sz="4" w:space="0" w:color="000000"/>
              <w:left w:val="single" w:sz="4" w:space="0" w:color="000000"/>
              <w:right w:val="single" w:sz="4" w:space="0" w:color="000000"/>
            </w:tcBorders>
          </w:tcPr>
          <w:p>
            <w:pPr/>
          </w:p>
        </w:tc>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3" w:hRule="exact"/>
        </w:trPr>
        <w:tc>
          <w:tcPr>
            <w:tcW w:w="1484"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53" w:right="158"/>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6"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11,219,900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0.90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-5,167,430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-5,167,430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6,052,470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0.49</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有</w:t>
            </w:r>
            <w:r>
              <w:rPr>
                <w:rFonts w:ascii="宋体" w:hAnsi="宋体" w:cs="宋体" w:eastAsia="宋体" w:hint="default"/>
                <w:spacing w:val="-3"/>
                <w:w w:val="100"/>
                <w:sz w:val="21"/>
                <w:szCs w:val="21"/>
              </w:rPr>
              <w:t>法</w:t>
            </w:r>
            <w:r>
              <w:rPr>
                <w:rFonts w:ascii="宋体" w:hAnsi="宋体" w:cs="宋体" w:eastAsia="宋体" w:hint="default"/>
                <w:w w:val="100"/>
                <w:sz w:val="21"/>
                <w:szCs w:val="21"/>
              </w:rPr>
              <w:t>人持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内</w:t>
            </w:r>
            <w:r>
              <w:rPr>
                <w:rFonts w:ascii="宋体" w:hAnsi="宋体" w:cs="宋体" w:eastAsia="宋体" w:hint="default"/>
                <w:w w:val="100"/>
                <w:sz w:val="21"/>
                <w:szCs w:val="21"/>
              </w:rPr>
              <w:t>资持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11,219,900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0.90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-5,167,430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-5,167,430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6,052,470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0.49</w:t>
            </w: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11,219,900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0.90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-5,167,430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-5,167,430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6,052,470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0.49</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1,231,977,845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99.10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4,647,690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4,647,690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1,236,625,535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99.51</w:t>
            </w: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1,231,977,845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99.10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4,647,690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4,647,690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1,236,625,535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99.51</w:t>
            </w:r>
          </w:p>
        </w:tc>
      </w:tr>
      <w:tr>
        <w:trPr>
          <w:trHeight w:val="555"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r>
              <w:rPr>
                <w:rFonts w:ascii="宋体" w:hAnsi="宋体" w:cs="宋体" w:eastAsia="宋体" w:hint="default"/>
                <w:spacing w:val="-3"/>
                <w:w w:val="100"/>
                <w:sz w:val="21"/>
                <w:szCs w:val="21"/>
              </w:rPr>
              <w:t>上</w:t>
            </w:r>
            <w:r>
              <w:rPr>
                <w:rFonts w:ascii="宋体" w:hAnsi="宋体" w:cs="宋体" w:eastAsia="宋体" w:hint="default"/>
                <w:w w:val="100"/>
                <w:sz w:val="21"/>
                <w:szCs w:val="21"/>
              </w:rPr>
              <w:t>市的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上</w:t>
            </w:r>
            <w:r>
              <w:rPr>
                <w:rFonts w:ascii="宋体" w:hAnsi="宋体" w:cs="宋体" w:eastAsia="宋体" w:hint="default"/>
                <w:w w:val="100"/>
                <w:sz w:val="21"/>
                <w:szCs w:val="21"/>
              </w:rPr>
              <w:t>市的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1,243,197,745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-519,740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-519,740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1,242,678,005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Heading4"/>
        <w:spacing w:line="240" w:lineRule="auto" w:before="36"/>
        <w:ind w:left="1258" w:right="0"/>
        <w:jc w:val="left"/>
        <w:rPr>
          <w:b w:val="0"/>
          <w:bCs w:val="0"/>
        </w:rPr>
      </w:pPr>
      <w:r>
        <w:rPr>
          <w:rFonts w:ascii="宋体" w:hAnsi="宋体" w:cs="宋体" w:eastAsia="宋体" w:hint="default"/>
        </w:rPr>
        <w:t>2</w:t>
      </w:r>
      <w:r>
        <w:rPr/>
        <w:t>、普通股股份变动情况说明</w:t>
      </w:r>
      <w:r>
        <w:rPr>
          <w:b w:val="0"/>
          <w:bCs w:val="0"/>
        </w:rPr>
      </w:r>
    </w:p>
    <w:p>
      <w:pPr>
        <w:pStyle w:val="BodyText"/>
        <w:tabs>
          <w:tab w:pos="2100" w:val="left" w:leader="none"/>
        </w:tabs>
        <w:spacing w:line="274" w:lineRule="exact" w:before="56"/>
        <w:ind w:left="1258" w:right="0"/>
        <w:jc w:val="left"/>
      </w:pPr>
      <w:r>
        <w:rPr>
          <w:spacing w:val="-1"/>
        </w:rPr>
        <w:t>√适用</w:t>
        <w:tab/>
      </w:r>
      <w:r>
        <w:rPr>
          <w:spacing w:val="-2"/>
        </w:rPr>
        <w:t>□不适用</w:t>
      </w:r>
    </w:p>
    <w:p>
      <w:pPr>
        <w:pStyle w:val="BodyText"/>
        <w:spacing w:line="272" w:lineRule="exact"/>
        <w:ind w:left="1678" w:right="0"/>
        <w:jc w:val="left"/>
      </w:pPr>
      <w:r>
        <w:rPr/>
        <w:t>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日召开的公司八届六次董事会审议通过《关于公司回购注销部分限制性股</w:t>
      </w:r>
    </w:p>
    <w:p>
      <w:pPr>
        <w:pStyle w:val="BodyText"/>
        <w:spacing w:line="272" w:lineRule="exact"/>
        <w:ind w:left="1258" w:right="0"/>
        <w:jc w:val="left"/>
      </w:pPr>
      <w:r>
        <w:rPr>
          <w:spacing w:val="-7"/>
        </w:rPr>
        <w:t>票的议案》，具体内容，详见本公司于</w:t>
      </w:r>
      <w:r>
        <w:rPr>
          <w:spacing w:val="-42"/>
        </w:rPr>
        <w:t> </w:t>
      </w:r>
      <w:r>
        <w:rPr>
          <w:rFonts w:ascii="宋体" w:hAnsi="宋体" w:cs="宋体" w:eastAsia="宋体" w:hint="default"/>
        </w:rPr>
        <w:t>2017</w:t>
      </w:r>
      <w:r>
        <w:rPr>
          <w:rFonts w:ascii="宋体" w:hAnsi="宋体" w:cs="宋体" w:eastAsia="宋体" w:hint="default"/>
          <w:spacing w:val="-42"/>
        </w:rPr>
        <w:t> </w:t>
      </w:r>
      <w:r>
        <w:rPr/>
        <w:t>年</w:t>
      </w:r>
      <w:r>
        <w:rPr>
          <w:spacing w:val="-44"/>
        </w:rPr>
        <w:t> </w:t>
      </w:r>
      <w:r>
        <w:rPr>
          <w:rFonts w:ascii="宋体" w:hAnsi="宋体" w:cs="宋体" w:eastAsia="宋体" w:hint="default"/>
        </w:rPr>
        <w:t>8</w:t>
      </w:r>
      <w:r>
        <w:rPr>
          <w:rFonts w:ascii="宋体" w:hAnsi="宋体" w:cs="宋体" w:eastAsia="宋体" w:hint="default"/>
          <w:spacing w:val="-42"/>
        </w:rPr>
        <w:t> </w:t>
      </w:r>
      <w:r>
        <w:rPr/>
        <w:t>月</w:t>
      </w:r>
      <w:r>
        <w:rPr>
          <w:spacing w:val="-44"/>
        </w:rPr>
        <w:t> </w:t>
      </w:r>
      <w:r>
        <w:rPr>
          <w:rFonts w:ascii="宋体" w:hAnsi="宋体" w:cs="宋体" w:eastAsia="宋体" w:hint="default"/>
        </w:rPr>
        <w:t>31</w:t>
      </w:r>
      <w:r>
        <w:rPr>
          <w:rFonts w:ascii="宋体" w:hAnsi="宋体" w:cs="宋体" w:eastAsia="宋体" w:hint="default"/>
          <w:spacing w:val="-42"/>
        </w:rPr>
        <w:t> </w:t>
      </w:r>
      <w:r>
        <w:rPr>
          <w:spacing w:val="-8"/>
        </w:rPr>
        <w:t>日刊登在《中国证券报》、《上海证券报》</w:t>
      </w:r>
    </w:p>
    <w:p>
      <w:pPr>
        <w:pStyle w:val="BodyText"/>
        <w:spacing w:line="273" w:lineRule="exact"/>
        <w:ind w:left="1258" w:right="0"/>
        <w:jc w:val="left"/>
      </w:pPr>
      <w:r>
        <w:rPr/>
        <w:t>上的相关公告。</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11</w:t>
      </w:r>
      <w:r>
        <w:rPr>
          <w:rFonts w:ascii="宋体" w:hAnsi="宋体" w:cs="宋体" w:eastAsia="宋体" w:hint="default"/>
          <w:spacing w:val="-45"/>
        </w:rPr>
        <w:t> </w:t>
      </w:r>
      <w:r>
        <w:rPr/>
        <w:t>月</w:t>
      </w:r>
      <w:r>
        <w:rPr>
          <w:spacing w:val="-45"/>
        </w:rPr>
        <w:t> </w:t>
      </w:r>
      <w:r>
        <w:rPr>
          <w:rFonts w:ascii="宋体" w:hAnsi="宋体" w:cs="宋体" w:eastAsia="宋体" w:hint="default"/>
        </w:rPr>
        <w:t>22</w:t>
      </w:r>
      <w:r>
        <w:rPr>
          <w:rFonts w:ascii="宋体" w:hAnsi="宋体" w:cs="宋体" w:eastAsia="宋体" w:hint="default"/>
          <w:spacing w:val="-45"/>
        </w:rPr>
        <w:t> </w:t>
      </w:r>
      <w:r>
        <w:rPr/>
        <w:t>日，公司部分激励对象已获授但未解锁的</w:t>
      </w:r>
      <w:r>
        <w:rPr>
          <w:spacing w:val="-45"/>
        </w:rPr>
        <w:t> </w:t>
      </w:r>
      <w:r>
        <w:rPr>
          <w:rFonts w:ascii="宋体" w:hAnsi="宋体" w:cs="宋体" w:eastAsia="宋体" w:hint="default"/>
        </w:rPr>
        <w:t>51.974</w:t>
      </w:r>
      <w:r>
        <w:rPr>
          <w:rFonts w:ascii="宋体" w:hAnsi="宋体" w:cs="宋体" w:eastAsia="宋体" w:hint="default"/>
          <w:spacing w:val="-47"/>
        </w:rPr>
        <w:t> </w:t>
      </w:r>
      <w:r>
        <w:rPr/>
        <w:t>万股限制性股</w:t>
      </w:r>
    </w:p>
    <w:p>
      <w:pPr>
        <w:pStyle w:val="BodyText"/>
        <w:spacing w:line="273" w:lineRule="exact"/>
        <w:ind w:left="1258" w:right="0"/>
        <w:jc w:val="left"/>
      </w:pPr>
      <w:r>
        <w:rPr/>
        <w:t>票部分限制性股票回购注销完成。变更完成后本公司普通股股份总数为</w:t>
      </w:r>
      <w:r>
        <w:rPr>
          <w:spacing w:val="-55"/>
        </w:rPr>
        <w:t> </w:t>
      </w:r>
      <w:r>
        <w:rPr>
          <w:rFonts w:ascii="宋体" w:hAnsi="宋体" w:cs="宋体" w:eastAsia="宋体" w:hint="default"/>
        </w:rPr>
        <w:t>1,242,678,005</w:t>
      </w:r>
      <w:r>
        <w:rPr>
          <w:rFonts w:ascii="宋体" w:hAnsi="宋体" w:cs="宋体" w:eastAsia="宋体" w:hint="default"/>
          <w:spacing w:val="-57"/>
        </w:rPr>
        <w:t> </w:t>
      </w:r>
      <w:r>
        <w:rPr/>
        <w:t>股。</w:t>
      </w:r>
    </w:p>
    <w:p>
      <w:pPr>
        <w:spacing w:after="0" w:line="273" w:lineRule="exact"/>
        <w:jc w:val="left"/>
        <w:sectPr>
          <w:type w:val="continuous"/>
          <w:pgSz w:w="11910" w:h="16840"/>
          <w:pgMar w:top="1580" w:bottom="280" w:left="540" w:right="640"/>
        </w:sectPr>
      </w:pPr>
    </w:p>
    <w:p>
      <w:pPr>
        <w:spacing w:line="240" w:lineRule="auto" w:before="3"/>
        <w:rPr>
          <w:rFonts w:ascii="宋体" w:hAnsi="宋体" w:cs="宋体" w:eastAsia="宋体" w:hint="default"/>
          <w:sz w:val="11"/>
          <w:szCs w:val="11"/>
        </w:rPr>
      </w:pPr>
    </w:p>
    <w:p>
      <w:pPr>
        <w:pStyle w:val="Heading4"/>
        <w:spacing w:line="240" w:lineRule="auto" w:before="36"/>
        <w:ind w:right="226"/>
        <w:jc w:val="left"/>
        <w:rPr>
          <w:b w:val="0"/>
          <w:bCs w:val="0"/>
        </w:rPr>
      </w:pPr>
      <w:r>
        <w:rPr>
          <w:rFonts w:ascii="宋体" w:hAnsi="宋体" w:cs="宋体" w:eastAsia="宋体" w:hint="default"/>
        </w:rPr>
        <w:t>3</w:t>
      </w:r>
      <w:r>
        <w:rPr/>
        <w:t>、普通股股份变动对最近一年和最近一期每股收益、每股净资产等财务指标的影响（如有）</w:t>
      </w:r>
      <w:r>
        <w:rPr>
          <w:b w:val="0"/>
          <w:bCs w:val="0"/>
        </w:rPr>
      </w:r>
    </w:p>
    <w:p>
      <w:pPr>
        <w:pStyle w:val="BodyText"/>
        <w:tabs>
          <w:tab w:pos="1060" w:val="left" w:leader="none"/>
        </w:tabs>
        <w:spacing w:line="273" w:lineRule="exact" w:before="58"/>
        <w:ind w:right="2760"/>
        <w:jc w:val="left"/>
      </w:pPr>
      <w:r>
        <w:rPr>
          <w:spacing w:val="-1"/>
        </w:rPr>
        <w:t>√适用</w:t>
        <w:tab/>
      </w:r>
      <w:r>
        <w:rPr>
          <w:spacing w:val="-2"/>
        </w:rPr>
        <w:t>□不适用</w:t>
      </w:r>
    </w:p>
    <w:p>
      <w:pPr>
        <w:pStyle w:val="BodyText"/>
        <w:spacing w:line="272" w:lineRule="exact"/>
        <w:ind w:left="638" w:right="0"/>
        <w:jc w:val="left"/>
      </w:pPr>
      <w:r>
        <w:rPr>
          <w:w w:val="100"/>
        </w:rPr>
        <w:t>报告</w:t>
      </w:r>
      <w:r>
        <w:rPr>
          <w:spacing w:val="-3"/>
          <w:w w:val="100"/>
        </w:rPr>
        <w:t>期</w:t>
      </w:r>
      <w:r>
        <w:rPr>
          <w:w w:val="100"/>
        </w:rPr>
        <w:t>内</w:t>
      </w:r>
      <w:r>
        <w:rPr>
          <w:spacing w:val="-108"/>
          <w:w w:val="100"/>
        </w:rPr>
        <w:t>，</w:t>
      </w:r>
      <w:r>
        <w:rPr>
          <w:w w:val="100"/>
        </w:rPr>
        <w:t>公</w:t>
      </w:r>
      <w:r>
        <w:rPr>
          <w:spacing w:val="-3"/>
          <w:w w:val="100"/>
        </w:rPr>
        <w:t>司</w:t>
      </w:r>
      <w:r>
        <w:rPr>
          <w:w w:val="100"/>
        </w:rPr>
        <w:t>回</w:t>
      </w:r>
      <w:r>
        <w:rPr>
          <w:spacing w:val="-3"/>
          <w:w w:val="100"/>
        </w:rPr>
        <w:t>购</w:t>
      </w:r>
      <w:r>
        <w:rPr>
          <w:w w:val="100"/>
        </w:rPr>
        <w:t>并注销</w:t>
      </w:r>
      <w:r>
        <w:rPr>
          <w:spacing w:val="-79"/>
        </w:rPr>
        <w:t> </w:t>
      </w:r>
      <w:r>
        <w:rPr>
          <w:rFonts w:ascii="宋体" w:hAnsi="宋体" w:cs="宋体" w:eastAsia="宋体" w:hint="default"/>
          <w:w w:val="100"/>
        </w:rPr>
        <w:t>27</w:t>
      </w:r>
      <w:r>
        <w:rPr>
          <w:rFonts w:ascii="宋体" w:hAnsi="宋体" w:cs="宋体" w:eastAsia="宋体" w:hint="default"/>
          <w:spacing w:val="-77"/>
        </w:rPr>
        <w:t> </w:t>
      </w:r>
      <w:r>
        <w:rPr>
          <w:w w:val="100"/>
        </w:rPr>
        <w:t>名</w:t>
      </w:r>
      <w:r>
        <w:rPr>
          <w:spacing w:val="-3"/>
          <w:w w:val="100"/>
        </w:rPr>
        <w:t>激</w:t>
      </w:r>
      <w:r>
        <w:rPr>
          <w:w w:val="100"/>
        </w:rPr>
        <w:t>励</w:t>
      </w:r>
      <w:r>
        <w:rPr>
          <w:spacing w:val="-3"/>
          <w:w w:val="100"/>
        </w:rPr>
        <w:t>对</w:t>
      </w:r>
      <w:r>
        <w:rPr>
          <w:w w:val="100"/>
        </w:rPr>
        <w:t>象</w:t>
      </w:r>
      <w:r>
        <w:rPr>
          <w:spacing w:val="-3"/>
          <w:w w:val="100"/>
        </w:rPr>
        <w:t>持</w:t>
      </w:r>
      <w:r>
        <w:rPr>
          <w:w w:val="100"/>
        </w:rPr>
        <w:t>有</w:t>
      </w:r>
      <w:r>
        <w:rPr>
          <w:spacing w:val="-3"/>
          <w:w w:val="100"/>
        </w:rPr>
        <w:t>的</w:t>
      </w:r>
      <w:r>
        <w:rPr>
          <w:w w:val="100"/>
        </w:rPr>
        <w:t>已</w:t>
      </w:r>
      <w:r>
        <w:rPr>
          <w:spacing w:val="-3"/>
          <w:w w:val="100"/>
        </w:rPr>
        <w:t>获</w:t>
      </w:r>
      <w:r>
        <w:rPr>
          <w:w w:val="100"/>
        </w:rPr>
        <w:t>授但</w:t>
      </w:r>
      <w:r>
        <w:rPr>
          <w:spacing w:val="-3"/>
          <w:w w:val="100"/>
        </w:rPr>
        <w:t>未</w:t>
      </w:r>
      <w:r>
        <w:rPr>
          <w:w w:val="100"/>
        </w:rPr>
        <w:t>解</w:t>
      </w:r>
      <w:r>
        <w:rPr>
          <w:spacing w:val="-3"/>
          <w:w w:val="100"/>
        </w:rPr>
        <w:t>锁</w:t>
      </w:r>
      <w:r>
        <w:rPr>
          <w:w w:val="100"/>
        </w:rPr>
        <w:t>的</w:t>
      </w:r>
      <w:r>
        <w:rPr>
          <w:spacing w:val="-77"/>
        </w:rPr>
        <w:t> </w:t>
      </w:r>
      <w:r>
        <w:rPr>
          <w:rFonts w:ascii="宋体" w:hAnsi="宋体" w:cs="宋体" w:eastAsia="宋体" w:hint="default"/>
          <w:w w:val="100"/>
        </w:rPr>
        <w:t>51</w:t>
      </w:r>
      <w:r>
        <w:rPr>
          <w:rFonts w:ascii="宋体" w:hAnsi="宋体" w:cs="宋体" w:eastAsia="宋体" w:hint="default"/>
          <w:spacing w:val="-3"/>
          <w:w w:val="100"/>
        </w:rPr>
        <w:t>.</w:t>
      </w:r>
      <w:r>
        <w:rPr>
          <w:rFonts w:ascii="宋体" w:hAnsi="宋体" w:cs="宋体" w:eastAsia="宋体" w:hint="default"/>
          <w:w w:val="100"/>
        </w:rPr>
        <w:t>974</w:t>
      </w:r>
      <w:r>
        <w:rPr>
          <w:rFonts w:ascii="宋体" w:hAnsi="宋体" w:cs="宋体" w:eastAsia="宋体" w:hint="default"/>
          <w:spacing w:val="-76"/>
        </w:rPr>
        <w:t> </w:t>
      </w:r>
      <w:r>
        <w:rPr>
          <w:spacing w:val="-3"/>
          <w:w w:val="100"/>
        </w:rPr>
        <w:t>万股</w:t>
      </w:r>
      <w:r>
        <w:rPr>
          <w:w w:val="100"/>
        </w:rPr>
        <w:t>限制</w:t>
      </w:r>
      <w:r>
        <w:rPr>
          <w:spacing w:val="-3"/>
          <w:w w:val="100"/>
        </w:rPr>
        <w:t>性</w:t>
      </w:r>
      <w:r>
        <w:rPr>
          <w:w w:val="100"/>
        </w:rPr>
        <w:t>股</w:t>
      </w:r>
      <w:r>
        <w:rPr>
          <w:spacing w:val="-3"/>
          <w:w w:val="100"/>
        </w:rPr>
        <w:t>票</w:t>
      </w:r>
      <w:r>
        <w:rPr>
          <w:w w:val="100"/>
        </w:rPr>
        <w:t>，</w:t>
      </w:r>
    </w:p>
    <w:p>
      <w:pPr>
        <w:pStyle w:val="BodyText"/>
        <w:spacing w:line="272" w:lineRule="exact" w:before="27"/>
        <w:ind w:right="227"/>
        <w:jc w:val="left"/>
      </w:pPr>
      <w:r>
        <w:rPr/>
        <w:t>公司总股本由</w:t>
      </w:r>
      <w:r>
        <w:rPr>
          <w:spacing w:val="-53"/>
        </w:rPr>
        <w:t> </w:t>
      </w:r>
      <w:r>
        <w:rPr>
          <w:rFonts w:ascii="宋体" w:hAnsi="宋体" w:cs="宋体" w:eastAsia="宋体" w:hint="default"/>
        </w:rPr>
        <w:t>1,243,197,745</w:t>
      </w:r>
      <w:r>
        <w:rPr>
          <w:rFonts w:ascii="宋体" w:hAnsi="宋体" w:cs="宋体" w:eastAsia="宋体" w:hint="default"/>
          <w:spacing w:val="-52"/>
        </w:rPr>
        <w:t> </w:t>
      </w:r>
      <w:r>
        <w:rPr/>
        <w:t>股变更为</w:t>
      </w:r>
      <w:r>
        <w:rPr>
          <w:spacing w:val="-52"/>
        </w:rPr>
        <w:t> </w:t>
      </w:r>
      <w:r>
        <w:rPr>
          <w:rFonts w:ascii="宋体" w:hAnsi="宋体" w:cs="宋体" w:eastAsia="宋体" w:hint="default"/>
        </w:rPr>
        <w:t>1,242,678,005</w:t>
      </w:r>
      <w:r>
        <w:rPr>
          <w:rFonts w:ascii="宋体" w:hAnsi="宋体" w:cs="宋体" w:eastAsia="宋体" w:hint="default"/>
          <w:spacing w:val="-52"/>
        </w:rPr>
        <w:t> </w:t>
      </w:r>
      <w:r>
        <w:rPr/>
        <w:t>股，股份变动前后对每股收益、每股净资</w:t>
      </w:r>
      <w:r>
        <w:rPr>
          <w:w w:val="100"/>
        </w:rPr>
        <w:t> </w:t>
      </w:r>
      <w:r>
        <w:rPr/>
        <w:t>产的计算影响不大。</w:t>
      </w:r>
    </w:p>
    <w:p>
      <w:pPr>
        <w:spacing w:line="240" w:lineRule="auto" w:before="4"/>
        <w:rPr>
          <w:rFonts w:ascii="宋体" w:hAnsi="宋体" w:cs="宋体" w:eastAsia="宋体" w:hint="default"/>
          <w:sz w:val="23"/>
          <w:szCs w:val="23"/>
        </w:rPr>
      </w:pPr>
    </w:p>
    <w:p>
      <w:pPr>
        <w:pStyle w:val="Heading4"/>
        <w:spacing w:line="240" w:lineRule="auto"/>
        <w:ind w:right="2760"/>
        <w:jc w:val="left"/>
        <w:rPr>
          <w:b w:val="0"/>
          <w:bCs w:val="0"/>
        </w:rPr>
      </w:pPr>
      <w:r>
        <w:rPr>
          <w:rFonts w:ascii="宋体" w:hAnsi="宋体" w:cs="宋体" w:eastAsia="宋体" w:hint="default"/>
        </w:rPr>
        <w:t>4</w:t>
      </w:r>
      <w:r>
        <w:rPr/>
        <w:t>、公司认为必要或证券监管机构要求披露的其他内容</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9"/>
        </w:rPr>
        <w:t> </w:t>
      </w:r>
      <w:r>
        <w:rPr/>
        <w:t>限售股份变动情况</w:t>
      </w:r>
      <w:r>
        <w:rPr>
          <w:b w:val="0"/>
          <w:bCs w:val="0"/>
        </w:rPr>
      </w:r>
    </w:p>
    <w:p>
      <w:pPr>
        <w:pStyle w:val="BodyText"/>
        <w:spacing w:line="240" w:lineRule="auto" w:before="56"/>
        <w:ind w:left="638" w:right="226" w:hanging="420"/>
        <w:jc w:val="left"/>
      </w:pPr>
      <w:r>
        <w:rPr/>
        <w:t>√适用</w:t>
      </w:r>
      <w:r>
        <w:rPr>
          <w:spacing w:val="-2"/>
        </w:rPr>
        <w:t> </w:t>
      </w:r>
      <w:r>
        <w:rPr/>
        <w:t>□不适用</w:t>
      </w:r>
      <w:r>
        <w:rPr>
          <w:w w:val="100"/>
        </w:rPr>
        <w:t> </w:t>
      </w:r>
      <w:r>
        <w:rPr>
          <w:spacing w:val="-2"/>
        </w:rPr>
        <w:t>除上述“普通股股份变动情况说明”所述情况外，公司无因送股、配股、增发新股、吸收合</w:t>
      </w:r>
    </w:p>
    <w:p>
      <w:pPr>
        <w:pStyle w:val="BodyText"/>
        <w:spacing w:line="274" w:lineRule="exact" w:before="22"/>
        <w:ind w:right="226"/>
        <w:jc w:val="left"/>
      </w:pPr>
      <w:r>
        <w:rPr>
          <w:spacing w:val="-1"/>
        </w:rPr>
        <w:t>并、可转换公司债券转股、减资、内部职工股或者公司职工股上市或其他原因引起公司限售股份</w:t>
      </w:r>
      <w:r>
        <w:rPr>
          <w:spacing w:val="-55"/>
        </w:rPr>
        <w:t> </w:t>
      </w:r>
      <w:r>
        <w:rPr>
          <w:spacing w:val="-55"/>
        </w:rPr>
      </w:r>
      <w:r>
        <w:rPr/>
        <w:t>变动的情况。</w:t>
      </w:r>
    </w:p>
    <w:p>
      <w:pPr>
        <w:spacing w:line="240" w:lineRule="auto" w:before="4"/>
        <w:rPr>
          <w:rFonts w:ascii="宋体" w:hAnsi="宋体" w:cs="宋体" w:eastAsia="宋体" w:hint="default"/>
          <w:sz w:val="23"/>
          <w:szCs w:val="23"/>
        </w:rPr>
      </w:pPr>
    </w:p>
    <w:p>
      <w:pPr>
        <w:pStyle w:val="Heading4"/>
        <w:spacing w:line="290" w:lineRule="auto"/>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right="236"/>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060" w:val="left" w:leader="none"/>
        </w:tabs>
        <w:spacing w:line="246" w:lineRule="exact"/>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6"/>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72" w:lineRule="exact" w:before="87"/>
        <w:ind w:left="638" w:right="236" w:hanging="420"/>
        <w:jc w:val="left"/>
      </w:pPr>
      <w:r>
        <w:rPr>
          <w:spacing w:val="-1"/>
        </w:rPr>
        <w:t>√适用</w:t>
        <w:tab/>
      </w:r>
      <w:r>
        <w:rPr>
          <w:spacing w:val="-2"/>
        </w:rPr>
        <w:t>□不适用</w:t>
      </w:r>
      <w:r>
        <w:rPr>
          <w:spacing w:val="-99"/>
        </w:rPr>
        <w:t> </w:t>
      </w:r>
      <w:r>
        <w:rPr>
          <w:spacing w:val="-99"/>
        </w:rPr>
      </w:r>
      <w:r>
        <w:rPr>
          <w:spacing w:val="-2"/>
        </w:rPr>
        <w:t>除上述“普通股股份变动情况说明”所述情况外，公司无因送股、配股、增发新股、吸收合</w:t>
      </w:r>
    </w:p>
    <w:p>
      <w:pPr>
        <w:pStyle w:val="BodyText"/>
        <w:spacing w:line="272" w:lineRule="exact" w:before="1"/>
        <w:ind w:right="226"/>
        <w:jc w:val="left"/>
      </w:pPr>
      <w:r>
        <w:rPr>
          <w:spacing w:val="-1"/>
        </w:rPr>
        <w:t>并、可转换公司债券转股、减资、内部职工股或者公司职工股上市或其他原因引起公司限售股份</w:t>
      </w:r>
      <w:r>
        <w:rPr>
          <w:spacing w:val="-55"/>
        </w:rPr>
        <w:t> </w:t>
      </w:r>
      <w:r>
        <w:rPr>
          <w:spacing w:val="-55"/>
        </w:rPr>
      </w:r>
      <w:r>
        <w:rPr/>
        <w:t>变动的情况。</w:t>
      </w:r>
    </w:p>
    <w:p>
      <w:pPr>
        <w:spacing w:line="240" w:lineRule="auto" w:before="4"/>
        <w:rPr>
          <w:rFonts w:ascii="宋体" w:hAnsi="宋体" w:cs="宋体" w:eastAsia="宋体" w:hint="default"/>
          <w:sz w:val="23"/>
          <w:szCs w:val="23"/>
        </w:rPr>
      </w:pPr>
    </w:p>
    <w:p>
      <w:pPr>
        <w:pStyle w:val="Heading4"/>
        <w:spacing w:line="240" w:lineRule="auto"/>
        <w:ind w:right="276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492"/>
        <w:jc w:val="left"/>
        <w:rPr>
          <w:b w:val="0"/>
          <w:bCs w:val="0"/>
        </w:rPr>
      </w:pPr>
      <w:r>
        <w:rPr/>
        <w:t>三、</w:t>
      </w:r>
      <w:r>
        <w:rPr>
          <w:spacing w:val="-80"/>
        </w:rPr>
        <w:t> </w:t>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6347"/>
        <w:gridCol w:w="2703"/>
      </w:tblGrid>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89,821</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90,130</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945" w:footer="1248" w:top="1300" w:bottom="1440" w:left="1580" w:right="1040"/>
        </w:sectPr>
      </w:pPr>
    </w:p>
    <w:p>
      <w:pPr>
        <w:spacing w:line="240" w:lineRule="auto" w:before="3"/>
        <w:rPr>
          <w:rFonts w:ascii="宋体" w:hAnsi="宋体" w:cs="宋体" w:eastAsia="宋体" w:hint="default"/>
          <w:b/>
          <w:bCs/>
          <w:sz w:val="11"/>
          <w:szCs w:val="11"/>
        </w:rPr>
      </w:pPr>
    </w:p>
    <w:p>
      <w:pPr>
        <w:pStyle w:val="Heading4"/>
        <w:spacing w:line="240" w:lineRule="auto" w:before="36"/>
        <w:ind w:left="1118" w:right="0"/>
        <w:jc w:val="left"/>
        <w:rPr>
          <w:b w:val="0"/>
          <w:bCs w:val="0"/>
        </w:rPr>
      </w:pPr>
      <w:r>
        <w:rPr>
          <w:rFonts w:ascii="宋体" w:hAnsi="宋体" w:cs="宋体" w:eastAsia="宋体" w:hint="default"/>
        </w:rPr>
        <w:t>(</w:t>
      </w:r>
      <w:r>
        <w:rPr/>
        <w:t>二</w:t>
      </w:r>
      <w:r>
        <w:rPr>
          <w:rFonts w:ascii="宋体" w:hAnsi="宋体" w:cs="宋体" w:eastAsia="宋体" w:hint="default"/>
        </w:rPr>
        <w:t>)</w:t>
      </w:r>
      <w:r>
        <w:rPr/>
        <w:t>截止报告期末前十名股东、前十名流通股东（或无限售条件股东）持股情况表</w:t>
      </w:r>
      <w:r>
        <w:rPr>
          <w:b w:val="0"/>
          <w:bCs w:val="0"/>
        </w:rPr>
      </w:r>
    </w:p>
    <w:p>
      <w:pPr>
        <w:pStyle w:val="BodyText"/>
        <w:spacing w:line="240" w:lineRule="auto" w:before="58"/>
        <w:ind w:left="0" w:right="870"/>
        <w:jc w:val="right"/>
      </w:pPr>
      <w:r>
        <w:rPr>
          <w:spacing w:val="-1"/>
        </w:rPr>
        <w:t>单位</w:t>
      </w:r>
      <w:r>
        <w:rPr>
          <w:rFonts w:ascii="宋体" w:hAnsi="宋体" w:cs="宋体" w:eastAsia="宋体" w:hint="default"/>
          <w:spacing w:val="-1"/>
        </w:rPr>
        <w:t>:</w:t>
      </w:r>
      <w:r>
        <w:rPr>
          <w:spacing w:val="-1"/>
        </w:rPr>
        <w:t>股</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54"/>
        <w:gridCol w:w="1275"/>
        <w:gridCol w:w="1135"/>
        <w:gridCol w:w="295"/>
        <w:gridCol w:w="951"/>
        <w:gridCol w:w="1164"/>
        <w:gridCol w:w="709"/>
        <w:gridCol w:w="1133"/>
        <w:gridCol w:w="286"/>
        <w:gridCol w:w="1087"/>
      </w:tblGrid>
      <w:tr>
        <w:trPr>
          <w:trHeight w:val="283" w:hRule="exact"/>
        </w:trPr>
        <w:tc>
          <w:tcPr>
            <w:tcW w:w="105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2554" w:type="dxa"/>
            <w:vMerge w:val="restart"/>
            <w:tcBorders>
              <w:top w:val="single" w:sz="4" w:space="0" w:color="000000"/>
              <w:left w:val="single" w:sz="4" w:space="0" w:color="000000"/>
              <w:right w:val="single" w:sz="4" w:space="0" w:color="000000"/>
            </w:tcBorders>
          </w:tcPr>
          <w:p>
            <w:pPr>
              <w:pStyle w:val="TableParagraph"/>
              <w:spacing w:line="273" w:lineRule="exact" w:before="107"/>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72" w:lineRule="exact" w:before="135"/>
              <w:ind w:left="422" w:right="209" w:hanging="212"/>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430" w:type="dxa"/>
            <w:gridSpan w:val="2"/>
            <w:vMerge w:val="restart"/>
            <w:tcBorders>
              <w:top w:val="single" w:sz="4" w:space="0" w:color="000000"/>
              <w:left w:val="single" w:sz="4" w:space="0" w:color="000000"/>
              <w:right w:val="single" w:sz="4" w:space="0" w:color="000000"/>
            </w:tcBorders>
          </w:tcPr>
          <w:p>
            <w:pPr>
              <w:pStyle w:val="TableParagraph"/>
              <w:spacing w:line="272" w:lineRule="exact" w:before="135"/>
              <w:ind w:left="499" w:right="288" w:hanging="212"/>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9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64"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7"/>
              <w:ind w:left="156" w:right="153" w:firstLine="2"/>
              <w:jc w:val="center"/>
              <w:rPr>
                <w:rFonts w:ascii="宋体" w:hAnsi="宋体" w:cs="宋体" w:eastAsia="宋体" w:hint="default"/>
                <w:sz w:val="21"/>
                <w:szCs w:val="21"/>
              </w:rPr>
            </w:pPr>
            <w:r>
              <w:rPr>
                <w:rFonts w:ascii="宋体" w:hAnsi="宋体" w:cs="宋体" w:eastAsia="宋体" w:hint="default"/>
                <w:sz w:val="21"/>
                <w:szCs w:val="21"/>
              </w:rPr>
              <w:t>售条件</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087" w:type="dxa"/>
            <w:vMerge w:val="restart"/>
            <w:tcBorders>
              <w:top w:val="single" w:sz="4" w:space="0" w:color="000000"/>
              <w:left w:val="single" w:sz="4" w:space="0" w:color="000000"/>
              <w:right w:val="single" w:sz="4" w:space="0" w:color="000000"/>
            </w:tcBorders>
          </w:tcPr>
          <w:p>
            <w:pPr>
              <w:pStyle w:val="TableParagraph"/>
              <w:spacing w:line="272" w:lineRule="exact" w:before="135"/>
              <w:ind w:left="328" w:right="32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55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30" w:type="dxa"/>
            <w:gridSpan w:val="2"/>
            <w:vMerge/>
            <w:tcBorders>
              <w:left w:val="single" w:sz="4" w:space="0" w:color="000000"/>
              <w:bottom w:val="single" w:sz="4" w:space="0" w:color="000000"/>
              <w:right w:val="single" w:sz="4" w:space="0" w:color="000000"/>
            </w:tcBorders>
          </w:tcPr>
          <w:p>
            <w:pPr/>
          </w:p>
        </w:tc>
        <w:tc>
          <w:tcPr>
            <w:tcW w:w="951"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87" w:type="dxa"/>
            <w:vMerge/>
            <w:tcBorders>
              <w:left w:val="single" w:sz="4" w:space="0" w:color="000000"/>
              <w:bottom w:val="single" w:sz="4" w:space="0" w:color="000000"/>
              <w:right w:val="single" w:sz="4" w:space="0" w:color="000000"/>
            </w:tcBorders>
          </w:tcPr>
          <w:p>
            <w:pP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1"/>
                <w:szCs w:val="11"/>
              </w:rPr>
            </w:pPr>
            <w:r>
              <w:rPr>
                <w:rFonts w:ascii="宋体" w:hAnsi="宋体" w:cs="宋体" w:eastAsia="宋体" w:hint="default"/>
                <w:sz w:val="21"/>
                <w:szCs w:val="21"/>
              </w:rPr>
              <w:t>大连东软控股有限公司</w:t>
            </w:r>
            <w:r>
              <w:rPr>
                <w:rFonts w:ascii="宋体" w:hAnsi="宋体" w:cs="宋体" w:eastAsia="宋体" w:hint="default"/>
                <w:position w:val="11"/>
                <w:sz w:val="11"/>
                <w:szCs w:val="11"/>
              </w:rPr>
              <w:t>注</w:t>
            </w:r>
            <w:r>
              <w:rPr>
                <w:rFonts w:ascii="宋体" w:hAnsi="宋体" w:cs="宋体" w:eastAsia="宋体" w:hint="default"/>
                <w:spacing w:val="-30"/>
                <w:position w:val="11"/>
                <w:sz w:val="11"/>
                <w:szCs w:val="11"/>
              </w:rPr>
              <w:t> </w:t>
            </w:r>
            <w:r>
              <w:rPr>
                <w:rFonts w:ascii="宋体" w:hAnsi="宋体" w:cs="宋体" w:eastAsia="宋体" w:hint="default"/>
                <w:position w:val="11"/>
                <w:sz w:val="11"/>
                <w:szCs w:val="11"/>
              </w:rPr>
              <w:t>1</w:t>
            </w:r>
            <w:r>
              <w:rPr>
                <w:rFonts w:ascii="宋体" w:hAnsi="宋体" w:cs="宋体" w:eastAsia="宋体" w:hint="default"/>
                <w:sz w:val="11"/>
                <w:szCs w:val="1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21,205,703</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sz w:val="21"/>
              </w:rPr>
              <w:t>153,809,314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12.3772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sz w:val="21"/>
              </w:rPr>
              <w:t>139,019,900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w:t>
            </w:r>
          </w:p>
          <w:p>
            <w:pPr>
              <w:pStyle w:val="TableParagraph"/>
              <w:spacing w:line="274" w:lineRule="exact"/>
              <w:ind w:left="103" w:right="0"/>
              <w:jc w:val="left"/>
              <w:rPr>
                <w:rFonts w:ascii="宋体" w:hAnsi="宋体" w:cs="宋体" w:eastAsia="宋体" w:hint="default"/>
                <w:sz w:val="11"/>
                <w:szCs w:val="11"/>
              </w:rPr>
            </w:pPr>
            <w:r>
              <w:rPr>
                <w:rFonts w:ascii="宋体" w:hAnsi="宋体" w:cs="宋体" w:eastAsia="宋体" w:hint="default"/>
                <w:sz w:val="21"/>
                <w:szCs w:val="21"/>
              </w:rPr>
              <w:t>限公司</w:t>
            </w:r>
            <w:r>
              <w:rPr>
                <w:rFonts w:ascii="宋体" w:hAnsi="宋体" w:cs="宋体" w:eastAsia="宋体" w:hint="default"/>
                <w:position w:val="11"/>
                <w:sz w:val="11"/>
                <w:szCs w:val="11"/>
              </w:rPr>
              <w:t>注</w:t>
            </w:r>
            <w:r>
              <w:rPr>
                <w:rFonts w:ascii="宋体" w:hAnsi="宋体" w:cs="宋体" w:eastAsia="宋体" w:hint="default"/>
                <w:spacing w:val="-25"/>
                <w:position w:val="11"/>
                <w:sz w:val="11"/>
                <w:szCs w:val="11"/>
              </w:rPr>
              <w:t> </w:t>
            </w:r>
            <w:r>
              <w:rPr>
                <w:rFonts w:ascii="宋体" w:hAnsi="宋体" w:cs="宋体" w:eastAsia="宋体" w:hint="default"/>
                <w:position w:val="11"/>
                <w:sz w:val="11"/>
                <w:szCs w:val="11"/>
              </w:rPr>
              <w:t>2</w:t>
            </w:r>
            <w:r>
              <w:rPr>
                <w:rFonts w:ascii="宋体" w:hAnsi="宋体" w:cs="宋体" w:eastAsia="宋体" w:hint="default"/>
                <w:sz w:val="11"/>
                <w:szCs w:val="1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-8,800,000</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sz w:val="21"/>
              </w:rPr>
              <w:t>124,151,805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9.9907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sz w:val="21"/>
              </w:rPr>
              <w:t>25,000,000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sz w:val="21"/>
              </w:rPr>
              <w:t>78,683,547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6.3318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有法人</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sz w:val="21"/>
              </w:rPr>
              <w:t>20,057,144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r>
      <w:tr>
        <w:trPr>
          <w:trHeight w:val="82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沈阳森木投资管理有限公</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司－森木价值发现</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14,919,792</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sz w:val="21"/>
              </w:rPr>
              <w:t>17,153,322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1.3804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SAP</w:t>
            </w:r>
            <w:r>
              <w:rPr>
                <w:rFonts w:ascii="宋体"/>
                <w:spacing w:val="3"/>
                <w:sz w:val="21"/>
              </w:rPr>
              <w:t> </w:t>
            </w:r>
            <w:r>
              <w:rPr>
                <w:rFonts w:ascii="宋体"/>
                <w:sz w:val="21"/>
              </w:rPr>
              <w:t>SE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sz w:val="21"/>
              </w:rPr>
              <w:t>16,283,768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1.3104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r>
      <w:tr>
        <w:trPr>
          <w:trHeight w:val="28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7,782,500</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sz w:val="21"/>
              </w:rPr>
              <w:t>15,204,130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1.2235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徐燕超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2,400,088</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sz w:val="21"/>
              </w:rPr>
              <w:t>12,700,088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1.0220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限公司－淡水泉精选</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12,492,612</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sz w:val="21"/>
              </w:rPr>
              <w:t>12,492,612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1.0053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平安信托有限责任公司－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投资精英之淡水泉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10,507,855</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sz w:val="21"/>
              </w:rPr>
              <w:t>10,507,855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0.8456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105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496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10"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持有无限售条件流通股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的数量</w:t>
            </w:r>
          </w:p>
        </w:tc>
        <w:tc>
          <w:tcPr>
            <w:tcW w:w="32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4964" w:type="dxa"/>
            <w:gridSpan w:val="3"/>
            <w:vMerge/>
            <w:tcBorders>
              <w:left w:val="single" w:sz="4" w:space="0" w:color="000000"/>
              <w:bottom w:val="single" w:sz="4" w:space="0" w:color="000000"/>
              <w:right w:val="single" w:sz="4" w:space="0" w:color="000000"/>
            </w:tcBorders>
          </w:tcPr>
          <w:p>
            <w:pPr/>
          </w:p>
        </w:tc>
        <w:tc>
          <w:tcPr>
            <w:tcW w:w="2410" w:type="dxa"/>
            <w:gridSpan w:val="3"/>
            <w:vMerge/>
            <w:tcBorders>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sz w:val="21"/>
              </w:rPr>
              <w:t>153,809,314</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153,809,314</w:t>
            </w:r>
          </w:p>
        </w:tc>
      </w:tr>
      <w:tr>
        <w:trPr>
          <w:trHeight w:val="281"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sz w:val="21"/>
              </w:rPr>
              <w:t>124,151,805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124,151,805</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78,683,547</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78,683,547</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20,057,144</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20,057,144</w:t>
            </w:r>
          </w:p>
        </w:tc>
      </w:tr>
      <w:tr>
        <w:trPr>
          <w:trHeight w:val="554"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沈阳森木投资管理有限公司－森木价值发现 </w:t>
            </w:r>
            <w:r>
              <w:rPr>
                <w:rFonts w:ascii="宋体" w:hAnsi="宋体" w:cs="宋体" w:eastAsia="宋体" w:hint="default"/>
                <w:sz w:val="21"/>
                <w:szCs w:val="21"/>
              </w:rPr>
              <w:t>1</w:t>
            </w:r>
            <w:r>
              <w:rPr>
                <w:rFonts w:ascii="宋体" w:hAnsi="宋体" w:cs="宋体" w:eastAsia="宋体" w:hint="default"/>
                <w:spacing w:val="23"/>
                <w:sz w:val="21"/>
                <w:szCs w:val="21"/>
              </w:rPr>
              <w:t> </w:t>
            </w:r>
            <w:r>
              <w:rPr>
                <w:rFonts w:ascii="宋体" w:hAnsi="宋体" w:cs="宋体" w:eastAsia="宋体" w:hint="default"/>
                <w:spacing w:val="-3"/>
                <w:sz w:val="21"/>
                <w:szCs w:val="21"/>
              </w:rPr>
              <w:t>号证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3" w:right="0"/>
              <w:jc w:val="left"/>
              <w:rPr>
                <w:rFonts w:ascii="宋体" w:hAnsi="宋体" w:cs="宋体" w:eastAsia="宋体" w:hint="default"/>
                <w:sz w:val="21"/>
                <w:szCs w:val="21"/>
              </w:rPr>
            </w:pPr>
            <w:r>
              <w:rPr>
                <w:rFonts w:ascii="宋体"/>
                <w:sz w:val="21"/>
              </w:rPr>
              <w:t>17,153,322</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6" w:right="0"/>
              <w:jc w:val="left"/>
              <w:rPr>
                <w:rFonts w:ascii="宋体" w:hAnsi="宋体" w:cs="宋体" w:eastAsia="宋体" w:hint="default"/>
                <w:sz w:val="21"/>
                <w:szCs w:val="21"/>
              </w:rPr>
            </w:pPr>
            <w:r>
              <w:rPr>
                <w:rFonts w:ascii="宋体"/>
                <w:sz w:val="21"/>
              </w:rPr>
              <w:t>17,153,322</w:t>
            </w:r>
          </w:p>
        </w:tc>
      </w:tr>
      <w:tr>
        <w:trPr>
          <w:trHeight w:val="281"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SAP</w:t>
            </w:r>
            <w:r>
              <w:rPr>
                <w:rFonts w:ascii="宋体"/>
                <w:spacing w:val="3"/>
                <w:sz w:val="21"/>
              </w:rPr>
              <w:t> </w:t>
            </w:r>
            <w:r>
              <w:rPr>
                <w:rFonts w:ascii="宋体"/>
                <w:sz w:val="21"/>
              </w:rPr>
              <w:t>SE</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16,283,768</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16,283,768</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15,204,130</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15,204,130</w:t>
            </w:r>
          </w:p>
        </w:tc>
      </w:tr>
      <w:tr>
        <w:trPr>
          <w:trHeight w:val="284"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徐燕超</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12,700,088</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12,700,088</w:t>
            </w:r>
          </w:p>
        </w:tc>
      </w:tr>
      <w:tr>
        <w:trPr>
          <w:trHeight w:val="281"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中国对外经济贸易信托有限公司－淡水泉精选</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期</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12,492,612</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12,492,612</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平安信托有限责任公司－投资精英之淡水泉</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sz w:val="21"/>
              </w:rPr>
              <w:t>10,507,855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10,507,855</w:t>
            </w:r>
          </w:p>
        </w:tc>
      </w:tr>
      <w:tr>
        <w:trPr>
          <w:trHeight w:val="1099"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6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阿尔派电子（中国）有限公司为阿尔派株式会社在中国设立</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z w:val="21"/>
                <w:szCs w:val="21"/>
              </w:rPr>
              <w:t>的外商独资投资性公司。</w:t>
            </w:r>
            <w:r>
              <w:rPr>
                <w:rFonts w:ascii="宋体" w:hAnsi="宋体" w:cs="宋体" w:eastAsia="宋体" w:hint="default"/>
                <w:w w:val="100"/>
                <w:sz w:val="21"/>
                <w:szCs w:val="21"/>
              </w:rPr>
              <w:t> </w:t>
            </w:r>
            <w:r>
              <w:rPr>
                <w:rFonts w:ascii="宋体" w:hAnsi="宋体" w:cs="宋体" w:eastAsia="宋体" w:hint="default"/>
                <w:spacing w:val="3"/>
                <w:sz w:val="21"/>
                <w:szCs w:val="21"/>
              </w:rPr>
              <w:t>公司未知其他股东之间是否有关联关系，是否为一致行动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人。</w:t>
            </w:r>
          </w:p>
        </w:tc>
      </w:tr>
      <w:tr>
        <w:trPr>
          <w:trHeight w:val="283" w:hRule="exact"/>
        </w:trPr>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56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pStyle w:val="BodyText"/>
        <w:spacing w:line="239" w:lineRule="exact"/>
        <w:ind w:left="1118" w:right="0" w:firstLine="419"/>
        <w:jc w:val="left"/>
      </w:pPr>
      <w:r>
        <w:rPr/>
        <w:t>注</w:t>
      </w:r>
      <w:r>
        <w:rPr>
          <w:spacing w:val="5"/>
        </w:rPr>
        <w:t> </w:t>
      </w:r>
      <w:r>
        <w:rPr>
          <w:rFonts w:ascii="宋体" w:hAnsi="宋体" w:cs="宋体" w:eastAsia="宋体" w:hint="default"/>
        </w:rPr>
        <w:t>1</w:t>
      </w:r>
      <w:r>
        <w:rPr/>
        <w:t>：报告期内，大连东软控股有限公司通过上海证券交易所交易系统进行增持，导致其持</w:t>
      </w:r>
    </w:p>
    <w:p>
      <w:pPr>
        <w:pStyle w:val="BodyText"/>
        <w:spacing w:line="237" w:lineRule="auto"/>
        <w:ind w:left="1118" w:right="868"/>
        <w:jc w:val="both"/>
      </w:pPr>
      <w:r>
        <w:rPr>
          <w:spacing w:val="-3"/>
        </w:rPr>
        <w:t>股数量发生变化。具体情况详见本公司分别于</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19</w:t>
      </w:r>
      <w:r>
        <w:rPr>
          <w:rFonts w:ascii="宋体" w:hAnsi="宋体" w:cs="宋体" w:eastAsia="宋体" w:hint="default"/>
          <w:spacing w:val="-50"/>
        </w:rPr>
        <w:t> </w:t>
      </w:r>
      <w:r>
        <w:rPr>
          <w:spacing w:val="-3"/>
        </w:rPr>
        <w:t>日、</w:t>
      </w:r>
      <w:r>
        <w:rPr>
          <w:rFonts w:ascii="宋体" w:hAnsi="宋体" w:cs="宋体" w:eastAsia="宋体" w:hint="default"/>
          <w:spacing w:val="-3"/>
        </w:rPr>
        <w:t>2017</w:t>
      </w:r>
      <w:r>
        <w:rPr>
          <w:rFonts w:ascii="宋体" w:hAnsi="宋体" w:cs="宋体" w:eastAsia="宋体" w:hint="default"/>
          <w:spacing w:val="-48"/>
        </w:rPr>
        <w:t> </w:t>
      </w:r>
      <w:r>
        <w:rPr/>
        <w:t>年</w:t>
      </w:r>
      <w:r>
        <w:rPr>
          <w:spacing w:val="-50"/>
        </w:rPr>
        <w:t> </w:t>
      </w:r>
      <w:r>
        <w:rPr>
          <w:rFonts w:ascii="宋体" w:hAnsi="宋体" w:cs="宋体" w:eastAsia="宋体" w:hint="default"/>
        </w:rPr>
        <w:t>6</w:t>
      </w:r>
      <w:r>
        <w:rPr>
          <w:rFonts w:ascii="宋体" w:hAnsi="宋体" w:cs="宋体" w:eastAsia="宋体" w:hint="default"/>
          <w:spacing w:val="-50"/>
        </w:rPr>
        <w:t> </w:t>
      </w:r>
      <w:r>
        <w:rPr/>
        <w:t>月</w:t>
      </w:r>
      <w:r>
        <w:rPr>
          <w:spacing w:val="-47"/>
        </w:rPr>
        <w:t> </w:t>
      </w:r>
      <w:r>
        <w:rPr>
          <w:rFonts w:ascii="宋体" w:hAnsi="宋体" w:cs="宋体" w:eastAsia="宋体" w:hint="default"/>
        </w:rPr>
        <w:t>8</w:t>
      </w:r>
      <w:r>
        <w:rPr>
          <w:rFonts w:ascii="宋体" w:hAnsi="宋体" w:cs="宋体" w:eastAsia="宋体" w:hint="default"/>
          <w:spacing w:val="-48"/>
        </w:rPr>
        <w:t> </w:t>
      </w:r>
      <w:r>
        <w:rPr>
          <w:spacing w:val="-4"/>
        </w:rPr>
        <w:t>日刊登在《中国</w:t>
      </w:r>
      <w:r>
        <w:rPr>
          <w:spacing w:val="-102"/>
        </w:rPr>
        <w:t> </w:t>
      </w:r>
      <w:r>
        <w:rPr>
          <w:spacing w:val="-102"/>
        </w:rPr>
      </w:r>
      <w:r>
        <w:rPr>
          <w:spacing w:val="-1"/>
        </w:rPr>
        <w:t>证券报》、《上海证券报》上的相关提示性公告，以及大连东软控股有限公司作为信息披露义务</w:t>
      </w:r>
      <w:r>
        <w:rPr>
          <w:spacing w:val="-55"/>
        </w:rPr>
        <w:t> </w:t>
      </w:r>
      <w:r>
        <w:rPr>
          <w:spacing w:val="-55"/>
        </w:rPr>
      </w:r>
      <w:r>
        <w:rPr/>
        <w:t>人于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日刊登的详式权益变动报告书。</w:t>
      </w:r>
    </w:p>
    <w:p>
      <w:pPr>
        <w:pStyle w:val="BodyText"/>
        <w:spacing w:line="274" w:lineRule="exact"/>
        <w:ind w:left="1538" w:right="0"/>
        <w:jc w:val="left"/>
      </w:pPr>
      <w:r>
        <w:rPr/>
        <w:t>注</w:t>
      </w:r>
      <w:r>
        <w:rPr>
          <w:spacing w:val="-55"/>
        </w:rPr>
        <w:t> </w:t>
      </w:r>
      <w:r>
        <w:rPr>
          <w:rFonts w:ascii="宋体" w:hAnsi="宋体" w:cs="宋体" w:eastAsia="宋体" w:hint="default"/>
        </w:rPr>
        <w:t>2</w:t>
      </w:r>
      <w:r>
        <w:rPr/>
        <w:t>：报告期内，东北大学科技产业集团有限公司减持本公司股票</w:t>
      </w:r>
      <w:r>
        <w:rPr>
          <w:spacing w:val="-54"/>
        </w:rPr>
        <w:t> </w:t>
      </w:r>
      <w:r>
        <w:rPr>
          <w:rFonts w:ascii="宋体" w:hAnsi="宋体" w:cs="宋体" w:eastAsia="宋体" w:hint="default"/>
        </w:rPr>
        <w:t>8,800,000</w:t>
      </w:r>
      <w:r>
        <w:rPr>
          <w:rFonts w:ascii="宋体" w:hAnsi="宋体" w:cs="宋体" w:eastAsia="宋体" w:hint="default"/>
          <w:spacing w:val="-54"/>
        </w:rPr>
        <w:t> </w:t>
      </w:r>
      <w:r>
        <w:rPr/>
        <w:t>股。</w:t>
      </w:r>
    </w:p>
    <w:p>
      <w:pPr>
        <w:spacing w:after="0" w:line="274" w:lineRule="exact"/>
        <w:jc w:val="left"/>
        <w:sectPr>
          <w:headerReference w:type="default" r:id="rId37"/>
          <w:pgSz w:w="11910" w:h="16840"/>
          <w:pgMar w:header="945" w:footer="1248" w:top="1300" w:bottom="1440" w:left="680" w:right="400"/>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5" w:footer="1248" w:top="1300" w:bottom="1440" w:left="1580" w:right="1040"/>
        </w:sectPr>
      </w:pPr>
    </w:p>
    <w:p>
      <w:pPr>
        <w:pStyle w:val="BodyText"/>
        <w:spacing w:line="274" w:lineRule="exact" w:before="36"/>
        <w:ind w:right="0"/>
        <w:jc w:val="left"/>
      </w:pPr>
      <w:r>
        <w:rPr>
          <w:spacing w:val="-2"/>
        </w:rPr>
        <w:t>前十名有限售条件股东持股数量及限售条件</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580" w:bottom="280" w:left="1580" w:right="1040"/>
          <w:cols w:num="2" w:equalWidth="0">
            <w:col w:w="4213" w:space="378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545"/>
        <w:gridCol w:w="1743"/>
        <w:gridCol w:w="1601"/>
        <w:gridCol w:w="1745"/>
        <w:gridCol w:w="766"/>
      </w:tblGrid>
      <w:tr>
        <w:trPr>
          <w:trHeight w:val="281"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43" w:type="dxa"/>
            <w:vMerge w:val="restart"/>
            <w:tcBorders>
              <w:top w:val="single" w:sz="4" w:space="0" w:color="000000"/>
              <w:left w:val="single" w:sz="4" w:space="0" w:color="000000"/>
              <w:right w:val="single" w:sz="4" w:space="0" w:color="000000"/>
            </w:tcBorders>
          </w:tcPr>
          <w:p>
            <w:pPr>
              <w:pStyle w:val="TableParagraph"/>
              <w:spacing w:line="272" w:lineRule="exact" w:before="135"/>
              <w:ind w:left="235" w:right="233"/>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766" w:type="dxa"/>
            <w:vMerge w:val="restart"/>
            <w:tcBorders>
              <w:top w:val="single" w:sz="4" w:space="0" w:color="000000"/>
              <w:left w:val="single" w:sz="4" w:space="0" w:color="000000"/>
              <w:right w:val="single" w:sz="4" w:space="0" w:color="000000"/>
            </w:tcBorders>
          </w:tcPr>
          <w:p>
            <w:pPr>
              <w:pStyle w:val="TableParagraph"/>
              <w:spacing w:line="272" w:lineRule="exact" w:before="135"/>
              <w:ind w:left="167" w:right="163"/>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条件</w:t>
            </w:r>
          </w:p>
        </w:tc>
      </w:tr>
      <w:tr>
        <w:trPr>
          <w:trHeight w:val="557" w:hRule="exact"/>
        </w:trPr>
        <w:tc>
          <w:tcPr>
            <w:tcW w:w="650" w:type="dxa"/>
            <w:vMerge/>
            <w:tcBorders>
              <w:left w:val="single" w:sz="4" w:space="0" w:color="000000"/>
              <w:bottom w:val="single" w:sz="4" w:space="0" w:color="000000"/>
              <w:right w:val="single" w:sz="4" w:space="0" w:color="000000"/>
            </w:tcBorders>
          </w:tcPr>
          <w:p>
            <w:pPr/>
          </w:p>
        </w:tc>
        <w:tc>
          <w:tcPr>
            <w:tcW w:w="2545" w:type="dxa"/>
            <w:vMerge/>
            <w:tcBorders>
              <w:left w:val="single" w:sz="4" w:space="0" w:color="000000"/>
              <w:bottom w:val="single" w:sz="4" w:space="0" w:color="000000"/>
              <w:right w:val="single" w:sz="4" w:space="0" w:color="000000"/>
            </w:tcBorders>
          </w:tcPr>
          <w:p>
            <w:pPr/>
          </w:p>
        </w:tc>
        <w:tc>
          <w:tcPr>
            <w:tcW w:w="1743"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766" w:type="dxa"/>
            <w:vMerge/>
            <w:tcBorders>
              <w:left w:val="single" w:sz="4" w:space="0" w:color="000000"/>
              <w:bottom w:val="single" w:sz="4" w:space="0" w:color="000000"/>
              <w:right w:val="single" w:sz="4" w:space="0" w:color="000000"/>
            </w:tcBorders>
          </w:tcPr>
          <w:p>
            <w:pP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234,000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175,500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2</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156,000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117,000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59" w:right="0"/>
              <w:jc w:val="left"/>
              <w:rPr>
                <w:rFonts w:ascii="宋体" w:hAnsi="宋体" w:cs="宋体" w:eastAsia="宋体" w:hint="default"/>
                <w:sz w:val="24"/>
                <w:szCs w:val="24"/>
              </w:rPr>
            </w:pPr>
            <w:r>
              <w:rPr>
                <w:rFonts w:ascii="宋体"/>
                <w:sz w:val="24"/>
              </w:rPr>
              <w:t>3</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陈锡民</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59" w:right="0"/>
              <w:jc w:val="left"/>
              <w:rPr>
                <w:rFonts w:ascii="宋体" w:hAnsi="宋体" w:cs="宋体" w:eastAsia="宋体" w:hint="default"/>
                <w:sz w:val="24"/>
                <w:szCs w:val="24"/>
              </w:rPr>
            </w:pPr>
            <w:r>
              <w:rPr>
                <w:rFonts w:ascii="宋体"/>
                <w:sz w:val="24"/>
              </w:rPr>
              <w:t>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卢朝霞</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张霞</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6</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7</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张晓鸥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8</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59" w:right="0"/>
              <w:jc w:val="left"/>
              <w:rPr>
                <w:rFonts w:ascii="宋体" w:hAnsi="宋体" w:cs="宋体" w:eastAsia="宋体" w:hint="default"/>
                <w:sz w:val="24"/>
                <w:szCs w:val="24"/>
              </w:rPr>
            </w:pPr>
            <w:r>
              <w:rPr>
                <w:rFonts w:ascii="宋体"/>
                <w:sz w:val="24"/>
              </w:rPr>
              <w:t>9</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78,000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58,500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99" w:right="0"/>
              <w:jc w:val="left"/>
              <w:rPr>
                <w:rFonts w:ascii="宋体" w:hAnsi="宋体" w:cs="宋体" w:eastAsia="宋体" w:hint="default"/>
                <w:sz w:val="24"/>
                <w:szCs w:val="24"/>
              </w:rPr>
            </w:pPr>
            <w:r>
              <w:rPr>
                <w:rFonts w:ascii="宋体"/>
                <w:sz w:val="24"/>
              </w:rPr>
              <w:t>10</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徐洪利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65,000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48,750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r>
        <w:trPr>
          <w:trHeight w:val="554" w:hRule="exact"/>
        </w:trPr>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上述股东关联关系或一致行动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8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公司未知上述股东之间是否有关联关系，是否为一致行动人。</w:t>
            </w:r>
          </w:p>
        </w:tc>
      </w:tr>
    </w:tbl>
    <w:p>
      <w:pPr>
        <w:pStyle w:val="BodyText"/>
        <w:spacing w:line="240" w:lineRule="exact"/>
        <w:ind w:left="638" w:right="226"/>
        <w:jc w:val="left"/>
      </w:pPr>
      <w:r>
        <w:rPr/>
        <w:t>注</w:t>
      </w:r>
      <w:r>
        <w:rPr>
          <w:spacing w:val="-53"/>
        </w:rPr>
        <w:t> </w:t>
      </w:r>
      <w:r>
        <w:rPr>
          <w:rFonts w:ascii="宋体" w:hAnsi="宋体" w:cs="宋体" w:eastAsia="宋体" w:hint="default"/>
        </w:rPr>
        <w:t>3</w:t>
      </w:r>
      <w:r>
        <w:rPr/>
        <w:t>：于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日召开的公司七届十八次董事会审议通过《关于限制性股票激励计</w:t>
      </w:r>
    </w:p>
    <w:p>
      <w:pPr>
        <w:pStyle w:val="BodyText"/>
        <w:spacing w:line="237" w:lineRule="auto" w:before="2"/>
        <w:ind w:right="227"/>
        <w:jc w:val="both"/>
      </w:pPr>
      <w:r>
        <w:rPr>
          <w:spacing w:val="-6"/>
        </w:rPr>
        <w:t>划首次授予的议案》，授予日为</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8</w:t>
      </w:r>
      <w:r>
        <w:rPr>
          <w:rFonts w:ascii="宋体" w:hAnsi="宋体" w:cs="宋体" w:eastAsia="宋体" w:hint="default"/>
          <w:spacing w:val="-47"/>
        </w:rPr>
        <w:t> </w:t>
      </w:r>
      <w:r>
        <w:rPr/>
        <w:t>月</w:t>
      </w:r>
      <w:r>
        <w:rPr>
          <w:spacing w:val="-50"/>
        </w:rPr>
        <w:t> </w:t>
      </w:r>
      <w:r>
        <w:rPr>
          <w:rFonts w:ascii="宋体" w:hAnsi="宋体" w:cs="宋体" w:eastAsia="宋体" w:hint="default"/>
        </w:rPr>
        <w:t>21</w:t>
      </w:r>
      <w:r>
        <w:rPr>
          <w:rFonts w:ascii="宋体" w:hAnsi="宋体" w:cs="宋体" w:eastAsia="宋体" w:hint="default"/>
          <w:spacing w:val="-47"/>
        </w:rPr>
        <w:t> </w:t>
      </w:r>
      <w:r>
        <w:rPr>
          <w:spacing w:val="-4"/>
        </w:rPr>
        <w:t>日。激励对象获授限制性股票之日起</w:t>
      </w:r>
      <w:r>
        <w:rPr>
          <w:spacing w:val="-46"/>
        </w:rPr>
        <w:t> </w:t>
      </w:r>
      <w:r>
        <w:rPr>
          <w:rFonts w:ascii="宋体" w:hAnsi="宋体" w:cs="宋体" w:eastAsia="宋体" w:hint="default"/>
        </w:rPr>
        <w:t>12</w:t>
      </w:r>
      <w:r>
        <w:rPr>
          <w:rFonts w:ascii="宋体" w:hAnsi="宋体" w:cs="宋体" w:eastAsia="宋体" w:hint="default"/>
          <w:spacing w:val="-47"/>
        </w:rPr>
        <w:t> </w:t>
      </w:r>
      <w:r>
        <w:rPr/>
        <w:t>个月内为</w:t>
      </w:r>
      <w:r>
        <w:rPr>
          <w:spacing w:val="-103"/>
        </w:rPr>
        <w:t> </w:t>
      </w:r>
      <w:r>
        <w:rPr>
          <w:spacing w:val="-103"/>
        </w:rPr>
      </w:r>
      <w:r>
        <w:rPr>
          <w:spacing w:val="-2"/>
        </w:rPr>
        <w:t>锁定期。本激励计划中授予的限制性股票按既定的比例分三批解锁，每一批的解锁期分别为自授</w:t>
      </w:r>
      <w:r>
        <w:rPr>
          <w:spacing w:val="-25"/>
        </w:rPr>
        <w:t> </w:t>
      </w:r>
      <w:r>
        <w:rPr>
          <w:spacing w:val="-25"/>
        </w:rPr>
      </w:r>
      <w:r>
        <w:rPr/>
        <w:t>予之日起满</w:t>
      </w:r>
      <w:r>
        <w:rPr>
          <w:spacing w:val="-42"/>
        </w:rPr>
        <w:t> </w:t>
      </w:r>
      <w:r>
        <w:rPr>
          <w:rFonts w:ascii="宋体" w:hAnsi="宋体" w:cs="宋体" w:eastAsia="宋体" w:hint="default"/>
        </w:rPr>
        <w:t>12</w:t>
      </w:r>
      <w:r>
        <w:rPr>
          <w:rFonts w:ascii="宋体" w:hAnsi="宋体" w:cs="宋体" w:eastAsia="宋体" w:hint="default"/>
          <w:spacing w:val="-44"/>
        </w:rPr>
        <w:t> </w:t>
      </w:r>
      <w:r>
        <w:rPr>
          <w:spacing w:val="-11"/>
        </w:rPr>
        <w:t>个月、</w:t>
      </w:r>
      <w:r>
        <w:rPr>
          <w:rFonts w:ascii="宋体" w:hAnsi="宋体" w:cs="宋体" w:eastAsia="宋体" w:hint="default"/>
          <w:spacing w:val="-11"/>
        </w:rPr>
        <w:t>24</w:t>
      </w:r>
      <w:r>
        <w:rPr>
          <w:rFonts w:ascii="宋体" w:hAnsi="宋体" w:cs="宋体" w:eastAsia="宋体" w:hint="default"/>
          <w:spacing w:val="-41"/>
        </w:rPr>
        <w:t> </w:t>
      </w:r>
      <w:r>
        <w:rPr>
          <w:spacing w:val="-11"/>
        </w:rPr>
        <w:t>个月、</w:t>
      </w:r>
      <w:r>
        <w:rPr>
          <w:rFonts w:ascii="宋体" w:hAnsi="宋体" w:cs="宋体" w:eastAsia="宋体" w:hint="default"/>
          <w:spacing w:val="-11"/>
        </w:rPr>
        <w:t>36</w:t>
      </w:r>
      <w:r>
        <w:rPr>
          <w:rFonts w:ascii="宋体" w:hAnsi="宋体" w:cs="宋体" w:eastAsia="宋体" w:hint="default"/>
          <w:spacing w:val="-44"/>
        </w:rPr>
        <w:t> </w:t>
      </w:r>
      <w:r>
        <w:rPr>
          <w:spacing w:val="-5"/>
        </w:rPr>
        <w:t>个月。在解锁期内，激励对象可在董事会确认达到解锁条件后，</w:t>
      </w:r>
      <w:r>
        <w:rPr>
          <w:spacing w:val="-101"/>
        </w:rPr>
        <w:t> </w:t>
      </w:r>
      <w:r>
        <w:rPr>
          <w:spacing w:val="-101"/>
        </w:rPr>
      </w:r>
      <w:r>
        <w:rPr>
          <w:spacing w:val="-2"/>
        </w:rPr>
        <w:t>在董事会确定的解锁窗口期内，对当期可申请解锁部分的限制性股票申请解锁。在解锁日前，公</w:t>
      </w:r>
      <w:r>
        <w:rPr>
          <w:spacing w:val="-25"/>
        </w:rPr>
        <w:t> </w:t>
      </w:r>
      <w:r>
        <w:rPr>
          <w:spacing w:val="-25"/>
        </w:rPr>
      </w:r>
      <w:r>
        <w:rPr>
          <w:spacing w:val="-6"/>
          <w:w w:val="100"/>
        </w:rPr>
        <w:t>司应确认激励对象是否满足解锁条件，对于满足解锁条件的激励对象，由公司统一办理解锁事宜。</w:t>
      </w:r>
      <w:r>
        <w:rPr>
          <w:w w:val="100"/>
        </w:rPr>
        <w:t> </w:t>
      </w:r>
      <w:r>
        <w:rPr/>
        <w:t>激励计划首次授予的限制性股票分三期解锁，解锁安排如下表所示：</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4"/>
        <w:gridCol w:w="5459"/>
        <w:gridCol w:w="2137"/>
      </w:tblGrid>
      <w:tr>
        <w:trPr>
          <w:trHeight w:val="57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解锁安排</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432" w:right="113" w:hanging="315"/>
              <w:jc w:val="left"/>
              <w:rPr>
                <w:rFonts w:ascii="宋体" w:hAnsi="宋体" w:cs="宋体" w:eastAsia="宋体" w:hint="default"/>
                <w:sz w:val="21"/>
                <w:szCs w:val="21"/>
              </w:rPr>
            </w:pPr>
            <w:r>
              <w:rPr>
                <w:rFonts w:ascii="宋体" w:hAnsi="宋体" w:cs="宋体" w:eastAsia="宋体" w:hint="default"/>
                <w:sz w:val="21"/>
                <w:szCs w:val="21"/>
              </w:rPr>
              <w:t>可解锁数量占限制性</w:t>
            </w:r>
            <w:r>
              <w:rPr>
                <w:rFonts w:ascii="宋体" w:hAnsi="宋体" w:cs="宋体" w:eastAsia="宋体" w:hint="default"/>
                <w:w w:val="100"/>
                <w:sz w:val="21"/>
                <w:szCs w:val="21"/>
              </w:rPr>
              <w:t> </w:t>
            </w:r>
            <w:r>
              <w:rPr>
                <w:rFonts w:ascii="宋体" w:hAnsi="宋体" w:cs="宋体" w:eastAsia="宋体" w:hint="default"/>
                <w:sz w:val="21"/>
                <w:szCs w:val="21"/>
              </w:rPr>
              <w:t>股票数量比例</w:t>
            </w:r>
          </w:p>
        </w:tc>
      </w:tr>
      <w:tr>
        <w:trPr>
          <w:trHeight w:val="57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第一次解锁</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101"/>
              <w:jc w:val="left"/>
              <w:rPr>
                <w:rFonts w:ascii="宋体" w:hAnsi="宋体" w:cs="宋体" w:eastAsia="宋体" w:hint="default"/>
                <w:sz w:val="21"/>
                <w:szCs w:val="21"/>
              </w:rPr>
            </w:pPr>
            <w:r>
              <w:rPr>
                <w:rFonts w:ascii="宋体" w:hAnsi="宋体" w:cs="宋体" w:eastAsia="宋体" w:hint="default"/>
                <w:sz w:val="21"/>
                <w:szCs w:val="21"/>
              </w:rPr>
              <w:t>自授予日起满</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个月后的首个交易日至授予日起</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8"/>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内的最后一个交易日止</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30%</w:t>
            </w:r>
          </w:p>
        </w:tc>
      </w:tr>
      <w:tr>
        <w:trPr>
          <w:trHeight w:val="57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第二次解锁</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01"/>
              <w:jc w:val="left"/>
              <w:rPr>
                <w:rFonts w:ascii="宋体" w:hAnsi="宋体" w:cs="宋体" w:eastAsia="宋体" w:hint="default"/>
                <w:sz w:val="21"/>
                <w:szCs w:val="21"/>
              </w:rPr>
            </w:pPr>
            <w:r>
              <w:rPr>
                <w:rFonts w:ascii="宋体" w:hAnsi="宋体" w:cs="宋体" w:eastAsia="宋体" w:hint="default"/>
                <w:sz w:val="21"/>
                <w:szCs w:val="21"/>
              </w:rPr>
              <w:t>自授予日起满</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个月后的首个交易日至授予日起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8"/>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内的最后一个交易日止</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30%</w:t>
            </w:r>
          </w:p>
        </w:tc>
      </w:tr>
      <w:tr>
        <w:trPr>
          <w:trHeight w:val="577"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第三次解锁</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101"/>
              <w:jc w:val="left"/>
              <w:rPr>
                <w:rFonts w:ascii="宋体" w:hAnsi="宋体" w:cs="宋体" w:eastAsia="宋体" w:hint="default"/>
                <w:sz w:val="21"/>
                <w:szCs w:val="21"/>
              </w:rPr>
            </w:pPr>
            <w:r>
              <w:rPr>
                <w:rFonts w:ascii="宋体" w:hAnsi="宋体" w:cs="宋体" w:eastAsia="宋体" w:hint="default"/>
                <w:sz w:val="21"/>
                <w:szCs w:val="21"/>
              </w:rPr>
              <w:t>自授予日起满</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个月后的首个交易日至授予日起</w:t>
            </w:r>
            <w:r>
              <w:rPr>
                <w:rFonts w:ascii="宋体" w:hAnsi="宋体" w:cs="宋体" w:eastAsia="宋体" w:hint="default"/>
                <w:spacing w:val="-56"/>
                <w:sz w:val="21"/>
                <w:szCs w:val="21"/>
              </w:rPr>
              <w:t> </w:t>
            </w:r>
            <w:r>
              <w:rPr>
                <w:rFonts w:ascii="宋体" w:hAnsi="宋体" w:cs="宋体" w:eastAsia="宋体" w:hint="default"/>
                <w:sz w:val="21"/>
                <w:szCs w:val="21"/>
              </w:rPr>
              <w:t>48</w:t>
            </w:r>
            <w:r>
              <w:rPr>
                <w:rFonts w:ascii="宋体" w:hAnsi="宋体" w:cs="宋体" w:eastAsia="宋体" w:hint="default"/>
                <w:spacing w:val="-58"/>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内的最后一个交易日止</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40%</w:t>
            </w:r>
          </w:p>
        </w:tc>
      </w:tr>
    </w:tbl>
    <w:p>
      <w:pPr>
        <w:spacing w:line="240" w:lineRule="auto" w:before="7"/>
        <w:rPr>
          <w:rFonts w:ascii="宋体" w:hAnsi="宋体" w:cs="宋体" w:eastAsia="宋体" w:hint="default"/>
          <w:sz w:val="15"/>
          <w:szCs w:val="15"/>
        </w:rPr>
      </w:pPr>
    </w:p>
    <w:p>
      <w:pPr>
        <w:pStyle w:val="BodyText"/>
        <w:spacing w:line="273" w:lineRule="exact" w:before="36"/>
        <w:ind w:left="638" w:right="0"/>
        <w:jc w:val="left"/>
        <w:rPr>
          <w:rFonts w:ascii="宋体" w:hAnsi="宋体" w:cs="宋体" w:eastAsia="宋体" w:hint="default"/>
        </w:rPr>
      </w:pPr>
      <w:r>
        <w:rPr>
          <w:w w:val="100"/>
        </w:rPr>
        <w:t>报告</w:t>
      </w:r>
      <w:r>
        <w:rPr>
          <w:spacing w:val="-3"/>
          <w:w w:val="100"/>
        </w:rPr>
        <w:t>期</w:t>
      </w:r>
      <w:r>
        <w:rPr>
          <w:w w:val="100"/>
        </w:rPr>
        <w:t>内</w:t>
      </w:r>
      <w:r>
        <w:rPr>
          <w:spacing w:val="-87"/>
          <w:w w:val="100"/>
        </w:rPr>
        <w:t>，</w:t>
      </w:r>
      <w:r>
        <w:rPr>
          <w:w w:val="100"/>
        </w:rPr>
        <w:t>公</w:t>
      </w:r>
      <w:r>
        <w:rPr>
          <w:spacing w:val="-3"/>
          <w:w w:val="100"/>
        </w:rPr>
        <w:t>司</w:t>
      </w:r>
      <w:r>
        <w:rPr>
          <w:w w:val="100"/>
        </w:rPr>
        <w:t>限</w:t>
      </w:r>
      <w:r>
        <w:rPr>
          <w:spacing w:val="-3"/>
          <w:w w:val="100"/>
        </w:rPr>
        <w:t>制</w:t>
      </w:r>
      <w:r>
        <w:rPr>
          <w:w w:val="100"/>
        </w:rPr>
        <w:t>性</w:t>
      </w:r>
      <w:r>
        <w:rPr>
          <w:spacing w:val="-3"/>
          <w:w w:val="100"/>
        </w:rPr>
        <w:t>股票</w:t>
      </w:r>
      <w:r>
        <w:rPr>
          <w:w w:val="100"/>
        </w:rPr>
        <w:t>激励</w:t>
      </w:r>
      <w:r>
        <w:rPr>
          <w:spacing w:val="-3"/>
          <w:w w:val="100"/>
        </w:rPr>
        <w:t>计</w:t>
      </w:r>
      <w:r>
        <w:rPr>
          <w:w w:val="100"/>
        </w:rPr>
        <w:t>划</w:t>
      </w:r>
      <w:r>
        <w:rPr>
          <w:spacing w:val="-3"/>
          <w:w w:val="100"/>
        </w:rPr>
        <w:t>首</w:t>
      </w:r>
      <w:r>
        <w:rPr>
          <w:w w:val="100"/>
        </w:rPr>
        <w:t>次</w:t>
      </w:r>
      <w:r>
        <w:rPr>
          <w:spacing w:val="-3"/>
          <w:w w:val="100"/>
        </w:rPr>
        <w:t>授</w:t>
      </w:r>
      <w:r>
        <w:rPr>
          <w:w w:val="100"/>
        </w:rPr>
        <w:t>予</w:t>
      </w:r>
      <w:r>
        <w:rPr>
          <w:spacing w:val="-3"/>
          <w:w w:val="100"/>
        </w:rPr>
        <w:t>限</w:t>
      </w:r>
      <w:r>
        <w:rPr>
          <w:w w:val="100"/>
        </w:rPr>
        <w:t>制</w:t>
      </w:r>
      <w:r>
        <w:rPr>
          <w:spacing w:val="-3"/>
          <w:w w:val="100"/>
        </w:rPr>
        <w:t>性</w:t>
      </w:r>
      <w:r>
        <w:rPr>
          <w:w w:val="100"/>
        </w:rPr>
        <w:t>股票</w:t>
      </w:r>
      <w:r>
        <w:rPr>
          <w:spacing w:val="-3"/>
          <w:w w:val="100"/>
        </w:rPr>
        <w:t>第</w:t>
      </w:r>
      <w:r>
        <w:rPr>
          <w:w w:val="100"/>
        </w:rPr>
        <w:t>二</w:t>
      </w:r>
      <w:r>
        <w:rPr>
          <w:spacing w:val="-3"/>
          <w:w w:val="100"/>
        </w:rPr>
        <w:t>次</w:t>
      </w:r>
      <w:r>
        <w:rPr>
          <w:w w:val="100"/>
        </w:rPr>
        <w:t>解</w:t>
      </w:r>
      <w:r>
        <w:rPr>
          <w:spacing w:val="-3"/>
          <w:w w:val="100"/>
        </w:rPr>
        <w:t>锁</w:t>
      </w:r>
      <w:r>
        <w:rPr>
          <w:spacing w:val="-85"/>
          <w:w w:val="100"/>
        </w:rPr>
        <w:t>，</w:t>
      </w:r>
      <w:r>
        <w:rPr>
          <w:spacing w:val="-3"/>
          <w:w w:val="100"/>
        </w:rPr>
        <w:t>具</w:t>
      </w:r>
      <w:r>
        <w:rPr>
          <w:w w:val="100"/>
        </w:rPr>
        <w:t>体</w:t>
      </w:r>
      <w:r>
        <w:rPr>
          <w:spacing w:val="-3"/>
          <w:w w:val="100"/>
        </w:rPr>
        <w:t>情况</w:t>
      </w:r>
      <w:r>
        <w:rPr>
          <w:w w:val="100"/>
        </w:rPr>
        <w:t>如下</w:t>
      </w:r>
      <w:r>
        <w:rPr>
          <w:spacing w:val="-86"/>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37" w:lineRule="auto"/>
        <w:ind w:right="0"/>
        <w:jc w:val="left"/>
      </w:pP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29</w:t>
      </w:r>
      <w:r>
        <w:rPr>
          <w:rFonts w:ascii="宋体" w:hAnsi="宋体" w:cs="宋体" w:eastAsia="宋体" w:hint="default"/>
          <w:spacing w:val="-55"/>
          <w:w w:val="100"/>
        </w:rPr>
        <w:t> </w:t>
      </w:r>
      <w:r>
        <w:rPr>
          <w:spacing w:val="-4"/>
          <w:w w:val="100"/>
        </w:rPr>
        <w:t>日召开的公司八届六次董事会审议通过《关于公司限制性股票激励计划首次授予限制性</w:t>
      </w:r>
      <w:r>
        <w:rPr>
          <w:spacing w:val="-103"/>
          <w:w w:val="100"/>
        </w:rPr>
        <w:t> </w:t>
      </w:r>
      <w:r>
        <w:rPr>
          <w:spacing w:val="-103"/>
          <w:w w:val="100"/>
        </w:rPr>
      </w:r>
      <w:r>
        <w:rPr/>
        <w:t>股票第二个锁定期的解锁条件已达成的议案》、《关于公司限制性股票激励计划首次授予限制性</w:t>
      </w:r>
      <w:r>
        <w:rPr>
          <w:w w:val="100"/>
        </w:rPr>
        <w:t> </w:t>
      </w:r>
      <w:r>
        <w:rPr/>
        <w:t>股票第二次解锁的议案》。董事会认为公司限制性股票激励计划首次授予限制性股票第二个锁定</w:t>
      </w:r>
      <w:r>
        <w:rPr>
          <w:w w:val="100"/>
        </w:rPr>
        <w:t> </w:t>
      </w:r>
      <w:r>
        <w:rPr/>
        <w:t>期的解锁条件已达成。董事会同意</w:t>
      </w:r>
      <w:r>
        <w:rPr>
          <w:spacing w:val="-54"/>
        </w:rPr>
        <w:t> </w:t>
      </w:r>
      <w:r>
        <w:rPr>
          <w:rFonts w:ascii="宋体" w:hAnsi="宋体" w:cs="宋体" w:eastAsia="宋体" w:hint="default"/>
        </w:rPr>
        <w:t>358</w:t>
      </w:r>
      <w:r>
        <w:rPr>
          <w:rFonts w:ascii="宋体" w:hAnsi="宋体" w:cs="宋体" w:eastAsia="宋体" w:hint="default"/>
          <w:spacing w:val="-54"/>
        </w:rPr>
        <w:t> </w:t>
      </w:r>
      <w:r>
        <w:rPr/>
        <w:t>名激励对象获授的</w:t>
      </w:r>
      <w:r>
        <w:rPr>
          <w:spacing w:val="-54"/>
        </w:rPr>
        <w:t> </w:t>
      </w:r>
      <w:r>
        <w:rPr>
          <w:rFonts w:ascii="宋体" w:hAnsi="宋体" w:cs="宋体" w:eastAsia="宋体" w:hint="default"/>
        </w:rPr>
        <w:t>415.194</w:t>
      </w:r>
      <w:r>
        <w:rPr>
          <w:rFonts w:ascii="宋体" w:hAnsi="宋体" w:cs="宋体" w:eastAsia="宋体" w:hint="default"/>
          <w:spacing w:val="-56"/>
        </w:rPr>
        <w:t> </w:t>
      </w:r>
      <w:r>
        <w:rPr/>
        <w:t>万股限制性股票申请解锁，并</w:t>
      </w:r>
      <w:r>
        <w:rPr>
          <w:w w:val="100"/>
        </w:rPr>
        <w:t> </w:t>
      </w:r>
      <w:r>
        <w:rPr>
          <w:spacing w:val="-4"/>
          <w:w w:val="100"/>
        </w:rPr>
        <w:t>在激励对象解锁申请被接受后，由公司董事会统一办理符合解锁条件的限制性股票解锁相关事宜。</w:t>
      </w:r>
      <w:r>
        <w:rPr>
          <w:spacing w:val="-86"/>
          <w:w w:val="100"/>
        </w:rPr>
        <w:t> </w:t>
      </w:r>
      <w:r>
        <w:rPr>
          <w:spacing w:val="-86"/>
          <w:w w:val="100"/>
        </w:rPr>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t>日，上述限制性股票开始上市流通。</w:t>
      </w:r>
    </w:p>
    <w:p>
      <w:pPr>
        <w:pStyle w:val="BodyText"/>
        <w:spacing w:line="271" w:lineRule="exact"/>
        <w:ind w:left="638" w:right="0"/>
        <w:jc w:val="left"/>
      </w:pPr>
      <w:r>
        <w:rPr/>
        <w:t>注 </w:t>
      </w:r>
      <w:r>
        <w:rPr>
          <w:rFonts w:ascii="宋体" w:hAnsi="宋体" w:cs="宋体" w:eastAsia="宋体" w:hint="default"/>
        </w:rPr>
        <w:t>4 </w:t>
      </w:r>
      <w:r>
        <w:rPr>
          <w:spacing w:val="17"/>
        </w:rPr>
        <w:t>：具体内容， 请参看本公司于 </w:t>
      </w:r>
      <w:r>
        <w:rPr>
          <w:rFonts w:ascii="宋体" w:hAnsi="宋体" w:cs="宋体" w:eastAsia="宋体" w:hint="default"/>
        </w:rPr>
        <w:t>2015 </w:t>
      </w:r>
      <w:r>
        <w:rPr/>
        <w:t>年 </w:t>
      </w:r>
      <w:r>
        <w:rPr>
          <w:rFonts w:ascii="宋体" w:hAnsi="宋体" w:cs="宋体" w:eastAsia="宋体" w:hint="default"/>
        </w:rPr>
        <w:t>7 </w:t>
      </w:r>
      <w:r>
        <w:rPr/>
        <w:t>月 </w:t>
      </w:r>
      <w:r>
        <w:rPr>
          <w:rFonts w:ascii="宋体" w:hAnsi="宋体" w:cs="宋体" w:eastAsia="宋体" w:hint="default"/>
        </w:rPr>
        <w:t>29</w:t>
      </w:r>
      <w:r>
        <w:rPr>
          <w:rFonts w:ascii="宋体" w:hAnsi="宋体" w:cs="宋体" w:eastAsia="宋体" w:hint="default"/>
          <w:spacing w:val="22"/>
        </w:rPr>
        <w:t> </w:t>
      </w:r>
      <w:r>
        <w:rPr>
          <w:spacing w:val="19"/>
        </w:rPr>
        <w:t>日发布在上海证券交易所网站</w:t>
      </w:r>
    </w:p>
    <w:p>
      <w:pPr>
        <w:pStyle w:val="BodyText"/>
        <w:spacing w:line="274" w:lineRule="exact"/>
        <w:ind w:right="226"/>
        <w:jc w:val="left"/>
      </w:pPr>
      <w:r>
        <w:rPr/>
        <w:t>（</w:t>
      </w:r>
      <w:hyperlink r:id="rId10">
        <w:r>
          <w:rPr>
            <w:rFonts w:ascii="宋体" w:hAnsi="宋体" w:cs="宋体" w:eastAsia="宋体" w:hint="default"/>
          </w:rPr>
          <w:t>http://www.sse.com.cn</w:t>
        </w:r>
      </w:hyperlink>
      <w:r>
        <w:rPr/>
        <w:t>）上的《东软集团限制性股票激励计划》相关条款。</w:t>
      </w:r>
    </w:p>
    <w:p>
      <w:pPr>
        <w:spacing w:line="240" w:lineRule="auto" w:before="1"/>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宋体" w:hAnsi="宋体" w:cs="宋体" w:eastAsia="宋体" w:hint="default"/>
        </w:rPr>
        <w:t>10</w:t>
      </w:r>
      <w:r>
        <w:rPr>
          <w:rFonts w:ascii="宋体" w:hAnsi="宋体" w:cs="宋体" w:eastAsia="宋体" w:hint="default"/>
          <w:spacing w:val="-68"/>
        </w:rPr>
        <w:t> </w:t>
      </w:r>
      <w:r>
        <w:rPr/>
        <w:t>名股东</w:t>
      </w:r>
      <w:r>
        <w:rPr>
          <w:b w:val="0"/>
          <w:bCs w:val="0"/>
        </w:rPr>
      </w:r>
    </w:p>
    <w:p>
      <w:pPr>
        <w:pStyle w:val="BodyText"/>
        <w:spacing w:line="240" w:lineRule="auto" w:before="58"/>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3"/>
        <w:rPr>
          <w:rFonts w:ascii="宋体" w:hAnsi="宋体" w:cs="宋体" w:eastAsia="宋体" w:hint="default"/>
          <w:sz w:val="11"/>
          <w:szCs w:val="11"/>
        </w:rPr>
      </w:pPr>
    </w:p>
    <w:p>
      <w:pPr>
        <w:pStyle w:val="Heading4"/>
        <w:spacing w:line="290" w:lineRule="auto" w:before="36"/>
        <w:ind w:left="118" w:right="5950"/>
        <w:jc w:val="left"/>
        <w:rPr>
          <w:b w:val="0"/>
          <w:bCs w:val="0"/>
        </w:rPr>
      </w:pPr>
      <w:r>
        <w:rPr/>
        <w:t>四、</w:t>
      </w:r>
      <w:r>
        <w:rPr>
          <w:spacing w:val="-79"/>
        </w:rPr>
        <w:t> </w:t>
      </w:r>
      <w:r>
        <w:rPr/>
        <w:t>控股股东及实际控制人情况</w:t>
      </w:r>
      <w:r>
        <w:rPr>
          <w:w w:val="100"/>
        </w:rPr>
        <w:t> </w:t>
      </w: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pStyle w:val="Heading4"/>
        <w:spacing w:line="240" w:lineRule="auto" w:before="12"/>
        <w:ind w:left="168" w:right="0"/>
        <w:jc w:val="left"/>
        <w:rPr>
          <w:b w:val="0"/>
          <w:bCs w:val="0"/>
        </w:rPr>
      </w:pPr>
      <w:r>
        <w:rPr>
          <w:rFonts w:ascii="宋体" w:hAnsi="宋体" w:cs="宋体" w:eastAsia="宋体" w:hint="default"/>
        </w:rPr>
        <w:t>1</w:t>
      </w:r>
      <w:r>
        <w:rPr/>
        <w:t>、</w:t>
      </w:r>
      <w:r>
        <w:rPr>
          <w:spacing w:val="-46"/>
        </w:rPr>
        <w:t> </w:t>
      </w:r>
      <w:r>
        <w:rPr/>
        <w:t>法人</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40" w:lineRule="auto"/>
        <w:ind w:left="118" w:right="0"/>
        <w:jc w:val="left"/>
        <w:rPr>
          <w:b w:val="0"/>
          <w:bCs w:val="0"/>
        </w:rPr>
      </w:pPr>
      <w:r>
        <w:rPr>
          <w:rFonts w:ascii="宋体" w:hAnsi="宋体" w:cs="宋体" w:eastAsia="宋体" w:hint="default"/>
        </w:rPr>
        <w:t>2</w:t>
      </w:r>
      <w:r>
        <w:rPr/>
        <w:t>、</w:t>
      </w:r>
      <w:r>
        <w:rPr>
          <w:spacing w:val="-2"/>
        </w:rPr>
        <w:t> </w:t>
      </w:r>
      <w:r>
        <w:rPr/>
        <w:t>自然人</w:t>
      </w:r>
      <w:r>
        <w:rPr>
          <w:b w:val="0"/>
          <w:bCs w:val="0"/>
        </w:rPr>
      </w:r>
    </w:p>
    <w:p>
      <w:pPr>
        <w:pStyle w:val="BodyText"/>
        <w:spacing w:line="240" w:lineRule="auto" w:before="56"/>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3</w:t>
      </w:r>
      <w:r>
        <w:rPr/>
        <w:t>、</w:t>
      </w:r>
      <w:r>
        <w:rPr>
          <w:spacing w:val="-3"/>
        </w:rPr>
        <w:t> </w:t>
      </w:r>
      <w:r>
        <w:rPr/>
        <w:t>公司不存在控股股东情况的特别说明</w:t>
      </w:r>
      <w:r>
        <w:rPr>
          <w:b w:val="0"/>
          <w:bCs w:val="0"/>
        </w:rPr>
      </w:r>
    </w:p>
    <w:p>
      <w:pPr>
        <w:pStyle w:val="BodyText"/>
        <w:tabs>
          <w:tab w:pos="960" w:val="left" w:leader="none"/>
        </w:tabs>
        <w:spacing w:line="272" w:lineRule="exact" w:before="86"/>
        <w:ind w:left="538" w:right="117" w:hanging="420"/>
        <w:jc w:val="left"/>
      </w:pPr>
      <w:r>
        <w:rPr>
          <w:spacing w:val="-1"/>
        </w:rPr>
        <w:t>√适用</w:t>
        <w:tab/>
      </w:r>
      <w:r>
        <w:rPr>
          <w:spacing w:val="-2"/>
        </w:rPr>
        <w:t>□不适用</w:t>
      </w:r>
      <w:r>
        <w:rPr>
          <w:spacing w:val="-99"/>
        </w:rPr>
        <w:t> </w:t>
      </w:r>
      <w:r>
        <w:rPr>
          <w:spacing w:val="-99"/>
        </w:rPr>
      </w:r>
      <w:r>
        <w:rPr>
          <w:spacing w:val="-1"/>
        </w:rPr>
        <w:t>截至本报告期末，本公司各股东持股相对分散，不存在控股股东。公司第一大股东为大连东</w:t>
      </w:r>
    </w:p>
    <w:p>
      <w:pPr>
        <w:pStyle w:val="BodyText"/>
        <w:spacing w:line="249" w:lineRule="exact"/>
        <w:ind w:left="118" w:right="0"/>
        <w:jc w:val="left"/>
      </w:pPr>
      <w:r>
        <w:rPr/>
        <w:t>软控股有限公司，持股比例为</w:t>
      </w:r>
      <w:r>
        <w:rPr>
          <w:spacing w:val="-56"/>
        </w:rPr>
        <w:t> </w:t>
      </w:r>
      <w:r>
        <w:rPr>
          <w:rFonts w:ascii="宋体" w:hAnsi="宋体" w:cs="宋体" w:eastAsia="宋体" w:hint="default"/>
        </w:rPr>
        <w:t>12.3772%</w:t>
      </w:r>
      <w:r>
        <w:rPr/>
        <w:t>。</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4</w:t>
      </w:r>
      <w:r>
        <w:rPr/>
        <w:t>、</w:t>
      </w:r>
      <w:r>
        <w:rPr>
          <w:spacing w:val="-3"/>
        </w:rPr>
        <w:t> </w:t>
      </w:r>
      <w:r>
        <w:rPr/>
        <w:t>报告期内控股股东变更情况索引及日期</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5</w:t>
      </w:r>
      <w:r>
        <w:rPr/>
        <w:t>、</w:t>
      </w:r>
      <w:r>
        <w:rPr>
          <w:spacing w:val="-4"/>
        </w:rPr>
        <w:t> </w:t>
      </w:r>
      <w:r>
        <w:rPr/>
        <w:t>公司与控股股东之间的产权及控制关系的方框图</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18" w:right="7030"/>
        <w:jc w:val="left"/>
        <w:rPr>
          <w:b w:val="0"/>
          <w:bCs w:val="0"/>
        </w:rPr>
      </w:pPr>
      <w:r>
        <w:rPr>
          <w:rFonts w:ascii="宋体" w:hAnsi="宋体" w:cs="宋体" w:eastAsia="宋体" w:hint="default"/>
        </w:rPr>
        <w:t>(</w:t>
      </w:r>
      <w:r>
        <w:rPr/>
        <w:t>二</w:t>
      </w:r>
      <w:r>
        <w:rPr>
          <w:rFonts w:ascii="宋体" w:hAnsi="宋体" w:cs="宋体" w:eastAsia="宋体" w:hint="default"/>
        </w:rPr>
        <w:t>)</w:t>
      </w:r>
      <w:r>
        <w:rPr/>
        <w:t>实际控制人情况</w:t>
      </w:r>
      <w:r>
        <w:rPr>
          <w:w w:val="100"/>
        </w:rPr>
        <w:t> </w:t>
      </w:r>
      <w:r>
        <w:rPr>
          <w:rFonts w:ascii="宋体" w:hAnsi="宋体" w:cs="宋体" w:eastAsia="宋体" w:hint="default"/>
        </w:rPr>
        <w:t>1</w:t>
      </w:r>
      <w:r>
        <w:rPr/>
        <w:t>、</w:t>
      </w:r>
      <w:r>
        <w:rPr>
          <w:spacing w:val="-49"/>
        </w:rPr>
        <w:t> </w:t>
      </w:r>
      <w:r>
        <w:rPr/>
        <w:t>法人</w:t>
      </w:r>
      <w:r>
        <w:rPr>
          <w:b w:val="0"/>
          <w:bCs w:val="0"/>
        </w:rPr>
      </w:r>
    </w:p>
    <w:p>
      <w:pPr>
        <w:pStyle w:val="BodyText"/>
        <w:spacing w:line="240" w:lineRule="auto" w:before="15"/>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2</w:t>
      </w:r>
      <w:r>
        <w:rPr/>
        <w:t>、自然人</w:t>
      </w:r>
      <w:r>
        <w:rPr>
          <w:b w:val="0"/>
          <w:bCs w:val="0"/>
        </w:rPr>
      </w:r>
    </w:p>
    <w:p>
      <w:pPr>
        <w:pStyle w:val="BodyText"/>
        <w:spacing w:line="240" w:lineRule="auto" w:before="56"/>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3</w:t>
      </w:r>
      <w:r>
        <w:rPr/>
        <w:t>、公司不存在实际控制人情况的特别说明</w:t>
      </w:r>
      <w:r>
        <w:rPr>
          <w:b w:val="0"/>
          <w:bCs w:val="0"/>
        </w:rPr>
      </w:r>
    </w:p>
    <w:p>
      <w:pPr>
        <w:pStyle w:val="BodyText"/>
        <w:tabs>
          <w:tab w:pos="960" w:val="left" w:leader="none"/>
        </w:tabs>
        <w:spacing w:line="240" w:lineRule="auto" w:before="56"/>
        <w:ind w:left="538" w:right="117" w:hanging="420"/>
        <w:jc w:val="left"/>
      </w:pPr>
      <w:r>
        <w:rPr>
          <w:spacing w:val="-1"/>
        </w:rPr>
        <w:t>√适用</w:t>
        <w:tab/>
      </w:r>
      <w:r>
        <w:rPr>
          <w:spacing w:val="-2"/>
        </w:rPr>
        <w:t>□不适用</w:t>
      </w:r>
      <w:r>
        <w:rPr>
          <w:spacing w:val="-99"/>
        </w:rPr>
        <w:t> </w:t>
      </w:r>
      <w:r>
        <w:rPr>
          <w:spacing w:val="-99"/>
        </w:rPr>
      </w:r>
      <w:r>
        <w:rPr>
          <w:spacing w:val="-2"/>
        </w:rPr>
        <w:t>截至本报告期末，本公司各股东持股相对分散，不存在控股股东。公司第一大股东为大连东</w:t>
      </w:r>
    </w:p>
    <w:p>
      <w:pPr>
        <w:pStyle w:val="BodyText"/>
        <w:spacing w:line="271" w:lineRule="exact"/>
        <w:ind w:left="118" w:right="0"/>
        <w:jc w:val="left"/>
      </w:pPr>
      <w:r>
        <w:rPr/>
        <w:t>软控股有限公司，持股比例为</w:t>
      </w:r>
      <w:r>
        <w:rPr>
          <w:spacing w:val="-56"/>
        </w:rPr>
        <w:t> </w:t>
      </w:r>
      <w:r>
        <w:rPr>
          <w:rFonts w:ascii="宋体" w:hAnsi="宋体" w:cs="宋体" w:eastAsia="宋体" w:hint="default"/>
        </w:rPr>
        <w:t>12.3772%</w:t>
      </w:r>
      <w:r>
        <w:rPr/>
        <w:t>。</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4</w:t>
      </w:r>
      <w:r>
        <w:rPr/>
        <w:t>、</w:t>
      </w:r>
      <w:r>
        <w:rPr>
          <w:spacing w:val="-2"/>
        </w:rPr>
        <w:t> </w:t>
      </w:r>
      <w:r>
        <w:rPr/>
        <w:t>报告期内实际控制人变更情况索引及日期</w:t>
      </w:r>
      <w:r>
        <w:rPr>
          <w:b w:val="0"/>
          <w:bCs w:val="0"/>
        </w:rPr>
      </w:r>
    </w:p>
    <w:p>
      <w:pPr>
        <w:pStyle w:val="BodyText"/>
        <w:tabs>
          <w:tab w:pos="960" w:val="left" w:leader="none"/>
        </w:tabs>
        <w:spacing w:line="240" w:lineRule="auto" w:before="59"/>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5</w:t>
      </w:r>
      <w:r>
        <w:rPr/>
        <w:t>、</w:t>
      </w:r>
      <w:r>
        <w:rPr>
          <w:spacing w:val="-4"/>
        </w:rPr>
        <w:t> </w:t>
      </w:r>
      <w:r>
        <w:rPr/>
        <w:t>公司与实际控制人之间的产权及控制关系的方框图</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6</w:t>
      </w:r>
      <w:r>
        <w:rPr/>
        <w:t>、</w:t>
      </w:r>
      <w:r>
        <w:rPr>
          <w:spacing w:val="-4"/>
        </w:rPr>
        <w:t> </w:t>
      </w:r>
      <w:r>
        <w:rPr/>
        <w:t>实际控制人通过信托或其他资产管理方式控制公司</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w:t>
      </w:r>
      <w:r>
        <w:rPr/>
        <w:t>三</w:t>
      </w:r>
      <w:r>
        <w:rPr>
          <w:rFonts w:ascii="宋体" w:hAnsi="宋体" w:cs="宋体" w:eastAsia="宋体" w:hint="default"/>
        </w:rPr>
        <w:t>)</w:t>
      </w:r>
      <w:r>
        <w:rPr/>
        <w:t>控股股东及实际控制人其他情况介绍</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after="0" w:line="240" w:lineRule="auto"/>
        <w:jc w:val="left"/>
        <w:sectPr>
          <w:pgSz w:w="11910" w:h="16840"/>
          <w:pgMar w:header="945" w:footer="1248" w:top="1300" w:bottom="1440" w:left="1680" w:right="1160"/>
        </w:sectPr>
      </w:pPr>
    </w:p>
    <w:p>
      <w:pPr>
        <w:spacing w:line="240" w:lineRule="auto" w:before="3"/>
        <w:rPr>
          <w:rFonts w:ascii="宋体" w:hAnsi="宋体" w:cs="宋体" w:eastAsia="宋体" w:hint="default"/>
          <w:sz w:val="11"/>
          <w:szCs w:val="11"/>
        </w:rPr>
      </w:pPr>
    </w:p>
    <w:p>
      <w:pPr>
        <w:spacing w:line="290" w:lineRule="auto" w:before="36"/>
        <w:ind w:left="678" w:right="4471"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公司股东情况及控制关系的方框图</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截至报告期末，公司股东情况如下：</w:t>
      </w:r>
    </w:p>
    <w:p>
      <w:pPr>
        <w:spacing w:line="240" w:lineRule="auto" w:before="10"/>
        <w:rPr>
          <w:rFonts w:ascii="宋体" w:hAnsi="宋体" w:cs="宋体" w:eastAsia="宋体" w:hint="default"/>
          <w:sz w:val="13"/>
          <w:szCs w:val="13"/>
        </w:rPr>
      </w:pPr>
    </w:p>
    <w:p>
      <w:pPr>
        <w:spacing w:line="1209" w:lineRule="exact"/>
        <w:ind w:left="944" w:right="0" w:firstLine="0"/>
        <w:rPr>
          <w:rFonts w:ascii="宋体" w:hAnsi="宋体" w:cs="宋体" w:eastAsia="宋体" w:hint="default"/>
          <w:sz w:val="20"/>
          <w:szCs w:val="20"/>
        </w:rPr>
      </w:pPr>
      <w:r>
        <w:rPr>
          <w:rFonts w:ascii="宋体" w:hAnsi="宋体" w:cs="宋体" w:eastAsia="宋体" w:hint="default"/>
          <w:position w:val="-23"/>
          <w:sz w:val="20"/>
          <w:szCs w:val="20"/>
        </w:rPr>
        <w:pict>
          <v:shape style="width:51.3pt;height:60.45pt;mso-position-horizontal-relative:char;mso-position-vertical-relative:line" type="#_x0000_t202" filled="false" stroked="true" strokeweight=".75pt" strokecolor="#000000">
            <w10:anchorlock/>
            <v:textbox inset="0,0,0,0">
              <w:txbxContent>
                <w:p>
                  <w:pPr>
                    <w:spacing w:line="240" w:lineRule="auto" w:before="3"/>
                    <w:rPr>
                      <w:rFonts w:ascii="宋体" w:hAnsi="宋体" w:cs="宋体" w:eastAsia="宋体" w:hint="default"/>
                      <w:sz w:val="18"/>
                      <w:szCs w:val="18"/>
                    </w:rPr>
                  </w:pPr>
                </w:p>
                <w:p>
                  <w:pPr>
                    <w:spacing w:line="237" w:lineRule="auto" w:before="0"/>
                    <w:ind w:left="144" w:right="144" w:firstLine="0"/>
                    <w:jc w:val="center"/>
                    <w:rPr>
                      <w:rFonts w:ascii="宋体" w:hAnsi="宋体" w:cs="宋体" w:eastAsia="宋体" w:hint="default"/>
                      <w:sz w:val="18"/>
                      <w:szCs w:val="18"/>
                    </w:rPr>
                  </w:pPr>
                  <w:r>
                    <w:rPr>
                      <w:rFonts w:ascii="宋体" w:hAnsi="宋体" w:cs="宋体" w:eastAsia="宋体" w:hint="default"/>
                      <w:sz w:val="18"/>
                      <w:szCs w:val="18"/>
                    </w:rPr>
                    <w:t>中华人民 共和国教 育部</w:t>
                  </w:r>
                </w:p>
              </w:txbxContent>
            </v:textbox>
          </v:shape>
        </w:pict>
      </w:r>
      <w:r>
        <w:rPr>
          <w:rFonts w:ascii="宋体" w:hAnsi="宋体" w:cs="宋体" w:eastAsia="宋体" w:hint="default"/>
          <w:position w:val="-23"/>
          <w:sz w:val="20"/>
          <w:szCs w:val="20"/>
        </w:rPr>
      </w:r>
    </w:p>
    <w:p>
      <w:pPr>
        <w:spacing w:before="43"/>
        <w:ind w:left="1525" w:right="4471" w:firstLine="0"/>
        <w:jc w:val="left"/>
        <w:rPr>
          <w:rFonts w:ascii="宋体" w:hAnsi="宋体" w:cs="宋体" w:eastAsia="宋体" w:hint="default"/>
          <w:sz w:val="18"/>
          <w:szCs w:val="18"/>
        </w:rPr>
      </w:pPr>
      <w:r>
        <w:rPr/>
        <w:pict>
          <v:group style="position:absolute;margin-left:247.490005pt;margin-top:64.601692pt;width:6pt;height:35.75pt;mso-position-horizontal-relative:page;mso-position-vertical-relative:paragraph;z-index:-1088224" coordorigin="4950,1292" coordsize="120,715">
            <v:shape style="position:absolute;left:4950;top:1292;width:120;height:715" coordorigin="4950,1292" coordsize="120,715" path="m5000,1887l4950,1887,5010,2007,5055,1917,5004,1917,5000,1913,5000,1887xe" filled="true" fillcolor="#000000" stroked="false">
              <v:path arrowok="t"/>
              <v:fill type="solid"/>
            </v:shape>
            <v:shape style="position:absolute;left:4950;top:1292;width:120;height:715" coordorigin="4950,1292" coordsize="120,715" path="m5015,1292l5003,1292,4999,1296,5000,1913,5004,1917,5015,1917,5020,1913,5019,1302,5019,1296,5015,1292xe" filled="true" fillcolor="#000000" stroked="false">
              <v:path arrowok="t"/>
              <v:fill type="solid"/>
            </v:shape>
            <v:shape style="position:absolute;left:4950;top:1292;width:120;height:715" coordorigin="4950,1292" coordsize="120,715" path="m5070,1887l5020,1887,5020,1913,5015,1917,5055,1917,5070,1887xe" filled="true" fillcolor="#000000" stroked="false">
              <v:path arrowok="t"/>
              <v:fill type="solid"/>
            </v:shape>
            <w10:wrap type="none"/>
          </v:group>
        </w:pict>
      </w:r>
      <w:r>
        <w:rPr/>
        <w:pict>
          <v:group style="position:absolute;margin-left:125.889999pt;margin-top:-.498308pt;width:6pt;height:21.8pt;mso-position-horizontal-relative:page;mso-position-vertical-relative:paragraph;z-index:-1087960" coordorigin="2518,-10" coordsize="120,436">
            <v:shape style="position:absolute;left:2518;top:-10;width:120;height:436" coordorigin="2518,-10" coordsize="120,436" path="m2568,306l2518,306,2578,426,2623,336,2572,336,2568,332,2568,306xe" filled="true" fillcolor="#000000" stroked="false">
              <v:path arrowok="t"/>
              <v:fill type="solid"/>
            </v:shape>
            <v:shape style="position:absolute;left:2518;top:-10;width:120;height:436" coordorigin="2518,-10" coordsize="120,436" path="m2588,306l2568,306,2568,332,2572,336,2583,336,2588,332,2588,306xe" filled="true" fillcolor="#000000" stroked="false">
              <v:path arrowok="t"/>
              <v:fill type="solid"/>
            </v:shape>
            <v:shape style="position:absolute;left:2518;top:-10;width:120;height:436" coordorigin="2518,-10" coordsize="120,436" path="m2638,306l2588,306,2588,332,2583,336,2623,336,2638,306xe" filled="true" fillcolor="#000000" stroked="false">
              <v:path arrowok="t"/>
              <v:fill type="solid"/>
            </v:shape>
            <v:shape style="position:absolute;left:2518;top:-10;width:120;height:436" coordorigin="2518,-10" coordsize="120,436" path="m2582,-10l2571,-10,2567,-6,2567,0,2568,306,2588,306,2587,0,2587,-6,2582,-10xe" filled="true" fillcolor="#000000" stroked="false">
              <v:path arrowok="t"/>
              <v:fill type="solid"/>
            </v:shape>
            <w10:wrap type="none"/>
          </v:group>
        </w:pict>
      </w:r>
      <w:r>
        <w:rPr>
          <w:rFonts w:ascii="宋体"/>
          <w:sz w:val="18"/>
        </w:rPr>
        <w:t>100%</w:t>
      </w:r>
    </w:p>
    <w:p>
      <w:pPr>
        <w:spacing w:line="240" w:lineRule="auto" w:before="4"/>
        <w:rPr>
          <w:rFonts w:ascii="宋体" w:hAnsi="宋体" w:cs="宋体" w:eastAsia="宋体" w:hint="default"/>
          <w:sz w:val="10"/>
          <w:szCs w:val="10"/>
        </w:rPr>
      </w:pPr>
    </w:p>
    <w:p>
      <w:pPr>
        <w:tabs>
          <w:tab w:pos="2212" w:val="left" w:leader="none"/>
          <w:tab w:pos="3466" w:val="left" w:leader="none"/>
        </w:tabs>
        <w:spacing w:line="913" w:lineRule="exact"/>
        <w:ind w:left="944" w:right="0" w:firstLine="0"/>
        <w:rPr>
          <w:rFonts w:ascii="宋体" w:hAnsi="宋体" w:cs="宋体" w:eastAsia="宋体" w:hint="default"/>
          <w:sz w:val="20"/>
          <w:szCs w:val="20"/>
        </w:rPr>
      </w:pPr>
      <w:r>
        <w:rPr>
          <w:rFonts w:ascii="宋体"/>
          <w:position w:val="-16"/>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0"/>
                    <w:rPr>
                      <w:rFonts w:ascii="宋体" w:hAnsi="宋体" w:cs="宋体" w:eastAsia="宋体" w:hint="default"/>
                      <w:sz w:val="16"/>
                      <w:szCs w:val="16"/>
                    </w:rPr>
                  </w:pPr>
                </w:p>
                <w:p>
                  <w:pPr>
                    <w:spacing w:line="232" w:lineRule="exact" w:before="0"/>
                    <w:ind w:left="324" w:right="324" w:firstLine="0"/>
                    <w:jc w:val="left"/>
                    <w:rPr>
                      <w:rFonts w:ascii="宋体" w:hAnsi="宋体" w:cs="宋体" w:eastAsia="宋体" w:hint="default"/>
                      <w:sz w:val="18"/>
                      <w:szCs w:val="18"/>
                    </w:rPr>
                  </w:pPr>
                  <w:r>
                    <w:rPr>
                      <w:rFonts w:ascii="宋体" w:hAnsi="宋体" w:cs="宋体" w:eastAsia="宋体" w:hint="default"/>
                      <w:sz w:val="18"/>
                      <w:szCs w:val="18"/>
                    </w:rPr>
                    <w:t>东北 大学</w:t>
                  </w:r>
                </w:p>
              </w:txbxContent>
            </v:textbox>
          </v:shape>
        </w:pict>
      </w:r>
      <w:r>
        <w:rPr>
          <w:rFonts w:ascii="宋体"/>
          <w:position w:val="-16"/>
          <w:sz w:val="20"/>
        </w:rPr>
      </w:r>
      <w:r>
        <w:rPr>
          <w:rFonts w:ascii="宋体"/>
          <w:position w:val="-16"/>
          <w:sz w:val="20"/>
        </w:rPr>
        <w:tab/>
      </w:r>
      <w:r>
        <w:rPr>
          <w:rFonts w:ascii="宋体"/>
          <w:position w:val="-17"/>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16"/>
                      <w:szCs w:val="16"/>
                    </w:rPr>
                  </w:pPr>
                </w:p>
                <w:p>
                  <w:pPr>
                    <w:spacing w:line="230" w:lineRule="exact" w:before="0"/>
                    <w:ind w:left="145" w:right="143" w:firstLine="91"/>
                    <w:jc w:val="left"/>
                    <w:rPr>
                      <w:rFonts w:ascii="宋体" w:hAnsi="宋体" w:cs="宋体" w:eastAsia="宋体" w:hint="default"/>
                      <w:sz w:val="18"/>
                      <w:szCs w:val="18"/>
                    </w:rPr>
                  </w:pPr>
                  <w:r>
                    <w:rPr>
                      <w:rFonts w:ascii="宋体" w:hAnsi="宋体" w:cs="宋体" w:eastAsia="宋体" w:hint="default"/>
                      <w:sz w:val="18"/>
                      <w:szCs w:val="18"/>
                    </w:rPr>
                    <w:t>阿尔派 株式会社</w:t>
                  </w:r>
                </w:p>
              </w:txbxContent>
            </v:textbox>
          </v:shape>
        </w:pict>
      </w:r>
      <w:r>
        <w:rPr>
          <w:rFonts w:ascii="宋体"/>
          <w:position w:val="-17"/>
          <w:sz w:val="20"/>
        </w:rPr>
      </w:r>
      <w:r>
        <w:rPr>
          <w:rFonts w:ascii="宋体"/>
          <w:position w:val="-17"/>
          <w:sz w:val="20"/>
        </w:rPr>
        <w:tab/>
      </w:r>
      <w:r>
        <w:rPr>
          <w:rFonts w:ascii="宋体"/>
          <w:position w:val="-15"/>
          <w:sz w:val="20"/>
        </w:rPr>
        <w:pict>
          <v:shape style="width:42.25pt;height:44.45pt;mso-position-horizontal-relative:char;mso-position-vertical-relative:line" type="#_x0000_t202" filled="false" stroked="true" strokeweight=".75pt" strokecolor="#000000">
            <w10:anchorlock/>
            <v:textbox inset="0,0,0,0">
              <w:txbxContent>
                <w:p>
                  <w:pPr>
                    <w:spacing w:line="237" w:lineRule="auto" w:before="85"/>
                    <w:ind w:left="236" w:right="231" w:firstLine="0"/>
                    <w:jc w:val="both"/>
                    <w:rPr>
                      <w:rFonts w:ascii="宋体" w:hAnsi="宋体" w:cs="宋体" w:eastAsia="宋体" w:hint="default"/>
                      <w:sz w:val="18"/>
                      <w:szCs w:val="18"/>
                    </w:rPr>
                  </w:pPr>
                  <w:r>
                    <w:rPr>
                      <w:rFonts w:ascii="宋体" w:hAnsi="宋体" w:cs="宋体" w:eastAsia="宋体" w:hint="default"/>
                      <w:sz w:val="18"/>
                      <w:szCs w:val="18"/>
                    </w:rPr>
                    <w:t>株式 会社 东芝</w:t>
                  </w:r>
                </w:p>
              </w:txbxContent>
            </v:textbox>
          </v:shape>
        </w:pict>
      </w:r>
      <w:r>
        <w:rPr>
          <w:rFonts w:ascii="宋体"/>
          <w:position w:val="-15"/>
          <w:sz w:val="20"/>
        </w:rPr>
      </w:r>
    </w:p>
    <w:p>
      <w:pPr>
        <w:spacing w:after="0" w:line="913" w:lineRule="exact"/>
        <w:rPr>
          <w:rFonts w:ascii="宋体" w:hAnsi="宋体" w:cs="宋体" w:eastAsia="宋体" w:hint="default"/>
          <w:sz w:val="20"/>
          <w:szCs w:val="20"/>
        </w:rPr>
        <w:sectPr>
          <w:headerReference w:type="default" r:id="rId38"/>
          <w:footerReference w:type="default" r:id="rId39"/>
          <w:pgSz w:w="11910" w:h="16840"/>
          <w:pgMar w:header="945" w:footer="1248" w:top="1300" w:bottom="1440" w:left="1120" w:right="580"/>
        </w:sectPr>
      </w:pPr>
    </w:p>
    <w:p>
      <w:pPr>
        <w:spacing w:line="196" w:lineRule="exact" w:before="0"/>
        <w:ind w:left="0" w:right="0" w:firstLine="0"/>
        <w:jc w:val="right"/>
        <w:rPr>
          <w:rFonts w:ascii="宋体" w:hAnsi="宋体" w:cs="宋体" w:eastAsia="宋体" w:hint="default"/>
          <w:sz w:val="18"/>
          <w:szCs w:val="18"/>
        </w:rPr>
      </w:pPr>
      <w:r>
        <w:rPr/>
        <w:pict>
          <v:group style="position:absolute;margin-left:125.889999pt;margin-top:-1.05pt;width:6pt;height:35.75pt;mso-position-horizontal-relative:page;mso-position-vertical-relative:paragraph;z-index:-1088248" coordorigin="2518,-21" coordsize="120,715">
            <v:shape style="position:absolute;left:2518;top:-21;width:120;height:715" coordorigin="2518,-21" coordsize="120,715" path="m2568,574l2518,574,2578,694,2623,604,2572,604,2568,600,2568,574xe" filled="true" fillcolor="#000000" stroked="false">
              <v:path arrowok="t"/>
              <v:fill type="solid"/>
            </v:shape>
            <v:shape style="position:absolute;left:2518;top:-21;width:120;height:715" coordorigin="2518,-21" coordsize="120,715" path="m2583,-21l2571,-21,2567,-17,2568,600,2572,604,2583,604,2588,600,2587,-11,2587,-17,2583,-21xe" filled="true" fillcolor="#000000" stroked="false">
              <v:path arrowok="t"/>
              <v:fill type="solid"/>
            </v:shape>
            <v:shape style="position:absolute;left:2518;top:-21;width:120;height:715" coordorigin="2518,-21" coordsize="120,715" path="m2638,574l2588,574,2588,600,2583,604,2623,604,2638,574xe" filled="true" fillcolor="#000000" stroked="false">
              <v:path arrowok="t"/>
              <v:fill type="solid"/>
            </v:shape>
            <w10:wrap type="none"/>
          </v:group>
        </w:pict>
      </w:r>
      <w:r>
        <w:rPr/>
        <w:pict>
          <v:group style="position:absolute;margin-left:189.240005pt;margin-top:-.5pt;width:6pt;height:35.75pt;mso-position-horizontal-relative:page;mso-position-vertical-relative:paragraph;z-index:-1087936" coordorigin="3785,-10" coordsize="120,715">
            <v:shape style="position:absolute;left:3785;top:-10;width:120;height:715" coordorigin="3785,-10" coordsize="120,715" path="m3835,585l3785,585,3845,705,3890,615,3839,615,3835,611,3835,585xe" filled="true" fillcolor="#000000" stroked="false">
              <v:path arrowok="t"/>
              <v:fill type="solid"/>
            </v:shape>
            <v:shape style="position:absolute;left:3785;top:-10;width:120;height:715" coordorigin="3785,-10" coordsize="120,715" path="m3850,-10l3838,-10,3834,-6,3835,611,3839,615,3850,615,3855,611,3854,0,3854,-6,3850,-10xe" filled="true" fillcolor="#000000" stroked="false">
              <v:path arrowok="t"/>
              <v:fill type="solid"/>
            </v:shape>
            <v:shape style="position:absolute;left:3785;top:-10;width:120;height:715" coordorigin="3785,-10" coordsize="120,715" path="m3905,585l3855,585,3855,611,3850,615,3890,615,3905,585xe" filled="true" fillcolor="#000000" stroked="false">
              <v:path arrowok="t"/>
              <v:fill type="solid"/>
            </v:shape>
            <w10:wrap type="none"/>
          </v:group>
        </w:pict>
      </w:r>
      <w:r>
        <w:rPr>
          <w:rFonts w:ascii="宋体"/>
          <w:sz w:val="18"/>
        </w:rPr>
        <w:t>100%</w:t>
      </w:r>
    </w:p>
    <w:p>
      <w:pPr>
        <w:spacing w:line="223" w:lineRule="exact" w:before="0"/>
        <w:ind w:left="0" w:right="0" w:firstLine="0"/>
        <w:jc w:val="right"/>
        <w:rPr>
          <w:rFonts w:ascii="宋体" w:hAnsi="宋体" w:cs="宋体" w:eastAsia="宋体" w:hint="default"/>
          <w:sz w:val="18"/>
          <w:szCs w:val="18"/>
        </w:rPr>
      </w:pPr>
      <w:r>
        <w:rPr/>
        <w:br w:type="column"/>
      </w:r>
      <w:r>
        <w:rPr>
          <w:rFonts w:ascii="宋体"/>
          <w:sz w:val="18"/>
        </w:rPr>
        <w:t>100%</w:t>
      </w:r>
    </w:p>
    <w:p>
      <w:pPr>
        <w:spacing w:line="184" w:lineRule="exact" w:before="0"/>
        <w:ind w:left="801" w:right="0" w:firstLine="0"/>
        <w:jc w:val="left"/>
        <w:rPr>
          <w:rFonts w:ascii="宋体" w:hAnsi="宋体" w:cs="宋体" w:eastAsia="宋体" w:hint="default"/>
          <w:sz w:val="18"/>
          <w:szCs w:val="18"/>
        </w:rPr>
      </w:pPr>
      <w:r>
        <w:rPr/>
        <w:br w:type="column"/>
      </w:r>
      <w:r>
        <w:rPr>
          <w:rFonts w:ascii="宋体"/>
          <w:sz w:val="18"/>
        </w:rPr>
        <w:t>100%</w:t>
      </w:r>
    </w:p>
    <w:p>
      <w:pPr>
        <w:spacing w:after="0" w:line="184" w:lineRule="exact"/>
        <w:jc w:val="left"/>
        <w:rPr>
          <w:rFonts w:ascii="宋体" w:hAnsi="宋体" w:cs="宋体" w:eastAsia="宋体" w:hint="default"/>
          <w:sz w:val="18"/>
          <w:szCs w:val="18"/>
        </w:rPr>
        <w:sectPr>
          <w:type w:val="continuous"/>
          <w:pgSz w:w="11910" w:h="16840"/>
          <w:pgMar w:top="1580" w:bottom="280" w:left="1120" w:right="580"/>
          <w:cols w:num="3" w:equalWidth="0">
            <w:col w:w="1870" w:space="40"/>
            <w:col w:w="1214" w:space="40"/>
            <w:col w:w="7046"/>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5667" w:type="dxa"/>
        <w:tblLayout w:type="fixed"/>
        <w:tblCellMar>
          <w:top w:w="0" w:type="dxa"/>
          <w:left w:w="0" w:type="dxa"/>
          <w:bottom w:w="0" w:type="dxa"/>
          <w:right w:w="0" w:type="dxa"/>
        </w:tblCellMar>
        <w:tblLook w:val="01E0"/>
      </w:tblPr>
      <w:tblGrid>
        <w:gridCol w:w="577"/>
        <w:gridCol w:w="193"/>
        <w:gridCol w:w="877"/>
        <w:gridCol w:w="180"/>
        <w:gridCol w:w="845"/>
      </w:tblGrid>
      <w:tr>
        <w:trPr>
          <w:trHeight w:val="621" w:hRule="exact"/>
        </w:trPr>
        <w:tc>
          <w:tcPr>
            <w:tcW w:w="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18"/>
                <w:szCs w:val="18"/>
              </w:rPr>
            </w:pPr>
            <w:r>
              <w:rPr>
                <w:rFonts w:ascii="宋体"/>
                <w:sz w:val="18"/>
              </w:rPr>
              <w:t>SAP</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Style w:val="TableParagraph"/>
              <w:spacing w:line="232" w:lineRule="exact" w:before="138"/>
              <w:ind w:left="161" w:right="158"/>
              <w:jc w:val="left"/>
              <w:rPr>
                <w:rFonts w:ascii="宋体" w:hAnsi="宋体" w:cs="宋体" w:eastAsia="宋体" w:hint="default"/>
                <w:sz w:val="18"/>
                <w:szCs w:val="18"/>
              </w:rPr>
            </w:pPr>
            <w:r>
              <w:rPr>
                <w:rFonts w:ascii="宋体" w:hAnsi="宋体" w:cs="宋体" w:eastAsia="宋体" w:hint="default"/>
                <w:sz w:val="18"/>
                <w:szCs w:val="18"/>
              </w:rPr>
              <w:t>大连东 软控股</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社会</w:t>
            </w:r>
          </w:p>
        </w:tc>
      </w:tr>
      <w:tr>
        <w:trPr>
          <w:trHeight w:val="244"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192" w:lineRule="exact"/>
              <w:ind w:left="5" w:right="0"/>
              <w:jc w:val="center"/>
              <w:rPr>
                <w:rFonts w:ascii="宋体" w:hAnsi="宋体" w:cs="宋体" w:eastAsia="宋体" w:hint="default"/>
                <w:sz w:val="18"/>
                <w:szCs w:val="18"/>
              </w:rPr>
            </w:pPr>
            <w:r>
              <w:rPr>
                <w:rFonts w:ascii="宋体"/>
                <w:sz w:val="18"/>
              </w:rPr>
              <w:t>SE</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宋体" w:hAnsi="宋体" w:cs="宋体" w:eastAsia="宋体" w:hint="default"/>
                <w:sz w:val="18"/>
                <w:szCs w:val="18"/>
              </w:rPr>
              <w:t>公众股</w:t>
            </w:r>
          </w:p>
        </w:tc>
      </w:tr>
      <w:tr>
        <w:trPr>
          <w:trHeight w:val="275" w:hRule="exact"/>
        </w:trPr>
        <w:tc>
          <w:tcPr>
            <w:tcW w:w="577" w:type="dxa"/>
            <w:tcBorders>
              <w:top w:val="nil" w:sz="6" w:space="0" w:color="auto"/>
              <w:left w:val="single" w:sz="6" w:space="0" w:color="000000"/>
              <w:bottom w:val="single" w:sz="6" w:space="0" w:color="000000"/>
              <w:right w:val="single" w:sz="6" w:space="0" w:color="000000"/>
            </w:tcBorders>
          </w:tcPr>
          <w:p>
            <w:pP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r>
    </w:tbl>
    <w:p>
      <w:pPr>
        <w:spacing w:before="89"/>
        <w:ind w:left="0" w:right="1430" w:firstLine="0"/>
        <w:jc w:val="right"/>
        <w:rPr>
          <w:rFonts w:ascii="宋体" w:hAnsi="宋体" w:cs="宋体" w:eastAsia="宋体" w:hint="default"/>
          <w:sz w:val="18"/>
          <w:szCs w:val="18"/>
        </w:rPr>
      </w:pPr>
      <w:r>
        <w:rPr/>
        <w:pict>
          <v:group style="position:absolute;margin-left:103.199997pt;margin-top:-58.53828pt;width:356.05pt;height:128.35pt;mso-position-horizontal-relative:page;mso-position-vertical-relative:paragraph;z-index:-1087984" coordorigin="2064,-1171" coordsize="7121,2567">
            <v:group style="position:absolute;left:2516;top:-28;width:120;height:507" coordorigin="2516,-28" coordsize="120,507">
              <v:shape style="position:absolute;left:2516;top:-28;width:120;height:507" coordorigin="2516,-28" coordsize="120,507" path="m2566,359l2516,359,2576,479,2621,389,2570,389,2566,385,2566,359xe" filled="true" fillcolor="#000000" stroked="false">
                <v:path arrowok="t"/>
                <v:fill type="solid"/>
              </v:shape>
              <v:shape style="position:absolute;left:2516;top:-28;width:120;height:507" coordorigin="2516,-28" coordsize="120,507" path="m2586,359l2566,359,2566,385,2570,389,2581,389,2586,385,2586,359xe" filled="true" fillcolor="#000000" stroked="false">
                <v:path arrowok="t"/>
                <v:fill type="solid"/>
              </v:shape>
              <v:shape style="position:absolute;left:2516;top:-28;width:120;height:507" coordorigin="2516,-28" coordsize="120,507" path="m2636,359l2586,359,2586,385,2581,389,2621,389,2636,359xe" filled="true" fillcolor="#000000" stroked="false">
                <v:path arrowok="t"/>
                <v:fill type="solid"/>
              </v:shape>
              <v:shape style="position:absolute;left:2516;top:-28;width:120;height:507" coordorigin="2516,-28" coordsize="120,507" path="m2581,-28l2569,-28,2565,-23,2566,359,2586,359,2585,-18,2585,-23,2581,-28xe" filled="true" fillcolor="#000000" stroked="false">
                <v:path arrowok="t"/>
                <v:fill type="solid"/>
              </v:shape>
            </v:group>
            <v:group style="position:absolute;left:4960;top:-41;width:120;height:520" coordorigin="4960,-41" coordsize="120,520">
              <v:shape style="position:absolute;left:4960;top:-41;width:120;height:520" coordorigin="4960,-41" coordsize="120,520" path="m5010,359l4960,360,5022,479,5066,389,5015,389,5011,385,5011,379,5010,359xe" filled="true" fillcolor="#000000" stroked="false">
                <v:path arrowok="t"/>
                <v:fill type="solid"/>
              </v:shape>
              <v:shape style="position:absolute;left:4960;top:-41;width:120;height:520" coordorigin="4960,-41" coordsize="120,520" path="m5030,359l5010,359,5011,379,5011,385,5015,389,5026,389,5031,385,5031,379,5030,359xe" filled="true" fillcolor="#000000" stroked="false">
                <v:path arrowok="t"/>
                <v:fill type="solid"/>
              </v:shape>
              <v:shape style="position:absolute;left:4960;top:-41;width:120;height:520" coordorigin="4960,-41" coordsize="120,520" path="m5080,358l5030,359,5031,379,5031,385,5026,389,5066,389,5080,358xe" filled="true" fillcolor="#000000" stroked="false">
                <v:path arrowok="t"/>
                <v:fill type="solid"/>
              </v:shape>
              <v:shape style="position:absolute;left:4960;top:-41;width:120;height:520" coordorigin="4960,-41" coordsize="120,520" path="m5020,-41l5009,-41,5005,-36,5005,-31,5010,359,5030,359,5025,-31,5025,-36,5020,-41xe" filled="true" fillcolor="#000000" stroked="false">
                <v:path arrowok="t"/>
                <v:fill type="solid"/>
              </v:shape>
            </v:group>
            <v:group style="position:absolute;left:6034;top:-27;width:120;height:520" coordorigin="6034,-27" coordsize="120,520">
              <v:shape style="position:absolute;left:6034;top:-27;width:120;height:520" coordorigin="6034,-27" coordsize="120,520" path="m6084,373l6034,374,6096,493,6140,403,6089,403,6085,399,6085,393,6084,373xe" filled="true" fillcolor="#000000" stroked="false">
                <v:path arrowok="t"/>
                <v:fill type="solid"/>
              </v:shape>
              <v:shape style="position:absolute;left:6034;top:-27;width:120;height:520" coordorigin="6034,-27" coordsize="120,520" path="m6104,373l6084,373,6085,393,6085,399,6089,403,6100,403,6105,399,6105,393,6104,373xe" filled="true" fillcolor="#000000" stroked="false">
                <v:path arrowok="t"/>
                <v:fill type="solid"/>
              </v:shape>
              <v:shape style="position:absolute;left:6034;top:-27;width:120;height:520" coordorigin="6034,-27" coordsize="120,520" path="m6154,372l6104,373,6105,393,6105,399,6100,403,6140,403,6154,372xe" filled="true" fillcolor="#000000" stroked="false">
                <v:path arrowok="t"/>
                <v:fill type="solid"/>
              </v:shape>
              <v:shape style="position:absolute;left:6034;top:-27;width:120;height:520" coordorigin="6034,-27" coordsize="120,520" path="m6094,-27l6083,-27,6079,-22,6079,-17,6084,373,6104,373,6099,-17,6099,-22,6094,-27xe" filled="true" fillcolor="#000000" stroked="false">
                <v:path arrowok="t"/>
                <v:fill type="solid"/>
              </v:shape>
            </v:group>
            <v:group style="position:absolute;left:7011;top:-26;width:120;height:520" coordorigin="7011,-26" coordsize="120,520">
              <v:shape style="position:absolute;left:7011;top:-26;width:120;height:520" coordorigin="7011,-26" coordsize="120,520" path="m7061,374l7011,375,7073,494,7117,404,7066,404,7062,400,7062,394,7061,374xe" filled="true" fillcolor="#000000" stroked="false">
                <v:path arrowok="t"/>
                <v:fill type="solid"/>
              </v:shape>
              <v:shape style="position:absolute;left:7011;top:-26;width:120;height:520" coordorigin="7011,-26" coordsize="120,520" path="m7081,374l7061,374,7062,394,7062,400,7066,404,7077,404,7082,400,7082,394,7081,374xe" filled="true" fillcolor="#000000" stroked="false">
                <v:path arrowok="t"/>
                <v:fill type="solid"/>
              </v:shape>
              <v:shape style="position:absolute;left:7011;top:-26;width:120;height:520" coordorigin="7011,-26" coordsize="120,520" path="m7131,373l7081,374,7082,394,7082,400,7077,404,7117,404,7131,373xe" filled="true" fillcolor="#000000" stroked="false">
                <v:path arrowok="t"/>
                <v:fill type="solid"/>
              </v:shape>
              <v:shape style="position:absolute;left:7011;top:-26;width:120;height:520" coordorigin="7011,-26" coordsize="120,520" path="m7071,-26l7060,-26,7056,-21,7056,-16,7061,374,7081,374,7076,-16,7076,-21,7071,-26xe" filled="true" fillcolor="#000000" stroked="false">
                <v:path arrowok="t"/>
                <v:fill type="solid"/>
              </v:shape>
            </v:group>
            <v:group style="position:absolute;left:2575;top:494;width:6544;height:2" coordorigin="2575,494" coordsize="6544,2">
              <v:shape style="position:absolute;left:2575;top:494;width:6544;height:2" coordorigin="2575,494" coordsize="6544,0" path="m2575,494l9119,494e" filled="false" stroked="true" strokeweight=".75pt" strokecolor="#000000">
                <v:path arrowok="t"/>
              </v:shape>
            </v:group>
            <v:group style="position:absolute;left:5988;top:482;width:120;height:490" coordorigin="5988,482" coordsize="120,490">
              <v:shape style="position:absolute;left:5988;top:482;width:120;height:490" coordorigin="5988,482" coordsize="120,490" path="m6038,852l5988,852,6048,972,6093,882,6042,882,6038,878,6038,852xe" filled="true" fillcolor="#000000" stroked="false">
                <v:path arrowok="t"/>
                <v:fill type="solid"/>
              </v:shape>
              <v:shape style="position:absolute;left:5988;top:482;width:120;height:490" coordorigin="5988,482" coordsize="120,490" path="m6054,482l6042,482,6038,487,6038,878,6042,882,6054,882,6058,878,6058,487,6054,482xe" filled="true" fillcolor="#000000" stroked="false">
                <v:path arrowok="t"/>
                <v:fill type="solid"/>
              </v:shape>
              <v:shape style="position:absolute;left:5988;top:482;width:120;height:490" coordorigin="5988,482" coordsize="120,490" path="m6108,852l6058,852,6058,878,6054,882,6093,882,6108,852xe" filled="true" fillcolor="#000000" stroked="false">
                <v:path arrowok="t"/>
                <v:fill type="solid"/>
              </v:shape>
            </v:group>
            <v:group style="position:absolute;left:7909;top:-16;width:120;height:520" coordorigin="7909,-16" coordsize="120,520">
              <v:shape style="position:absolute;left:7909;top:-16;width:120;height:520" coordorigin="7909,-16" coordsize="120,520" path="m7959,384l7909,385,7971,504,8015,414,7964,414,7960,410,7960,404,7959,384xe" filled="true" fillcolor="#000000" stroked="false">
                <v:path arrowok="t"/>
                <v:fill type="solid"/>
              </v:shape>
              <v:shape style="position:absolute;left:7909;top:-16;width:120;height:520" coordorigin="7909,-16" coordsize="120,520" path="m7979,384l7959,384,7960,404,7960,410,7964,414,7975,414,7980,410,7980,404,7979,384xe" filled="true" fillcolor="#000000" stroked="false">
                <v:path arrowok="t"/>
                <v:fill type="solid"/>
              </v:shape>
              <v:shape style="position:absolute;left:7909;top:-16;width:120;height:520" coordorigin="7909,-16" coordsize="120,520" path="m8029,383l7979,384,7980,404,7980,410,7975,414,8015,414,8029,383xe" filled="true" fillcolor="#000000" stroked="false">
                <v:path arrowok="t"/>
                <v:fill type="solid"/>
              </v:shape>
              <v:shape style="position:absolute;left:7909;top:-16;width:120;height:520" coordorigin="7909,-16" coordsize="120,520" path="m7969,-16l7958,-16,7954,-11,7954,-6,7959,384,7979,384,7974,-6,7974,-11,7969,-16xe" filled="true" fillcolor="#000000" stroked="false">
                <v:path arrowok="t"/>
                <v:fill type="solid"/>
              </v:shape>
            </v:group>
            <v:group style="position:absolute;left:9064;top:-16;width:120;height:520" coordorigin="9064,-16" coordsize="120,520">
              <v:shape style="position:absolute;left:9064;top:-16;width:120;height:520" coordorigin="9064,-16" coordsize="120,520" path="m9114,384l9064,385,9126,504,9170,414,9119,414,9115,410,9115,404,9114,384xe" filled="true" fillcolor="#000000" stroked="false">
                <v:path arrowok="t"/>
                <v:fill type="solid"/>
              </v:shape>
              <v:shape style="position:absolute;left:9064;top:-16;width:120;height:520" coordorigin="9064,-16" coordsize="120,520" path="m9134,384l9114,384,9115,404,9115,410,9119,414,9130,414,9135,410,9135,404,9134,384xe" filled="true" fillcolor="#000000" stroked="false">
                <v:path arrowok="t"/>
                <v:fill type="solid"/>
              </v:shape>
              <v:shape style="position:absolute;left:9064;top:-16;width:120;height:520" coordorigin="9064,-16" coordsize="120,520" path="m9184,383l9134,384,9135,404,9135,410,9130,414,9170,414,9184,383xe" filled="true" fillcolor="#000000" stroked="false">
                <v:path arrowok="t"/>
                <v:fill type="solid"/>
              </v:shape>
              <v:shape style="position:absolute;left:9064;top:-16;width:120;height:520" coordorigin="9064,-16" coordsize="120,520" path="m9124,-16l9113,-16,9109,-11,9109,-6,9114,384,9134,384,9129,-6,9129,-11,9124,-16xe" filled="true" fillcolor="#000000" stroked="false">
                <v:path arrowok="t"/>
                <v:fill type="solid"/>
              </v:shape>
            </v:group>
            <v:group style="position:absolute;left:3793;top:-28;width:120;height:520" coordorigin="3793,-28" coordsize="120,520">
              <v:shape style="position:absolute;left:3793;top:-28;width:120;height:520" coordorigin="3793,-28" coordsize="120,520" path="m3843,372l3793,373,3855,492,3899,402,3848,402,3844,398,3844,392,3843,372xe" filled="true" fillcolor="#000000" stroked="false">
                <v:path arrowok="t"/>
                <v:fill type="solid"/>
              </v:shape>
              <v:shape style="position:absolute;left:3793;top:-28;width:120;height:520" coordorigin="3793,-28" coordsize="120,520" path="m3863,372l3843,372,3844,392,3844,398,3848,402,3859,402,3864,398,3864,392,3863,372xe" filled="true" fillcolor="#000000" stroked="false">
                <v:path arrowok="t"/>
                <v:fill type="solid"/>
              </v:shape>
              <v:shape style="position:absolute;left:3793;top:-28;width:120;height:520" coordorigin="3793,-28" coordsize="120,520" path="m3913,371l3863,372,3864,392,3864,398,3859,402,3899,402,3913,371xe" filled="true" fillcolor="#000000" stroked="false">
                <v:path arrowok="t"/>
                <v:fill type="solid"/>
              </v:shape>
              <v:shape style="position:absolute;left:3793;top:-28;width:120;height:520" coordorigin="3793,-28" coordsize="120,520" path="m3853,-28l3842,-28,3838,-23,3838,-18,3843,372,3863,372,3858,-18,3858,-23,3853,-28xe" filled="true" fillcolor="#000000" stroked="false">
                <v:path arrowok="t"/>
                <v:fill type="solid"/>
              </v:shape>
              <v:shape style="position:absolute;left:2645;top:145;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9.9907%</w:t>
                      </w:r>
                    </w:p>
                  </w:txbxContent>
                </v:textbox>
                <w10:wrap type="none"/>
              </v:shape>
              <v:shape style="position:absolute;left:3961;top:145;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6.3318%</w:t>
                      </w:r>
                    </w:p>
                  </w:txbxContent>
                </v:textbox>
                <w10:wrap type="none"/>
              </v:shape>
              <v:shape style="position:absolute;left:5113;top:145;width:3650;height:180" type="#_x0000_t202" filled="false" stroked="false">
                <v:textbox inset="0,0,0,0">
                  <w:txbxContent>
                    <w:p>
                      <w:pPr>
                        <w:tabs>
                          <w:tab w:pos="1022" w:val="left" w:leader="none"/>
                          <w:tab w:pos="1992" w:val="left" w:leader="none"/>
                          <w:tab w:pos="2928" w:val="left" w:leader="none"/>
                        </w:tabs>
                        <w:spacing w:line="180" w:lineRule="exact" w:before="0"/>
                        <w:ind w:left="0" w:right="0" w:firstLine="0"/>
                        <w:jc w:val="left"/>
                        <w:rPr>
                          <w:rFonts w:ascii="宋体" w:hAnsi="宋体" w:cs="宋体" w:eastAsia="宋体" w:hint="default"/>
                          <w:sz w:val="18"/>
                          <w:szCs w:val="18"/>
                        </w:rPr>
                      </w:pPr>
                      <w:r>
                        <w:rPr>
                          <w:rFonts w:ascii="宋体"/>
                          <w:sz w:val="18"/>
                        </w:rPr>
                        <w:t>0.5752%</w:t>
                        <w:tab/>
                        <w:t>1.6140%</w:t>
                        <w:tab/>
                        <w:t>1.3104%</w:t>
                        <w:tab/>
                        <w:t>12.3772%</w:t>
                      </w:r>
                    </w:p>
                  </w:txbxContent>
                </v:textbox>
                <w10:wrap type="none"/>
              </v:shape>
              <v:shape style="position:absolute;left:6087;top:548;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2064;top:-1158;width:1026;height:1140" type="#_x0000_t202" filled="false" stroked="true" strokeweight=".75pt" strokecolor="#000000">
                <v:textbox inset="0,0,0,0">
                  <w:txbxContent>
                    <w:p>
                      <w:pPr>
                        <w:spacing w:line="237" w:lineRule="auto" w:before="96"/>
                        <w:ind w:left="144" w:right="144" w:firstLine="0"/>
                        <w:jc w:val="center"/>
                        <w:rPr>
                          <w:rFonts w:ascii="宋体" w:hAnsi="宋体" w:cs="宋体" w:eastAsia="宋体" w:hint="default"/>
                          <w:sz w:val="18"/>
                          <w:szCs w:val="18"/>
                        </w:rPr>
                      </w:pPr>
                      <w:r>
                        <w:rPr>
                          <w:rFonts w:ascii="宋体" w:hAnsi="宋体" w:cs="宋体" w:eastAsia="宋体" w:hint="default"/>
                          <w:sz w:val="18"/>
                          <w:szCs w:val="18"/>
                        </w:rPr>
                        <w:t>东北大学 科技产业 集团有限 公司</w:t>
                      </w:r>
                    </w:p>
                  </w:txbxContent>
                </v:textbox>
                <w10:wrap type="none"/>
              </v:shape>
              <v:shape style="position:absolute;left:3332;top:-1147;width:1026;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145" w:right="49" w:firstLine="0"/>
                        <w:jc w:val="left"/>
                        <w:rPr>
                          <w:rFonts w:ascii="宋体" w:hAnsi="宋体" w:cs="宋体" w:eastAsia="宋体" w:hint="default"/>
                          <w:sz w:val="18"/>
                          <w:szCs w:val="18"/>
                        </w:rPr>
                      </w:pPr>
                      <w:r>
                        <w:rPr>
                          <w:rFonts w:ascii="宋体" w:hAnsi="宋体" w:cs="宋体" w:eastAsia="宋体" w:hint="default"/>
                          <w:sz w:val="18"/>
                          <w:szCs w:val="18"/>
                        </w:rPr>
                        <w:t>阿尔派电 </w:t>
                      </w:r>
                      <w:r>
                        <w:rPr>
                          <w:rFonts w:ascii="宋体" w:hAnsi="宋体" w:cs="宋体" w:eastAsia="宋体" w:hint="default"/>
                          <w:spacing w:val="-18"/>
                          <w:sz w:val="18"/>
                          <w:szCs w:val="18"/>
                        </w:rPr>
                        <w:t>子（中国）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xbxContent>
                </v:textbox>
                <w10:wrap type="none"/>
              </v:shape>
              <v:shape style="position:absolute;left:4586;top:-1171;width:845;height:1140" type="#_x0000_t202" filled="false" stroked="true" strokeweight=".75pt" strokecolor="#000000">
                <v:textbox inset="0,0,0,0">
                  <w:txbxContent>
                    <w:p>
                      <w:pPr>
                        <w:spacing w:line="237" w:lineRule="auto" w:before="88"/>
                        <w:ind w:left="145" w:right="142" w:firstLine="0"/>
                        <w:jc w:val="center"/>
                        <w:rPr>
                          <w:rFonts w:ascii="宋体" w:hAnsi="宋体" w:cs="宋体" w:eastAsia="宋体" w:hint="default"/>
                          <w:sz w:val="18"/>
                          <w:szCs w:val="18"/>
                        </w:rPr>
                      </w:pPr>
                      <w:r>
                        <w:rPr>
                          <w:rFonts w:ascii="宋体" w:hAnsi="宋体" w:cs="宋体" w:eastAsia="宋体" w:hint="default"/>
                          <w:sz w:val="18"/>
                          <w:szCs w:val="18"/>
                        </w:rPr>
                        <w:t>东芝解 决方案 株式会 社</w:t>
                      </w:r>
                    </w:p>
                  </w:txbxContent>
                </v:textbox>
                <w10:wrap type="none"/>
              </v:shape>
              <v:shape style="position:absolute;left:5676;top:-1171;width:845;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235" w:right="143" w:hanging="92"/>
                        <w:jc w:val="left"/>
                        <w:rPr>
                          <w:rFonts w:ascii="宋体" w:hAnsi="宋体" w:cs="宋体" w:eastAsia="宋体" w:hint="default"/>
                          <w:sz w:val="18"/>
                          <w:szCs w:val="18"/>
                        </w:rPr>
                      </w:pPr>
                      <w:r>
                        <w:rPr>
                          <w:rFonts w:ascii="宋体" w:hAnsi="宋体" w:cs="宋体" w:eastAsia="宋体" w:hint="default"/>
                          <w:sz w:val="18"/>
                          <w:szCs w:val="18"/>
                        </w:rPr>
                        <w:t>阿尔派 株式 会社</w:t>
                      </w:r>
                    </w:p>
                  </w:txbxContent>
                </v:textbox>
                <w10:wrap type="none"/>
              </v:shape>
              <v:shape style="position:absolute;left:4139;top:961;width:3795;height:435" type="#_x0000_t202" filled="false" stroked="true" strokeweight=".75pt" strokecolor="#000000">
                <v:textbox inset="0,0,0,0">
                  <w:txbxContent>
                    <w:p>
                      <w:pPr>
                        <w:spacing w:before="102"/>
                        <w:ind w:left="99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xbxContent>
                </v:textbox>
                <w10:wrap type="none"/>
              </v:shape>
            </v:group>
            <w10:wrap type="none"/>
          </v:group>
        </w:pict>
      </w:r>
      <w:r>
        <w:rPr>
          <w:rFonts w:ascii="宋体"/>
          <w:spacing w:val="-1"/>
          <w:sz w:val="18"/>
        </w:rPr>
        <w:t>67.8007%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280" w:left="1120" w:right="580"/>
        </w:sectPr>
      </w:pPr>
    </w:p>
    <w:p>
      <w:pPr>
        <w:pStyle w:val="Heading4"/>
        <w:spacing w:line="240" w:lineRule="auto" w:before="36"/>
        <w:ind w:left="678"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580" w:bottom="280" w:left="1120" w:right="580"/>
          <w:cols w:num="2" w:equalWidth="0">
            <w:col w:w="4504" w:space="2017"/>
            <w:col w:w="368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19"/>
        <w:gridCol w:w="1364"/>
        <w:gridCol w:w="1130"/>
        <w:gridCol w:w="1846"/>
        <w:gridCol w:w="1205"/>
        <w:gridCol w:w="3015"/>
      </w:tblGrid>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1"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3" w:right="0" w:hanging="89"/>
              <w:jc w:val="left"/>
              <w:rPr>
                <w:rFonts w:ascii="宋体" w:hAnsi="宋体" w:cs="宋体" w:eastAsia="宋体" w:hint="default"/>
                <w:sz w:val="18"/>
                <w:szCs w:val="18"/>
              </w:rPr>
            </w:pPr>
            <w:r>
              <w:rPr>
                <w:rFonts w:ascii="宋体" w:hAnsi="宋体" w:cs="宋体" w:eastAsia="宋体" w:hint="default"/>
                <w:sz w:val="18"/>
                <w:szCs w:val="18"/>
              </w:rPr>
              <w:t>单位负责人或</w:t>
            </w:r>
          </w:p>
          <w:p>
            <w:pPr>
              <w:pStyle w:val="TableParagraph"/>
              <w:spacing w:line="234" w:lineRule="exact"/>
              <w:ind w:left="2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9" w:right="0"/>
              <w:jc w:val="left"/>
              <w:rPr>
                <w:rFonts w:ascii="宋体" w:hAnsi="宋体" w:cs="宋体" w:eastAsia="宋体" w:hint="default"/>
                <w:sz w:val="18"/>
                <w:szCs w:val="18"/>
              </w:rPr>
            </w:pPr>
            <w:r>
              <w:rPr>
                <w:rFonts w:ascii="宋体" w:hAnsi="宋体" w:cs="宋体" w:eastAsia="宋体" w:hint="default"/>
                <w:sz w:val="18"/>
                <w:szCs w:val="18"/>
              </w:rPr>
              <w:t>主要经营业务或管理活动等情况</w:t>
            </w: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81"/>
              <w:jc w:val="left"/>
              <w:rPr>
                <w:rFonts w:ascii="宋体" w:hAnsi="宋体" w:cs="宋体" w:eastAsia="宋体" w:hint="default"/>
                <w:sz w:val="18"/>
                <w:szCs w:val="18"/>
              </w:rPr>
            </w:pPr>
            <w:r>
              <w:rPr>
                <w:rFonts w:ascii="宋体" w:hAnsi="宋体" w:cs="宋体" w:eastAsia="宋体" w:hint="default"/>
                <w:spacing w:val="20"/>
                <w:sz w:val="18"/>
                <w:szCs w:val="18"/>
              </w:rPr>
              <w:t>大连东软控股</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刘积仁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2011-11-15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91210231582038622D</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505,820,000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企业经营管理服务及经济咨询服务；</w:t>
            </w:r>
          </w:p>
          <w:p>
            <w:pPr>
              <w:pStyle w:val="TableParagraph"/>
              <w:spacing w:line="232" w:lineRule="exact" w:before="24"/>
              <w:ind w:left="103" w:right="94"/>
              <w:jc w:val="left"/>
              <w:rPr>
                <w:rFonts w:ascii="宋体" w:hAnsi="宋体" w:cs="宋体" w:eastAsia="宋体" w:hint="default"/>
                <w:sz w:val="18"/>
                <w:szCs w:val="18"/>
              </w:rPr>
            </w:pPr>
            <w:r>
              <w:rPr>
                <w:rFonts w:ascii="宋体" w:hAnsi="宋体" w:cs="宋体" w:eastAsia="宋体" w:hint="default"/>
                <w:spacing w:val="6"/>
                <w:sz w:val="18"/>
                <w:szCs w:val="18"/>
              </w:rPr>
              <w:t>计算机软件开发；信息技术咨询服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务；自有房屋租赁。</w:t>
            </w: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85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3"/>
        <w:rPr>
          <w:rFonts w:ascii="宋体" w:hAnsi="宋体" w:cs="宋体" w:eastAsia="宋体" w:hint="default"/>
          <w:sz w:val="19"/>
          <w:szCs w:val="19"/>
        </w:rPr>
      </w:pPr>
    </w:p>
    <w:p>
      <w:pPr>
        <w:pStyle w:val="Heading4"/>
        <w:spacing w:line="290" w:lineRule="auto" w:before="36"/>
        <w:ind w:left="1100" w:right="6661" w:hanging="423"/>
        <w:jc w:val="left"/>
        <w:rPr>
          <w:b w:val="0"/>
          <w:bCs w:val="0"/>
        </w:rPr>
      </w:pPr>
      <w:r>
        <w:rPr/>
        <w:t>六、</w:t>
      </w:r>
      <w:r>
        <w:rPr>
          <w:spacing w:val="-80"/>
        </w:rPr>
        <w:t> </w:t>
      </w:r>
      <w:r>
        <w:rPr/>
        <w:t>主要股东情况介绍</w:t>
      </w:r>
      <w:r>
        <w:rPr>
          <w:spacing w:val="-103"/>
        </w:rPr>
        <w:t> </w:t>
      </w:r>
      <w:r>
        <w:rPr>
          <w:spacing w:val="-103"/>
        </w:rPr>
      </w:r>
      <w:r>
        <w:rPr>
          <w:rFonts w:ascii="宋体" w:hAnsi="宋体" w:cs="宋体" w:eastAsia="宋体" w:hint="default"/>
        </w:rPr>
        <w:t>1</w:t>
      </w:r>
      <w:r>
        <w:rPr/>
        <w:t>、大连东软控股有限公司</w:t>
      </w:r>
      <w:r>
        <w:rPr>
          <w:b w:val="0"/>
          <w:bCs w:val="0"/>
        </w:rPr>
      </w:r>
    </w:p>
    <w:p>
      <w:pPr>
        <w:pStyle w:val="BodyText"/>
        <w:spacing w:line="226" w:lineRule="exact"/>
        <w:ind w:left="678" w:right="0" w:firstLine="419"/>
        <w:jc w:val="left"/>
      </w:pPr>
      <w:r>
        <w:rPr/>
        <w:t>大连东软控股有限公司成立于</w:t>
      </w:r>
      <w:r>
        <w:rPr>
          <w:spacing w:val="-51"/>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月，并根据大连市人民政府于</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5</w:t>
      </w:r>
      <w:r>
        <w:rPr>
          <w:rFonts w:ascii="宋体" w:hAnsi="宋体" w:cs="宋体" w:eastAsia="宋体" w:hint="default"/>
          <w:spacing w:val="-52"/>
        </w:rPr>
        <w:t> </w:t>
      </w:r>
      <w:r>
        <w:rPr/>
        <w:t>日核</w:t>
      </w:r>
    </w:p>
    <w:p>
      <w:pPr>
        <w:pStyle w:val="BodyText"/>
        <w:spacing w:line="237" w:lineRule="auto" w:before="2"/>
        <w:ind w:left="678" w:right="688"/>
        <w:jc w:val="both"/>
      </w:pPr>
      <w:r>
        <w:rPr>
          <w:spacing w:val="-3"/>
        </w:rPr>
        <w:t>发的《中华人民共和国外商投资企业批准证书》（批准号：商外资大资字</w:t>
      </w:r>
      <w:r>
        <w:rPr>
          <w:rFonts w:ascii="宋体" w:hAnsi="宋体" w:cs="宋体" w:eastAsia="宋体" w:hint="default"/>
          <w:spacing w:val="-3"/>
        </w:rPr>
        <w:t>[2015]0183 </w:t>
      </w:r>
      <w:r>
        <w:rPr>
          <w:spacing w:val="-4"/>
        </w:rPr>
        <w:t>号）变更为</w:t>
      </w:r>
      <w:r>
        <w:rPr>
          <w:spacing w:val="-60"/>
        </w:rPr>
        <w:t> </w:t>
      </w:r>
      <w:r>
        <w:rPr>
          <w:spacing w:val="-60"/>
        </w:rPr>
      </w:r>
      <w:r>
        <w:rPr>
          <w:spacing w:val="-1"/>
        </w:rPr>
        <w:t>中外合资企业。现股东为：大连康睿道管理咨询中心（有限合伙）、亿达控股有限公司、中国人</w:t>
      </w:r>
      <w:r>
        <w:rPr>
          <w:spacing w:val="-55"/>
        </w:rPr>
        <w:t> </w:t>
      </w:r>
      <w:r>
        <w:rPr>
          <w:spacing w:val="-55"/>
        </w:rPr>
      </w:r>
      <w:r>
        <w:rPr>
          <w:spacing w:val="-1"/>
        </w:rPr>
        <w:t>民人寿保险股份有限公司、大连东软思维科技发展有限公司、东北大学科技产业集团有限公司、</w:t>
      </w:r>
      <w:r>
        <w:rPr>
          <w:spacing w:val="-55"/>
        </w:rPr>
        <w:t> </w:t>
      </w:r>
      <w:r>
        <w:rPr>
          <w:spacing w:val="-55"/>
        </w:rPr>
      </w:r>
      <w:r>
        <w:rPr/>
        <w:t>中国人民健康保险股份有限公司、阿尔派电子（中国）有限公司及刘明。</w:t>
      </w:r>
    </w:p>
    <w:p>
      <w:pPr>
        <w:pStyle w:val="BodyText"/>
        <w:spacing w:line="272" w:lineRule="exact" w:before="26"/>
        <w:ind w:left="1098" w:right="6308"/>
        <w:jc w:val="left"/>
      </w:pPr>
      <w:r>
        <w:rPr/>
        <w:t>成立日期：</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50,582</w:t>
      </w:r>
      <w:r>
        <w:rPr>
          <w:rFonts w:ascii="宋体" w:hAnsi="宋体" w:cs="宋体" w:eastAsia="宋体" w:hint="default"/>
          <w:spacing w:val="-55"/>
        </w:rPr>
        <w:t> </w:t>
      </w:r>
      <w:r>
        <w:rPr/>
        <w:t>万元人民币</w:t>
      </w:r>
    </w:p>
    <w:p>
      <w:pPr>
        <w:pStyle w:val="BodyText"/>
        <w:spacing w:line="272" w:lineRule="exact" w:before="1"/>
        <w:ind w:left="1098" w:right="4471"/>
        <w:jc w:val="left"/>
      </w:pPr>
      <w:r>
        <w:rPr/>
        <w:t>注册地址：辽宁省大连市甘井子区黄浦路</w:t>
      </w:r>
      <w:r>
        <w:rPr>
          <w:spacing w:val="-54"/>
        </w:rPr>
        <w:t> </w:t>
      </w:r>
      <w:r>
        <w:rPr>
          <w:rFonts w:ascii="宋体" w:hAnsi="宋体" w:cs="宋体" w:eastAsia="宋体" w:hint="default"/>
        </w:rPr>
        <w:t>901-7</w:t>
      </w:r>
      <w:r>
        <w:rPr>
          <w:rFonts w:ascii="宋体" w:hAnsi="宋体" w:cs="宋体" w:eastAsia="宋体" w:hint="default"/>
          <w:spacing w:val="-54"/>
        </w:rPr>
        <w:t> </w:t>
      </w:r>
      <w:r>
        <w:rPr/>
        <w:t>号</w:t>
      </w:r>
      <w:r>
        <w:rPr>
          <w:w w:val="100"/>
        </w:rPr>
        <w:t> </w:t>
      </w:r>
      <w:r>
        <w:rPr/>
        <w:t>法定代表人：刘积仁</w:t>
      </w:r>
    </w:p>
    <w:p>
      <w:pPr>
        <w:pStyle w:val="BodyText"/>
        <w:spacing w:line="272" w:lineRule="exact" w:before="1"/>
        <w:ind w:left="1098" w:right="0"/>
        <w:jc w:val="left"/>
      </w:pPr>
      <w:r>
        <w:rPr/>
        <w:t>统一社会信用代码：</w:t>
      </w:r>
      <w:r>
        <w:rPr>
          <w:rFonts w:ascii="宋体" w:hAnsi="宋体" w:cs="宋体" w:eastAsia="宋体" w:hint="default"/>
        </w:rPr>
        <w:t>91210231582038622D</w:t>
      </w:r>
      <w:r>
        <w:rPr>
          <w:rFonts w:ascii="宋体" w:hAnsi="宋体" w:cs="宋体" w:eastAsia="宋体" w:hint="default"/>
          <w:w w:val="100"/>
        </w:rPr>
        <w:t> </w:t>
      </w:r>
      <w:r>
        <w:rPr>
          <w:spacing w:val="-2"/>
        </w:rPr>
        <w:t>主营业务：企业经营管理服务及经济咨询服务；计算机软件开发；信息技术咨询服务；自有</w:t>
      </w:r>
    </w:p>
    <w:p>
      <w:pPr>
        <w:pStyle w:val="BodyText"/>
        <w:spacing w:line="246" w:lineRule="exact"/>
        <w:ind w:left="678" w:right="0"/>
        <w:jc w:val="both"/>
      </w:pPr>
      <w:r>
        <w:rPr>
          <w:w w:val="100"/>
        </w:rPr>
        <w:t>房屋</w:t>
      </w:r>
      <w:r>
        <w:rPr>
          <w:spacing w:val="-3"/>
          <w:w w:val="100"/>
        </w:rPr>
        <w:t>租</w:t>
      </w:r>
      <w:r>
        <w:rPr>
          <w:spacing w:val="-60"/>
          <w:w w:val="100"/>
        </w:rPr>
        <w:t>赁</w:t>
      </w:r>
      <w:r>
        <w:rPr>
          <w:spacing w:val="-3"/>
          <w:w w:val="100"/>
        </w:rPr>
        <w:t>（</w:t>
      </w:r>
      <w:r>
        <w:rPr>
          <w:w w:val="100"/>
        </w:rPr>
        <w:t>外</w:t>
      </w:r>
      <w:r>
        <w:rPr>
          <w:spacing w:val="-3"/>
          <w:w w:val="100"/>
        </w:rPr>
        <w:t>资</w:t>
      </w:r>
      <w:r>
        <w:rPr>
          <w:w w:val="100"/>
        </w:rPr>
        <w:t>比</w:t>
      </w:r>
      <w:r>
        <w:rPr>
          <w:spacing w:val="-3"/>
          <w:w w:val="100"/>
        </w:rPr>
        <w:t>例</w:t>
      </w:r>
      <w:r>
        <w:rPr>
          <w:w w:val="100"/>
        </w:rPr>
        <w:t>低于</w:t>
      </w:r>
      <w:r>
        <w:rPr>
          <w:spacing w:val="-52"/>
        </w:rPr>
        <w:t> </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1"/>
          <w:w w:val="100"/>
        </w:rPr>
        <w:t>%</w:t>
      </w:r>
      <w:r>
        <w:rPr>
          <w:spacing w:val="-60"/>
          <w:w w:val="100"/>
        </w:rPr>
        <w:t>）</w:t>
      </w:r>
      <w:r>
        <w:rPr>
          <w:spacing w:val="-120"/>
          <w:w w:val="100"/>
        </w:rPr>
        <w:t>。</w:t>
      </w:r>
      <w:r>
        <w:rPr>
          <w:w w:val="100"/>
        </w:rPr>
        <w:t>（</w:t>
      </w:r>
      <w:r>
        <w:rPr>
          <w:spacing w:val="-3"/>
          <w:w w:val="100"/>
        </w:rPr>
        <w:t>依</w:t>
      </w:r>
      <w:r>
        <w:rPr>
          <w:w w:val="100"/>
        </w:rPr>
        <w:t>法</w:t>
      </w:r>
      <w:r>
        <w:rPr>
          <w:spacing w:val="-3"/>
          <w:w w:val="100"/>
        </w:rPr>
        <w:t>须</w:t>
      </w:r>
      <w:r>
        <w:rPr>
          <w:w w:val="100"/>
        </w:rPr>
        <w:t>经</w:t>
      </w:r>
      <w:r>
        <w:rPr>
          <w:spacing w:val="-3"/>
          <w:w w:val="100"/>
        </w:rPr>
        <w:t>批</w:t>
      </w:r>
      <w:r>
        <w:rPr>
          <w:w w:val="100"/>
        </w:rPr>
        <w:t>准</w:t>
      </w:r>
      <w:r>
        <w:rPr>
          <w:spacing w:val="-3"/>
          <w:w w:val="100"/>
        </w:rPr>
        <w:t>的项</w:t>
      </w:r>
      <w:r>
        <w:rPr>
          <w:w w:val="100"/>
        </w:rPr>
        <w:t>目</w:t>
      </w:r>
      <w:r>
        <w:rPr>
          <w:spacing w:val="-60"/>
          <w:w w:val="100"/>
        </w:rPr>
        <w:t>，</w:t>
      </w:r>
      <w:r>
        <w:rPr>
          <w:spacing w:val="-3"/>
          <w:w w:val="100"/>
        </w:rPr>
        <w:t>经</w:t>
      </w:r>
      <w:r>
        <w:rPr>
          <w:w w:val="100"/>
        </w:rPr>
        <w:t>相</w:t>
      </w:r>
      <w:r>
        <w:rPr>
          <w:spacing w:val="-3"/>
          <w:w w:val="100"/>
        </w:rPr>
        <w:t>关</w:t>
      </w:r>
      <w:r>
        <w:rPr>
          <w:w w:val="100"/>
        </w:rPr>
        <w:t>部</w:t>
      </w:r>
      <w:r>
        <w:rPr>
          <w:spacing w:val="-3"/>
          <w:w w:val="100"/>
        </w:rPr>
        <w:t>门</w:t>
      </w:r>
      <w:r>
        <w:rPr>
          <w:w w:val="100"/>
        </w:rPr>
        <w:t>批</w:t>
      </w:r>
      <w:r>
        <w:rPr>
          <w:spacing w:val="-3"/>
          <w:w w:val="100"/>
        </w:rPr>
        <w:t>准</w:t>
      </w:r>
      <w:r>
        <w:rPr>
          <w:w w:val="100"/>
        </w:rPr>
        <w:t>后</w:t>
      </w:r>
      <w:r>
        <w:rPr>
          <w:spacing w:val="-3"/>
          <w:w w:val="100"/>
        </w:rPr>
        <w:t>方</w:t>
      </w:r>
      <w:r>
        <w:rPr>
          <w:w w:val="100"/>
        </w:rPr>
        <w:t>可开</w:t>
      </w:r>
      <w:r>
        <w:rPr>
          <w:spacing w:val="-3"/>
          <w:w w:val="100"/>
        </w:rPr>
        <w:t>展</w:t>
      </w:r>
      <w:r>
        <w:rPr>
          <w:w w:val="100"/>
        </w:rPr>
        <w:t>经</w:t>
      </w:r>
      <w:r>
        <w:rPr>
          <w:spacing w:val="-3"/>
          <w:w w:val="100"/>
        </w:rPr>
        <w:t>营</w:t>
      </w:r>
      <w:r>
        <w:rPr>
          <w:w w:val="100"/>
        </w:rPr>
        <w:t>活</w:t>
      </w:r>
      <w:r>
        <w:rPr>
          <w:spacing w:val="-3"/>
          <w:w w:val="100"/>
        </w:rPr>
        <w:t>动</w:t>
      </w:r>
      <w:r>
        <w:rPr>
          <w:spacing w:val="-63"/>
          <w:w w:val="100"/>
        </w:rPr>
        <w:t>）</w:t>
      </w:r>
      <w:r>
        <w:rPr>
          <w:w w:val="100"/>
        </w:rPr>
        <w:t>。</w:t>
      </w:r>
    </w:p>
    <w:p>
      <w:pPr>
        <w:spacing w:after="0" w:line="246" w:lineRule="exact"/>
        <w:jc w:val="both"/>
        <w:sectPr>
          <w:type w:val="continuous"/>
          <w:pgSz w:w="11910" w:h="16840"/>
          <w:pgMar w:top="1580" w:bottom="280" w:left="1120" w:right="580"/>
        </w:sectPr>
      </w:pPr>
    </w:p>
    <w:p>
      <w:pPr>
        <w:spacing w:line="240" w:lineRule="auto" w:before="3"/>
        <w:rPr>
          <w:rFonts w:ascii="宋体" w:hAnsi="宋体" w:cs="宋体" w:eastAsia="宋体" w:hint="default"/>
          <w:sz w:val="11"/>
          <w:szCs w:val="11"/>
        </w:rPr>
      </w:pPr>
    </w:p>
    <w:p>
      <w:pPr>
        <w:spacing w:before="36"/>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、东北大学科技产业集团有限公司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东北大学科技产业集团有限公司是按照教育部《关于积极发展高校科技产业的指导意见》的</w:t>
      </w:r>
    </w:p>
    <w:p>
      <w:pPr>
        <w:pStyle w:val="BodyText"/>
        <w:spacing w:line="237" w:lineRule="auto"/>
        <w:ind w:left="118" w:right="108"/>
        <w:jc w:val="both"/>
      </w:pPr>
      <w:r>
        <w:rPr>
          <w:spacing w:val="-3"/>
        </w:rPr>
        <w:t>要求，经教育部“教技发函</w:t>
      </w:r>
      <w:r>
        <w:rPr>
          <w:rFonts w:ascii="宋体" w:hAnsi="宋体" w:cs="宋体" w:eastAsia="宋体" w:hint="default"/>
          <w:spacing w:val="-3"/>
        </w:rPr>
        <w:t>[2005]11</w:t>
      </w:r>
      <w:r>
        <w:rPr>
          <w:rFonts w:ascii="宋体" w:hAnsi="宋体" w:cs="宋体" w:eastAsia="宋体" w:hint="default"/>
          <w:spacing w:val="-44"/>
        </w:rPr>
        <w:t> </w:t>
      </w:r>
      <w:r>
        <w:rPr>
          <w:spacing w:val="-4"/>
        </w:rPr>
        <w:t>号”文（</w:t>
      </w:r>
      <w:r>
        <w:rPr>
          <w:rFonts w:ascii="宋体" w:hAnsi="宋体" w:cs="宋体" w:eastAsia="宋体" w:hint="default"/>
          <w:spacing w:val="-4"/>
        </w:rPr>
        <w:t>2005</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4"/>
        </w:rPr>
        <w:t>日签发）批准，由东北大学产业发展</w:t>
      </w:r>
      <w:r>
        <w:rPr>
          <w:spacing w:val="-101"/>
        </w:rPr>
        <w:t> </w:t>
      </w:r>
      <w:r>
        <w:rPr>
          <w:spacing w:val="-101"/>
        </w:rPr>
      </w:r>
      <w:r>
        <w:rPr>
          <w:spacing w:val="-1"/>
        </w:rPr>
        <w:t>公司（东北大学全民所有制企业）改制设立的国有独资有限责任公司，东北大学为其唯一的出资</w:t>
      </w:r>
      <w:r>
        <w:rPr>
          <w:spacing w:val="-55"/>
        </w:rPr>
        <w:t> </w:t>
      </w:r>
      <w:r>
        <w:rPr>
          <w:spacing w:val="-55"/>
        </w:rPr>
      </w:r>
      <w:r>
        <w:rPr/>
        <w:t>人。东北大学科技产业集团有限公司统一代表东北大学持有投资企业的股权和经营性资产。</w:t>
      </w:r>
    </w:p>
    <w:p>
      <w:pPr>
        <w:pStyle w:val="BodyText"/>
        <w:spacing w:line="272" w:lineRule="exact" w:before="26"/>
        <w:ind w:left="538" w:right="5362"/>
        <w:jc w:val="left"/>
      </w:pPr>
      <w:r>
        <w:rPr/>
        <w:t>成立日期：</w:t>
      </w:r>
      <w:r>
        <w:rPr>
          <w:rFonts w:ascii="宋体" w:hAnsi="宋体" w:cs="宋体" w:eastAsia="宋体" w:hint="default"/>
        </w:rPr>
        <w:t>2005</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w:t>
      </w:r>
      <w:r>
        <w:rPr>
          <w:spacing w:val="-103"/>
        </w:rPr>
        <w:t> </w:t>
      </w:r>
      <w:r>
        <w:rPr/>
        <w:t>注册资本</w:t>
      </w:r>
      <w:r>
        <w:rPr>
          <w:rFonts w:ascii="宋体" w:hAnsi="宋体" w:cs="宋体" w:eastAsia="宋体" w:hint="default"/>
        </w:rPr>
        <w:t>:</w:t>
      </w:r>
      <w:r>
        <w:rPr>
          <w:rFonts w:ascii="宋体" w:hAnsi="宋体" w:cs="宋体" w:eastAsia="宋体" w:hint="default"/>
          <w:spacing w:val="-2"/>
        </w:rPr>
        <w:t> </w:t>
      </w:r>
      <w:r>
        <w:rPr/>
        <w:t>人民币</w:t>
      </w:r>
      <w:r>
        <w:rPr>
          <w:spacing w:val="-52"/>
        </w:rPr>
        <w:t> </w:t>
      </w:r>
      <w:r>
        <w:rPr>
          <w:rFonts w:ascii="宋体" w:hAnsi="宋体" w:cs="宋体" w:eastAsia="宋体" w:hint="default"/>
        </w:rPr>
        <w:t>500,000,000</w:t>
      </w:r>
      <w:r>
        <w:rPr>
          <w:rFonts w:ascii="宋体" w:hAnsi="宋体" w:cs="宋体" w:eastAsia="宋体" w:hint="default"/>
          <w:spacing w:val="-55"/>
        </w:rPr>
        <w:t> </w:t>
      </w:r>
      <w:r>
        <w:rPr/>
        <w:t>元</w:t>
      </w:r>
    </w:p>
    <w:p>
      <w:pPr>
        <w:pStyle w:val="BodyText"/>
        <w:spacing w:line="272" w:lineRule="exact" w:before="1"/>
        <w:ind w:left="538" w:right="4419"/>
        <w:jc w:val="left"/>
      </w:pPr>
      <w:r>
        <w:rPr/>
        <w:t>注册地址：沈阳市和平区文化路</w:t>
      </w:r>
      <w:r>
        <w:rPr>
          <w:spacing w:val="-54"/>
        </w:rPr>
        <w:t> </w:t>
      </w:r>
      <w:r>
        <w:rPr>
          <w:rFonts w:ascii="宋体" w:hAnsi="宋体" w:cs="宋体" w:eastAsia="宋体" w:hint="default"/>
        </w:rPr>
        <w:t>3</w:t>
      </w:r>
      <w:r>
        <w:rPr>
          <w:rFonts w:ascii="宋体" w:hAnsi="宋体" w:cs="宋体" w:eastAsia="宋体" w:hint="default"/>
          <w:spacing w:val="-54"/>
        </w:rPr>
        <w:t> </w:t>
      </w:r>
      <w:r>
        <w:rPr/>
        <w:t>号巷</w:t>
      </w:r>
      <w:r>
        <w:rPr>
          <w:spacing w:val="-54"/>
        </w:rPr>
        <w:t> </w:t>
      </w:r>
      <w:r>
        <w:rPr>
          <w:rFonts w:ascii="宋体" w:hAnsi="宋体" w:cs="宋体" w:eastAsia="宋体" w:hint="default"/>
        </w:rPr>
        <w:t>11</w:t>
      </w:r>
      <w:r>
        <w:rPr>
          <w:rFonts w:ascii="宋体" w:hAnsi="宋体" w:cs="宋体" w:eastAsia="宋体" w:hint="default"/>
          <w:spacing w:val="-54"/>
        </w:rPr>
        <w:t> </w:t>
      </w:r>
      <w:r>
        <w:rPr/>
        <w:t>号</w:t>
      </w:r>
      <w:r>
        <w:rPr>
          <w:w w:val="100"/>
        </w:rPr>
        <w:t> </w:t>
      </w:r>
      <w:r>
        <w:rPr/>
        <w:t>法定代表人：左良</w:t>
      </w:r>
    </w:p>
    <w:p>
      <w:pPr>
        <w:pStyle w:val="BodyText"/>
        <w:spacing w:line="272" w:lineRule="exact" w:before="1"/>
        <w:ind w:left="538" w:right="0"/>
        <w:jc w:val="left"/>
      </w:pPr>
      <w:r>
        <w:rPr/>
        <w:t>统一社会信用代码：</w:t>
      </w:r>
      <w:r>
        <w:rPr>
          <w:rFonts w:ascii="宋体" w:hAnsi="宋体" w:cs="宋体" w:eastAsia="宋体" w:hint="default"/>
        </w:rPr>
        <w:t>91210100117727828F</w:t>
      </w:r>
      <w:r>
        <w:rPr>
          <w:rFonts w:ascii="宋体" w:hAnsi="宋体" w:cs="宋体" w:eastAsia="宋体" w:hint="default"/>
          <w:w w:val="100"/>
        </w:rPr>
        <w:t> </w:t>
      </w:r>
      <w:r>
        <w:rPr>
          <w:spacing w:val="-7"/>
        </w:rPr>
        <w:t>经营范围：计算机软硬件、机电一体化、高新技术产品、新材料、冶金技术产品的研究开发、</w:t>
      </w:r>
    </w:p>
    <w:p>
      <w:pPr>
        <w:pStyle w:val="BodyText"/>
        <w:spacing w:line="272" w:lineRule="exact" w:before="1"/>
        <w:ind w:left="118" w:right="108"/>
        <w:jc w:val="both"/>
      </w:pPr>
      <w:r>
        <w:rPr>
          <w:spacing w:val="-1"/>
        </w:rPr>
        <w:t>制造、技术工程承包，技术咨询、服务、转让、培训，自营和代理各类商品和技术的进出口，企</w:t>
      </w:r>
      <w:r>
        <w:rPr>
          <w:spacing w:val="-56"/>
        </w:rPr>
        <w:t> </w:t>
      </w:r>
      <w:r>
        <w:rPr>
          <w:spacing w:val="-56"/>
        </w:rPr>
      </w:r>
      <w:r>
        <w:rPr/>
        <w:t>业投资管理、企业资产经营、物业管理。</w:t>
      </w:r>
    </w:p>
    <w:p>
      <w:pPr>
        <w:pStyle w:val="BodyText"/>
        <w:spacing w:line="272" w:lineRule="exact" w:before="1"/>
        <w:ind w:left="538" w:right="0" w:firstLine="2"/>
        <w:jc w:val="left"/>
      </w:pPr>
      <w:r>
        <w:rPr>
          <w:rFonts w:ascii="宋体" w:hAnsi="宋体" w:cs="宋体" w:eastAsia="宋体" w:hint="default"/>
          <w:b/>
          <w:bCs/>
        </w:rPr>
        <w:t>3</w:t>
      </w:r>
      <w:r>
        <w:rPr>
          <w:rFonts w:ascii="宋体" w:hAnsi="宋体" w:cs="宋体" w:eastAsia="宋体" w:hint="default"/>
          <w:b/>
          <w:bCs/>
        </w:rPr>
        <w:t>、阿尔派株式会社</w:t>
      </w:r>
      <w:r>
        <w:rPr>
          <w:rFonts w:ascii="宋体" w:hAnsi="宋体" w:cs="宋体" w:eastAsia="宋体" w:hint="default"/>
          <w:b/>
          <w:bCs/>
          <w:w w:val="100"/>
        </w:rPr>
        <w:t> </w:t>
      </w:r>
      <w:r>
        <w:rPr>
          <w:spacing w:val="-2"/>
        </w:rPr>
        <w:t>阿尔派株式会社依据日本法律设立并存续，是一家以生产汽车音响及汽车通信系统产品为主</w:t>
      </w:r>
    </w:p>
    <w:p>
      <w:pPr>
        <w:pStyle w:val="BodyText"/>
        <w:spacing w:line="272" w:lineRule="exact" w:before="1"/>
        <w:ind w:left="538" w:right="1800" w:hanging="420"/>
        <w:jc w:val="left"/>
      </w:pPr>
      <w:r>
        <w:rPr>
          <w:spacing w:val="-2"/>
        </w:rPr>
        <w:t>的专业汽车电子企业。阿尔派株式会社在日本东京证券交易所上市。</w:t>
      </w:r>
      <w:r>
        <w:rPr>
          <w:spacing w:val="-48"/>
        </w:rPr>
        <w:t> </w:t>
      </w:r>
      <w:r>
        <w:rPr>
          <w:spacing w:val="-48"/>
        </w:rPr>
      </w:r>
      <w:r>
        <w:rPr/>
        <w:t>成立日期：</w:t>
      </w:r>
      <w:r>
        <w:rPr>
          <w:rFonts w:ascii="宋体" w:hAnsi="宋体" w:cs="宋体" w:eastAsia="宋体" w:hint="default"/>
        </w:rPr>
        <w:t>1967</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w:t>
      </w:r>
    </w:p>
    <w:p>
      <w:pPr>
        <w:pStyle w:val="BodyText"/>
        <w:spacing w:line="272" w:lineRule="exact" w:before="1"/>
        <w:ind w:left="538" w:right="1800"/>
        <w:jc w:val="left"/>
      </w:pPr>
      <w:r>
        <w:rPr/>
        <w:t>资本金额：</w:t>
      </w:r>
      <w:r>
        <w:rPr>
          <w:rFonts w:ascii="宋体" w:hAnsi="宋体" w:cs="宋体" w:eastAsia="宋体" w:hint="default"/>
        </w:rPr>
        <w:t>25,920,599,127</w:t>
      </w:r>
      <w:r>
        <w:rPr>
          <w:rFonts w:ascii="宋体" w:hAnsi="宋体" w:cs="宋体" w:eastAsia="宋体" w:hint="default"/>
          <w:spacing w:val="-53"/>
        </w:rPr>
        <w:t> </w:t>
      </w:r>
      <w:r>
        <w:rPr/>
        <w:t>日元</w:t>
      </w:r>
      <w:r>
        <w:rPr>
          <w:w w:val="100"/>
        </w:rPr>
        <w:t> </w:t>
      </w:r>
      <w:r>
        <w:rPr/>
        <w:t>注册地址：日本国东京都品川区西五反田</w:t>
      </w:r>
      <w:r>
        <w:rPr>
          <w:spacing w:val="-54"/>
        </w:rPr>
        <w:t> </w:t>
      </w:r>
      <w:r>
        <w:rPr>
          <w:rFonts w:ascii="宋体" w:hAnsi="宋体" w:cs="宋体" w:eastAsia="宋体" w:hint="default"/>
        </w:rPr>
        <w:t>1-1-8</w:t>
      </w:r>
      <w:r>
        <w:rPr>
          <w:rFonts w:ascii="宋体" w:hAnsi="宋体" w:cs="宋体" w:eastAsia="宋体" w:hint="default"/>
          <w:w w:val="100"/>
        </w:rPr>
        <w:t> </w:t>
      </w:r>
      <w:r>
        <w:rPr>
          <w:spacing w:val="-2"/>
        </w:rPr>
        <w:t>主营业务：汽车音响及汽车通信系统产品的生产。</w:t>
      </w:r>
    </w:p>
    <w:p>
      <w:pPr>
        <w:pStyle w:val="Heading4"/>
        <w:spacing w:line="247" w:lineRule="exact"/>
        <w:ind w:left="540" w:right="0"/>
        <w:jc w:val="left"/>
        <w:rPr>
          <w:b w:val="0"/>
          <w:bCs w:val="0"/>
        </w:rPr>
      </w:pPr>
      <w:r>
        <w:rPr>
          <w:rFonts w:ascii="宋体" w:hAnsi="宋体" w:cs="宋体" w:eastAsia="宋体" w:hint="default"/>
        </w:rPr>
        <w:t>4</w:t>
      </w:r>
      <w:r>
        <w:rPr/>
        <w:t>、阿尔派电子（中国）有限公司</w:t>
      </w:r>
      <w:r>
        <w:rPr>
          <w:b w:val="0"/>
          <w:bCs w:val="0"/>
        </w:rPr>
      </w:r>
    </w:p>
    <w:p>
      <w:pPr>
        <w:pStyle w:val="BodyText"/>
        <w:spacing w:line="240" w:lineRule="auto"/>
        <w:ind w:left="118" w:right="0" w:firstLine="419"/>
        <w:jc w:val="left"/>
      </w:pPr>
      <w:r>
        <w:rPr>
          <w:spacing w:val="-6"/>
        </w:rPr>
        <w:t>阿尔派电子（中国）有限公司是日本阿尔派株式会社于 </w:t>
      </w:r>
      <w:r>
        <w:rPr>
          <w:rFonts w:ascii="宋体" w:hAnsi="宋体" w:cs="宋体" w:eastAsia="宋体" w:hint="default"/>
        </w:rPr>
        <w:t>1994</w:t>
      </w:r>
      <w:r>
        <w:rPr>
          <w:rFonts w:ascii="宋体" w:hAnsi="宋体" w:cs="宋体" w:eastAsia="宋体" w:hint="default"/>
          <w:spacing w:val="-64"/>
        </w:rPr>
        <w:t> </w:t>
      </w:r>
      <w:r>
        <w:rPr/>
        <w:t>年在中国北京投资创建的外商独</w:t>
      </w:r>
      <w:r>
        <w:rPr>
          <w:w w:val="100"/>
        </w:rPr>
        <w:t> </w:t>
      </w:r>
      <w:r>
        <w:rPr/>
        <w:t>资投资性公司。</w:t>
      </w:r>
    </w:p>
    <w:p>
      <w:pPr>
        <w:pStyle w:val="BodyText"/>
        <w:spacing w:line="274" w:lineRule="exact" w:before="22"/>
        <w:ind w:left="538" w:right="5734"/>
        <w:jc w:val="left"/>
      </w:pPr>
      <w:r>
        <w:rPr/>
        <w:t>成立日期：</w:t>
      </w:r>
      <w:r>
        <w:rPr>
          <w:rFonts w:ascii="宋体" w:hAnsi="宋体" w:cs="宋体" w:eastAsia="宋体" w:hint="default"/>
        </w:rPr>
        <w:t>1994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103,700,000</w:t>
      </w:r>
      <w:r>
        <w:rPr>
          <w:rFonts w:ascii="宋体" w:hAnsi="宋体" w:cs="宋体" w:eastAsia="宋体" w:hint="default"/>
          <w:spacing w:val="-52"/>
        </w:rPr>
        <w:t> </w:t>
      </w:r>
      <w:r>
        <w:rPr/>
        <w:t>美元</w:t>
      </w:r>
    </w:p>
    <w:p>
      <w:pPr>
        <w:pStyle w:val="BodyText"/>
        <w:spacing w:line="245" w:lineRule="exact"/>
        <w:ind w:left="538" w:right="0"/>
        <w:jc w:val="left"/>
      </w:pPr>
      <w:r>
        <w:rPr/>
        <w:t>注册地址：北京市朝阳区建国路</w:t>
      </w:r>
      <w:r>
        <w:rPr>
          <w:spacing w:val="-53"/>
        </w:rPr>
        <w:t> </w:t>
      </w:r>
      <w:r>
        <w:rPr>
          <w:rFonts w:ascii="宋体" w:hAnsi="宋体" w:cs="宋体" w:eastAsia="宋体" w:hint="default"/>
        </w:rPr>
        <w:t>116</w:t>
      </w:r>
      <w:r>
        <w:rPr>
          <w:rFonts w:ascii="宋体" w:hAnsi="宋体" w:cs="宋体" w:eastAsia="宋体" w:hint="default"/>
          <w:spacing w:val="-55"/>
        </w:rPr>
        <w:t> </w:t>
      </w:r>
      <w:r>
        <w:rPr/>
        <w:t>号招商局大厦</w:t>
      </w:r>
      <w:r>
        <w:rPr>
          <w:spacing w:val="-55"/>
        </w:rPr>
        <w:t> </w:t>
      </w:r>
      <w:r>
        <w:rPr>
          <w:rFonts w:ascii="宋体" w:hAnsi="宋体" w:cs="宋体" w:eastAsia="宋体" w:hint="default"/>
        </w:rPr>
        <w:t>R2</w:t>
      </w:r>
      <w:r>
        <w:rPr>
          <w:rFonts w:ascii="宋体" w:hAnsi="宋体" w:cs="宋体" w:eastAsia="宋体" w:hint="default"/>
          <w:spacing w:val="-53"/>
        </w:rPr>
        <w:t> </w:t>
      </w:r>
      <w:r>
        <w:rPr/>
        <w:t>楼</w:t>
      </w:r>
      <w:r>
        <w:rPr>
          <w:spacing w:val="-55"/>
        </w:rPr>
        <w:t> </w:t>
      </w:r>
      <w:r>
        <w:rPr>
          <w:rFonts w:ascii="宋体" w:hAnsi="宋体" w:cs="宋体" w:eastAsia="宋体" w:hint="default"/>
        </w:rPr>
        <w:t>4</w:t>
      </w:r>
      <w:r>
        <w:rPr>
          <w:rFonts w:ascii="宋体" w:hAnsi="宋体" w:cs="宋体" w:eastAsia="宋体" w:hint="default"/>
          <w:spacing w:val="-53"/>
        </w:rPr>
        <w:t> </w:t>
      </w:r>
      <w:r>
        <w:rPr/>
        <w:t>层</w:t>
      </w:r>
    </w:p>
    <w:p>
      <w:pPr>
        <w:pStyle w:val="BodyText"/>
        <w:spacing w:line="272" w:lineRule="exact" w:before="27"/>
        <w:ind w:left="538" w:right="4419"/>
        <w:jc w:val="left"/>
        <w:rPr>
          <w:rFonts w:ascii="宋体" w:hAnsi="宋体" w:cs="宋体" w:eastAsia="宋体" w:hint="default"/>
        </w:rPr>
      </w:pPr>
      <w:r>
        <w:rPr/>
        <w:t>法定代表人：水野直树</w:t>
      </w:r>
      <w:r>
        <w:rPr>
          <w:w w:val="100"/>
        </w:rPr>
        <w:t> </w:t>
      </w:r>
      <w:r>
        <w:rPr>
          <w:spacing w:val="-1"/>
        </w:rPr>
        <w:t>统一社会信用代码：</w:t>
      </w:r>
      <w:r>
        <w:rPr>
          <w:rFonts w:ascii="宋体" w:hAnsi="宋体" w:cs="宋体" w:eastAsia="宋体" w:hint="default"/>
          <w:spacing w:val="-1"/>
        </w:rPr>
        <w:t>911100006000372536</w:t>
      </w:r>
    </w:p>
    <w:p>
      <w:pPr>
        <w:pStyle w:val="BodyText"/>
        <w:spacing w:line="272" w:lineRule="exact" w:before="1"/>
        <w:ind w:left="118" w:right="0" w:firstLine="419"/>
        <w:jc w:val="left"/>
      </w:pPr>
      <w:r>
        <w:rPr>
          <w:spacing w:val="-2"/>
        </w:rPr>
        <w:t>主营业务：从事阿尔派株式会社在中国国内的，包括汽车音响及有关零部件、汽车用通信机</w:t>
      </w:r>
      <w:r>
        <w:rPr>
          <w:w w:val="100"/>
        </w:rPr>
        <w:t> </w:t>
      </w:r>
      <w:r>
        <w:rPr>
          <w:spacing w:val="-1"/>
        </w:rPr>
        <w:t>器及汽车导向系统产品、重要零部件在内的汽车电子领域的投资；为所投资企业生产的产品提供</w:t>
      </w:r>
    </w:p>
    <w:p>
      <w:pPr>
        <w:pStyle w:val="BodyText"/>
        <w:spacing w:line="247" w:lineRule="exact"/>
        <w:ind w:left="118" w:right="0"/>
        <w:jc w:val="both"/>
      </w:pPr>
      <w:r>
        <w:rPr/>
        <w:t>销售及服务。</w:t>
      </w:r>
    </w:p>
    <w:p>
      <w:pPr>
        <w:pStyle w:val="Heading4"/>
        <w:spacing w:line="272" w:lineRule="exact"/>
        <w:ind w:left="540" w:right="0"/>
        <w:jc w:val="left"/>
        <w:rPr>
          <w:rFonts w:ascii="宋体" w:hAnsi="宋体" w:cs="宋体" w:eastAsia="宋体" w:hint="default"/>
          <w:b w:val="0"/>
          <w:bCs w:val="0"/>
        </w:rPr>
      </w:pPr>
      <w:r>
        <w:rPr>
          <w:rFonts w:ascii="宋体" w:hAnsi="宋体" w:cs="宋体" w:eastAsia="宋体" w:hint="default"/>
        </w:rPr>
        <w:t>5</w:t>
      </w:r>
      <w:r>
        <w:rPr/>
        <w:t>、</w:t>
      </w:r>
      <w:r>
        <w:rPr>
          <w:rFonts w:ascii="宋体" w:hAnsi="宋体" w:cs="宋体" w:eastAsia="宋体" w:hint="default"/>
        </w:rPr>
        <w:t>SAP SE</w:t>
      </w:r>
      <w:r>
        <w:rPr>
          <w:rFonts w:ascii="宋体" w:hAnsi="宋体" w:cs="宋体" w:eastAsia="宋体" w:hint="default"/>
          <w:b w:val="0"/>
          <w:bCs w:val="0"/>
        </w:rPr>
      </w:r>
    </w:p>
    <w:p>
      <w:pPr>
        <w:pStyle w:val="BodyText"/>
        <w:spacing w:line="237" w:lineRule="auto" w:before="2"/>
        <w:ind w:left="118" w:right="107" w:firstLine="419"/>
        <w:jc w:val="both"/>
      </w:pPr>
      <w:r>
        <w:rPr>
          <w:rFonts w:ascii="宋体" w:hAnsi="宋体" w:cs="宋体" w:eastAsia="宋体" w:hint="default"/>
          <w:w w:val="100"/>
        </w:rPr>
        <w:t>SAP</w:t>
      </w:r>
      <w:r>
        <w:rPr>
          <w:rFonts w:ascii="宋体" w:hAnsi="宋体" w:cs="宋体" w:eastAsia="宋体" w:hint="default"/>
          <w:spacing w:val="-49"/>
          <w:w w:val="100"/>
        </w:rPr>
        <w:t> </w:t>
      </w:r>
      <w:r>
        <w:rPr>
          <w:spacing w:val="-1"/>
          <w:w w:val="100"/>
        </w:rPr>
        <w:t>成立于</w:t>
      </w:r>
      <w:r>
        <w:rPr>
          <w:spacing w:val="-52"/>
          <w:w w:val="100"/>
        </w:rPr>
        <w:t> </w:t>
      </w:r>
      <w:r>
        <w:rPr>
          <w:rFonts w:ascii="宋体" w:hAnsi="宋体" w:cs="宋体" w:eastAsia="宋体" w:hint="default"/>
          <w:spacing w:val="-1"/>
          <w:w w:val="100"/>
        </w:rPr>
        <w:t>1972</w:t>
      </w:r>
      <w:r>
        <w:rPr>
          <w:rFonts w:ascii="宋体" w:hAnsi="宋体" w:cs="宋体" w:eastAsia="宋体" w:hint="default"/>
          <w:spacing w:val="-49"/>
          <w:w w:val="100"/>
        </w:rPr>
        <w:t> </w:t>
      </w:r>
      <w:r>
        <w:rPr>
          <w:spacing w:val="-18"/>
          <w:w w:val="100"/>
        </w:rPr>
        <w:t>年，总部位于德国。</w:t>
      </w:r>
      <w:r>
        <w:rPr>
          <w:rFonts w:ascii="宋体" w:hAnsi="宋体" w:cs="宋体" w:eastAsia="宋体" w:hint="default"/>
          <w:spacing w:val="-18"/>
          <w:w w:val="100"/>
        </w:rPr>
        <w:t>SAP</w:t>
      </w:r>
      <w:r>
        <w:rPr>
          <w:rFonts w:ascii="宋体" w:hAnsi="宋体" w:cs="宋体" w:eastAsia="宋体" w:hint="default"/>
          <w:spacing w:val="-52"/>
          <w:w w:val="100"/>
        </w:rPr>
        <w:t> </w:t>
      </w:r>
      <w:r>
        <w:rPr>
          <w:spacing w:val="-2"/>
          <w:w w:val="100"/>
        </w:rPr>
        <w:t>是全球领先的商业应用与分析软件解决方案提供商，</w:t>
      </w:r>
      <w:r>
        <w:rPr>
          <w:w w:val="100"/>
        </w:rPr>
        <w:t> </w:t>
      </w:r>
      <w:r>
        <w:rPr>
          <w:spacing w:val="-4"/>
        </w:rPr>
        <w:t>在电子商务领域也具有领先的市场地位。</w:t>
      </w:r>
      <w:r>
        <w:rPr>
          <w:rFonts w:ascii="宋体" w:hAnsi="宋体" w:cs="宋体" w:eastAsia="宋体" w:hint="default"/>
          <w:spacing w:val="-4"/>
        </w:rPr>
        <w:t>SAP</w:t>
      </w:r>
      <w:r>
        <w:rPr>
          <w:rFonts w:ascii="宋体" w:hAnsi="宋体" w:cs="宋体" w:eastAsia="宋体" w:hint="default"/>
          <w:spacing w:val="-48"/>
        </w:rPr>
        <w:t> </w:t>
      </w:r>
      <w:r>
        <w:rPr/>
        <w:t>在</w:t>
      </w:r>
      <w:r>
        <w:rPr>
          <w:spacing w:val="-46"/>
        </w:rPr>
        <w:t> </w:t>
      </w:r>
      <w:r>
        <w:rPr>
          <w:rFonts w:ascii="宋体" w:hAnsi="宋体" w:cs="宋体" w:eastAsia="宋体" w:hint="default"/>
        </w:rPr>
        <w:t>180</w:t>
      </w:r>
      <w:r>
        <w:rPr>
          <w:rFonts w:ascii="宋体" w:hAnsi="宋体" w:cs="宋体" w:eastAsia="宋体" w:hint="default"/>
          <w:spacing w:val="-48"/>
        </w:rPr>
        <w:t> </w:t>
      </w:r>
      <w:r>
        <w:rPr/>
        <w:t>多个国家内拥有约</w:t>
      </w:r>
      <w:r>
        <w:rPr>
          <w:spacing w:val="-46"/>
        </w:rPr>
        <w:t> </w:t>
      </w:r>
      <w:r>
        <w:rPr>
          <w:rFonts w:ascii="宋体" w:hAnsi="宋体" w:cs="宋体" w:eastAsia="宋体" w:hint="default"/>
        </w:rPr>
        <w:t>378,000</w:t>
      </w:r>
      <w:r>
        <w:rPr>
          <w:rFonts w:ascii="宋体" w:hAnsi="宋体" w:cs="宋体" w:eastAsia="宋体" w:hint="default"/>
          <w:spacing w:val="-45"/>
        </w:rPr>
        <w:t> </w:t>
      </w:r>
      <w:r>
        <w:rPr>
          <w:spacing w:val="-10"/>
        </w:rPr>
        <w:t>个客户，超过</w:t>
      </w:r>
      <w:r>
        <w:rPr>
          <w:spacing w:val="-46"/>
        </w:rPr>
        <w:t> </w:t>
      </w:r>
      <w:r>
        <w:rPr>
          <w:rFonts w:ascii="宋体" w:hAnsi="宋体" w:cs="宋体" w:eastAsia="宋体" w:hint="default"/>
        </w:rPr>
        <w:t>76%</w:t>
      </w:r>
      <w:r>
        <w:rPr>
          <w:rFonts w:ascii="宋体" w:hAnsi="宋体" w:cs="宋体" w:eastAsia="宋体" w:hint="default"/>
          <w:spacing w:val="-102"/>
        </w:rPr>
        <w:t> </w:t>
      </w:r>
      <w:r>
        <w:rPr>
          <w:spacing w:val="-2"/>
          <w:w w:val="100"/>
        </w:rPr>
        <w:t>的全球商业交易涉及</w:t>
      </w:r>
      <w:r>
        <w:rPr>
          <w:spacing w:val="-59"/>
          <w:w w:val="100"/>
        </w:rPr>
        <w:t> </w:t>
      </w:r>
      <w:r>
        <w:rPr>
          <w:rFonts w:ascii="宋体" w:hAnsi="宋体" w:cs="宋体" w:eastAsia="宋体" w:hint="default"/>
          <w:spacing w:val="-1"/>
          <w:w w:val="100"/>
        </w:rPr>
        <w:t>SAP</w:t>
      </w:r>
      <w:r>
        <w:rPr>
          <w:rFonts w:ascii="宋体" w:hAnsi="宋体" w:cs="宋体" w:eastAsia="宋体" w:hint="default"/>
          <w:spacing w:val="-61"/>
          <w:w w:val="100"/>
        </w:rPr>
        <w:t> </w:t>
      </w:r>
      <w:r>
        <w:rPr>
          <w:spacing w:val="-14"/>
          <w:w w:val="100"/>
        </w:rPr>
        <w:t>软件系统。</w:t>
      </w:r>
      <w:r>
        <w:rPr>
          <w:rFonts w:ascii="宋体" w:hAnsi="宋体" w:cs="宋体" w:eastAsia="宋体" w:hint="default"/>
          <w:spacing w:val="-14"/>
          <w:w w:val="100"/>
        </w:rPr>
        <w:t>SAP</w:t>
      </w:r>
      <w:r>
        <w:rPr>
          <w:rFonts w:ascii="宋体" w:hAnsi="宋体" w:cs="宋体" w:eastAsia="宋体" w:hint="default"/>
          <w:spacing w:val="-61"/>
          <w:w w:val="100"/>
        </w:rPr>
        <w:t> </w:t>
      </w:r>
      <w:r>
        <w:rPr>
          <w:spacing w:val="-7"/>
          <w:w w:val="100"/>
        </w:rPr>
        <w:t>在全球主要国家和地区设有子公司，拥有雇员</w:t>
      </w:r>
      <w:r>
        <w:rPr>
          <w:spacing w:val="-59"/>
          <w:w w:val="100"/>
        </w:rPr>
        <w:t> </w:t>
      </w:r>
      <w:r>
        <w:rPr>
          <w:rFonts w:ascii="宋体" w:hAnsi="宋体" w:cs="宋体" w:eastAsia="宋体" w:hint="default"/>
          <w:spacing w:val="-1"/>
          <w:w w:val="100"/>
        </w:rPr>
        <w:t>88,000</w:t>
      </w:r>
      <w:r>
        <w:rPr>
          <w:rFonts w:ascii="宋体" w:hAnsi="宋体" w:cs="宋体" w:eastAsia="宋体" w:hint="default"/>
          <w:spacing w:val="-59"/>
          <w:w w:val="100"/>
        </w:rPr>
        <w:t> </w:t>
      </w:r>
      <w:r>
        <w:rPr>
          <w:spacing w:val="-3"/>
          <w:w w:val="100"/>
        </w:rPr>
        <w:t>人。 </w:t>
      </w:r>
      <w:r>
        <w:rPr/>
        <w:t>目前，</w:t>
      </w:r>
      <w:r>
        <w:rPr>
          <w:rFonts w:ascii="宋体" w:hAnsi="宋体" w:cs="宋体" w:eastAsia="宋体" w:hint="default"/>
        </w:rPr>
        <w:t>SAP</w:t>
      </w:r>
      <w:r>
        <w:rPr>
          <w:rFonts w:ascii="宋体" w:hAnsi="宋体" w:cs="宋体" w:eastAsia="宋体" w:hint="default"/>
          <w:spacing w:val="-35"/>
        </w:rPr>
        <w:t> </w:t>
      </w:r>
      <w:r>
        <w:rPr/>
        <w:t>同时在德国法兰克福证券交易所和美国纽约证券交易所上市，是德国</w:t>
      </w:r>
      <w:r>
        <w:rPr>
          <w:spacing w:val="-32"/>
        </w:rPr>
        <w:t> </w:t>
      </w:r>
      <w:r>
        <w:rPr>
          <w:rFonts w:ascii="宋体" w:hAnsi="宋体" w:cs="宋体" w:eastAsia="宋体" w:hint="default"/>
        </w:rPr>
        <w:t>DAX</w:t>
      </w:r>
      <w:r>
        <w:rPr>
          <w:rFonts w:ascii="宋体" w:hAnsi="宋体" w:cs="宋体" w:eastAsia="宋体" w:hint="default"/>
          <w:spacing w:val="-33"/>
        </w:rPr>
        <w:t> </w:t>
      </w:r>
      <w:r>
        <w:rPr/>
        <w:t>指数、道琼</w:t>
      </w:r>
      <w:r>
        <w:rPr>
          <w:w w:val="100"/>
        </w:rPr>
        <w:t> </w:t>
      </w:r>
      <w:r>
        <w:rPr/>
        <w:t>斯欧洲斯托克</w:t>
      </w:r>
      <w:r>
        <w:rPr>
          <w:spacing w:val="-55"/>
        </w:rPr>
        <w:t> </w:t>
      </w:r>
      <w:r>
        <w:rPr>
          <w:rFonts w:ascii="宋体" w:hAnsi="宋体" w:cs="宋体" w:eastAsia="宋体" w:hint="default"/>
        </w:rPr>
        <w:t>50</w:t>
      </w:r>
      <w:r>
        <w:rPr>
          <w:rFonts w:ascii="宋体" w:hAnsi="宋体" w:cs="宋体" w:eastAsia="宋体" w:hint="default"/>
          <w:spacing w:val="-55"/>
        </w:rPr>
        <w:t> </w:t>
      </w:r>
      <w:r>
        <w:rPr/>
        <w:t>指数、道琼斯可持续发展指数的成份股。</w:t>
      </w:r>
    </w:p>
    <w:p>
      <w:pPr>
        <w:pStyle w:val="BodyText"/>
        <w:spacing w:line="274" w:lineRule="exact" w:before="22"/>
        <w:ind w:left="538" w:right="5619"/>
        <w:jc w:val="left"/>
      </w:pPr>
      <w:r>
        <w:rPr/>
        <w:t>成立日期：</w:t>
      </w:r>
      <w:r>
        <w:rPr>
          <w:rFonts w:ascii="宋体" w:hAnsi="宋体" w:cs="宋体" w:eastAsia="宋体" w:hint="default"/>
        </w:rPr>
        <w:t>1972</w:t>
      </w:r>
      <w:r>
        <w:rPr>
          <w:rFonts w:ascii="宋体" w:hAnsi="宋体" w:cs="宋体" w:eastAsia="宋体" w:hint="default"/>
          <w:spacing w:val="-53"/>
        </w:rPr>
        <w:t> </w:t>
      </w:r>
      <w:r>
        <w:rPr/>
        <w:t>年</w:t>
      </w:r>
      <w:r>
        <w:rPr>
          <w:w w:val="100"/>
        </w:rPr>
        <w:t> </w:t>
      </w:r>
      <w:r>
        <w:rPr/>
        <w:t>注册资本：</w:t>
      </w:r>
      <w:r>
        <w:rPr>
          <w:rFonts w:ascii="宋体" w:hAnsi="宋体" w:cs="宋体" w:eastAsia="宋体" w:hint="default"/>
        </w:rPr>
        <w:t>1,228,504,232</w:t>
      </w:r>
      <w:r>
        <w:rPr>
          <w:rFonts w:ascii="宋体" w:hAnsi="宋体" w:cs="宋体" w:eastAsia="宋体" w:hint="default"/>
          <w:spacing w:val="-51"/>
        </w:rPr>
        <w:t> </w:t>
      </w:r>
      <w:r>
        <w:rPr/>
        <w:t>欧元</w:t>
      </w:r>
    </w:p>
    <w:p>
      <w:pPr>
        <w:pStyle w:val="BodyText"/>
        <w:spacing w:line="244" w:lineRule="exact"/>
        <w:ind w:left="538" w:right="0"/>
        <w:jc w:val="left"/>
        <w:rPr>
          <w:rFonts w:ascii="宋体" w:hAnsi="宋体" w:cs="宋体" w:eastAsia="宋体" w:hint="default"/>
        </w:rPr>
      </w:pPr>
      <w:r>
        <w:rPr/>
        <w:t>注册地址：</w:t>
      </w:r>
      <w:r>
        <w:rPr>
          <w:rFonts w:ascii="宋体" w:hAnsi="宋体" w:cs="宋体" w:eastAsia="宋体" w:hint="default"/>
        </w:rPr>
        <w:t>SAP SE, Dietmar-Hopp-Allee 16, 69190 Walldorf,</w:t>
      </w:r>
      <w:r>
        <w:rPr>
          <w:rFonts w:ascii="宋体" w:hAnsi="宋体" w:cs="宋体" w:eastAsia="宋体" w:hint="default"/>
          <w:spacing w:val="-6"/>
        </w:rPr>
        <w:t> </w:t>
      </w:r>
      <w:r>
        <w:rPr>
          <w:rFonts w:ascii="宋体" w:hAnsi="宋体" w:cs="宋体" w:eastAsia="宋体" w:hint="default"/>
        </w:rPr>
        <w:t>Germany</w:t>
      </w:r>
    </w:p>
    <w:p>
      <w:pPr>
        <w:spacing w:line="237" w:lineRule="auto" w:before="0"/>
        <w:ind w:left="538" w:right="0" w:firstLine="0"/>
        <w:jc w:val="left"/>
        <w:rPr>
          <w:rFonts w:ascii="宋体" w:hAnsi="宋体" w:cs="宋体" w:eastAsia="宋体" w:hint="default"/>
          <w:sz w:val="21"/>
          <w:szCs w:val="21"/>
        </w:rPr>
      </w:pPr>
      <w:r>
        <w:rPr>
          <w:rFonts w:ascii="宋体" w:hAnsi="宋体" w:cs="宋体" w:eastAsia="宋体" w:hint="default"/>
          <w:sz w:val="21"/>
          <w:szCs w:val="21"/>
        </w:rPr>
        <w:t>主营业务：商业软件解决方案的开发、销售与实施，相关的支持与咨询服务。</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、东芝解决方案株式会社（现名称为“东芝数字解决方案株式会社”）</w:t>
      </w:r>
      <w:r>
        <w:rPr>
          <w:rFonts w:ascii="宋体" w:hAnsi="宋体" w:cs="宋体" w:eastAsia="宋体" w:hint="default"/>
          <w:b/>
          <w:bCs/>
          <w:w w:val="100"/>
          <w:sz w:val="21"/>
          <w:szCs w:val="21"/>
        </w:rPr>
        <w:t> </w:t>
      </w:r>
      <w:r>
        <w:rPr>
          <w:rFonts w:ascii="宋体" w:hAnsi="宋体" w:cs="宋体" w:eastAsia="宋体" w:hint="default"/>
          <w:spacing w:val="-2"/>
          <w:sz w:val="21"/>
          <w:szCs w:val="21"/>
        </w:rPr>
        <w:t>东芝数字解决方案株式会社是依据日本法律设立并存续的公司，其股东是株式会社东芝。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成立日期：</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BodyText"/>
        <w:spacing w:line="274" w:lineRule="exact" w:before="22"/>
        <w:ind w:left="538" w:right="3524"/>
        <w:jc w:val="left"/>
        <w:rPr>
          <w:rFonts w:ascii="宋体" w:hAnsi="宋体" w:cs="宋体" w:eastAsia="宋体" w:hint="default"/>
        </w:rPr>
      </w:pPr>
      <w:r>
        <w:rPr/>
        <w:t>注册资本：</w:t>
      </w:r>
      <w:r>
        <w:rPr>
          <w:rFonts w:ascii="宋体" w:hAnsi="宋体" w:cs="宋体" w:eastAsia="宋体" w:hint="default"/>
        </w:rPr>
        <w:t>23,500,000,000</w:t>
      </w:r>
      <w:r>
        <w:rPr>
          <w:rFonts w:ascii="宋体" w:hAnsi="宋体" w:cs="宋体" w:eastAsia="宋体" w:hint="default"/>
          <w:spacing w:val="-53"/>
        </w:rPr>
        <w:t> </w:t>
      </w:r>
      <w:r>
        <w:rPr/>
        <w:t>日元</w:t>
      </w:r>
      <w:r>
        <w:rPr>
          <w:w w:val="100"/>
        </w:rPr>
        <w:t> </w:t>
      </w:r>
      <w:r>
        <w:rPr/>
        <w:t>注册地址：日本神奈川县川崎市幸区掘川町</w:t>
      </w:r>
      <w:r>
        <w:rPr>
          <w:spacing w:val="-54"/>
        </w:rPr>
        <w:t> </w:t>
      </w:r>
      <w:r>
        <w:rPr>
          <w:rFonts w:ascii="宋体" w:hAnsi="宋体" w:cs="宋体" w:eastAsia="宋体" w:hint="default"/>
        </w:rPr>
        <w:t>72</w:t>
      </w:r>
      <w:r>
        <w:rPr>
          <w:rFonts w:ascii="宋体" w:hAnsi="宋体" w:cs="宋体" w:eastAsia="宋体" w:hint="default"/>
          <w:spacing w:val="-53"/>
        </w:rPr>
        <w:t> </w:t>
      </w:r>
      <w:r>
        <w:rPr/>
        <w:t>番地</w:t>
      </w:r>
      <w:r>
        <w:rPr>
          <w:spacing w:val="-54"/>
        </w:rPr>
        <w:t> </w:t>
      </w:r>
      <w:r>
        <w:rPr>
          <w:rFonts w:ascii="宋体" w:hAnsi="宋体" w:cs="宋体" w:eastAsia="宋体" w:hint="default"/>
        </w:rPr>
        <w:t>34</w:t>
      </w:r>
    </w:p>
    <w:p>
      <w:pPr>
        <w:pStyle w:val="BodyText"/>
        <w:spacing w:line="245" w:lineRule="exact"/>
        <w:ind w:left="538" w:right="0"/>
        <w:jc w:val="left"/>
      </w:pPr>
      <w:r>
        <w:rPr/>
        <w:t>主营业务：软件开发和解决方案的提供。软件的应用领域有政府系、道路、交通、广播等社</w:t>
      </w:r>
    </w:p>
    <w:p>
      <w:pPr>
        <w:pStyle w:val="BodyText"/>
        <w:spacing w:line="274" w:lineRule="exact"/>
        <w:ind w:left="118" w:right="0"/>
        <w:jc w:val="both"/>
      </w:pPr>
      <w:r>
        <w:rPr>
          <w:w w:val="105"/>
        </w:rPr>
        <w:t>会基础设施系，其他民生需要方面有制造、产业、流通</w:t>
      </w:r>
      <w:r>
        <w:rPr>
          <w:rFonts w:ascii="MS UI Gothic" w:hAnsi="MS UI Gothic" w:cs="MS UI Gothic" w:eastAsia="MS UI Gothic" w:hint="default"/>
          <w:w w:val="105"/>
        </w:rPr>
        <w:t>・</w:t>
      </w:r>
      <w:r>
        <w:rPr>
          <w:w w:val="105"/>
        </w:rPr>
        <w:t>服务、金融、电信、新闻媒体等。</w:t>
      </w:r>
    </w:p>
    <w:p>
      <w:pPr>
        <w:spacing w:after="0" w:line="274" w:lineRule="exact"/>
        <w:jc w:val="both"/>
        <w:sectPr>
          <w:footerReference w:type="default" r:id="rId40"/>
          <w:pgSz w:w="11910" w:h="16840"/>
          <w:pgMar w:footer="1248" w:header="945" w:top="1300" w:bottom="1440" w:left="1680" w:right="1160"/>
          <w:pgNumType w:start="51"/>
        </w:sectPr>
      </w:pPr>
    </w:p>
    <w:p>
      <w:pPr>
        <w:spacing w:line="240" w:lineRule="auto" w:before="3"/>
        <w:rPr>
          <w:rFonts w:ascii="宋体" w:hAnsi="宋体" w:cs="宋体" w:eastAsia="宋体" w:hint="default"/>
          <w:sz w:val="11"/>
          <w:szCs w:val="11"/>
        </w:rPr>
      </w:pPr>
    </w:p>
    <w:p>
      <w:pPr>
        <w:pStyle w:val="Heading4"/>
        <w:spacing w:line="240" w:lineRule="auto" w:before="36"/>
        <w:ind w:left="378" w:right="0"/>
        <w:jc w:val="left"/>
        <w:rPr>
          <w:b w:val="0"/>
          <w:bCs w:val="0"/>
        </w:rPr>
      </w:pPr>
      <w:r>
        <w:rPr/>
        <w:t>七、</w:t>
      </w:r>
      <w:r>
        <w:rPr>
          <w:spacing w:val="-77"/>
        </w:rPr>
        <w:t> </w:t>
      </w:r>
      <w:r>
        <w:rPr/>
        <w:t>股份限制减持情况说明</w:t>
      </w:r>
      <w:r>
        <w:rPr>
          <w:b w:val="0"/>
          <w:bCs w:val="0"/>
        </w:rPr>
      </w:r>
    </w:p>
    <w:p>
      <w:pPr>
        <w:pStyle w:val="BodyText"/>
        <w:spacing w:line="240" w:lineRule="auto" w:before="58"/>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spacing w:line="240" w:lineRule="auto"/>
        <w:ind w:left="3318" w:right="0"/>
        <w:jc w:val="left"/>
        <w:rPr>
          <w:b w:val="0"/>
          <w:bCs w:val="0"/>
        </w:rPr>
      </w:pPr>
      <w:bookmarkStart w:name="_TOC_250005" w:id="7"/>
      <w:r>
        <w:rPr/>
        <w:t>第七节</w:t>
      </w:r>
      <w:r>
        <w:rPr>
          <w:spacing w:val="-3"/>
        </w:rPr>
        <w:t> </w:t>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63"/>
        <w:ind w:left="0" w:right="110" w:firstLine="0"/>
        <w:jc w:val="right"/>
        <w:rPr>
          <w:rFonts w:ascii="Calibri" w:hAnsi="Calibri" w:cs="Calibri" w:eastAsia="Calibri" w:hint="default"/>
          <w:sz w:val="18"/>
          <w:szCs w:val="18"/>
        </w:rPr>
      </w:pPr>
      <w:r>
        <w:rPr>
          <w:rFonts w:ascii="Calibri"/>
          <w:b/>
          <w:sz w:val="18"/>
        </w:rPr>
        <w:t>52 </w:t>
      </w:r>
      <w:r>
        <w:rPr>
          <w:rFonts w:ascii="Calibri"/>
          <w:sz w:val="18"/>
        </w:rPr>
        <w:t>/</w:t>
      </w:r>
      <w:r>
        <w:rPr>
          <w:rFonts w:ascii="Calibri"/>
          <w:spacing w:val="-4"/>
          <w:sz w:val="18"/>
        </w:rPr>
        <w:t> </w:t>
      </w:r>
      <w:r>
        <w:rPr>
          <w:rFonts w:ascii="Calibri"/>
          <w:b/>
          <w:sz w:val="18"/>
        </w:rPr>
        <w:t>198</w:t>
      </w:r>
      <w:r>
        <w:rPr>
          <w:rFonts w:ascii="Calibri"/>
          <w:sz w:val="18"/>
        </w:rPr>
      </w:r>
    </w:p>
    <w:p>
      <w:pPr>
        <w:spacing w:after="0"/>
        <w:jc w:val="right"/>
        <w:rPr>
          <w:rFonts w:ascii="Calibri" w:hAnsi="Calibri" w:cs="Calibri" w:eastAsia="Calibri" w:hint="default"/>
          <w:sz w:val="18"/>
          <w:szCs w:val="18"/>
        </w:rPr>
        <w:sectPr>
          <w:footerReference w:type="default" r:id="rId41"/>
          <w:pgSz w:w="11910" w:h="16840"/>
          <w:pgMar w:footer="1033" w:header="945" w:top="1300" w:bottom="1220" w:left="1420" w:right="11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0"/>
          <w:szCs w:val="20"/>
        </w:rPr>
      </w:pPr>
    </w:p>
    <w:p>
      <w:pPr>
        <w:pStyle w:val="Heading1"/>
        <w:spacing w:line="240" w:lineRule="auto"/>
        <w:ind w:left="4278" w:right="3077"/>
        <w:jc w:val="left"/>
        <w:rPr>
          <w:b w:val="0"/>
          <w:bCs w:val="0"/>
        </w:rPr>
      </w:pPr>
      <w:bookmarkStart w:name="_TOC_250004" w:id="8"/>
      <w:r>
        <w:rPr/>
        <w:t>第八节</w:t>
      </w:r>
      <w:r>
        <w:rPr>
          <w:spacing w:val="-2"/>
        </w:rPr>
        <w:t> </w:t>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2"/>
          <w:footerReference w:type="default" r:id="rId43"/>
          <w:pgSz w:w="16840" w:h="11910" w:orient="landscape"/>
          <w:pgMar w:header="745" w:footer="1228" w:top="1100" w:bottom="1420" w:left="1300" w:right="1200"/>
          <w:pgNumType w:start="53"/>
        </w:sectPr>
      </w:pPr>
    </w:p>
    <w:p>
      <w:pPr>
        <w:pStyle w:val="Heading4"/>
        <w:spacing w:line="290" w:lineRule="auto" w:before="36"/>
        <w:ind w:left="224" w:right="0"/>
        <w:jc w:val="left"/>
        <w:rPr>
          <w:b w:val="0"/>
          <w:bCs w:val="0"/>
        </w:rPr>
      </w:pPr>
      <w:r>
        <w:rPr/>
        <w:t>一、持股变动情况及报酬情况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现任及报告期内离任董事、监事和高级管理人员持股变动及报酬情况</w:t>
      </w:r>
      <w:r>
        <w:rPr>
          <w:b w:val="0"/>
          <w:bCs w:val="0"/>
          <w:spacing w:val="-1"/>
        </w:rPr>
      </w:r>
    </w:p>
    <w:p>
      <w:pPr>
        <w:pStyle w:val="BodyText"/>
        <w:spacing w:line="240" w:lineRule="auto" w:before="12"/>
        <w:ind w:left="2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580" w:bottom="280" w:left="1300" w:right="1200"/>
          <w:cols w:num="2" w:equalWidth="0">
            <w:col w:w="6974" w:space="5640"/>
            <w:col w:w="172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3"/>
        <w:gridCol w:w="2275"/>
        <w:gridCol w:w="574"/>
        <w:gridCol w:w="691"/>
        <w:gridCol w:w="1416"/>
        <w:gridCol w:w="1416"/>
        <w:gridCol w:w="1265"/>
        <w:gridCol w:w="1265"/>
        <w:gridCol w:w="1121"/>
        <w:gridCol w:w="826"/>
        <w:gridCol w:w="1253"/>
        <w:gridCol w:w="1042"/>
      </w:tblGrid>
      <w:tr>
        <w:trPr>
          <w:trHeight w:val="98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92" w:right="190"/>
              <w:jc w:val="center"/>
              <w:rPr>
                <w:rFonts w:ascii="宋体" w:hAnsi="宋体" w:cs="宋体" w:eastAsia="宋体" w:hint="default"/>
                <w:sz w:val="18"/>
                <w:szCs w:val="18"/>
              </w:rPr>
            </w:pPr>
            <w:r>
              <w:rPr>
                <w:rFonts w:ascii="宋体" w:hAnsi="宋体" w:cs="宋体" w:eastAsia="宋体" w:hint="default"/>
                <w:sz w:val="18"/>
                <w:szCs w:val="18"/>
              </w:rPr>
              <w:t>性 别</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523" w:right="34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523" w:right="34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104"/>
              <w:jc w:val="left"/>
              <w:rPr>
                <w:rFonts w:ascii="宋体" w:hAnsi="宋体" w:cs="宋体" w:eastAsia="宋体" w:hint="default"/>
                <w:sz w:val="18"/>
                <w:szCs w:val="18"/>
              </w:rPr>
            </w:pPr>
            <w:r>
              <w:rPr>
                <w:rFonts w:ascii="宋体" w:hAnsi="宋体" w:cs="宋体" w:eastAsia="宋体" w:hint="default"/>
                <w:sz w:val="18"/>
                <w:szCs w:val="18"/>
              </w:rPr>
              <w:t>年度内股份 增减变动量</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36" w:right="137"/>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0" w:right="0"/>
              <w:jc w:val="both"/>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2" w:lineRule="exact" w:before="24"/>
              <w:ind w:left="170" w:right="170"/>
              <w:jc w:val="both"/>
              <w:rPr>
                <w:rFonts w:ascii="宋体" w:hAnsi="宋体" w:cs="宋体" w:eastAsia="宋体" w:hint="default"/>
                <w:sz w:val="18"/>
                <w:szCs w:val="18"/>
              </w:rPr>
            </w:pPr>
            <w:r>
              <w:rPr>
                <w:rFonts w:ascii="宋体" w:hAnsi="宋体" w:cs="宋体" w:eastAsia="宋体" w:hint="default"/>
                <w:sz w:val="18"/>
                <w:szCs w:val="18"/>
              </w:rPr>
              <w:t>公司获得的 税前报酬总 额（万元）</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7"/>
              <w:ind w:left="158" w:right="153"/>
              <w:jc w:val="both"/>
              <w:rPr>
                <w:rFonts w:ascii="宋体" w:hAnsi="宋体" w:cs="宋体" w:eastAsia="宋体" w:hint="default"/>
                <w:sz w:val="18"/>
                <w:szCs w:val="18"/>
              </w:rPr>
            </w:pPr>
            <w:r>
              <w:rPr>
                <w:rFonts w:ascii="宋体" w:hAnsi="宋体" w:cs="宋体" w:eastAsia="宋体" w:hint="default"/>
                <w:sz w:val="18"/>
                <w:szCs w:val="18"/>
              </w:rPr>
              <w:t>是否在公 司关联方 获取报酬</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刘积仁</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董事长兼首席执行官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4,121,189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4,121,189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王勇峰</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副董事长兼总裁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2,190,247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2,190,247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陈锡民</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董事兼高级副总裁兼首席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运营官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451,272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451,272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石野诚</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徐洪利</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董事兼高级副总裁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871,388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871,388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远藤浩一</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2017-09-27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巍</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邓 </w:t>
            </w:r>
            <w:r>
              <w:rPr>
                <w:rFonts w:ascii="宋体" w:hAnsi="宋体" w:cs="宋体" w:eastAsia="宋体" w:hint="default"/>
                <w:spacing w:val="2"/>
                <w:sz w:val="18"/>
                <w:szCs w:val="18"/>
              </w:rPr>
              <w:t> </w:t>
            </w:r>
            <w:r>
              <w:rPr>
                <w:rFonts w:ascii="宋体" w:hAnsi="宋体" w:cs="宋体" w:eastAsia="宋体" w:hint="default"/>
                <w:sz w:val="18"/>
                <w:szCs w:val="18"/>
              </w:rPr>
              <w:t>锋</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刘淑莲</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0"/>
              <w:jc w:val="right"/>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涂赣峰</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藏田真吾</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红</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葛圣六</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187,451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187,451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56.84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马 </w:t>
            </w:r>
            <w:r>
              <w:rPr>
                <w:rFonts w:ascii="宋体" w:hAnsi="宋体" w:cs="宋体" w:eastAsia="宋体" w:hint="default"/>
                <w:spacing w:val="2"/>
                <w:sz w:val="18"/>
                <w:szCs w:val="18"/>
              </w:rPr>
              <w:t> </w:t>
            </w:r>
            <w:r>
              <w:rPr>
                <w:rFonts w:ascii="宋体" w:hAnsi="宋体" w:cs="宋体" w:eastAsia="宋体" w:hint="default"/>
                <w:sz w:val="18"/>
                <w:szCs w:val="18"/>
              </w:rPr>
              <w:t>超</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142.14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卢朝霞</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1,228,005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1,228,005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霞</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高级副总裁兼首席技术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官、首席知识官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0"/>
              <w:jc w:val="right"/>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1,206,700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1,206,700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185.00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王经锡</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412,500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309,400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-103,100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张晓鸥</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高级副总裁兼首席财务官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263.77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高级副总裁兼首席营销官</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
              <w:jc w:val="right"/>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605,908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605,908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type w:val="continuous"/>
          <w:pgSz w:w="16840" w:h="11910" w:orient="landscape"/>
          <w:pgMar w:top="1580" w:bottom="280" w:left="1300" w:right="1200"/>
        </w:sectPr>
      </w:pPr>
    </w:p>
    <w:p>
      <w:pPr>
        <w:spacing w:line="240" w:lineRule="auto" w:before="0"/>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53"/>
        <w:gridCol w:w="2275"/>
        <w:gridCol w:w="574"/>
        <w:gridCol w:w="691"/>
        <w:gridCol w:w="1416"/>
        <w:gridCol w:w="1416"/>
        <w:gridCol w:w="1265"/>
        <w:gridCol w:w="1265"/>
        <w:gridCol w:w="1121"/>
        <w:gridCol w:w="826"/>
        <w:gridCol w:w="1253"/>
        <w:gridCol w:w="1042"/>
      </w:tblGrid>
      <w:tr>
        <w:trPr>
          <w:trHeight w:val="71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firstLine="89"/>
              <w:jc w:val="left"/>
              <w:rPr>
                <w:rFonts w:ascii="宋体" w:hAnsi="宋体" w:cs="宋体" w:eastAsia="宋体" w:hint="default"/>
                <w:sz w:val="18"/>
                <w:szCs w:val="18"/>
              </w:rPr>
            </w:pPr>
            <w:r>
              <w:rPr>
                <w:rFonts w:ascii="宋体"/>
                <w:sz w:val="18"/>
              </w:rPr>
              <w:t>Klaus</w:t>
            </w:r>
          </w:p>
          <w:p>
            <w:pPr>
              <w:pStyle w:val="TableParagraph"/>
              <w:spacing w:line="232" w:lineRule="exact" w:before="23"/>
              <w:ind w:left="201" w:right="153" w:hanging="46"/>
              <w:jc w:val="left"/>
              <w:rPr>
                <w:rFonts w:ascii="宋体" w:hAnsi="宋体" w:cs="宋体" w:eastAsia="宋体" w:hint="default"/>
                <w:sz w:val="18"/>
                <w:szCs w:val="18"/>
              </w:rPr>
            </w:pPr>
            <w:r>
              <w:rPr>
                <w:rFonts w:ascii="宋体"/>
                <w:sz w:val="18"/>
              </w:rPr>
              <w:t>Michael Zimmer</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290.84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楠</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高级副总裁兼董事会秘书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sz w:val="18"/>
              </w:rPr>
              <w:t>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2020-05-04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439,278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439,278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宇佐美徹</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sz w:val="18"/>
              </w:rPr>
              <w:t>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2017-08-29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刘明辉</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sz w:val="18"/>
              </w:rPr>
              <w:t>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2014-04-24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2017-05-05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胡爱民</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sz w:val="18"/>
              </w:rPr>
              <w:t>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2014-04-24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简国栋</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原高级副总裁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sz w:val="18"/>
              </w:rPr>
              <w:t>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2017-05-05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2017-12-29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84.00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12,183,938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12,010,838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-173,100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3,227.59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8"/>
          <w:szCs w:val="18"/>
        </w:rPr>
      </w:pPr>
    </w:p>
    <w:p>
      <w:pPr>
        <w:pStyle w:val="BodyText"/>
        <w:spacing w:line="240" w:lineRule="auto" w:before="36"/>
        <w:ind w:left="224" w:right="3077"/>
        <w:jc w:val="left"/>
      </w:pPr>
      <w:r>
        <w:rPr/>
        <w:t>注</w:t>
      </w:r>
      <w:r>
        <w:rPr>
          <w:spacing w:val="-52"/>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日，张晓鸥减持本公司股票</w:t>
      </w:r>
      <w:r>
        <w:rPr>
          <w:spacing w:val="-52"/>
        </w:rPr>
        <w:t> </w:t>
      </w:r>
      <w:r>
        <w:rPr>
          <w:rFonts w:ascii="宋体" w:hAnsi="宋体" w:cs="宋体" w:eastAsia="宋体" w:hint="default"/>
        </w:rPr>
        <w:t>70,000</w:t>
      </w:r>
      <w:r>
        <w:rPr>
          <w:rFonts w:ascii="宋体" w:hAnsi="宋体" w:cs="宋体" w:eastAsia="宋体" w:hint="default"/>
          <w:spacing w:val="-55"/>
        </w:rPr>
        <w:t> </w:t>
      </w:r>
      <w:r>
        <w:rPr/>
        <w:t>股。</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5"/>
        </w:rPr>
        <w:t> </w:t>
      </w:r>
      <w:r>
        <w:rPr/>
        <w:t>日，王经锡减持本公司股票</w:t>
      </w:r>
      <w:r>
        <w:rPr>
          <w:spacing w:val="-53"/>
        </w:rPr>
        <w:t> </w:t>
      </w:r>
      <w:r>
        <w:rPr>
          <w:rFonts w:ascii="宋体" w:hAnsi="宋体" w:cs="宋体" w:eastAsia="宋体" w:hint="default"/>
        </w:rPr>
        <w:t>103,100</w:t>
      </w:r>
      <w:r>
        <w:rPr>
          <w:rFonts w:ascii="宋体" w:hAnsi="宋体" w:cs="宋体" w:eastAsia="宋体" w:hint="default"/>
          <w:spacing w:val="-55"/>
        </w:rPr>
        <w:t> </w:t>
      </w:r>
      <w:r>
        <w:rPr/>
        <w:t>股。</w:t>
      </w:r>
      <w:r>
        <w:rPr>
          <w:w w:val="100"/>
        </w:rPr>
        <w:t> </w:t>
      </w:r>
      <w:r>
        <w:rPr/>
        <w:t>注</w:t>
      </w:r>
      <w:r>
        <w:rPr>
          <w:spacing w:val="-53"/>
        </w:rPr>
        <w:t> </w:t>
      </w:r>
      <w:r>
        <w:rPr>
          <w:rFonts w:ascii="宋体" w:hAnsi="宋体" w:cs="宋体" w:eastAsia="宋体" w:hint="default"/>
        </w:rPr>
        <w:t>2</w:t>
      </w:r>
      <w:r>
        <w:rPr/>
        <w:t>：数据为其就职日期至本报告期末的持股变动情况。</w:t>
      </w:r>
    </w:p>
    <w:p>
      <w:pPr>
        <w:pStyle w:val="BodyText"/>
        <w:spacing w:line="271" w:lineRule="exact"/>
        <w:ind w:left="224" w:right="3077"/>
        <w:jc w:val="left"/>
      </w:pPr>
      <w:r>
        <w:rPr/>
        <w:t>注</w:t>
      </w:r>
      <w:r>
        <w:rPr>
          <w:spacing w:val="-55"/>
        </w:rPr>
        <w:t> </w:t>
      </w:r>
      <w:r>
        <w:rPr>
          <w:rFonts w:ascii="宋体" w:hAnsi="宋体" w:cs="宋体" w:eastAsia="宋体" w:hint="default"/>
        </w:rPr>
        <w:t>3</w:t>
      </w:r>
      <w:r>
        <w:rPr/>
        <w:t>：数据为其年初至离任半年内的持股变动情况。</w:t>
      </w:r>
    </w:p>
    <w:p>
      <w:pPr>
        <w:spacing w:line="240" w:lineRule="auto" w:before="3"/>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91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刘积仁，男，</w:t>
            </w:r>
            <w:r>
              <w:rPr>
                <w:rFonts w:ascii="宋体" w:hAnsi="宋体" w:cs="宋体" w:eastAsia="宋体" w:hint="default"/>
                <w:spacing w:val="-1"/>
                <w:sz w:val="21"/>
                <w:szCs w:val="21"/>
              </w:rPr>
              <w:t>1955</w:t>
            </w:r>
            <w:r>
              <w:rPr>
                <w:rFonts w:ascii="宋体" w:hAnsi="宋体" w:cs="宋体" w:eastAsia="宋体" w:hint="default"/>
                <w:spacing w:val="94"/>
                <w:sz w:val="21"/>
                <w:szCs w:val="21"/>
              </w:rPr>
              <w:t> </w:t>
            </w:r>
            <w:r>
              <w:rPr>
                <w:rFonts w:ascii="宋体" w:hAnsi="宋体" w:cs="宋体" w:eastAsia="宋体" w:hint="default"/>
                <w:spacing w:val="-2"/>
                <w:sz w:val="21"/>
                <w:szCs w:val="21"/>
              </w:rPr>
              <w:t>年出生，计算机应用专业博士。公司创始人之一，现任公司董事长兼首席执行官，兼任中国软件行业协会副理事长，</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中国自动化学会常务理事，曾任东北大学副校长。同时，刘积仁博士也是世界经济论坛新兴跨国公司议程理事会成员，并曾多年担任亚</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太经合组织</w:t>
            </w:r>
            <w:r>
              <w:rPr>
                <w:rFonts w:ascii="宋体" w:hAnsi="宋体" w:cs="宋体" w:eastAsia="宋体" w:hint="default"/>
                <w:spacing w:val="-46"/>
                <w:sz w:val="21"/>
                <w:szCs w:val="21"/>
              </w:rPr>
              <w:t> </w:t>
            </w:r>
            <w:r>
              <w:rPr>
                <w:rFonts w:ascii="宋体" w:hAnsi="宋体" w:cs="宋体" w:eastAsia="宋体" w:hint="default"/>
                <w:sz w:val="21"/>
                <w:szCs w:val="21"/>
              </w:rPr>
              <w:t>APEC</w:t>
            </w:r>
            <w:r>
              <w:rPr>
                <w:rFonts w:ascii="宋体" w:hAnsi="宋体" w:cs="宋体" w:eastAsia="宋体" w:hint="default"/>
                <w:spacing w:val="-46"/>
                <w:sz w:val="21"/>
                <w:szCs w:val="21"/>
              </w:rPr>
              <w:t> </w:t>
            </w:r>
            <w:r>
              <w:rPr>
                <w:rFonts w:ascii="宋体" w:hAnsi="宋体" w:cs="宋体" w:eastAsia="宋体" w:hint="default"/>
                <w:spacing w:val="-4"/>
                <w:sz w:val="21"/>
                <w:szCs w:val="21"/>
              </w:rPr>
              <w:t>工商咨询理事会成员等职。刘积仁于</w:t>
            </w:r>
            <w:r>
              <w:rPr>
                <w:rFonts w:ascii="宋体" w:hAnsi="宋体" w:cs="宋体" w:eastAsia="宋体" w:hint="default"/>
                <w:spacing w:val="-46"/>
                <w:sz w:val="21"/>
                <w:szCs w:val="21"/>
              </w:rPr>
              <w:t> </w:t>
            </w:r>
            <w:r>
              <w:rPr>
                <w:rFonts w:ascii="宋体" w:hAnsi="宋体" w:cs="宋体" w:eastAsia="宋体" w:hint="default"/>
                <w:sz w:val="21"/>
                <w:szCs w:val="21"/>
              </w:rPr>
              <w:t>1984</w:t>
            </w:r>
            <w:r>
              <w:rPr>
                <w:rFonts w:ascii="宋体" w:hAnsi="宋体" w:cs="宋体" w:eastAsia="宋体" w:hint="default"/>
                <w:spacing w:val="-45"/>
                <w:sz w:val="21"/>
                <w:szCs w:val="21"/>
              </w:rPr>
              <w:t> </w:t>
            </w:r>
            <w:r>
              <w:rPr>
                <w:rFonts w:ascii="宋体" w:hAnsi="宋体" w:cs="宋体" w:eastAsia="宋体" w:hint="default"/>
                <w:spacing w:val="-4"/>
                <w:sz w:val="21"/>
                <w:szCs w:val="21"/>
              </w:rPr>
              <w:t>年开始在东北大学攻读博士，</w:t>
            </w:r>
            <w:r>
              <w:rPr>
                <w:rFonts w:ascii="宋体" w:hAnsi="宋体" w:cs="宋体" w:eastAsia="宋体" w:hint="default"/>
                <w:spacing w:val="-4"/>
                <w:sz w:val="21"/>
                <w:szCs w:val="21"/>
              </w:rPr>
              <w:t>1986</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1987</w:t>
            </w:r>
            <w:r>
              <w:rPr>
                <w:rFonts w:ascii="宋体" w:hAnsi="宋体" w:cs="宋体" w:eastAsia="宋体" w:hint="default"/>
                <w:spacing w:val="-48"/>
                <w:sz w:val="21"/>
                <w:szCs w:val="21"/>
              </w:rPr>
              <w:t> </w:t>
            </w:r>
            <w:r>
              <w:rPr>
                <w:rFonts w:ascii="宋体" w:hAnsi="宋体" w:cs="宋体" w:eastAsia="宋体" w:hint="default"/>
                <w:sz w:val="21"/>
                <w:szCs w:val="21"/>
              </w:rPr>
              <w:t>年在美国国家标准局计算机研究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院做论文研究，</w:t>
            </w:r>
            <w:r>
              <w:rPr>
                <w:rFonts w:ascii="宋体" w:hAnsi="宋体" w:cs="宋体" w:eastAsia="宋体" w:hint="default"/>
                <w:sz w:val="21"/>
                <w:szCs w:val="21"/>
              </w:rPr>
              <w:t>1987</w:t>
            </w:r>
            <w:r>
              <w:rPr>
                <w:rFonts w:ascii="宋体" w:hAnsi="宋体" w:cs="宋体" w:eastAsia="宋体" w:hint="default"/>
                <w:spacing w:val="-38"/>
                <w:sz w:val="21"/>
                <w:szCs w:val="21"/>
              </w:rPr>
              <w:t> </w:t>
            </w:r>
            <w:r>
              <w:rPr>
                <w:rFonts w:ascii="宋体" w:hAnsi="宋体" w:cs="宋体" w:eastAsia="宋体" w:hint="default"/>
                <w:sz w:val="21"/>
                <w:szCs w:val="21"/>
              </w:rPr>
              <w:t>年回国获东北大学博士学位，成为中国第一个计算机应用专业博士。</w:t>
            </w:r>
            <w:r>
              <w:rPr>
                <w:rFonts w:ascii="宋体" w:hAnsi="宋体" w:cs="宋体" w:eastAsia="宋体" w:hint="default"/>
                <w:sz w:val="21"/>
                <w:szCs w:val="21"/>
              </w:rPr>
              <w:t>1991</w:t>
            </w:r>
            <w:r>
              <w:rPr>
                <w:rFonts w:ascii="宋体" w:hAnsi="宋体" w:cs="宋体" w:eastAsia="宋体" w:hint="default"/>
                <w:spacing w:val="-40"/>
                <w:sz w:val="21"/>
                <w:szCs w:val="21"/>
              </w:rPr>
              <w:t> </w:t>
            </w:r>
            <w:r>
              <w:rPr>
                <w:rFonts w:ascii="宋体" w:hAnsi="宋体" w:cs="宋体" w:eastAsia="宋体" w:hint="default"/>
                <w:sz w:val="21"/>
                <w:szCs w:val="21"/>
              </w:rPr>
              <w:t>年刘积仁创建东软，</w:t>
            </w:r>
            <w:r>
              <w:rPr>
                <w:rFonts w:ascii="宋体" w:hAnsi="宋体" w:cs="宋体" w:eastAsia="宋体" w:hint="default"/>
                <w:sz w:val="21"/>
                <w:szCs w:val="21"/>
              </w:rPr>
              <w:t>1993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z w:val="21"/>
                <w:szCs w:val="21"/>
              </w:rPr>
              <w:t>月至</w:t>
            </w:r>
            <w:r>
              <w:rPr>
                <w:rFonts w:ascii="宋体" w:hAnsi="宋体" w:cs="宋体" w:eastAsia="宋体" w:hint="default"/>
                <w:spacing w:val="-37"/>
                <w:sz w:val="21"/>
                <w:szCs w:val="21"/>
              </w:rPr>
              <w:t> </w:t>
            </w:r>
            <w:r>
              <w:rPr>
                <w:rFonts w:ascii="宋体" w:hAnsi="宋体" w:cs="宋体" w:eastAsia="宋体" w:hint="default"/>
                <w:sz w:val="21"/>
                <w:szCs w:val="21"/>
              </w:rPr>
              <w:t>1999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月任公司董事、总经理，</w:t>
            </w:r>
            <w:r>
              <w:rPr>
                <w:rFonts w:ascii="宋体" w:hAnsi="宋体" w:cs="宋体" w:eastAsia="宋体" w:hint="default"/>
                <w:sz w:val="21"/>
                <w:szCs w:val="21"/>
              </w:rPr>
              <w:t>1999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月始任公司董事长。曾荣获“第六届亚洲商业领袖·创新人物奖”、“2009</w:t>
            </w:r>
            <w:r>
              <w:rPr>
                <w:rFonts w:ascii="宋体" w:hAnsi="宋体" w:cs="宋体" w:eastAsia="宋体" w:hint="default"/>
                <w:spacing w:val="-1"/>
                <w:sz w:val="21"/>
                <w:szCs w:val="21"/>
              </w:rPr>
              <w:t> </w:t>
            </w:r>
            <w:r>
              <w:rPr>
                <w:rFonts w:ascii="宋体" w:hAnsi="宋体" w:cs="宋体" w:eastAsia="宋体" w:hint="default"/>
                <w:sz w:val="21"/>
                <w:szCs w:val="21"/>
              </w:rPr>
              <w:t>CCTV</w:t>
            </w:r>
            <w:r>
              <w:rPr>
                <w:rFonts w:ascii="宋体" w:hAnsi="宋体" w:cs="宋体" w:eastAsia="宋体" w:hint="default"/>
                <w:spacing w:val="-39"/>
                <w:sz w:val="21"/>
                <w:szCs w:val="21"/>
              </w:rPr>
              <w:t> </w:t>
            </w:r>
            <w:r>
              <w:rPr>
                <w:rFonts w:ascii="宋体" w:hAnsi="宋体" w:cs="宋体" w:eastAsia="宋体" w:hint="default"/>
                <w:sz w:val="21"/>
                <w:szCs w:val="21"/>
              </w:rPr>
              <w:t>中国经济年度</w:t>
            </w:r>
            <w:r>
              <w:rPr>
                <w:rFonts w:ascii="宋体" w:hAnsi="宋体" w:cs="宋体" w:eastAsia="宋体" w:hint="default"/>
                <w:w w:val="100"/>
                <w:sz w:val="21"/>
                <w:szCs w:val="21"/>
              </w:rPr>
              <w:t> </w:t>
            </w:r>
            <w:r>
              <w:rPr>
                <w:rFonts w:ascii="宋体" w:hAnsi="宋体" w:cs="宋体" w:eastAsia="宋体" w:hint="default"/>
                <w:spacing w:val="-5"/>
                <w:sz w:val="21"/>
                <w:szCs w:val="21"/>
              </w:rPr>
              <w:t>人物”、“2010 </w:t>
            </w:r>
            <w:r>
              <w:rPr>
                <w:rFonts w:ascii="宋体" w:hAnsi="宋体" w:cs="宋体" w:eastAsia="宋体" w:hint="default"/>
                <w:spacing w:val="-4"/>
                <w:sz w:val="21"/>
                <w:szCs w:val="21"/>
              </w:rPr>
              <w:t>安永中国企业家奖”、“最具战略眼光董事长”奖、“最具社会责任董事长”奖、“中国最佳商业领袖奖”、入选“IAOP</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外包名人堂”、“中国软件产业十年功勋人物”、国家工程研究中心“先进工作者”称号、“产学研合作创新奖”。</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王勇峰，男，</w:t>
            </w:r>
            <w:r>
              <w:rPr>
                <w:rFonts w:ascii="宋体" w:hAnsi="宋体" w:cs="宋体" w:eastAsia="宋体" w:hint="default"/>
                <w:sz w:val="21"/>
                <w:szCs w:val="21"/>
              </w:rPr>
              <w:t>1970</w:t>
            </w:r>
            <w:r>
              <w:rPr>
                <w:rFonts w:ascii="宋体" w:hAnsi="宋体" w:cs="宋体" w:eastAsia="宋体" w:hint="default"/>
                <w:spacing w:val="-26"/>
                <w:sz w:val="21"/>
                <w:szCs w:val="21"/>
              </w:rPr>
              <w:t> </w:t>
            </w:r>
            <w:r>
              <w:rPr>
                <w:rFonts w:ascii="宋体" w:hAnsi="宋体" w:cs="宋体" w:eastAsia="宋体" w:hint="default"/>
                <w:sz w:val="21"/>
                <w:szCs w:val="21"/>
              </w:rPr>
              <w:t>年出生，吉林大学计算机应用人工智能专业硕士。现任公司副董事长兼总裁。王勇峰于</w:t>
            </w:r>
            <w:r>
              <w:rPr>
                <w:rFonts w:ascii="宋体" w:hAnsi="宋体" w:cs="宋体" w:eastAsia="宋体" w:hint="default"/>
                <w:spacing w:val="-26"/>
                <w:sz w:val="21"/>
                <w:szCs w:val="21"/>
              </w:rPr>
              <w:t> </w:t>
            </w:r>
            <w:r>
              <w:rPr>
                <w:rFonts w:ascii="宋体" w:hAnsi="宋体" w:cs="宋体" w:eastAsia="宋体" w:hint="default"/>
                <w:sz w:val="21"/>
                <w:szCs w:val="21"/>
              </w:rPr>
              <w:t>1992</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5</w:t>
            </w:r>
            <w:r>
              <w:rPr>
                <w:rFonts w:ascii="宋体" w:hAnsi="宋体" w:cs="宋体" w:eastAsia="宋体" w:hint="default"/>
                <w:spacing w:val="-23"/>
                <w:sz w:val="21"/>
                <w:szCs w:val="21"/>
              </w:rPr>
              <w:t> </w:t>
            </w:r>
            <w:r>
              <w:rPr>
                <w:rFonts w:ascii="宋体" w:hAnsi="宋体" w:cs="宋体" w:eastAsia="宋体" w:hint="default"/>
                <w:sz w:val="21"/>
                <w:szCs w:val="21"/>
              </w:rPr>
              <w:t>月加入公司，</w:t>
            </w:r>
            <w:r>
              <w:rPr>
                <w:rFonts w:ascii="宋体" w:hAnsi="宋体" w:cs="宋体" w:eastAsia="宋体" w:hint="default"/>
                <w:sz w:val="21"/>
                <w:szCs w:val="21"/>
              </w:rPr>
              <w:t>1997</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月任公司副总经理，</w:t>
            </w:r>
            <w:r>
              <w:rPr>
                <w:rFonts w:ascii="宋体" w:hAnsi="宋体" w:cs="宋体" w:eastAsia="宋体" w:hint="default"/>
                <w:sz w:val="21"/>
                <w:szCs w:val="21"/>
              </w:rPr>
              <w:t>1999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月始任公司总裁，</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月始任公司董事。曾荣获“中国软件行业杰出青年”、</w:t>
            </w:r>
            <w:r>
              <w:rPr>
                <w:rFonts w:ascii="宋体" w:hAnsi="宋体" w:cs="宋体" w:eastAsia="宋体" w:hint="default"/>
                <w:w w:val="100"/>
                <w:sz w:val="21"/>
                <w:szCs w:val="21"/>
              </w:rPr>
              <w:t> </w:t>
            </w:r>
            <w:r>
              <w:rPr>
                <w:rFonts w:ascii="宋体" w:hAnsi="宋体" w:cs="宋体" w:eastAsia="宋体" w:hint="default"/>
                <w:spacing w:val="-2"/>
                <w:sz w:val="21"/>
                <w:szCs w:val="21"/>
              </w:rPr>
              <w:t>“辽宁省十大优秀青年经理”、“沈阳市优秀科技工作者”、“2009</w:t>
            </w:r>
            <w:r>
              <w:rPr>
                <w:rFonts w:ascii="宋体" w:hAnsi="宋体" w:cs="宋体" w:eastAsia="宋体" w:hint="default"/>
                <w:spacing w:val="-2"/>
                <w:sz w:val="21"/>
                <w:szCs w:val="21"/>
              </w:rPr>
              <w:t>-2010</w:t>
            </w:r>
            <w:r>
              <w:rPr>
                <w:rFonts w:ascii="宋体" w:hAnsi="宋体" w:cs="宋体" w:eastAsia="宋体" w:hint="default"/>
                <w:spacing w:val="55"/>
                <w:sz w:val="21"/>
                <w:szCs w:val="21"/>
              </w:rPr>
              <w:t> </w:t>
            </w:r>
            <w:r>
              <w:rPr>
                <w:rFonts w:ascii="宋体" w:hAnsi="宋体" w:cs="宋体" w:eastAsia="宋体" w:hint="default"/>
                <w:spacing w:val="-2"/>
                <w:sz w:val="21"/>
                <w:szCs w:val="21"/>
              </w:rPr>
              <w:t>中国软件和信息服务业领军人物”等多项荣誉。</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陈锡民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陈锡民，男，</w:t>
            </w:r>
            <w:r>
              <w:rPr>
                <w:rFonts w:ascii="宋体" w:hAnsi="宋体" w:cs="宋体" w:eastAsia="宋体" w:hint="default"/>
                <w:sz w:val="21"/>
                <w:szCs w:val="21"/>
              </w:rPr>
              <w:t>1969</w:t>
            </w:r>
            <w:r>
              <w:rPr>
                <w:rFonts w:ascii="宋体" w:hAnsi="宋体" w:cs="宋体" w:eastAsia="宋体" w:hint="default"/>
                <w:spacing w:val="-30"/>
                <w:sz w:val="21"/>
                <w:szCs w:val="21"/>
              </w:rPr>
              <w:t> </w:t>
            </w:r>
            <w:r>
              <w:rPr>
                <w:rFonts w:ascii="宋体" w:hAnsi="宋体" w:cs="宋体" w:eastAsia="宋体" w:hint="default"/>
                <w:sz w:val="21"/>
                <w:szCs w:val="21"/>
              </w:rPr>
              <w:t>年出生，清华大学控制理论与控制工程专业博士。现任公司董事兼高级副总裁兼首席运营官。陈锡民于</w:t>
            </w:r>
            <w:r>
              <w:rPr>
                <w:rFonts w:ascii="宋体" w:hAnsi="宋体" w:cs="宋体" w:eastAsia="宋体" w:hint="default"/>
                <w:spacing w:val="-30"/>
                <w:sz w:val="21"/>
                <w:szCs w:val="21"/>
              </w:rPr>
              <w:t> </w:t>
            </w:r>
            <w:r>
              <w:rPr>
                <w:rFonts w:ascii="宋体" w:hAnsi="宋体" w:cs="宋体" w:eastAsia="宋体" w:hint="default"/>
                <w:sz w:val="21"/>
                <w:szCs w:val="21"/>
              </w:rPr>
              <w:t>1999</w:t>
            </w:r>
            <w:r>
              <w:rPr>
                <w:rFonts w:ascii="宋体" w:hAnsi="宋体" w:cs="宋体" w:eastAsia="宋体"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z w:val="21"/>
                <w:szCs w:val="21"/>
              </w:rPr>
              <w:t>月</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加入公司，曾任东软中间件技术分公司智能设备开发部部长、东软中间件技术分公司副总经理、公司副总裁、嵌入式软件事业部总经理</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等职。</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石野诚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石野诚，男，日本籍，</w:t>
            </w:r>
            <w:r>
              <w:rPr>
                <w:rFonts w:ascii="宋体" w:hAnsi="宋体" w:cs="宋体" w:eastAsia="宋体" w:hint="default"/>
                <w:sz w:val="21"/>
                <w:szCs w:val="21"/>
              </w:rPr>
              <w:t>1959 </w:t>
            </w:r>
            <w:r>
              <w:rPr>
                <w:rFonts w:ascii="宋体" w:hAnsi="宋体" w:cs="宋体" w:eastAsia="宋体" w:hint="default"/>
                <w:sz w:val="21"/>
                <w:szCs w:val="21"/>
              </w:rPr>
              <w:t>年出生，静冈大学工学部大学院毕业。</w:t>
            </w:r>
            <w:r>
              <w:rPr>
                <w:rFonts w:ascii="宋体" w:hAnsi="宋体" w:cs="宋体" w:eastAsia="宋体" w:hint="default"/>
                <w:sz w:val="21"/>
                <w:szCs w:val="21"/>
              </w:rPr>
              <w:t>1984</w:t>
            </w:r>
            <w:r>
              <w:rPr>
                <w:rFonts w:ascii="宋体" w:hAnsi="宋体" w:cs="宋体" w:eastAsia="宋体" w:hint="default"/>
                <w:spacing w:val="97"/>
                <w:sz w:val="21"/>
                <w:szCs w:val="21"/>
              </w:rPr>
              <w:t> </w:t>
            </w:r>
            <w:r>
              <w:rPr>
                <w:rFonts w:ascii="宋体" w:hAnsi="宋体" w:cs="宋体" w:eastAsia="宋体" w:hint="default"/>
                <w:sz w:val="21"/>
                <w:szCs w:val="21"/>
              </w:rPr>
              <w:t>年加入株式会社东芝，曾担任东芝解决方案株式会社中部分公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司社长等职。现任东芝数字解决方案株式会社生产总负责人。</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徐洪利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徐洪利，男，</w:t>
            </w:r>
            <w:r>
              <w:rPr>
                <w:rFonts w:ascii="宋体" w:hAnsi="宋体" w:cs="宋体" w:eastAsia="宋体" w:hint="default"/>
                <w:spacing w:val="-2"/>
                <w:sz w:val="21"/>
                <w:szCs w:val="21"/>
              </w:rPr>
              <w:t>1965</w:t>
            </w:r>
            <w:r>
              <w:rPr>
                <w:rFonts w:ascii="宋体" w:hAnsi="宋体" w:cs="宋体" w:eastAsia="宋体" w:hint="default"/>
                <w:sz w:val="21"/>
                <w:szCs w:val="21"/>
              </w:rPr>
              <w:t> </w:t>
            </w:r>
            <w:r>
              <w:rPr>
                <w:rFonts w:ascii="宋体" w:hAnsi="宋体" w:cs="宋体" w:eastAsia="宋体" w:hint="default"/>
                <w:spacing w:val="-2"/>
                <w:sz w:val="21"/>
                <w:szCs w:val="21"/>
              </w:rPr>
              <w:t>年出生，东北大学计算机应用专业硕士。现任公司高级副总裁，兼任政府事业本部总经理（本部长）。徐洪利于</w:t>
            </w:r>
            <w:r>
              <w:rPr>
                <w:rFonts w:ascii="宋体" w:hAnsi="宋体" w:cs="宋体" w:eastAsia="宋体" w:hint="default"/>
                <w:spacing w:val="-7"/>
                <w:sz w:val="21"/>
                <w:szCs w:val="21"/>
              </w:rPr>
              <w:t> </w:t>
            </w:r>
            <w:r>
              <w:rPr>
                <w:rFonts w:ascii="宋体" w:hAnsi="宋体" w:cs="宋体" w:eastAsia="宋体" w:hint="default"/>
                <w:spacing w:val="-1"/>
                <w:sz w:val="21"/>
                <w:szCs w:val="21"/>
              </w:rPr>
              <w:t>1996</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月加入公司，先后担任社保开发部部长、软件工程事业部部长、社保事业部总经理、政府事业部总经理、公司副总裁等职，</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月始任公司高级副总裁。</w:t>
            </w:r>
          </w:p>
        </w:tc>
      </w:tr>
    </w:tbl>
    <w:p>
      <w:pPr>
        <w:spacing w:after="0" w:line="240" w:lineRule="auto"/>
        <w:jc w:val="left"/>
        <w:rPr>
          <w:rFonts w:ascii="宋体" w:hAnsi="宋体" w:cs="宋体" w:eastAsia="宋体" w:hint="default"/>
          <w:sz w:val="21"/>
          <w:szCs w:val="21"/>
        </w:rPr>
        <w:sectPr>
          <w:headerReference w:type="default" r:id="rId44"/>
          <w:pgSz w:w="16840" w:h="11910" w:orient="landscape"/>
          <w:pgMar w:header="745" w:footer="1228" w:top="1100" w:bottom="1440" w:left="1300" w:right="1200"/>
        </w:sectPr>
      </w:pPr>
    </w:p>
    <w:p>
      <w:pPr>
        <w:spacing w:line="240" w:lineRule="auto" w:before="9"/>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远藤浩一</w:t>
            </w:r>
            <w:r>
              <w:rPr>
                <w:rFonts w:ascii="宋体" w:hAnsi="宋体" w:cs="宋体" w:eastAsia="宋体" w:hint="default"/>
                <w:spacing w:val="-2"/>
                <w:sz w:val="21"/>
                <w:szCs w:val="21"/>
              </w:rPr>
              <w:t>,</w:t>
            </w:r>
            <w:r>
              <w:rPr>
                <w:rFonts w:ascii="宋体" w:hAnsi="宋体" w:cs="宋体" w:eastAsia="宋体" w:hint="default"/>
                <w:spacing w:val="-2"/>
                <w:sz w:val="21"/>
                <w:szCs w:val="21"/>
              </w:rPr>
              <w:t>男，日本籍，</w:t>
            </w:r>
            <w:r>
              <w:rPr>
                <w:rFonts w:ascii="宋体" w:hAnsi="宋体" w:cs="宋体" w:eastAsia="宋体" w:hint="default"/>
                <w:spacing w:val="-2"/>
                <w:sz w:val="21"/>
                <w:szCs w:val="21"/>
              </w:rPr>
              <w:t>1961</w:t>
            </w:r>
            <w:r>
              <w:rPr>
                <w:rFonts w:ascii="宋体" w:hAnsi="宋体" w:cs="宋体" w:eastAsia="宋体" w:hint="default"/>
                <w:sz w:val="21"/>
                <w:szCs w:val="21"/>
              </w:rPr>
              <w:t> </w:t>
            </w:r>
            <w:r>
              <w:rPr>
                <w:rFonts w:ascii="宋体" w:hAnsi="宋体" w:cs="宋体" w:eastAsia="宋体" w:hint="default"/>
                <w:spacing w:val="-2"/>
                <w:sz w:val="21"/>
                <w:szCs w:val="21"/>
              </w:rPr>
              <w:t>年出生，日本大学理工学部硕士毕业。现任阿尔派株式会社常务董事、技术•开发总负责人。</w:t>
            </w:r>
            <w:r>
              <w:rPr>
                <w:rFonts w:ascii="宋体" w:hAnsi="宋体" w:cs="宋体" w:eastAsia="宋体" w:hint="default"/>
                <w:spacing w:val="-2"/>
                <w:sz w:val="21"/>
                <w:szCs w:val="21"/>
              </w:rPr>
              <w:t>1986</w:t>
            </w:r>
            <w:r>
              <w:rPr>
                <w:rFonts w:ascii="宋体" w:hAnsi="宋体" w:cs="宋体" w:eastAsia="宋体" w:hint="default"/>
                <w:spacing w:val="-9"/>
                <w:sz w:val="21"/>
                <w:szCs w:val="21"/>
              </w:rPr>
              <w:t> </w:t>
            </w:r>
            <w:r>
              <w:rPr>
                <w:rFonts w:ascii="宋体" w:hAnsi="宋体" w:cs="宋体" w:eastAsia="宋体" w:hint="default"/>
                <w:spacing w:val="-1"/>
                <w:sz w:val="21"/>
                <w:szCs w:val="21"/>
              </w:rPr>
              <w:t>年加入阿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尔派株式会社，</w:t>
            </w:r>
            <w:r>
              <w:rPr>
                <w:rFonts w:ascii="宋体" w:hAnsi="宋体" w:cs="宋体" w:eastAsia="宋体" w:hint="default"/>
                <w:spacing w:val="-2"/>
                <w:sz w:val="21"/>
                <w:szCs w:val="21"/>
              </w:rPr>
              <w:t>2010</w:t>
            </w:r>
            <w:r>
              <w:rPr>
                <w:rFonts w:ascii="宋体" w:hAnsi="宋体" w:cs="宋体" w:eastAsia="宋体" w:hint="default"/>
                <w:sz w:val="21"/>
                <w:szCs w:val="21"/>
              </w:rPr>
              <w:t> </w:t>
            </w:r>
            <w:r>
              <w:rPr>
                <w:rFonts w:ascii="宋体" w:hAnsi="宋体" w:cs="宋体" w:eastAsia="宋体" w:hint="default"/>
                <w:spacing w:val="-2"/>
                <w:sz w:val="21"/>
                <w:szCs w:val="21"/>
              </w:rPr>
              <w:t>年起担任阿尔派本社董事、产品开发责任人，</w:t>
            </w:r>
            <w:r>
              <w:rPr>
                <w:rFonts w:ascii="宋体" w:hAnsi="宋体" w:cs="宋体" w:eastAsia="宋体" w:hint="default"/>
                <w:spacing w:val="-2"/>
                <w:sz w:val="21"/>
                <w:szCs w:val="21"/>
              </w:rPr>
              <w:t>2016</w:t>
            </w:r>
            <w:r>
              <w:rPr>
                <w:rFonts w:ascii="宋体" w:hAnsi="宋体" w:cs="宋体" w:eastAsia="宋体" w:hint="default"/>
                <w:spacing w:val="-12"/>
                <w:sz w:val="21"/>
                <w:szCs w:val="21"/>
              </w:rPr>
              <w:t> </w:t>
            </w:r>
            <w:r>
              <w:rPr>
                <w:rFonts w:ascii="宋体" w:hAnsi="宋体" w:cs="宋体" w:eastAsia="宋体" w:hint="default"/>
                <w:spacing w:val="-2"/>
                <w:sz w:val="21"/>
                <w:szCs w:val="21"/>
              </w:rPr>
              <w:t>年起担任常务董事、技术•开发总负责人。</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w:t>
              <w:tab/>
              <w:t>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王巍，男，</w:t>
            </w:r>
            <w:r>
              <w:rPr>
                <w:rFonts w:ascii="宋体" w:hAnsi="宋体" w:cs="宋体" w:eastAsia="宋体" w:hint="default"/>
                <w:sz w:val="21"/>
                <w:szCs w:val="21"/>
              </w:rPr>
              <w:t>1958</w:t>
            </w:r>
            <w:r>
              <w:rPr>
                <w:rFonts w:ascii="宋体" w:hAnsi="宋体" w:cs="宋体" w:eastAsia="宋体" w:hint="default"/>
                <w:spacing w:val="-56"/>
                <w:sz w:val="21"/>
                <w:szCs w:val="21"/>
              </w:rPr>
              <w:t> </w:t>
            </w:r>
            <w:r>
              <w:rPr>
                <w:rFonts w:ascii="宋体" w:hAnsi="宋体" w:cs="宋体" w:eastAsia="宋体" w:hint="default"/>
                <w:sz w:val="21"/>
                <w:szCs w:val="21"/>
              </w:rPr>
              <w:t>年出生，美国</w:t>
            </w:r>
            <w:r>
              <w:rPr>
                <w:rFonts w:ascii="宋体" w:hAnsi="宋体" w:cs="宋体" w:eastAsia="宋体" w:hint="default"/>
                <w:spacing w:val="-55"/>
                <w:sz w:val="21"/>
                <w:szCs w:val="21"/>
              </w:rPr>
              <w:t> </w:t>
            </w:r>
            <w:r>
              <w:rPr>
                <w:rFonts w:ascii="宋体" w:hAnsi="宋体" w:cs="宋体" w:eastAsia="宋体" w:hint="default"/>
                <w:sz w:val="21"/>
                <w:szCs w:val="21"/>
              </w:rPr>
              <w:t>Fordham</w:t>
            </w:r>
            <w:r>
              <w:rPr>
                <w:rFonts w:ascii="宋体" w:hAnsi="宋体" w:cs="宋体" w:eastAsia="宋体" w:hint="default"/>
                <w:spacing w:val="-5"/>
                <w:sz w:val="21"/>
                <w:szCs w:val="21"/>
              </w:rPr>
              <w:t> </w:t>
            </w:r>
            <w:r>
              <w:rPr>
                <w:rFonts w:ascii="宋体" w:hAnsi="宋体" w:cs="宋体" w:eastAsia="宋体" w:hint="default"/>
                <w:sz w:val="21"/>
                <w:szCs w:val="21"/>
              </w:rPr>
              <w:t>University</w:t>
            </w:r>
            <w:r>
              <w:rPr>
                <w:rFonts w:ascii="宋体" w:hAnsi="宋体" w:cs="宋体" w:eastAsia="宋体" w:hint="default"/>
                <w:spacing w:val="-57"/>
                <w:sz w:val="21"/>
                <w:szCs w:val="21"/>
              </w:rPr>
              <w:t> </w:t>
            </w:r>
            <w:r>
              <w:rPr>
                <w:rFonts w:ascii="宋体" w:hAnsi="宋体" w:cs="宋体" w:eastAsia="宋体" w:hint="default"/>
                <w:sz w:val="21"/>
                <w:szCs w:val="21"/>
              </w:rPr>
              <w:t>经济学博士。中国并购公会创始会长，亚洲并购协会会长，中国金融博物馆理事长，</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万盟并购董事长。曾任职多家境内外金融机构。直接组织了中国几十家大型企业的改制、重组、承销及并购业务；在创新金融工具、企</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业重组和产业整合等领域经验丰富。王巍长期担任政府经济顾问，境内外上市公司和金融机构的独立董事。</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邓</w:t>
              <w:tab/>
              <w:t>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邓锋，男，美国籍，</w:t>
            </w:r>
            <w:r>
              <w:rPr>
                <w:rFonts w:ascii="宋体" w:hAnsi="宋体" w:cs="宋体" w:eastAsia="宋体" w:hint="default"/>
                <w:spacing w:val="-1"/>
                <w:sz w:val="21"/>
                <w:szCs w:val="21"/>
              </w:rPr>
              <w:t>1963</w:t>
            </w:r>
            <w:r>
              <w:rPr>
                <w:rFonts w:ascii="宋体" w:hAnsi="宋体" w:cs="宋体" w:eastAsia="宋体" w:hint="default"/>
                <w:spacing w:val="93"/>
                <w:sz w:val="21"/>
                <w:szCs w:val="21"/>
              </w:rPr>
              <w:t> </w:t>
            </w:r>
            <w:r>
              <w:rPr>
                <w:rFonts w:ascii="宋体" w:hAnsi="宋体" w:cs="宋体" w:eastAsia="宋体" w:hint="default"/>
                <w:spacing w:val="-2"/>
                <w:sz w:val="21"/>
                <w:szCs w:val="21"/>
              </w:rPr>
              <w:t>年出生，清华大学电子工程学硕士、南加州大学计算机工程专业工学硕士、宾西法尼亚大学沃顿商学院工商管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理硕士。邓锋为北极光创投创始人，现任北极光创投董事总经理，兼任清华大学基金会理事、清华大学苏世民书院院董、清华大学杰出</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访问教授、南加州大学亚洲工程学院理事会主席、斯坦福大学经济政策研究院理事会理事、沃顿商学院亚洲理事会理事、美国布鲁金斯</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3"/>
                <w:sz w:val="21"/>
                <w:szCs w:val="21"/>
              </w:rPr>
              <w:t>协会董事、哈佛研究生院中国顾问委员会委员、中国企业家俱乐部理事等职务</w:t>
            </w:r>
            <w:r>
              <w:rPr>
                <w:rFonts w:ascii="宋体" w:hAnsi="宋体" w:cs="宋体" w:eastAsia="宋体" w:hint="default"/>
                <w:spacing w:val="-3"/>
                <w:sz w:val="21"/>
                <w:szCs w:val="21"/>
              </w:rPr>
              <w:t>,</w:t>
            </w:r>
            <w:r>
              <w:rPr>
                <w:rFonts w:ascii="宋体" w:hAnsi="宋体" w:cs="宋体" w:eastAsia="宋体" w:hint="default"/>
                <w:spacing w:val="-3"/>
                <w:sz w:val="21"/>
                <w:szCs w:val="21"/>
              </w:rPr>
              <w:t>且被评定为国家“千人计划”专家，曾获美国“2002 年度</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企业家”和“2003</w:t>
            </w:r>
            <w:r>
              <w:rPr>
                <w:rFonts w:ascii="宋体" w:hAnsi="宋体" w:cs="宋体" w:eastAsia="宋体" w:hint="default"/>
                <w:spacing w:val="-55"/>
                <w:sz w:val="21"/>
                <w:szCs w:val="21"/>
              </w:rPr>
              <w:t> </w:t>
            </w:r>
            <w:r>
              <w:rPr>
                <w:rFonts w:ascii="宋体" w:hAnsi="宋体" w:cs="宋体" w:eastAsia="宋体" w:hint="default"/>
                <w:sz w:val="21"/>
                <w:szCs w:val="21"/>
              </w:rPr>
              <w:t>年度创新人”等荣誉。</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刘淑莲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刘淑莲，女，</w:t>
            </w:r>
            <w:r>
              <w:rPr>
                <w:rFonts w:ascii="宋体" w:hAnsi="宋体" w:cs="宋体" w:eastAsia="宋体" w:hint="default"/>
                <w:sz w:val="21"/>
                <w:szCs w:val="21"/>
              </w:rPr>
              <w:t>1954 </w:t>
            </w:r>
            <w:r>
              <w:rPr>
                <w:rFonts w:ascii="宋体" w:hAnsi="宋体" w:cs="宋体" w:eastAsia="宋体" w:hint="default"/>
                <w:sz w:val="21"/>
                <w:szCs w:val="21"/>
              </w:rPr>
              <w:t>年出生，教授，博士生导师，中国注册会计师。长期从事财务与会计教学与研究，主持和参与国家自然基金等课题</w:t>
            </w:r>
            <w:r>
              <w:rPr>
                <w:rFonts w:ascii="宋体" w:hAnsi="宋体" w:cs="宋体" w:eastAsia="宋体" w:hint="default"/>
                <w:spacing w:val="-18"/>
                <w:sz w:val="21"/>
                <w:szCs w:val="21"/>
              </w:rPr>
              <w:t> </w:t>
            </w:r>
            <w:r>
              <w:rPr>
                <w:rFonts w:ascii="宋体" w:hAnsi="宋体" w:cs="宋体" w:eastAsia="宋体" w:hint="default"/>
                <w:sz w:val="21"/>
                <w:szCs w:val="21"/>
              </w:rPr>
              <w:t>8</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项，先后主持国家级精品课程、国家级双语示范课、国家级精品资源共享课；发表学术论文</w:t>
            </w:r>
            <w:r>
              <w:rPr>
                <w:rFonts w:ascii="宋体" w:hAnsi="宋体" w:cs="宋体" w:eastAsia="宋体" w:hint="default"/>
                <w:spacing w:val="-18"/>
                <w:sz w:val="21"/>
                <w:szCs w:val="21"/>
              </w:rPr>
              <w:t> </w:t>
            </w:r>
            <w:r>
              <w:rPr>
                <w:rFonts w:ascii="宋体" w:hAnsi="宋体" w:cs="宋体" w:eastAsia="宋体" w:hint="default"/>
                <w:spacing w:val="-2"/>
                <w:sz w:val="21"/>
                <w:szCs w:val="21"/>
              </w:rPr>
              <w:t>30</w:t>
            </w:r>
            <w:r>
              <w:rPr>
                <w:rFonts w:ascii="宋体" w:hAnsi="宋体" w:cs="宋体" w:eastAsia="宋体" w:hint="default"/>
                <w:spacing w:val="-16"/>
                <w:sz w:val="21"/>
                <w:szCs w:val="21"/>
              </w:rPr>
              <w:t> </w:t>
            </w:r>
            <w:r>
              <w:rPr>
                <w:rFonts w:ascii="宋体" w:hAnsi="宋体" w:cs="宋体" w:eastAsia="宋体" w:hint="default"/>
                <w:spacing w:val="-2"/>
                <w:sz w:val="21"/>
                <w:szCs w:val="21"/>
              </w:rPr>
              <w:t>余篇，专著和教材十余本。曾获辽宁省人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民政府颁发的辽宁省第五届高等教育教学成果一等奖以及其他教学成果奖项，曾获全国优秀教师、辽宁省教学名师等称号。</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涂赣峰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涂赣峰，男，</w:t>
            </w:r>
            <w:r>
              <w:rPr>
                <w:rFonts w:ascii="宋体" w:hAnsi="宋体" w:cs="宋体" w:eastAsia="宋体" w:hint="default"/>
                <w:spacing w:val="-1"/>
                <w:sz w:val="21"/>
                <w:szCs w:val="21"/>
              </w:rPr>
              <w:t>1964</w:t>
            </w:r>
            <w:r>
              <w:rPr>
                <w:rFonts w:ascii="宋体" w:hAnsi="宋体" w:cs="宋体" w:eastAsia="宋体" w:hint="default"/>
                <w:spacing w:val="91"/>
                <w:sz w:val="21"/>
                <w:szCs w:val="21"/>
              </w:rPr>
              <w:t> </w:t>
            </w:r>
            <w:r>
              <w:rPr>
                <w:rFonts w:ascii="宋体" w:hAnsi="宋体" w:cs="宋体" w:eastAsia="宋体" w:hint="default"/>
                <w:spacing w:val="-2"/>
                <w:sz w:val="21"/>
                <w:szCs w:val="21"/>
              </w:rPr>
              <w:t>年出生，教授，博士生导师，东北大学有色金属冶金专业博士。曾任东北大学科技产业集团有限公司总经理、中国高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校产业协会常务理事等职。现任东北大学科技产业集团董事。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藏田真吾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藏田真吾，男，日本籍，</w:t>
            </w:r>
            <w:r>
              <w:rPr>
                <w:rFonts w:ascii="宋体" w:hAnsi="宋体" w:cs="宋体" w:eastAsia="宋体" w:hint="default"/>
                <w:spacing w:val="-7"/>
                <w:sz w:val="21"/>
                <w:szCs w:val="21"/>
              </w:rPr>
              <w:t>1971</w:t>
            </w:r>
            <w:r>
              <w:rPr>
                <w:rFonts w:ascii="宋体" w:hAnsi="宋体" w:cs="宋体" w:eastAsia="宋体" w:hint="default"/>
                <w:spacing w:val="-33"/>
                <w:sz w:val="21"/>
                <w:szCs w:val="21"/>
              </w:rPr>
              <w:t> </w:t>
            </w:r>
            <w:r>
              <w:rPr>
                <w:rFonts w:ascii="宋体" w:hAnsi="宋体" w:cs="宋体" w:eastAsia="宋体" w:hint="default"/>
                <w:spacing w:val="-4"/>
                <w:sz w:val="21"/>
                <w:szCs w:val="21"/>
              </w:rPr>
              <w:t>年出生，明治大学法学学士，美国乔治敦大学法律中心法学硕士。藏田真吾于</w:t>
            </w:r>
            <w:r>
              <w:rPr>
                <w:rFonts w:ascii="宋体" w:hAnsi="宋体" w:cs="宋体" w:eastAsia="宋体" w:hint="default"/>
                <w:spacing w:val="-33"/>
                <w:sz w:val="21"/>
                <w:szCs w:val="21"/>
              </w:rPr>
              <w:t> </w:t>
            </w:r>
            <w:r>
              <w:rPr>
                <w:rFonts w:ascii="宋体" w:hAnsi="宋体" w:cs="宋体" w:eastAsia="宋体" w:hint="default"/>
                <w:sz w:val="21"/>
                <w:szCs w:val="21"/>
              </w:rPr>
              <w:t>1999</w:t>
            </w:r>
            <w:r>
              <w:rPr>
                <w:rFonts w:ascii="宋体" w:hAnsi="宋体" w:cs="宋体" w:eastAsia="宋体" w:hint="default"/>
                <w:spacing w:val="-36"/>
                <w:sz w:val="21"/>
                <w:szCs w:val="21"/>
              </w:rPr>
              <w:t> </w:t>
            </w:r>
            <w:r>
              <w:rPr>
                <w:rFonts w:ascii="宋体" w:hAnsi="宋体" w:cs="宋体" w:eastAsia="宋体" w:hint="default"/>
                <w:sz w:val="21"/>
                <w:szCs w:val="21"/>
              </w:rPr>
              <w:t>年加入阿尔派株式会社，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曾任知识产权部法务课课长等职，现任阿尔派株式会社法务•知识产权部部长。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w:t>
              <w:tab/>
              <w:t>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张红，女，</w:t>
            </w:r>
            <w:r>
              <w:rPr>
                <w:rFonts w:ascii="宋体" w:hAnsi="宋体" w:cs="宋体" w:eastAsia="宋体" w:hint="default"/>
                <w:spacing w:val="-4"/>
                <w:sz w:val="21"/>
                <w:szCs w:val="21"/>
              </w:rPr>
              <w:t>1971</w:t>
            </w:r>
            <w:r>
              <w:rPr>
                <w:rFonts w:ascii="宋体" w:hAnsi="宋体" w:cs="宋体" w:eastAsia="宋体" w:hint="default"/>
                <w:spacing w:val="-41"/>
                <w:sz w:val="21"/>
                <w:szCs w:val="21"/>
              </w:rPr>
              <w:t> </w:t>
            </w:r>
            <w:r>
              <w:rPr>
                <w:rFonts w:ascii="宋体" w:hAnsi="宋体" w:cs="宋体" w:eastAsia="宋体" w:hint="default"/>
                <w:spacing w:val="-3"/>
                <w:sz w:val="21"/>
                <w:szCs w:val="21"/>
              </w:rPr>
              <w:t>年出生，东北财经大学会计学硕士，高级会计师。张红于</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年加入大连东软控股有限公司，现任大连东软控股有限公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司副总裁兼首席财务官。</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葛圣六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葛圣六，男，</w:t>
            </w:r>
            <w:r>
              <w:rPr>
                <w:rFonts w:ascii="宋体" w:hAnsi="宋体" w:cs="宋体" w:eastAsia="宋体" w:hint="default"/>
                <w:sz w:val="21"/>
                <w:szCs w:val="21"/>
              </w:rPr>
              <w:t>1975</w:t>
            </w:r>
            <w:r>
              <w:rPr>
                <w:rFonts w:ascii="宋体" w:hAnsi="宋体" w:cs="宋体" w:eastAsia="宋体" w:hint="default"/>
                <w:spacing w:val="-50"/>
                <w:sz w:val="21"/>
                <w:szCs w:val="21"/>
              </w:rPr>
              <w:t> </w:t>
            </w:r>
            <w:r>
              <w:rPr>
                <w:rFonts w:ascii="宋体" w:hAnsi="宋体" w:cs="宋体" w:eastAsia="宋体" w:hint="default"/>
                <w:sz w:val="21"/>
                <w:szCs w:val="21"/>
              </w:rPr>
              <w:t>年出生，东北大学计算机应用专业学士。葛圣六于</w:t>
            </w:r>
            <w:r>
              <w:rPr>
                <w:rFonts w:ascii="宋体" w:hAnsi="宋体" w:cs="宋体" w:eastAsia="宋体" w:hint="default"/>
                <w:spacing w:val="-50"/>
                <w:sz w:val="21"/>
                <w:szCs w:val="21"/>
              </w:rPr>
              <w:t> </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月加入公司，历任公司</w:t>
            </w:r>
            <w:r>
              <w:rPr>
                <w:rFonts w:ascii="宋体" w:hAnsi="宋体" w:cs="宋体" w:eastAsia="宋体" w:hint="default"/>
                <w:spacing w:val="-47"/>
                <w:sz w:val="21"/>
                <w:szCs w:val="21"/>
              </w:rPr>
              <w:t> </w:t>
            </w:r>
            <w:r>
              <w:rPr>
                <w:rFonts w:ascii="宋体" w:hAnsi="宋体" w:cs="宋体" w:eastAsia="宋体" w:hint="default"/>
                <w:sz w:val="21"/>
                <w:szCs w:val="21"/>
              </w:rPr>
              <w:t>NEU-APN</w:t>
            </w:r>
            <w:r>
              <w:rPr>
                <w:rFonts w:ascii="宋体" w:hAnsi="宋体" w:cs="宋体" w:eastAsia="宋体" w:hint="default"/>
                <w:spacing w:val="-3"/>
                <w:sz w:val="21"/>
                <w:szCs w:val="21"/>
              </w:rPr>
              <w:t> </w:t>
            </w:r>
            <w:r>
              <w:rPr>
                <w:rFonts w:ascii="宋体" w:hAnsi="宋体" w:cs="宋体" w:eastAsia="宋体" w:hint="default"/>
                <w:sz w:val="21"/>
                <w:szCs w:val="21"/>
              </w:rPr>
              <w:t>IA</w:t>
            </w:r>
            <w:r>
              <w:rPr>
                <w:rFonts w:ascii="宋体" w:hAnsi="宋体" w:cs="宋体" w:eastAsia="宋体" w:hint="default"/>
                <w:spacing w:val="-48"/>
                <w:sz w:val="21"/>
                <w:szCs w:val="21"/>
              </w:rPr>
              <w:t> </w:t>
            </w:r>
            <w:r>
              <w:rPr>
                <w:rFonts w:ascii="宋体" w:hAnsi="宋体" w:cs="宋体" w:eastAsia="宋体" w:hint="default"/>
                <w:sz w:val="21"/>
                <w:szCs w:val="21"/>
              </w:rPr>
              <w:t>事业部嵌入式应用开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发部部长、</w:t>
            </w:r>
            <w:r>
              <w:rPr>
                <w:rFonts w:ascii="宋体" w:hAnsi="宋体" w:cs="宋体" w:eastAsia="宋体" w:hint="default"/>
                <w:spacing w:val="-3"/>
                <w:sz w:val="21"/>
                <w:szCs w:val="21"/>
              </w:rPr>
              <w:t>IA</w:t>
            </w:r>
            <w:r>
              <w:rPr>
                <w:rFonts w:ascii="宋体" w:hAnsi="宋体" w:cs="宋体" w:eastAsia="宋体" w:hint="default"/>
                <w:spacing w:val="-45"/>
                <w:sz w:val="21"/>
                <w:szCs w:val="21"/>
              </w:rPr>
              <w:t> </w:t>
            </w:r>
            <w:r>
              <w:rPr>
                <w:rFonts w:ascii="宋体" w:hAnsi="宋体" w:cs="宋体" w:eastAsia="宋体" w:hint="default"/>
                <w:spacing w:val="-3"/>
                <w:sz w:val="21"/>
                <w:szCs w:val="21"/>
              </w:rPr>
              <w:t>事业部第三开发部部长、公司</w:t>
            </w:r>
            <w:r>
              <w:rPr>
                <w:rFonts w:ascii="宋体" w:hAnsi="宋体" w:cs="宋体" w:eastAsia="宋体" w:hint="default"/>
                <w:spacing w:val="-42"/>
                <w:sz w:val="21"/>
                <w:szCs w:val="21"/>
              </w:rPr>
              <w:t> </w:t>
            </w:r>
            <w:r>
              <w:rPr>
                <w:rFonts w:ascii="宋体" w:hAnsi="宋体" w:cs="宋体" w:eastAsia="宋体" w:hint="default"/>
                <w:sz w:val="21"/>
                <w:szCs w:val="21"/>
              </w:rPr>
              <w:t>IA</w:t>
            </w:r>
            <w:r>
              <w:rPr>
                <w:rFonts w:ascii="宋体" w:hAnsi="宋体" w:cs="宋体" w:eastAsia="宋体" w:hint="default"/>
                <w:spacing w:val="-43"/>
                <w:sz w:val="21"/>
                <w:szCs w:val="21"/>
              </w:rPr>
              <w:t> </w:t>
            </w:r>
            <w:r>
              <w:rPr>
                <w:rFonts w:ascii="宋体" w:hAnsi="宋体" w:cs="宋体" w:eastAsia="宋体" w:hint="default"/>
                <w:spacing w:val="-3"/>
                <w:sz w:val="21"/>
                <w:szCs w:val="21"/>
              </w:rPr>
              <w:t>事业部副总经理，现任医疗</w:t>
            </w:r>
            <w:r>
              <w:rPr>
                <w:rFonts w:ascii="宋体" w:hAnsi="宋体" w:cs="宋体" w:eastAsia="宋体" w:hint="default"/>
                <w:spacing w:val="-43"/>
                <w:sz w:val="21"/>
                <w:szCs w:val="21"/>
              </w:rPr>
              <w:t> </w:t>
            </w:r>
            <w:r>
              <w:rPr>
                <w:rFonts w:ascii="宋体" w:hAnsi="宋体" w:cs="宋体" w:eastAsia="宋体" w:hint="default"/>
                <w:sz w:val="21"/>
                <w:szCs w:val="21"/>
              </w:rPr>
              <w:t>IT</w:t>
            </w:r>
            <w:r>
              <w:rPr>
                <w:rFonts w:ascii="宋体" w:hAnsi="宋体" w:cs="宋体" w:eastAsia="宋体" w:hint="default"/>
                <w:spacing w:val="-45"/>
                <w:sz w:val="21"/>
                <w:szCs w:val="21"/>
              </w:rPr>
              <w:t> </w:t>
            </w:r>
            <w:r>
              <w:rPr>
                <w:rFonts w:ascii="宋体" w:hAnsi="宋体" w:cs="宋体" w:eastAsia="宋体" w:hint="default"/>
                <w:spacing w:val="-3"/>
                <w:sz w:val="21"/>
                <w:szCs w:val="21"/>
              </w:rPr>
              <w:t>事业部云医疗产品中心副总经理、医疗</w:t>
            </w:r>
            <w:r>
              <w:rPr>
                <w:rFonts w:ascii="宋体" w:hAnsi="宋体" w:cs="宋体" w:eastAsia="宋体" w:hint="default"/>
                <w:spacing w:val="-42"/>
                <w:sz w:val="21"/>
                <w:szCs w:val="21"/>
              </w:rPr>
              <w:t> </w:t>
            </w:r>
            <w:r>
              <w:rPr>
                <w:rFonts w:ascii="宋体" w:hAnsi="宋体" w:cs="宋体" w:eastAsia="宋体" w:hint="default"/>
                <w:sz w:val="21"/>
                <w:szCs w:val="21"/>
              </w:rPr>
              <w:t>IT</w:t>
            </w:r>
            <w:r>
              <w:rPr>
                <w:rFonts w:ascii="宋体" w:hAnsi="宋体" w:cs="宋体" w:eastAsia="宋体" w:hint="default"/>
                <w:spacing w:val="-43"/>
                <w:sz w:val="21"/>
                <w:szCs w:val="21"/>
              </w:rPr>
              <w:t> </w:t>
            </w:r>
            <w:r>
              <w:rPr>
                <w:rFonts w:ascii="宋体" w:hAnsi="宋体" w:cs="宋体" w:eastAsia="宋体" w:hint="default"/>
                <w:sz w:val="21"/>
                <w:szCs w:val="21"/>
              </w:rPr>
              <w:t>战略预备人才中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心副主任。</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425"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马</w:t>
              <w:tab/>
              <w:t>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马超，男，</w:t>
            </w:r>
            <w:r>
              <w:rPr>
                <w:rFonts w:ascii="宋体" w:hAnsi="宋体" w:cs="宋体" w:eastAsia="宋体" w:hint="default"/>
                <w:spacing w:val="-4"/>
                <w:sz w:val="21"/>
                <w:szCs w:val="21"/>
              </w:rPr>
              <w:t>1977</w:t>
            </w:r>
            <w:r>
              <w:rPr>
                <w:rFonts w:ascii="宋体" w:hAnsi="宋体" w:cs="宋体" w:eastAsia="宋体" w:hint="default"/>
                <w:spacing w:val="-30"/>
                <w:sz w:val="21"/>
                <w:szCs w:val="21"/>
              </w:rPr>
              <w:t> </w:t>
            </w:r>
            <w:r>
              <w:rPr>
                <w:rFonts w:ascii="宋体" w:hAnsi="宋体" w:cs="宋体" w:eastAsia="宋体" w:hint="default"/>
                <w:spacing w:val="-3"/>
                <w:sz w:val="21"/>
                <w:szCs w:val="21"/>
              </w:rPr>
              <w:t>年出生，东北大学计算机应用专业学士，英国利物浦大学信息系统专业硕士。马超于</w:t>
            </w:r>
            <w:r>
              <w:rPr>
                <w:rFonts w:ascii="宋体" w:hAnsi="宋体" w:cs="宋体" w:eastAsia="宋体" w:hint="default"/>
                <w:spacing w:val="-33"/>
                <w:sz w:val="21"/>
                <w:szCs w:val="21"/>
              </w:rPr>
              <w:t> </w:t>
            </w:r>
            <w:r>
              <w:rPr>
                <w:rFonts w:ascii="宋体" w:hAnsi="宋体" w:cs="宋体" w:eastAsia="宋体" w:hint="default"/>
                <w:sz w:val="21"/>
                <w:szCs w:val="21"/>
              </w:rPr>
              <w:t>2005</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pacing w:val="-3"/>
                <w:sz w:val="21"/>
                <w:szCs w:val="21"/>
              </w:rPr>
              <w:t>月加入公司，历任公司战</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略联盟与海外业务推进事业部销售经理、资深销售经理、副总经理、战略联盟与海外业务推进事业部总经理及东软美国业务拓展副总裁</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等职，现任东软美国总经理。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卢朝霞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卢朝霞，女，</w:t>
            </w:r>
            <w:r>
              <w:rPr>
                <w:rFonts w:ascii="宋体" w:hAnsi="宋体" w:cs="宋体" w:eastAsia="宋体" w:hint="default"/>
                <w:spacing w:val="-3"/>
                <w:sz w:val="21"/>
                <w:szCs w:val="21"/>
              </w:rPr>
              <w:t>1957</w:t>
            </w:r>
            <w:r>
              <w:rPr>
                <w:rFonts w:ascii="宋体" w:hAnsi="宋体" w:cs="宋体" w:eastAsia="宋体" w:hint="default"/>
                <w:spacing w:val="-36"/>
                <w:sz w:val="21"/>
                <w:szCs w:val="21"/>
              </w:rPr>
              <w:t> </w:t>
            </w:r>
            <w:r>
              <w:rPr>
                <w:rFonts w:ascii="宋体" w:hAnsi="宋体" w:cs="宋体" w:eastAsia="宋体" w:hint="default"/>
                <w:spacing w:val="-3"/>
                <w:sz w:val="21"/>
                <w:szCs w:val="21"/>
              </w:rPr>
              <w:t>年出生，教授，东北大学计算机应用专业硕士。现任公司高级副总裁。卢朝霞于</w:t>
            </w:r>
            <w:r>
              <w:rPr>
                <w:rFonts w:ascii="宋体" w:hAnsi="宋体" w:cs="宋体" w:eastAsia="宋体" w:hint="default"/>
                <w:spacing w:val="-33"/>
                <w:sz w:val="21"/>
                <w:szCs w:val="21"/>
              </w:rPr>
              <w:t> </w:t>
            </w:r>
            <w:r>
              <w:rPr>
                <w:rFonts w:ascii="宋体" w:hAnsi="宋体" w:cs="宋体" w:eastAsia="宋体" w:hint="default"/>
                <w:sz w:val="21"/>
                <w:szCs w:val="21"/>
              </w:rPr>
              <w:t>1995</w:t>
            </w:r>
            <w:r>
              <w:rPr>
                <w:rFonts w:ascii="宋体" w:hAnsi="宋体" w:cs="宋体" w:eastAsia="宋体" w:hint="default"/>
                <w:spacing w:val="-33"/>
                <w:sz w:val="21"/>
                <w:szCs w:val="21"/>
              </w:rPr>
              <w:t> </w:t>
            </w:r>
            <w:r>
              <w:rPr>
                <w:rFonts w:ascii="宋体" w:hAnsi="宋体" w:cs="宋体" w:eastAsia="宋体" w:hint="default"/>
                <w:sz w:val="21"/>
                <w:szCs w:val="21"/>
              </w:rPr>
              <w:t>年加入公司，此前曾任东北大学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管理控制中心主任，历任公司营销副总经理、首席运营官等职。</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张</w:t>
              <w:tab/>
              <w:t>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张霞，女，</w:t>
            </w:r>
            <w:r>
              <w:rPr>
                <w:rFonts w:ascii="宋体" w:hAnsi="宋体" w:cs="宋体" w:eastAsia="宋体" w:hint="default"/>
                <w:spacing w:val="-1"/>
                <w:sz w:val="21"/>
                <w:szCs w:val="21"/>
              </w:rPr>
              <w:t>1965</w:t>
            </w:r>
            <w:r>
              <w:rPr>
                <w:rFonts w:ascii="宋体" w:hAnsi="宋体" w:cs="宋体" w:eastAsia="宋体" w:hint="default"/>
                <w:spacing w:val="97"/>
                <w:sz w:val="21"/>
                <w:szCs w:val="21"/>
              </w:rPr>
              <w:t> </w:t>
            </w:r>
            <w:r>
              <w:rPr>
                <w:rFonts w:ascii="宋体" w:hAnsi="宋体" w:cs="宋体" w:eastAsia="宋体" w:hint="default"/>
                <w:spacing w:val="-2"/>
                <w:sz w:val="21"/>
                <w:szCs w:val="21"/>
              </w:rPr>
              <w:t>年出生，教授，博士生导师，东北大学计算机应用专业博士。现任公司高级副总裁兼首席技术官、首席知识官。张霞于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月加入公司，</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月始任公司首席技术官和首席知识官。</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王经锡</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王经锡，男，</w:t>
            </w:r>
            <w:r>
              <w:rPr>
                <w:rFonts w:ascii="宋体" w:hAnsi="宋体" w:cs="宋体" w:eastAsia="宋体" w:hint="default"/>
                <w:spacing w:val="-4"/>
                <w:sz w:val="21"/>
                <w:szCs w:val="21"/>
              </w:rPr>
              <w:t>1969</w:t>
            </w:r>
            <w:r>
              <w:rPr>
                <w:rFonts w:ascii="宋体" w:hAnsi="宋体" w:cs="宋体" w:eastAsia="宋体" w:hint="default"/>
                <w:spacing w:val="-39"/>
                <w:sz w:val="21"/>
                <w:szCs w:val="21"/>
              </w:rPr>
              <w:t> </w:t>
            </w:r>
            <w:r>
              <w:rPr>
                <w:rFonts w:ascii="宋体" w:hAnsi="宋体" w:cs="宋体" w:eastAsia="宋体" w:hint="default"/>
                <w:spacing w:val="-3"/>
                <w:sz w:val="21"/>
                <w:szCs w:val="21"/>
              </w:rPr>
              <w:t>年出生，东北大学科学技术哲学专业博士。现任公司高级副总裁。王经锡于</w:t>
            </w:r>
            <w:r>
              <w:rPr>
                <w:rFonts w:ascii="宋体" w:hAnsi="宋体" w:cs="宋体" w:eastAsia="宋体" w:hint="default"/>
                <w:spacing w:val="-38"/>
                <w:sz w:val="21"/>
                <w:szCs w:val="21"/>
              </w:rPr>
              <w:t> </w:t>
            </w:r>
            <w:r>
              <w:rPr>
                <w:rFonts w:ascii="宋体" w:hAnsi="宋体" w:cs="宋体" w:eastAsia="宋体" w:hint="default"/>
                <w:sz w:val="21"/>
                <w:szCs w:val="21"/>
              </w:rPr>
              <w:t>1999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月加入公司始任公司人力资源部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年始任公司行政总监，</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月始任公司高级副总裁。</w:t>
            </w:r>
          </w:p>
        </w:tc>
      </w:tr>
    </w:tbl>
    <w:p>
      <w:pPr>
        <w:spacing w:after="0" w:line="274" w:lineRule="exact"/>
        <w:jc w:val="left"/>
        <w:rPr>
          <w:rFonts w:ascii="宋体" w:hAnsi="宋体" w:cs="宋体" w:eastAsia="宋体" w:hint="default"/>
          <w:sz w:val="21"/>
          <w:szCs w:val="21"/>
        </w:rPr>
        <w:sectPr>
          <w:pgSz w:w="16840" w:h="11910" w:orient="landscape"/>
          <w:pgMar w:header="745" w:footer="1228" w:top="1100" w:bottom="1420" w:left="1300" w:right="1220"/>
        </w:sectPr>
      </w:pPr>
    </w:p>
    <w:p>
      <w:pPr>
        <w:spacing w:line="240" w:lineRule="auto" w:before="9"/>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张晓鸥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张晓鸥，男，</w:t>
            </w:r>
            <w:r>
              <w:rPr>
                <w:rFonts w:ascii="宋体" w:hAnsi="宋体" w:cs="宋体" w:eastAsia="宋体" w:hint="default"/>
                <w:sz w:val="21"/>
                <w:szCs w:val="21"/>
              </w:rPr>
              <w:t>1972</w:t>
            </w:r>
            <w:r>
              <w:rPr>
                <w:rFonts w:ascii="宋体" w:hAnsi="宋体" w:cs="宋体" w:eastAsia="宋体" w:hint="default"/>
                <w:spacing w:val="-31"/>
                <w:sz w:val="21"/>
                <w:szCs w:val="21"/>
              </w:rPr>
              <w:t> </w:t>
            </w:r>
            <w:r>
              <w:rPr>
                <w:rFonts w:ascii="宋体" w:hAnsi="宋体" w:cs="宋体" w:eastAsia="宋体" w:hint="default"/>
                <w:sz w:val="21"/>
                <w:szCs w:val="21"/>
              </w:rPr>
              <w:t>年出生，东北大学管理学硕士，中欧国际工商学院</w:t>
            </w:r>
            <w:r>
              <w:rPr>
                <w:rFonts w:ascii="宋体" w:hAnsi="宋体" w:cs="宋体" w:eastAsia="宋体" w:hint="default"/>
                <w:spacing w:val="-30"/>
                <w:sz w:val="21"/>
                <w:szCs w:val="21"/>
              </w:rPr>
              <w:t> </w:t>
            </w:r>
            <w:r>
              <w:rPr>
                <w:rFonts w:ascii="宋体" w:hAnsi="宋体" w:cs="宋体" w:eastAsia="宋体" w:hint="default"/>
                <w:sz w:val="21"/>
                <w:szCs w:val="21"/>
              </w:rPr>
              <w:t>EMBA</w:t>
            </w:r>
            <w:r>
              <w:rPr>
                <w:rFonts w:ascii="宋体" w:hAnsi="宋体" w:cs="宋体" w:eastAsia="宋体" w:hint="default"/>
                <w:sz w:val="21"/>
                <w:szCs w:val="21"/>
              </w:rPr>
              <w:t>，中国注册会计师，高级会计师，</w:t>
            </w:r>
            <w:r>
              <w:rPr>
                <w:rFonts w:ascii="宋体" w:hAnsi="宋体" w:cs="宋体" w:eastAsia="宋体" w:hint="default"/>
                <w:sz w:val="21"/>
                <w:szCs w:val="21"/>
              </w:rPr>
              <w:t>ACCA</w:t>
            </w:r>
            <w:r>
              <w:rPr>
                <w:rFonts w:ascii="宋体" w:hAnsi="宋体" w:cs="宋体" w:eastAsia="宋体" w:hint="default"/>
                <w:spacing w:val="-33"/>
                <w:sz w:val="21"/>
                <w:szCs w:val="21"/>
              </w:rPr>
              <w:t> </w:t>
            </w:r>
            <w:r>
              <w:rPr>
                <w:rFonts w:ascii="宋体" w:hAnsi="宋体" w:cs="宋体" w:eastAsia="宋体" w:hint="default"/>
                <w:sz w:val="21"/>
                <w:szCs w:val="21"/>
              </w:rPr>
              <w:t>会员。张晓鸥于</w:t>
            </w:r>
            <w:r>
              <w:rPr>
                <w:rFonts w:ascii="宋体" w:hAnsi="宋体" w:cs="宋体" w:eastAsia="宋体" w:hint="default"/>
                <w:spacing w:val="-31"/>
                <w:sz w:val="21"/>
                <w:szCs w:val="21"/>
              </w:rPr>
              <w:t> </w:t>
            </w:r>
            <w:r>
              <w:rPr>
                <w:rFonts w:ascii="宋体" w:hAnsi="宋体" w:cs="宋体" w:eastAsia="宋体" w:hint="default"/>
                <w:sz w:val="21"/>
                <w:szCs w:val="21"/>
              </w:rPr>
              <w:t>2000</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月加入公司，曾任公司财务总监、高级副总裁兼财务运行官，</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月始任公司高级副总裁兼首席财务官。</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月起兼任东</w:t>
            </w:r>
            <w:r>
              <w:rPr>
                <w:rFonts w:ascii="宋体" w:hAnsi="宋体" w:cs="宋体" w:eastAsia="宋体" w:hint="default"/>
                <w:w w:val="100"/>
                <w:sz w:val="21"/>
                <w:szCs w:val="21"/>
              </w:rPr>
              <w:t> </w:t>
            </w:r>
            <w:r>
              <w:rPr>
                <w:rFonts w:ascii="宋体" w:hAnsi="宋体" w:cs="宋体" w:eastAsia="宋体" w:hint="default"/>
                <w:sz w:val="21"/>
                <w:szCs w:val="21"/>
              </w:rPr>
              <w:t>软（日本）有限公司总经理。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794" w:val="left" w:leader="none"/>
              </w:tabs>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李军，男，</w:t>
            </w:r>
            <w:r>
              <w:rPr>
                <w:rFonts w:ascii="宋体" w:hAnsi="宋体" w:cs="宋体" w:eastAsia="宋体" w:hint="default"/>
                <w:sz w:val="21"/>
                <w:szCs w:val="21"/>
              </w:rPr>
              <w:t>1973</w:t>
            </w:r>
            <w:r>
              <w:rPr>
                <w:rFonts w:ascii="宋体" w:hAnsi="宋体" w:cs="宋体" w:eastAsia="宋体" w:hint="default"/>
                <w:spacing w:val="-31"/>
                <w:sz w:val="21"/>
                <w:szCs w:val="21"/>
              </w:rPr>
              <w:t> </w:t>
            </w:r>
            <w:r>
              <w:rPr>
                <w:rFonts w:ascii="宋体" w:hAnsi="宋体" w:cs="宋体" w:eastAsia="宋体" w:hint="default"/>
                <w:sz w:val="21"/>
                <w:szCs w:val="21"/>
              </w:rPr>
              <w:t>年出生，东北大学计算机软件专业学士。现任公司高级副总裁兼首席营销官。李军于</w:t>
            </w:r>
            <w:r>
              <w:rPr>
                <w:rFonts w:ascii="宋体" w:hAnsi="宋体" w:cs="宋体" w:eastAsia="宋体" w:hint="default"/>
                <w:spacing w:val="-31"/>
                <w:sz w:val="21"/>
                <w:szCs w:val="21"/>
              </w:rPr>
              <w:t> </w:t>
            </w:r>
            <w:r>
              <w:rPr>
                <w:rFonts w:ascii="宋体" w:hAnsi="宋体" w:cs="宋体" w:eastAsia="宋体" w:hint="default"/>
                <w:sz w:val="21"/>
                <w:szCs w:val="21"/>
              </w:rPr>
              <w:t>1995</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7</w:t>
            </w:r>
            <w:r>
              <w:rPr>
                <w:rFonts w:ascii="宋体" w:hAnsi="宋体" w:cs="宋体" w:eastAsia="宋体" w:hint="default"/>
                <w:spacing w:val="-29"/>
                <w:sz w:val="21"/>
                <w:szCs w:val="21"/>
              </w:rPr>
              <w:t> </w:t>
            </w:r>
            <w:r>
              <w:rPr>
                <w:rFonts w:ascii="宋体" w:hAnsi="宋体" w:cs="宋体" w:eastAsia="宋体" w:hint="default"/>
                <w:sz w:val="21"/>
                <w:szCs w:val="21"/>
              </w:rPr>
              <w:t>月加入公司，历任华东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大区总经理、公司销售总监等职，</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月始任现职。</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Klaus</w:t>
            </w:r>
          </w:p>
          <w:p>
            <w:pPr>
              <w:pStyle w:val="TableParagraph"/>
              <w:spacing w:line="240" w:lineRule="auto"/>
              <w:ind w:left="319" w:right="317"/>
              <w:jc w:val="center"/>
              <w:rPr>
                <w:rFonts w:ascii="宋体" w:hAnsi="宋体" w:cs="宋体" w:eastAsia="宋体" w:hint="default"/>
                <w:sz w:val="21"/>
                <w:szCs w:val="21"/>
              </w:rPr>
            </w:pPr>
            <w:r>
              <w:rPr>
                <w:rFonts w:ascii="宋体"/>
                <w:sz w:val="21"/>
              </w:rPr>
              <w:t>Michael</w:t>
            </w:r>
            <w:r>
              <w:rPr>
                <w:rFonts w:ascii="宋体"/>
                <w:w w:val="100"/>
                <w:sz w:val="21"/>
              </w:rPr>
              <w:t> </w:t>
            </w:r>
            <w:r>
              <w:rPr>
                <w:rFonts w:ascii="宋体"/>
                <w:sz w:val="21"/>
              </w:rPr>
              <w:t>Zimmer</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3"/>
              <w:jc w:val="left"/>
              <w:rPr>
                <w:rFonts w:ascii="宋体" w:hAnsi="宋体" w:cs="宋体" w:eastAsia="宋体" w:hint="default"/>
                <w:sz w:val="21"/>
                <w:szCs w:val="21"/>
              </w:rPr>
            </w:pPr>
            <w:r>
              <w:rPr>
                <w:rFonts w:ascii="宋体" w:hAnsi="宋体" w:cs="宋体" w:eastAsia="宋体" w:hint="default"/>
                <w:sz w:val="21"/>
                <w:szCs w:val="21"/>
              </w:rPr>
              <w:t>Klaus Michael Zimmer</w:t>
            </w:r>
            <w:r>
              <w:rPr>
                <w:rFonts w:ascii="宋体" w:hAnsi="宋体" w:cs="宋体" w:eastAsia="宋体" w:hint="default"/>
                <w:sz w:val="21"/>
                <w:szCs w:val="21"/>
              </w:rPr>
              <w:t>，男，德国籍，香港永久居民，</w:t>
            </w:r>
            <w:r>
              <w:rPr>
                <w:rFonts w:ascii="宋体" w:hAnsi="宋体" w:cs="宋体" w:eastAsia="宋体" w:hint="default"/>
                <w:sz w:val="21"/>
                <w:szCs w:val="21"/>
              </w:rPr>
              <w:t>1956</w:t>
            </w:r>
            <w:r>
              <w:rPr>
                <w:rFonts w:ascii="宋体" w:hAnsi="宋体" w:cs="宋体" w:eastAsia="宋体" w:hint="default"/>
                <w:spacing w:val="-17"/>
                <w:sz w:val="21"/>
                <w:szCs w:val="21"/>
              </w:rPr>
              <w:t> </w:t>
            </w:r>
            <w:r>
              <w:rPr>
                <w:rFonts w:ascii="宋体" w:hAnsi="宋体" w:cs="宋体" w:eastAsia="宋体" w:hint="default"/>
                <w:sz w:val="21"/>
                <w:szCs w:val="21"/>
              </w:rPr>
              <w:t>年出生，德国特里尔大学经济学硕士，曾就读于哈佛商学院、欧洲工商管理</w:t>
            </w:r>
            <w:r>
              <w:rPr>
                <w:rFonts w:ascii="宋体" w:hAnsi="宋体" w:cs="宋体" w:eastAsia="宋体" w:hint="default"/>
                <w:w w:val="100"/>
                <w:sz w:val="21"/>
                <w:szCs w:val="21"/>
              </w:rPr>
              <w:t> </w:t>
            </w:r>
            <w:r>
              <w:rPr>
                <w:rFonts w:ascii="宋体" w:hAnsi="宋体" w:cs="宋体" w:eastAsia="宋体" w:hint="default"/>
                <w:sz w:val="21"/>
                <w:szCs w:val="21"/>
              </w:rPr>
              <w:t>学院。现任公司高级副总裁，兼任东软（欧洲）有限公司总裁。此前曾就职于</w:t>
            </w:r>
            <w:r>
              <w:rPr>
                <w:rFonts w:ascii="宋体" w:hAnsi="宋体" w:cs="宋体" w:eastAsia="宋体" w:hint="default"/>
                <w:spacing w:val="-56"/>
                <w:sz w:val="21"/>
                <w:szCs w:val="21"/>
              </w:rPr>
              <w:t> </w:t>
            </w:r>
            <w:r>
              <w:rPr>
                <w:rFonts w:ascii="宋体" w:hAnsi="宋体" w:cs="宋体" w:eastAsia="宋体" w:hint="default"/>
                <w:sz w:val="21"/>
                <w:szCs w:val="21"/>
              </w:rPr>
              <w:t>SAP</w:t>
            </w:r>
            <w:r>
              <w:rPr>
                <w:rFonts w:ascii="宋体" w:hAnsi="宋体" w:cs="宋体" w:eastAsia="宋体" w:hint="default"/>
                <w:sz w:val="21"/>
                <w:szCs w:val="21"/>
              </w:rPr>
              <w:t>，担任</w:t>
            </w:r>
            <w:r>
              <w:rPr>
                <w:rFonts w:ascii="宋体" w:hAnsi="宋体" w:cs="宋体" w:eastAsia="宋体" w:hint="default"/>
                <w:spacing w:val="-56"/>
                <w:sz w:val="21"/>
                <w:szCs w:val="21"/>
              </w:rPr>
              <w:t> </w:t>
            </w:r>
            <w:r>
              <w:rPr>
                <w:rFonts w:ascii="宋体" w:hAnsi="宋体" w:cs="宋体" w:eastAsia="宋体" w:hint="default"/>
                <w:sz w:val="21"/>
                <w:szCs w:val="21"/>
              </w:rPr>
              <w:t>SAP</w:t>
            </w:r>
            <w:r>
              <w:rPr>
                <w:rFonts w:ascii="宋体" w:hAnsi="宋体" w:cs="宋体" w:eastAsia="宋体" w:hint="default"/>
                <w:spacing w:val="-55"/>
                <w:sz w:val="21"/>
                <w:szCs w:val="21"/>
              </w:rPr>
              <w:t> </w:t>
            </w:r>
            <w:r>
              <w:rPr>
                <w:rFonts w:ascii="宋体" w:hAnsi="宋体" w:cs="宋体" w:eastAsia="宋体" w:hint="default"/>
                <w:sz w:val="21"/>
                <w:szCs w:val="21"/>
              </w:rPr>
              <w:t>北亚区董事长、</w:t>
            </w:r>
            <w:r>
              <w:rPr>
                <w:rFonts w:ascii="宋体" w:hAnsi="宋体" w:cs="宋体" w:eastAsia="宋体" w:hint="default"/>
                <w:sz w:val="21"/>
                <w:szCs w:val="21"/>
              </w:rPr>
              <w:t>CEO</w:t>
            </w:r>
            <w:r>
              <w:rPr>
                <w:rFonts w:ascii="宋体" w:hAnsi="宋体" w:cs="宋体" w:eastAsia="宋体" w:hint="default"/>
                <w:spacing w:val="-56"/>
                <w:sz w:val="21"/>
                <w:szCs w:val="21"/>
              </w:rPr>
              <w:t> </w:t>
            </w:r>
            <w:r>
              <w:rPr>
                <w:rFonts w:ascii="宋体" w:hAnsi="宋体" w:cs="宋体" w:eastAsia="宋体" w:hint="default"/>
                <w:sz w:val="21"/>
                <w:szCs w:val="21"/>
              </w:rPr>
              <w:t>等职务。</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94" w:val="left" w:leader="none"/>
              </w:tabs>
              <w:spacing w:line="240" w:lineRule="auto" w:before="144"/>
              <w:ind w:left="372" w:right="0"/>
              <w:jc w:val="left"/>
              <w:rPr>
                <w:rFonts w:ascii="宋体" w:hAnsi="宋体" w:cs="宋体" w:eastAsia="宋体" w:hint="default"/>
                <w:sz w:val="21"/>
                <w:szCs w:val="21"/>
              </w:rPr>
            </w:pPr>
            <w:r>
              <w:rPr>
                <w:rFonts w:ascii="宋体" w:hAnsi="宋体" w:cs="宋体" w:eastAsia="宋体" w:hint="default"/>
                <w:sz w:val="21"/>
                <w:szCs w:val="21"/>
              </w:rPr>
              <w:t>王</w:t>
              <w:tab/>
              <w:t>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王楠，女，</w:t>
            </w:r>
            <w:r>
              <w:rPr>
                <w:rFonts w:ascii="宋体" w:hAnsi="宋体" w:cs="宋体" w:eastAsia="宋体" w:hint="default"/>
                <w:spacing w:val="-4"/>
                <w:sz w:val="21"/>
                <w:szCs w:val="21"/>
              </w:rPr>
              <w:t>1976 </w:t>
            </w:r>
            <w:r>
              <w:rPr>
                <w:rFonts w:ascii="宋体" w:hAnsi="宋体" w:cs="宋体" w:eastAsia="宋体" w:hint="default"/>
                <w:spacing w:val="-3"/>
                <w:sz w:val="21"/>
                <w:szCs w:val="21"/>
              </w:rPr>
              <w:t>年出生，东北大学计算机应用专业博士。现任公司高级副总裁兼董事会秘书。王楠于 </w:t>
            </w:r>
            <w:r>
              <w:rPr>
                <w:rFonts w:ascii="宋体" w:hAnsi="宋体" w:cs="宋体" w:eastAsia="宋体" w:hint="default"/>
                <w:sz w:val="21"/>
                <w:szCs w:val="21"/>
              </w:rPr>
              <w:t>1995</w:t>
            </w:r>
            <w:r>
              <w:rPr>
                <w:rFonts w:ascii="宋体" w:hAnsi="宋体" w:cs="宋体" w:eastAsia="宋体" w:hint="default"/>
                <w:spacing w:val="-40"/>
                <w:sz w:val="21"/>
                <w:szCs w:val="21"/>
              </w:rPr>
              <w:t> </w:t>
            </w:r>
            <w:r>
              <w:rPr>
                <w:rFonts w:ascii="宋体" w:hAnsi="宋体" w:cs="宋体" w:eastAsia="宋体" w:hint="default"/>
                <w:spacing w:val="-3"/>
                <w:sz w:val="21"/>
                <w:szCs w:val="21"/>
              </w:rPr>
              <w:t>年加入公司，曾任东软软件中</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pacing w:val="-60"/>
                <w:sz w:val="21"/>
                <w:szCs w:val="21"/>
              </w:rPr>
              <w:t> </w:t>
            </w:r>
            <w:r>
              <w:rPr>
                <w:rFonts w:ascii="宋体" w:hAnsi="宋体" w:cs="宋体" w:eastAsia="宋体" w:hint="default"/>
                <w:sz w:val="21"/>
                <w:szCs w:val="21"/>
              </w:rPr>
              <w:t>Java</w:t>
            </w:r>
            <w:r>
              <w:rPr>
                <w:rFonts w:ascii="宋体" w:hAnsi="宋体" w:cs="宋体" w:eastAsia="宋体" w:hint="default"/>
                <w:spacing w:val="-60"/>
                <w:sz w:val="21"/>
                <w:szCs w:val="21"/>
              </w:rPr>
              <w:t> </w:t>
            </w:r>
            <w:r>
              <w:rPr>
                <w:rFonts w:ascii="宋体" w:hAnsi="宋体" w:cs="宋体" w:eastAsia="宋体" w:hint="default"/>
                <w:sz w:val="21"/>
                <w:szCs w:val="21"/>
              </w:rPr>
              <w:t>应用部部长、东软中间件技术分公司副总经理、移动互联网事业部部长、汽车电子先行技术研究中心副主任、战略联盟与海外业</w:t>
            </w:r>
            <w:r>
              <w:rPr>
                <w:rFonts w:ascii="宋体" w:hAnsi="宋体" w:cs="宋体" w:eastAsia="宋体" w:hint="default"/>
                <w:w w:val="100"/>
                <w:sz w:val="21"/>
                <w:szCs w:val="21"/>
              </w:rPr>
              <w:t> </w:t>
            </w:r>
            <w:r>
              <w:rPr>
                <w:rFonts w:ascii="宋体" w:hAnsi="宋体" w:cs="宋体" w:eastAsia="宋体" w:hint="default"/>
                <w:spacing w:val="-3"/>
                <w:sz w:val="21"/>
                <w:szCs w:val="21"/>
              </w:rPr>
              <w:t>务推进事业部总经理等职。</w:t>
            </w:r>
            <w:r>
              <w:rPr>
                <w:rFonts w:ascii="宋体" w:hAnsi="宋体" w:cs="宋体" w:eastAsia="宋体" w:hint="default"/>
                <w:spacing w:val="-3"/>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pacing w:val="-3"/>
                <w:sz w:val="21"/>
                <w:szCs w:val="21"/>
              </w:rPr>
              <w:t>月始任公司高级副总裁，</w:t>
            </w:r>
            <w:r>
              <w:rPr>
                <w:rFonts w:ascii="宋体" w:hAnsi="宋体" w:cs="宋体" w:eastAsia="宋体" w:hint="default"/>
                <w:spacing w:val="-3"/>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pacing w:val="-4"/>
                <w:sz w:val="21"/>
                <w:szCs w:val="21"/>
              </w:rPr>
              <w:t>月始兼任公司董事会秘书。曾荣获“最具创新力董秘”奖、“信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息披露公司董秘奖”、</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年度中国卓越</w:t>
            </w:r>
            <w:r>
              <w:rPr>
                <w:rFonts w:ascii="宋体" w:hAnsi="宋体" w:cs="宋体" w:eastAsia="宋体" w:hint="default"/>
                <w:spacing w:val="-56"/>
                <w:sz w:val="21"/>
                <w:szCs w:val="21"/>
              </w:rPr>
              <w:t> </w:t>
            </w:r>
            <w:r>
              <w:rPr>
                <w:rFonts w:ascii="宋体" w:hAnsi="宋体" w:cs="宋体" w:eastAsia="宋体" w:hint="default"/>
                <w:sz w:val="21"/>
                <w:szCs w:val="21"/>
              </w:rPr>
              <w:t>IR</w:t>
            </w:r>
            <w:r>
              <w:rPr>
                <w:rFonts w:ascii="宋体" w:hAnsi="宋体" w:cs="宋体" w:eastAsia="宋体" w:hint="default"/>
                <w:sz w:val="21"/>
                <w:szCs w:val="21"/>
              </w:rPr>
              <w:t>“最佳领袖奖”。</w:t>
            </w:r>
          </w:p>
        </w:tc>
      </w:tr>
    </w:tbl>
    <w:p>
      <w:pPr>
        <w:pStyle w:val="BodyText"/>
        <w:spacing w:line="240" w:lineRule="exact"/>
        <w:ind w:left="224" w:right="0"/>
        <w:jc w:val="left"/>
      </w:pPr>
      <w:r>
        <w:rPr/>
        <w:t>其它情况说明</w:t>
      </w:r>
    </w:p>
    <w:p>
      <w:pPr>
        <w:pStyle w:val="BodyText"/>
        <w:spacing w:line="274" w:lineRule="exact"/>
        <w:ind w:left="224"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24" w:right="0"/>
        <w:jc w:val="left"/>
        <w:rPr>
          <w:b w:val="0"/>
          <w:bCs w:val="0"/>
        </w:rPr>
      </w:pPr>
      <w:r>
        <w:rPr>
          <w:rFonts w:ascii="宋体" w:hAnsi="宋体" w:cs="宋体" w:eastAsia="宋体" w:hint="default"/>
        </w:rPr>
        <w:t>(</w:t>
      </w:r>
      <w:r>
        <w:rPr/>
        <w:t>二</w:t>
      </w:r>
      <w:r>
        <w:rPr>
          <w:rFonts w:ascii="宋体" w:hAnsi="宋体" w:cs="宋体" w:eastAsia="宋体" w:hint="default"/>
        </w:rPr>
        <w:t>)</w:t>
      </w:r>
      <w:r>
        <w:rPr/>
        <w:t>董事、高级管理人员报告期内被授予的股权激励情况</w:t>
      </w:r>
      <w:r>
        <w:rPr>
          <w:b w:val="0"/>
          <w:bCs w:val="0"/>
        </w:rPr>
      </w:r>
    </w:p>
    <w:p>
      <w:pPr>
        <w:pStyle w:val="BodyText"/>
        <w:spacing w:line="240" w:lineRule="auto" w:before="56"/>
        <w:ind w:left="224"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224" w:right="0"/>
        <w:jc w:val="left"/>
        <w:rPr>
          <w:b w:val="0"/>
          <w:bCs w:val="0"/>
        </w:rPr>
      </w:pPr>
      <w:r>
        <w:rPr/>
        <w:t>二、现任及报告期内离任董事、监事和高级管理人员的任职情况</w:t>
      </w:r>
      <w:r>
        <w:rPr>
          <w:b w:val="0"/>
          <w:bCs w:val="0"/>
        </w:rPr>
      </w:r>
    </w:p>
    <w:p>
      <w:pPr>
        <w:pStyle w:val="Heading4"/>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43"/>
        <w:gridCol w:w="4491"/>
        <w:gridCol w:w="5331"/>
      </w:tblGrid>
      <w:tr>
        <w:trPr>
          <w:trHeight w:val="281"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1"/>
                <w:sz w:val="21"/>
                <w:szCs w:val="21"/>
              </w:rPr>
              <w:t>任职人员姓名</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3"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石野诚</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生产总负责人</w:t>
            </w:r>
          </w:p>
        </w:tc>
      </w:tr>
      <w:tr>
        <w:trPr>
          <w:trHeight w:val="283"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常务董事、技术•开发总负责人</w:t>
            </w:r>
          </w:p>
        </w:tc>
      </w:tr>
      <w:tr>
        <w:trPr>
          <w:trHeight w:val="281" w:hRule="exact"/>
        </w:trPr>
        <w:tc>
          <w:tcPr>
            <w:tcW w:w="4043"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涂赣峰</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043" w:type="dxa"/>
            <w:vMerge/>
            <w:tcBorders>
              <w:left w:val="single" w:sz="4" w:space="0" w:color="000000"/>
              <w:bottom w:val="single" w:sz="4" w:space="0" w:color="000000"/>
              <w:right w:val="single" w:sz="4" w:space="0" w:color="000000"/>
            </w:tcBorders>
          </w:tcPr>
          <w:p>
            <w:pP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藏田真吾</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法务部长</w:t>
            </w:r>
          </w:p>
        </w:tc>
      </w:tr>
      <w:tr>
        <w:trPr>
          <w:trHeight w:val="281"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红</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副总裁兼首席财务官</w:t>
            </w:r>
          </w:p>
        </w:tc>
      </w:tr>
      <w:tr>
        <w:trPr>
          <w:trHeight w:val="283" w:hRule="exact"/>
        </w:trPr>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5"/>
              <w:jc w:val="right"/>
              <w:rPr>
                <w:rFonts w:ascii="宋体" w:hAnsi="宋体" w:cs="宋体" w:eastAsia="宋体" w:hint="default"/>
                <w:sz w:val="21"/>
                <w:szCs w:val="21"/>
              </w:rPr>
            </w:pPr>
            <w:r>
              <w:rPr>
                <w:rFonts w:ascii="宋体" w:hAnsi="宋体" w:cs="宋体" w:eastAsia="宋体" w:hint="default"/>
                <w:spacing w:val="-2"/>
                <w:sz w:val="21"/>
                <w:szCs w:val="21"/>
              </w:rPr>
              <w:t>在股东单位任职情况的说明</w:t>
            </w:r>
          </w:p>
        </w:tc>
        <w:tc>
          <w:tcPr>
            <w:tcW w:w="9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6840" w:h="11910" w:orient="landscape"/>
          <w:pgMar w:header="745" w:footer="1228" w:top="1100" w:bottom="1420" w:left="1300" w:right="1220"/>
        </w:sectPr>
      </w:pPr>
    </w:p>
    <w:p>
      <w:pPr>
        <w:pStyle w:val="Heading4"/>
        <w:spacing w:line="240" w:lineRule="auto" w:before="1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31"/>
        <w:gridCol w:w="5187"/>
        <w:gridCol w:w="4347"/>
      </w:tblGrid>
      <w:tr>
        <w:trPr>
          <w:trHeight w:val="281"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1"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3"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大连康睿道管理咨询中心（有限合伙）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大连简睿管理咨询中心（有限合伙）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大连增道管理咨询中心（有限合伙）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大连睿道易博教育信息技术有限公司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大连熙康云舍发展有限公司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Holdings International</w:t>
            </w:r>
            <w:r>
              <w:rPr>
                <w:rFonts w:ascii="宋体"/>
                <w:spacing w:val="-5"/>
                <w:sz w:val="21"/>
              </w:rPr>
              <w:t> </w:t>
            </w:r>
            <w:r>
              <w:rPr>
                <w:rFonts w:ascii="宋体"/>
                <w:sz w:val="21"/>
              </w:rPr>
              <w:t>Inc.</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Smartwave Holdings</w:t>
            </w:r>
            <w:r>
              <w:rPr>
                <w:rFonts w:ascii="宋体"/>
                <w:spacing w:val="-1"/>
                <w:sz w:val="21"/>
              </w:rPr>
              <w:t> </w:t>
            </w:r>
            <w:r>
              <w:rPr>
                <w:rFonts w:ascii="宋体"/>
                <w:sz w:val="21"/>
              </w:rPr>
              <w:t>Inc.</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上海福柏投资咨询中心（有限合伙）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上海骥奔投资咨询中心（有限合伙）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上海骥速投资咨询中心（有限合伙）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4"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上海育鸿投资咨询中心（有限合伙）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东控国际第一投资有限公司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东控国际第二投资有限公司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东控国际第三投资有限公司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东控国际第四投资有限公司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bl>
    <w:p>
      <w:pPr>
        <w:spacing w:after="0" w:line="241" w:lineRule="exact"/>
        <w:jc w:val="left"/>
        <w:rPr>
          <w:rFonts w:ascii="宋体" w:hAnsi="宋体" w:cs="宋体" w:eastAsia="宋体" w:hint="default"/>
          <w:sz w:val="21"/>
          <w:szCs w:val="21"/>
        </w:rPr>
        <w:sectPr>
          <w:pgSz w:w="16840" w:h="11910" w:orient="landscape"/>
          <w:pgMar w:header="745" w:footer="1228" w:top="1100" w:bottom="1420" w:left="130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331"/>
        <w:gridCol w:w="5187"/>
        <w:gridCol w:w="4347"/>
      </w:tblGrid>
      <w:tr>
        <w:trPr>
          <w:trHeight w:val="281" w:hRule="exact"/>
        </w:trPr>
        <w:tc>
          <w:tcPr>
            <w:tcW w:w="4331" w:type="dxa"/>
            <w:vMerge w:val="restart"/>
            <w:tcBorders>
              <w:top w:val="single" w:sz="4" w:space="0" w:color="000000"/>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东控国际第五投资有限公司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东控国际第六投资有限公司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东控国际第七投资有限公司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东控国际第九投资有限公司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东软熙康国际有限公司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东软医疗产业园发展有限公司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王巍</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中国并购公会</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创始会长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亚洲并购协会</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会长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中国金融博物馆</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理事长</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万盟并购集团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华远地产股份有限公司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中国汇源果汁集团有限公司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r>
      <w:tr>
        <w:trPr>
          <w:trHeight w:val="281"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邓锋</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北极光风险投资</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新希望六和股份有限公司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1"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浦发硅谷银行有限公司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张红</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大连睿易投资咨询有限公司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东软（澄迈）置业有限公司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大连睿道易博教育信息技术有限公司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bl>
    <w:p>
      <w:pPr>
        <w:spacing w:after="0" w:line="241" w:lineRule="exact"/>
        <w:jc w:val="left"/>
        <w:rPr>
          <w:rFonts w:ascii="宋体" w:hAnsi="宋体" w:cs="宋体" w:eastAsia="宋体" w:hint="default"/>
          <w:sz w:val="21"/>
          <w:szCs w:val="21"/>
        </w:rPr>
        <w:sectPr>
          <w:headerReference w:type="default" r:id="rId45"/>
          <w:pgSz w:w="16840" w:h="11910" w:orient="landscape"/>
          <w:pgMar w:header="745" w:footer="1228" w:top="1100" w:bottom="1420" w:left="130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331"/>
        <w:gridCol w:w="5187"/>
        <w:gridCol w:w="4347"/>
      </w:tblGrid>
      <w:tr>
        <w:trPr>
          <w:trHeight w:val="281" w:hRule="exact"/>
        </w:trPr>
        <w:tc>
          <w:tcPr>
            <w:tcW w:w="4331" w:type="dxa"/>
            <w:vMerge w:val="restart"/>
            <w:tcBorders>
              <w:top w:val="single" w:sz="4" w:space="0" w:color="000000"/>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广东东软学院</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大连云观信息技术有限公司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大连东软科技发展有限公司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上海思芮信息科技有限公司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大连东软荷塘科技有限公司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普洱景谷云舍酒店有限公司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普洱西盟云舍酒店有限公司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本溪观山湖熙康云舍有限公司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海南云舍酒店管理有限公司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卢朝霞</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沈阳东软熙康医疗系统有限公司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宁波（东软熙康）智慧健康研究院有限公司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天津熙康医院管理有限公司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杭州蓝熙健康管理有限公司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杭州蓝熙梅灵医疗门诊部有限公司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杭州蓝熙诚园医疗门诊部有限公司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after="0" w:line="241" w:lineRule="exact"/>
        <w:jc w:val="left"/>
        <w:rPr>
          <w:rFonts w:ascii="宋体" w:hAnsi="宋体" w:cs="宋体" w:eastAsia="宋体" w:hint="default"/>
          <w:sz w:val="21"/>
          <w:szCs w:val="21"/>
        </w:rPr>
        <w:sectPr>
          <w:pgSz w:w="16840" w:h="11910" w:orient="landscape"/>
          <w:pgMar w:header="745" w:footer="1228" w:top="1100" w:bottom="1420" w:left="130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331"/>
        <w:gridCol w:w="5187"/>
        <w:gridCol w:w="4347"/>
      </w:tblGrid>
      <w:tr>
        <w:trPr>
          <w:trHeight w:val="281" w:hRule="exact"/>
        </w:trPr>
        <w:tc>
          <w:tcPr>
            <w:tcW w:w="4331" w:type="dxa"/>
            <w:vMerge w:val="restart"/>
            <w:tcBorders>
              <w:top w:val="single" w:sz="4" w:space="0" w:color="000000"/>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上海熙康健康管理有限公司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张霞</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汉朗网络信息科技（北京）有限公司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张晓鸥</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北京东软慧聚信息技术股份有限公司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弘和仁爱医疗集团有限公司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天津橙杉企业管理中心（有限合伙）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天津绿杉企业管理中心（有限合伙）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天津青杉企业管理中心（有限合伙）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4331" w:type="dxa"/>
            <w:vMerge/>
            <w:tcBorders>
              <w:left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天津蓝杉企业管理中心（有限合伙）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vMerge/>
            <w:tcBorders>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沈阳福绣企业管理中心（有限合伙）</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4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9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8"/>
        <w:rPr>
          <w:rFonts w:ascii="Times New Roman" w:hAnsi="Times New Roman" w:cs="Times New Roman" w:eastAsia="Times New Roman" w:hint="default"/>
          <w:sz w:val="22"/>
          <w:szCs w:val="22"/>
        </w:rPr>
      </w:pPr>
    </w:p>
    <w:p>
      <w:pPr>
        <w:pStyle w:val="Heading4"/>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45"/>
        <w:gridCol w:w="9445"/>
      </w:tblGrid>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4"/>
                <w:sz w:val="21"/>
                <w:szCs w:val="21"/>
              </w:rPr>
              <w:t>在公司担任行政职务的董事、监事、高级管理人员的报酬由公司支付。不在公司担任行政职务的董事、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监事，公司不支付报酬，由其所在单位支付。自</w:t>
            </w:r>
            <w:r>
              <w:rPr>
                <w:rFonts w:ascii="宋体" w:hAnsi="宋体" w:cs="宋体" w:eastAsia="宋体" w:hint="default"/>
                <w:spacing w:val="-36"/>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pacing w:val="-3"/>
                <w:sz w:val="21"/>
                <w:szCs w:val="21"/>
              </w:rPr>
              <w:t>年度起，根据股东大会决议，公司以每人每年</w:t>
            </w:r>
            <w:r>
              <w:rPr>
                <w:rFonts w:ascii="宋体" w:hAnsi="宋体" w:cs="宋体" w:eastAsia="宋体" w:hint="default"/>
                <w:spacing w:val="-32"/>
                <w:sz w:val="21"/>
                <w:szCs w:val="21"/>
              </w:rPr>
              <w:t> </w:t>
            </w:r>
            <w:r>
              <w:rPr>
                <w:rFonts w:ascii="宋体" w:hAnsi="宋体" w:cs="宋体" w:eastAsia="宋体" w:hint="default"/>
                <w:sz w:val="21"/>
                <w:szCs w:val="21"/>
              </w:rPr>
              <w:t>8</w:t>
            </w:r>
            <w:r>
              <w:rPr>
                <w:rFonts w:ascii="宋体" w:hAnsi="宋体" w:cs="宋体" w:eastAsia="宋体" w:hint="default"/>
                <w:spacing w:val="-94"/>
                <w:sz w:val="21"/>
                <w:szCs w:val="21"/>
              </w:rPr>
              <w:t> </w:t>
            </w:r>
            <w:r>
              <w:rPr>
                <w:rFonts w:ascii="宋体" w:hAnsi="宋体" w:cs="宋体" w:eastAsia="宋体" w:hint="default"/>
                <w:sz w:val="21"/>
                <w:szCs w:val="21"/>
              </w:rPr>
              <w:t>万元（税前）的标准向独立董事支付津贴，其参加会议的费用据实报销。</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在公司担任行政职务的董事、监事、高级管理人员的报酬依据公司的整体薪酬政策和工资标准，结合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公司的实际经营情况，参考同业标准，经董事会薪酬与考核委员会审核后，由公司董事会审议确定。</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在公司担任行政职务的董事、监事、高级管理人员的报酬，以及独立董事的津贴均已由公司支付完毕。</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得的报酬合计</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公司全体董事、监事、高级管理人员实际获得的报酬合计为</w:t>
            </w:r>
            <w:r>
              <w:rPr>
                <w:rFonts w:ascii="宋体" w:hAnsi="宋体" w:cs="宋体" w:eastAsia="宋体" w:hint="default"/>
                <w:spacing w:val="-54"/>
                <w:sz w:val="21"/>
                <w:szCs w:val="21"/>
              </w:rPr>
              <w:t> </w:t>
            </w:r>
            <w:r>
              <w:rPr>
                <w:rFonts w:ascii="宋体" w:hAnsi="宋体" w:cs="宋体" w:eastAsia="宋体" w:hint="default"/>
                <w:sz w:val="21"/>
                <w:szCs w:val="21"/>
              </w:rPr>
              <w:t>3,227.59</w:t>
            </w:r>
            <w:r>
              <w:rPr>
                <w:rFonts w:ascii="宋体" w:hAnsi="宋体" w:cs="宋体" w:eastAsia="宋体" w:hint="default"/>
                <w:spacing w:val="-56"/>
                <w:sz w:val="21"/>
                <w:szCs w:val="21"/>
              </w:rPr>
              <w:t> </w:t>
            </w:r>
            <w:r>
              <w:rPr>
                <w:rFonts w:ascii="宋体" w:hAnsi="宋体" w:cs="宋体" w:eastAsia="宋体" w:hint="default"/>
                <w:sz w:val="21"/>
                <w:szCs w:val="21"/>
              </w:rPr>
              <w:t>万元人民币。</w:t>
            </w:r>
          </w:p>
        </w:tc>
      </w:tr>
    </w:tbl>
    <w:p>
      <w:pPr>
        <w:spacing w:after="0" w:line="240" w:lineRule="auto"/>
        <w:jc w:val="left"/>
        <w:rPr>
          <w:rFonts w:ascii="宋体" w:hAnsi="宋体" w:cs="宋体" w:eastAsia="宋体" w:hint="default"/>
          <w:sz w:val="21"/>
          <w:szCs w:val="21"/>
        </w:rPr>
        <w:sectPr>
          <w:footerReference w:type="default" r:id="rId46"/>
          <w:pgSz w:w="16840" w:h="11910" w:orient="landscape"/>
          <w:pgMar w:footer="1228" w:header="745" w:top="1100" w:bottom="1420" w:left="1300" w:right="1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23"/>
        <w:gridCol w:w="1957"/>
        <w:gridCol w:w="1956"/>
        <w:gridCol w:w="8029"/>
      </w:tblGrid>
      <w:tr>
        <w:trPr>
          <w:trHeight w:val="283"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刘明辉</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公司第七届董事会独立董事任期于</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pacing w:val="-5"/>
                <w:sz w:val="21"/>
                <w:szCs w:val="21"/>
              </w:rPr>
              <w:t>月届满。因工作原因，刘明辉申请在第七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届董事会任期届满后不再担任公司独立董事。</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胡爱民</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公司第七届监事会监事任期于</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5"/>
                <w:sz w:val="21"/>
                <w:szCs w:val="21"/>
              </w:rPr>
              <w:t>月届满。因工作原因，胡爱民申请在第七届监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事会任期届满后不再担任公司监事。</w:t>
            </w:r>
          </w:p>
        </w:tc>
      </w:tr>
      <w:tr>
        <w:trPr>
          <w:trHeight w:val="555"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张红</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日，公司</w:t>
            </w:r>
            <w:r>
              <w:rPr>
                <w:rFonts w:ascii="宋体" w:hAnsi="宋体" w:cs="宋体" w:eastAsia="宋体" w:hint="default"/>
                <w:spacing w:val="-39"/>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年年度股东大会选举张红为公司第八届监事会监事，任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期至本届监事会任期届满之日止。</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刘淑莲</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日，公司</w:t>
            </w:r>
            <w:r>
              <w:rPr>
                <w:rFonts w:ascii="宋体" w:hAnsi="宋体" w:cs="宋体" w:eastAsia="宋体" w:hint="default"/>
                <w:spacing w:val="-39"/>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年年度股东大会选举刘淑莲为公司第八届董事会独立董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事，任期至本届董事会任期届满之日止。</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宇佐美徹</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8</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29</w:t>
            </w:r>
            <w:r>
              <w:rPr>
                <w:rFonts w:ascii="宋体" w:hAnsi="宋体" w:cs="宋体" w:eastAsia="宋体" w:hint="default"/>
                <w:spacing w:val="-34"/>
                <w:sz w:val="21"/>
                <w:szCs w:val="21"/>
              </w:rPr>
              <w:t> </w:t>
            </w:r>
            <w:r>
              <w:rPr>
                <w:rFonts w:ascii="宋体" w:hAnsi="宋体" w:cs="宋体" w:eastAsia="宋体" w:hint="default"/>
                <w:sz w:val="21"/>
                <w:szCs w:val="21"/>
              </w:rPr>
              <w:t>日，因工作原因，宇佐美徹申请辞去其所担任的公司董事、董事会战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略决策委员会委员等职务。</w:t>
            </w:r>
          </w:p>
        </w:tc>
      </w:tr>
      <w:tr>
        <w:trPr>
          <w:trHeight w:val="55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6"/>
                <w:sz w:val="21"/>
                <w:szCs w:val="21"/>
              </w:rPr>
              <w:t> </w:t>
            </w:r>
            <w:r>
              <w:rPr>
                <w:rFonts w:ascii="宋体" w:hAnsi="宋体" w:cs="宋体" w:eastAsia="宋体" w:hint="default"/>
                <w:sz w:val="21"/>
                <w:szCs w:val="21"/>
              </w:rPr>
              <w:t>日，公司</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年第二次临时股东大会选举远藤浩一为公司董事，任期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至本届董事会任期届满之日止。</w:t>
            </w:r>
          </w:p>
        </w:tc>
      </w:tr>
      <w:tr>
        <w:trPr>
          <w:trHeight w:val="557"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简国栋</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8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日，因个人身体原因，简国栋申请辞去其所担任的公司高级副总裁、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东软汽车电子解决方案事业本部总经理（本部长）等职务。</w:t>
            </w:r>
          </w:p>
        </w:tc>
      </w:tr>
    </w:tbl>
    <w:p>
      <w:pPr>
        <w:spacing w:line="240" w:lineRule="auto" w:before="5"/>
        <w:rPr>
          <w:rFonts w:ascii="宋体" w:hAnsi="宋体" w:cs="宋体" w:eastAsia="宋体" w:hint="default"/>
          <w:sz w:val="15"/>
          <w:szCs w:val="15"/>
        </w:rPr>
      </w:pPr>
    </w:p>
    <w:p>
      <w:pPr>
        <w:pStyle w:val="BodyText"/>
        <w:spacing w:line="237" w:lineRule="auto" w:before="38"/>
        <w:ind w:left="224" w:right="115" w:firstLine="420"/>
        <w:jc w:val="both"/>
      </w:pPr>
      <w:r>
        <w:rPr/>
        <w:t>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5</w:t>
      </w:r>
      <w:r>
        <w:rPr>
          <w:rFonts w:ascii="宋体" w:hAnsi="宋体" w:cs="宋体" w:eastAsia="宋体" w:hint="default"/>
          <w:spacing w:val="-52"/>
        </w:rPr>
        <w:t> </w:t>
      </w:r>
      <w:r>
        <w:rPr/>
        <w:t>日召开的公司</w:t>
      </w:r>
      <w:r>
        <w:rPr>
          <w:spacing w:val="-55"/>
        </w:rPr>
        <w:t> </w:t>
      </w:r>
      <w:r>
        <w:rPr>
          <w:rFonts w:ascii="宋体" w:hAnsi="宋体" w:cs="宋体" w:eastAsia="宋体" w:hint="default"/>
        </w:rPr>
        <w:t>2016</w:t>
      </w:r>
      <w:r>
        <w:rPr>
          <w:rFonts w:ascii="宋体" w:hAnsi="宋体" w:cs="宋体" w:eastAsia="宋体" w:hint="default"/>
          <w:spacing w:val="-52"/>
        </w:rPr>
        <w:t> </w:t>
      </w:r>
      <w:r>
        <w:rPr/>
        <w:t>年年度股东大会审议通过了《关于非独立董事换届选举的议案》、《关于独立董事换届选举的议案》、《关于</w:t>
      </w:r>
      <w:r>
        <w:rPr>
          <w:spacing w:val="-3"/>
          <w:w w:val="100"/>
        </w:rPr>
        <w:t> </w:t>
      </w:r>
      <w:r>
        <w:rPr>
          <w:spacing w:val="-2"/>
        </w:rPr>
        <w:t>监事会换届选举的议案》，股东大会选举刘积仁、王勇峰、陈锡民、石野诚、宇佐美徹、徐洪利为公司第八届董事会非独立董事；股东大会选举王巍、</w:t>
      </w:r>
      <w:r>
        <w:rPr>
          <w:spacing w:val="20"/>
        </w:rPr>
        <w:t> </w:t>
      </w:r>
      <w:r>
        <w:rPr>
          <w:spacing w:val="20"/>
        </w:rPr>
      </w:r>
      <w:r>
        <w:rPr/>
        <w:t>邓锋、刘淑莲为公司第八届董事会独立董事；股东大会选举涂赣峰、藏田真吾、张红为公司第八届监事会监事。</w:t>
      </w:r>
    </w:p>
    <w:p>
      <w:pPr>
        <w:spacing w:line="240" w:lineRule="auto" w:before="3"/>
        <w:rPr>
          <w:rFonts w:ascii="宋体" w:hAnsi="宋体" w:cs="宋体" w:eastAsia="宋体" w:hint="default"/>
          <w:sz w:val="25"/>
          <w:szCs w:val="25"/>
        </w:rPr>
      </w:pPr>
    </w:p>
    <w:p>
      <w:pPr>
        <w:pStyle w:val="Heading4"/>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15" w:firstLine="0"/>
        <w:jc w:val="righ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198</w:t>
      </w:r>
      <w:r>
        <w:rPr>
          <w:rFonts w:ascii="Calibri"/>
          <w:sz w:val="18"/>
        </w:rPr>
      </w:r>
    </w:p>
    <w:p>
      <w:pPr>
        <w:spacing w:after="0"/>
        <w:jc w:val="right"/>
        <w:rPr>
          <w:rFonts w:ascii="Calibri" w:hAnsi="Calibri" w:cs="Calibri" w:eastAsia="Calibri" w:hint="default"/>
          <w:sz w:val="18"/>
          <w:szCs w:val="18"/>
        </w:rPr>
        <w:sectPr>
          <w:footerReference w:type="default" r:id="rId47"/>
          <w:pgSz w:w="16840" w:h="11910" w:orient="landscape"/>
          <w:pgMar w:footer="1033" w:header="745" w:top="1100" w:bottom="1220" w:left="1300" w:right="1320"/>
        </w:sectPr>
      </w:pPr>
    </w:p>
    <w:p>
      <w:pPr>
        <w:spacing w:line="240" w:lineRule="auto" w:before="4"/>
        <w:rPr>
          <w:rFonts w:ascii="Calibri" w:hAnsi="Calibri" w:cs="Calibri" w:eastAsia="Calibri" w:hint="default"/>
          <w:b/>
          <w:bCs/>
          <w:sz w:val="17"/>
          <w:szCs w:val="17"/>
        </w:rPr>
      </w:pPr>
    </w:p>
    <w:p>
      <w:pPr>
        <w:pStyle w:val="Heading4"/>
        <w:spacing w:line="240" w:lineRule="auto" w:before="36"/>
        <w:ind w:right="2760"/>
        <w:jc w:val="left"/>
        <w:rPr>
          <w:b w:val="0"/>
          <w:bCs w:val="0"/>
        </w:rPr>
      </w:pPr>
      <w:r>
        <w:rPr/>
        <w:t>六、母公司和主要子公司的员工情况</w:t>
      </w:r>
      <w:r>
        <w:rPr>
          <w:b w:val="0"/>
          <w:bCs w:val="0"/>
        </w:rPr>
      </w:r>
    </w:p>
    <w:p>
      <w:pPr>
        <w:pStyle w:val="Heading4"/>
        <w:spacing w:line="240" w:lineRule="auto" w:before="58"/>
        <w:ind w:right="276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353"/>
        <w:gridCol w:w="3697"/>
      </w:tblGrid>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6,577</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7,082</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4,153</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1,429</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452</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16,706</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2"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13,341</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1,160</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2,004</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后勤人员</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201</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16,706</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硕士及硕士以上</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2,290</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学士</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12,539</w:t>
            </w:r>
          </w:p>
        </w:tc>
      </w:tr>
      <w:tr>
        <w:trPr>
          <w:trHeight w:val="28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1,761</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16,706</w:t>
            </w:r>
          </w:p>
        </w:tc>
      </w:tr>
    </w:tbl>
    <w:p>
      <w:pPr>
        <w:spacing w:line="240" w:lineRule="auto" w:before="2"/>
        <w:rPr>
          <w:rFonts w:ascii="宋体" w:hAnsi="宋体" w:cs="宋体" w:eastAsia="宋体" w:hint="default"/>
          <w:b/>
          <w:bCs/>
          <w:sz w:val="20"/>
          <w:szCs w:val="20"/>
        </w:rPr>
      </w:pPr>
    </w:p>
    <w:p>
      <w:pPr>
        <w:pStyle w:val="Heading4"/>
        <w:spacing w:line="240" w:lineRule="auto" w:before="36"/>
        <w:ind w:right="276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36" w:hanging="420"/>
        <w:jc w:val="left"/>
      </w:pPr>
      <w:r>
        <w:rPr>
          <w:spacing w:val="-1"/>
        </w:rPr>
        <w:t>√适用</w:t>
        <w:tab/>
      </w:r>
      <w:r>
        <w:rPr>
          <w:spacing w:val="-2"/>
        </w:rPr>
        <w:t>□不适用</w:t>
      </w:r>
      <w:r>
        <w:rPr>
          <w:spacing w:val="-99"/>
        </w:rPr>
        <w:t> </w:t>
      </w:r>
      <w:r>
        <w:rPr>
          <w:spacing w:val="-99"/>
        </w:rPr>
      </w:r>
      <w:r>
        <w:rPr>
          <w:spacing w:val="-2"/>
        </w:rPr>
        <w:t>公司薪酬政策的宗旨在于将员工利益与公司业务发展与股东利益有效结合，吸引、保留和激</w:t>
      </w:r>
    </w:p>
    <w:p>
      <w:pPr>
        <w:pStyle w:val="BodyText"/>
        <w:spacing w:line="274" w:lineRule="exact" w:before="22"/>
        <w:ind w:right="228"/>
        <w:jc w:val="both"/>
      </w:pPr>
      <w:r>
        <w:rPr>
          <w:spacing w:val="-1"/>
        </w:rPr>
        <w:t>励关键人才。责任、能力和贡献是公司的价值分配依据，将总薪酬水平和岗位价值及绩效有效链</w:t>
      </w:r>
      <w:r>
        <w:rPr>
          <w:spacing w:val="-55"/>
        </w:rPr>
        <w:t> </w:t>
      </w:r>
      <w:r>
        <w:rPr>
          <w:spacing w:val="-55"/>
        </w:rPr>
      </w:r>
      <w:r>
        <w:rPr/>
        <w:t>接。</w:t>
      </w:r>
    </w:p>
    <w:p>
      <w:pPr>
        <w:pStyle w:val="BodyText"/>
        <w:spacing w:line="245" w:lineRule="exact"/>
        <w:ind w:left="638" w:right="0"/>
        <w:jc w:val="left"/>
      </w:pPr>
      <w:r>
        <w:rPr>
          <w:w w:val="100"/>
        </w:rPr>
        <w:t>薪酬</w:t>
      </w:r>
      <w:r>
        <w:rPr>
          <w:spacing w:val="-3"/>
          <w:w w:val="100"/>
        </w:rPr>
        <w:t>与</w:t>
      </w:r>
      <w:r>
        <w:rPr>
          <w:w w:val="100"/>
        </w:rPr>
        <w:t>福</w:t>
      </w:r>
      <w:r>
        <w:rPr>
          <w:spacing w:val="-3"/>
          <w:w w:val="100"/>
        </w:rPr>
        <w:t>利</w:t>
      </w:r>
      <w:r>
        <w:rPr>
          <w:w w:val="100"/>
        </w:rPr>
        <w:t>是</w:t>
      </w:r>
      <w:r>
        <w:rPr>
          <w:spacing w:val="-3"/>
          <w:w w:val="100"/>
        </w:rPr>
        <w:t>公</w:t>
      </w:r>
      <w:r>
        <w:rPr>
          <w:w w:val="100"/>
        </w:rPr>
        <w:t>司</w:t>
      </w:r>
      <w:r>
        <w:rPr>
          <w:spacing w:val="-3"/>
          <w:w w:val="100"/>
        </w:rPr>
        <w:t>价</w:t>
      </w:r>
      <w:r>
        <w:rPr>
          <w:w w:val="100"/>
        </w:rPr>
        <w:t>值</w:t>
      </w:r>
      <w:r>
        <w:rPr>
          <w:spacing w:val="-3"/>
          <w:w w:val="100"/>
        </w:rPr>
        <w:t>分</w:t>
      </w:r>
      <w:r>
        <w:rPr>
          <w:w w:val="100"/>
        </w:rPr>
        <w:t>配及</w:t>
      </w:r>
      <w:r>
        <w:rPr>
          <w:spacing w:val="-3"/>
          <w:w w:val="100"/>
        </w:rPr>
        <w:t>员</w:t>
      </w:r>
      <w:r>
        <w:rPr>
          <w:w w:val="100"/>
        </w:rPr>
        <w:t>工</w:t>
      </w:r>
      <w:r>
        <w:rPr>
          <w:spacing w:val="-3"/>
          <w:w w:val="100"/>
        </w:rPr>
        <w:t>综</w:t>
      </w:r>
      <w:r>
        <w:rPr>
          <w:w w:val="100"/>
        </w:rPr>
        <w:t>合</w:t>
      </w:r>
      <w:r>
        <w:rPr>
          <w:spacing w:val="-3"/>
          <w:w w:val="100"/>
        </w:rPr>
        <w:t>获</w:t>
      </w:r>
      <w:r>
        <w:rPr>
          <w:w w:val="100"/>
        </w:rPr>
        <w:t>得</w:t>
      </w:r>
      <w:r>
        <w:rPr>
          <w:spacing w:val="-3"/>
          <w:w w:val="100"/>
        </w:rPr>
        <w:t>的</w:t>
      </w:r>
      <w:r>
        <w:rPr>
          <w:w w:val="100"/>
        </w:rPr>
        <w:t>重</w:t>
      </w:r>
      <w:r>
        <w:rPr>
          <w:spacing w:val="-3"/>
          <w:w w:val="100"/>
        </w:rPr>
        <w:t>要</w:t>
      </w:r>
      <w:r>
        <w:rPr>
          <w:w w:val="100"/>
        </w:rPr>
        <w:t>组成</w:t>
      </w:r>
      <w:r>
        <w:rPr>
          <w:spacing w:val="-3"/>
          <w:w w:val="100"/>
        </w:rPr>
        <w:t>部分</w:t>
      </w:r>
      <w:r>
        <w:rPr>
          <w:spacing w:val="-92"/>
          <w:w w:val="100"/>
        </w:rPr>
        <w:t>。</w:t>
      </w:r>
      <w:r>
        <w:rPr>
          <w:spacing w:val="-3"/>
          <w:w w:val="100"/>
        </w:rPr>
        <w:t>公</w:t>
      </w:r>
      <w:r>
        <w:rPr>
          <w:w w:val="100"/>
        </w:rPr>
        <w:t>司</w:t>
      </w:r>
      <w:r>
        <w:rPr>
          <w:spacing w:val="-3"/>
          <w:w w:val="100"/>
        </w:rPr>
        <w:t>建</w:t>
      </w:r>
      <w:r>
        <w:rPr>
          <w:w w:val="100"/>
        </w:rPr>
        <w:t>立</w:t>
      </w:r>
      <w:r>
        <w:rPr>
          <w:spacing w:val="-3"/>
          <w:w w:val="100"/>
        </w:rPr>
        <w:t>了</w:t>
      </w:r>
      <w:r>
        <w:rPr>
          <w:w w:val="100"/>
        </w:rPr>
        <w:t>成</w:t>
      </w:r>
      <w:r>
        <w:rPr>
          <w:spacing w:val="-3"/>
          <w:w w:val="100"/>
        </w:rPr>
        <w:t>长</w:t>
      </w:r>
      <w:r>
        <w:rPr>
          <w:w w:val="100"/>
        </w:rPr>
        <w:t>性的</w:t>
      </w:r>
      <w:r>
        <w:rPr>
          <w:spacing w:val="-3"/>
          <w:w w:val="100"/>
        </w:rPr>
        <w:t>工</w:t>
      </w:r>
      <w:r>
        <w:rPr>
          <w:w w:val="100"/>
        </w:rPr>
        <w:t>资</w:t>
      </w:r>
      <w:r>
        <w:rPr>
          <w:spacing w:val="-3"/>
          <w:w w:val="100"/>
        </w:rPr>
        <w:t>体系</w:t>
      </w:r>
      <w:r>
        <w:rPr>
          <w:w w:val="100"/>
        </w:rPr>
        <w:t>，</w:t>
      </w:r>
    </w:p>
    <w:p>
      <w:pPr>
        <w:pStyle w:val="BodyText"/>
        <w:spacing w:line="237" w:lineRule="auto" w:before="2"/>
        <w:ind w:right="228"/>
        <w:jc w:val="both"/>
      </w:pPr>
      <w:r>
        <w:rPr>
          <w:spacing w:val="-1"/>
        </w:rPr>
        <w:t>将结合公司经营状况与市场薪酬状况进行调节和改善，同时倡导差异化的薪酬理念，依据各个岗</w:t>
      </w:r>
      <w:r>
        <w:rPr>
          <w:spacing w:val="-55"/>
        </w:rPr>
        <w:t> </w:t>
      </w:r>
      <w:r>
        <w:rPr>
          <w:spacing w:val="-55"/>
        </w:rPr>
      </w:r>
      <w:r>
        <w:rPr>
          <w:spacing w:val="-1"/>
        </w:rPr>
        <w:t>位的价值，并结合市场调查数据设计和调整工资架构体系。公司的福利体系以国家基本社会保障</w:t>
      </w:r>
      <w:r>
        <w:rPr>
          <w:spacing w:val="-55"/>
        </w:rPr>
        <w:t> </w:t>
      </w:r>
      <w:r>
        <w:rPr>
          <w:spacing w:val="-55"/>
        </w:rPr>
      </w:r>
      <w:r>
        <w:rPr>
          <w:spacing w:val="-1"/>
        </w:rPr>
        <w:t>制度为基础，同时实施企业年金计划，提供补充商业保险、贺金、抚慰金、探亲路途假等补充福</w:t>
      </w:r>
      <w:r>
        <w:rPr>
          <w:spacing w:val="-55"/>
        </w:rPr>
        <w:t> </w:t>
      </w:r>
      <w:r>
        <w:rPr>
          <w:spacing w:val="-55"/>
        </w:rPr>
      </w:r>
      <w:r>
        <w:rPr>
          <w:spacing w:val="-1"/>
        </w:rPr>
        <w:t>利，为员工提供丰富、完备的福利保障。公司通过构建全面薪酬体系，持续加强人力资源管理能</w:t>
      </w:r>
      <w:r>
        <w:rPr>
          <w:spacing w:val="-55"/>
        </w:rPr>
        <w:t> </w:t>
      </w:r>
      <w:r>
        <w:rPr>
          <w:spacing w:val="-55"/>
        </w:rPr>
      </w:r>
      <w:r>
        <w:rPr/>
        <w:t>力，为公司业务的稳健发展提供了持续、稳定的人才保证。</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7"/>
        <w:ind w:left="638" w:right="236" w:hanging="420"/>
        <w:jc w:val="left"/>
      </w:pPr>
      <w:r>
        <w:rPr>
          <w:spacing w:val="-1"/>
        </w:rPr>
        <w:t>√适用</w:t>
        <w:tab/>
      </w:r>
      <w:r>
        <w:rPr>
          <w:spacing w:val="-2"/>
        </w:rPr>
        <w:t>□不适用</w:t>
      </w:r>
      <w:r>
        <w:rPr>
          <w:spacing w:val="-99"/>
        </w:rPr>
        <w:t> </w:t>
      </w:r>
      <w:r>
        <w:rPr>
          <w:spacing w:val="-99"/>
        </w:rPr>
      </w:r>
      <w:r>
        <w:rPr>
          <w:spacing w:val="-2"/>
        </w:rPr>
        <w:t>公司注重员工的职业发展和能力成长，为员工设计了“双通道的职业生涯发展”模式，规划</w:t>
      </w:r>
    </w:p>
    <w:p>
      <w:pPr>
        <w:pStyle w:val="BodyText"/>
        <w:spacing w:line="272" w:lineRule="exact" w:before="1"/>
        <w:ind w:right="228"/>
        <w:jc w:val="both"/>
      </w:pPr>
      <w:r>
        <w:rPr>
          <w:spacing w:val="-1"/>
        </w:rPr>
        <w:t>了专业的“职业发展路径图”。员工可结合公司的岗位需求，依据自身特长、职业兴趣，选择适</w:t>
      </w:r>
      <w:r>
        <w:rPr>
          <w:spacing w:val="-55"/>
        </w:rPr>
        <w:t> </w:t>
      </w:r>
      <w:r>
        <w:rPr>
          <w:spacing w:val="-55"/>
        </w:rPr>
      </w:r>
      <w:r>
        <w:rPr/>
        <w:t>合的职业发展方向。</w:t>
      </w:r>
    </w:p>
    <w:p>
      <w:pPr>
        <w:pStyle w:val="BodyText"/>
        <w:spacing w:line="272" w:lineRule="exact" w:before="1"/>
        <w:ind w:right="226" w:firstLine="419"/>
        <w:jc w:val="left"/>
      </w:pPr>
      <w:r>
        <w:rPr>
          <w:spacing w:val="-2"/>
        </w:rPr>
        <w:t>为促进员工职业能力的持续提升，公司建立并不断完善了公司及事业部两级培养体系，为员</w:t>
      </w:r>
      <w:r>
        <w:rPr>
          <w:w w:val="100"/>
        </w:rPr>
        <w:t> </w:t>
      </w:r>
      <w:r>
        <w:rPr>
          <w:spacing w:val="-1"/>
        </w:rPr>
        <w:t>工制定系统的人力资源管理策略，提供基于社交的多元化、社会化学习和进修机会。两级培养体</w:t>
      </w:r>
    </w:p>
    <w:p>
      <w:pPr>
        <w:pStyle w:val="BodyText"/>
        <w:spacing w:line="272" w:lineRule="exact" w:before="2"/>
        <w:ind w:right="228"/>
        <w:jc w:val="both"/>
      </w:pPr>
      <w:r>
        <w:rPr>
          <w:spacing w:val="-1"/>
        </w:rPr>
        <w:t>系包括课堂学习、互动知识社区、</w:t>
      </w:r>
      <w:r>
        <w:rPr>
          <w:rFonts w:ascii="宋体" w:hAnsi="宋体" w:cs="宋体" w:eastAsia="宋体" w:hint="default"/>
          <w:spacing w:val="-1"/>
        </w:rPr>
        <w:t>E-Learning</w:t>
      </w:r>
      <w:r>
        <w:rPr>
          <w:spacing w:val="-1"/>
        </w:rPr>
        <w:t>、网络课堂、在岗培训、外派培训、项目实践和导</w:t>
      </w:r>
      <w:r>
        <w:rPr>
          <w:spacing w:val="-51"/>
        </w:rPr>
        <w:t> </w:t>
      </w:r>
      <w:r>
        <w:rPr>
          <w:spacing w:val="-51"/>
        </w:rPr>
      </w:r>
      <w:r>
        <w:rPr>
          <w:spacing w:val="-1"/>
        </w:rPr>
        <w:t>师辅导等多种学习形式，相关课程涵盖产品管理、项目管理、技术、销售技巧、自我提升及公司</w:t>
      </w:r>
    </w:p>
    <w:p>
      <w:pPr>
        <w:pStyle w:val="BodyText"/>
        <w:spacing w:line="249" w:lineRule="exact"/>
        <w:ind w:right="0"/>
        <w:jc w:val="left"/>
      </w:pPr>
      <w:r>
        <w:rPr/>
        <w:t>制度等多个领域，并设置了面向领导者的领导力培养方案，以及面向各类人群的专项培养计划。</w:t>
      </w:r>
    </w:p>
    <w:p>
      <w:pPr>
        <w:spacing w:after="0" w:line="249" w:lineRule="exact"/>
        <w:jc w:val="left"/>
        <w:sectPr>
          <w:headerReference w:type="default" r:id="rId48"/>
          <w:footerReference w:type="default" r:id="rId49"/>
          <w:pgSz w:w="11910" w:h="16840"/>
          <w:pgMar w:header="941" w:footer="1228" w:top="1300" w:bottom="1420" w:left="1580" w:right="1040"/>
          <w:pgNumType w:start="62"/>
        </w:sectPr>
      </w:pPr>
    </w:p>
    <w:p>
      <w:pPr>
        <w:spacing w:line="240" w:lineRule="auto" w:before="7"/>
        <w:rPr>
          <w:rFonts w:ascii="宋体" w:hAnsi="宋体" w:cs="宋体" w:eastAsia="宋体" w:hint="default"/>
          <w:sz w:val="11"/>
          <w:szCs w:val="11"/>
        </w:rPr>
      </w:pPr>
    </w:p>
    <w:p>
      <w:pPr>
        <w:pStyle w:val="BodyText"/>
        <w:spacing w:line="240" w:lineRule="auto" w:before="36"/>
        <w:ind w:right="226"/>
        <w:jc w:val="left"/>
      </w:pPr>
      <w:r>
        <w:rPr>
          <w:spacing w:val="-1"/>
        </w:rPr>
        <w:t>同时，针对全体员工公司设定了基于能力发展阶梯的定制课程，为员工的晋升做好知识储备，提</w:t>
      </w:r>
      <w:r>
        <w:rPr>
          <w:spacing w:val="-55"/>
        </w:rPr>
        <w:t> </w:t>
      </w:r>
      <w:r>
        <w:rPr>
          <w:spacing w:val="-55"/>
        </w:rPr>
      </w:r>
      <w:r>
        <w:rPr/>
        <w:t>供全面的成长支持、公平的职位晋升和发展空间。</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2,062,000</w:t>
            </w:r>
            <w:r>
              <w:rPr>
                <w:rFonts w:ascii="宋体" w:hAnsi="宋体" w:cs="宋体" w:eastAsia="宋体" w:hint="default"/>
                <w:spacing w:val="-52"/>
                <w:sz w:val="21"/>
                <w:szCs w:val="21"/>
              </w:rPr>
              <w:t> </w:t>
            </w:r>
            <w:r>
              <w:rPr>
                <w:rFonts w:ascii="宋体" w:hAnsi="宋体" w:cs="宋体" w:eastAsia="宋体" w:hint="default"/>
                <w:spacing w:val="-3"/>
                <w:sz w:val="21"/>
                <w:szCs w:val="21"/>
              </w:rPr>
              <w:t>小时</w:t>
            </w:r>
            <w:r>
              <w:rPr>
                <w:rFonts w:ascii="宋体" w:hAnsi="宋体" w:cs="宋体" w:eastAsia="宋体" w:hint="default"/>
                <w:sz w:val="21"/>
                <w:szCs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94,768,306</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t>七、其他</w:t>
      </w:r>
      <w:r>
        <w:rPr>
          <w:b w:val="0"/>
          <w:bCs w:val="0"/>
        </w:rPr>
      </w:r>
    </w:p>
    <w:p>
      <w:pPr>
        <w:pStyle w:val="BodyText"/>
        <w:tabs>
          <w:tab w:pos="1060" w:val="left" w:leader="none"/>
        </w:tabs>
        <w:spacing w:line="240" w:lineRule="auto" w:before="56"/>
        <w:ind w:right="2760"/>
        <w:jc w:val="left"/>
      </w:pPr>
      <w:r>
        <w:rPr>
          <w:spacing w:val="-1"/>
        </w:rPr>
        <w:t>□适用</w:t>
        <w:tab/>
      </w:r>
      <w:r>
        <w:rPr>
          <w:spacing w:val="-2"/>
        </w:rPr>
        <w:t>√不适用</w:t>
      </w:r>
    </w:p>
    <w:p>
      <w:pPr>
        <w:spacing w:after="0" w:line="240" w:lineRule="auto"/>
        <w:jc w:val="left"/>
        <w:sectPr>
          <w:pgSz w:w="11910" w:h="16840"/>
          <w:pgMar w:header="941" w:footer="1228" w:top="1300" w:bottom="1440" w:left="1580" w:right="1040"/>
        </w:sectPr>
      </w:pPr>
    </w:p>
    <w:p>
      <w:pPr>
        <w:spacing w:line="240" w:lineRule="auto" w:before="0"/>
        <w:rPr>
          <w:rFonts w:ascii="宋体" w:hAnsi="宋体" w:cs="宋体" w:eastAsia="宋体" w:hint="default"/>
          <w:sz w:val="20"/>
          <w:szCs w:val="20"/>
        </w:rPr>
      </w:pPr>
    </w:p>
    <w:p>
      <w:pPr>
        <w:pStyle w:val="Heading1"/>
        <w:spacing w:line="240" w:lineRule="auto" w:before="184"/>
        <w:ind w:left="3462" w:right="3577"/>
        <w:jc w:val="center"/>
        <w:rPr>
          <w:b w:val="0"/>
          <w:bCs w:val="0"/>
        </w:rPr>
      </w:pPr>
      <w:bookmarkStart w:name="_TOC_250003" w:id="9"/>
      <w:r>
        <w:rPr/>
        <w:t>第九节</w:t>
      </w:r>
      <w:r>
        <w:rPr>
          <w:spacing w:val="-3"/>
        </w:rPr>
        <w:t> </w:t>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18" w:right="0"/>
        <w:jc w:val="both"/>
        <w:rPr>
          <w:b w:val="0"/>
          <w:bCs w:val="0"/>
        </w:rPr>
      </w:pPr>
      <w:r>
        <w:rPr/>
        <w:t>一、公司治理相关情况说明</w:t>
      </w:r>
      <w:r>
        <w:rPr>
          <w:b w:val="0"/>
          <w:bCs w:val="0"/>
        </w:rPr>
      </w:r>
    </w:p>
    <w:p>
      <w:pPr>
        <w:pStyle w:val="BodyText"/>
        <w:tabs>
          <w:tab w:pos="960" w:val="left" w:leader="none"/>
        </w:tabs>
        <w:spacing w:line="240" w:lineRule="auto" w:before="56"/>
        <w:ind w:left="538" w:right="230" w:hanging="420"/>
        <w:jc w:val="left"/>
      </w:pPr>
      <w:r>
        <w:rPr>
          <w:spacing w:val="-1"/>
        </w:rPr>
        <w:t>√适用</w:t>
        <w:tab/>
      </w:r>
      <w:r>
        <w:rPr>
          <w:spacing w:val="-2"/>
        </w:rPr>
        <w:t>□不适用</w:t>
      </w:r>
      <w:r>
        <w:rPr>
          <w:spacing w:val="-99"/>
        </w:rPr>
        <w:t> </w:t>
      </w:r>
      <w:r>
        <w:rPr>
          <w:spacing w:val="-99"/>
        </w:rPr>
      </w:r>
      <w:r>
        <w:rPr>
          <w:spacing w:val="-2"/>
        </w:rPr>
        <w:t>公司长期致力于法人治理结构的构建和持续完善，严格按照《公司法》、《证券法》和中国</w:t>
      </w:r>
    </w:p>
    <w:p>
      <w:pPr>
        <w:pStyle w:val="BodyText"/>
        <w:spacing w:line="271" w:lineRule="exact"/>
        <w:ind w:left="118" w:right="0"/>
        <w:jc w:val="both"/>
      </w:pPr>
      <w:r>
        <w:rPr/>
        <w:t>证监会、证券交易所有关法律法规的要求，不断完善公司法人治理结构，规范化运作。公司按照</w:t>
      </w:r>
    </w:p>
    <w:p>
      <w:pPr>
        <w:pStyle w:val="BodyText"/>
        <w:spacing w:line="237" w:lineRule="auto" w:before="2"/>
        <w:ind w:left="118" w:right="228"/>
        <w:jc w:val="both"/>
      </w:pPr>
      <w:r>
        <w:rPr>
          <w:spacing w:val="-1"/>
        </w:rPr>
        <w:t>《上市公司章程指引》、《上市公司治理准则》等规定修订了公司章程，制订、完善了《股东大</w:t>
      </w:r>
      <w:r>
        <w:rPr>
          <w:spacing w:val="-55"/>
        </w:rPr>
        <w:t> </w:t>
      </w:r>
      <w:r>
        <w:rPr>
          <w:spacing w:val="-55"/>
        </w:rPr>
      </w:r>
      <w:r>
        <w:rPr>
          <w:spacing w:val="-1"/>
        </w:rPr>
        <w:t>会议事规则》、《董事会议事规则》、《监事会议事规则》、《投资者关系管理制度》和《信息</w:t>
      </w:r>
      <w:r>
        <w:rPr>
          <w:spacing w:val="-55"/>
        </w:rPr>
        <w:t> </w:t>
      </w:r>
      <w:r>
        <w:rPr>
          <w:spacing w:val="-55"/>
        </w:rPr>
      </w:r>
      <w:r>
        <w:rPr>
          <w:spacing w:val="-1"/>
        </w:rPr>
        <w:t>披露事务管理制度》等制度，明确了公司重大事项的决策权限和程序，保障公司决策的科学性和</w:t>
      </w:r>
      <w:r>
        <w:rPr>
          <w:spacing w:val="-55"/>
        </w:rPr>
        <w:t> </w:t>
      </w:r>
      <w:r>
        <w:rPr>
          <w:spacing w:val="-55"/>
        </w:rPr>
      </w:r>
      <w:r>
        <w:rPr>
          <w:spacing w:val="-1"/>
        </w:rPr>
        <w:t>合理性。早在中国证监会《关于在上市公司建立独立董事制度指导意见》出台前，公司就已经建</w:t>
      </w:r>
      <w:r>
        <w:rPr>
          <w:spacing w:val="-55"/>
        </w:rPr>
        <w:t> </w:t>
      </w:r>
      <w:r>
        <w:rPr>
          <w:spacing w:val="-55"/>
        </w:rPr>
      </w:r>
      <w:r>
        <w:rPr>
          <w:spacing w:val="-1"/>
        </w:rPr>
        <w:t>立了独立董事制度，组建了董事会各专业委员会，促进了公司规范化建设。公司治理结构基本符</w:t>
      </w:r>
      <w:r>
        <w:rPr>
          <w:spacing w:val="-55"/>
        </w:rPr>
        <w:t> </w:t>
      </w:r>
      <w:r>
        <w:rPr>
          <w:spacing w:val="-55"/>
        </w:rPr>
      </w:r>
      <w:r>
        <w:rPr/>
        <w:t>合《上市公司治理准则》的要求。目前，公司是上海证券交易所“公司治理指数”的成份股。</w:t>
      </w:r>
    </w:p>
    <w:p>
      <w:pPr>
        <w:pStyle w:val="BodyText"/>
        <w:spacing w:line="237" w:lineRule="auto" w:before="1"/>
        <w:ind w:left="118" w:right="228" w:firstLine="419"/>
        <w:jc w:val="both"/>
      </w:pPr>
      <w:r>
        <w:rPr/>
        <w:t>公司董事会由九人组成，大多是</w:t>
      </w:r>
      <w:r>
        <w:rPr>
          <w:spacing w:val="-31"/>
        </w:rPr>
        <w:t> </w:t>
      </w:r>
      <w:r>
        <w:rPr>
          <w:rFonts w:ascii="宋体" w:hAnsi="宋体" w:cs="宋体" w:eastAsia="宋体" w:hint="default"/>
          <w:spacing w:val="-3"/>
        </w:rPr>
        <w:t>IT</w:t>
      </w:r>
      <w:r>
        <w:rPr>
          <w:spacing w:val="-3"/>
        </w:rPr>
        <w:t>、管理、财务等领域的专业、资深人士，其中包括两位来</w:t>
      </w:r>
      <w:r>
        <w:rPr>
          <w:w w:val="100"/>
        </w:rPr>
        <w:t> </w:t>
      </w:r>
      <w:r>
        <w:rPr>
          <w:spacing w:val="-1"/>
        </w:rPr>
        <w:t>自日本的国际化人才，也包括国内知名学者担任的独立董事，公司外部董事占董事会多数席位。</w:t>
      </w:r>
      <w:r>
        <w:rPr>
          <w:spacing w:val="-55"/>
        </w:rPr>
        <w:t> </w:t>
      </w:r>
      <w:r>
        <w:rPr>
          <w:spacing w:val="-55"/>
        </w:rPr>
      </w:r>
      <w:r>
        <w:rPr>
          <w:spacing w:val="-1"/>
        </w:rPr>
        <w:t>公司通过建立国际化、专业化的董事会，有效推动公司治理结构持续改善，不断创新管理模式和</w:t>
      </w:r>
      <w:r>
        <w:rPr>
          <w:spacing w:val="-55"/>
        </w:rPr>
        <w:t> </w:t>
      </w:r>
      <w:r>
        <w:rPr>
          <w:spacing w:val="-55"/>
        </w:rPr>
      </w:r>
      <w:r>
        <w:rPr>
          <w:spacing w:val="-1"/>
        </w:rPr>
        <w:t>业务模式，加快公司国际化的发展步伐，为公司经营业务的全球化布局、国际并购策略的安全有</w:t>
      </w:r>
      <w:r>
        <w:rPr>
          <w:spacing w:val="-55"/>
        </w:rPr>
        <w:t> </w:t>
      </w:r>
      <w:r>
        <w:rPr>
          <w:spacing w:val="-55"/>
        </w:rPr>
      </w:r>
      <w:r>
        <w:rPr>
          <w:spacing w:val="-1"/>
        </w:rPr>
        <w:t>效实施提供了宝贵的经验和支持。报告期内，公司积极组织董事、监事、高级管理人员参加证券</w:t>
      </w:r>
      <w:r>
        <w:rPr>
          <w:spacing w:val="-55"/>
        </w:rPr>
        <w:t> </w:t>
      </w:r>
      <w:r>
        <w:rPr>
          <w:spacing w:val="-55"/>
        </w:rPr>
      </w:r>
      <w:r>
        <w:rPr>
          <w:spacing w:val="-1"/>
        </w:rPr>
        <w:t>监管部门组织的法律法规、规则制度的学习，强化规范运作的理念，提高对诚信意识的理解，完</w:t>
      </w:r>
      <w:r>
        <w:rPr>
          <w:spacing w:val="-55"/>
        </w:rPr>
        <w:t> </w:t>
      </w:r>
      <w:r>
        <w:rPr>
          <w:spacing w:val="-55"/>
        </w:rPr>
      </w:r>
      <w:r>
        <w:rPr/>
        <w:t>善公司治理结构。</w:t>
      </w:r>
    </w:p>
    <w:p>
      <w:pPr>
        <w:pStyle w:val="BodyText"/>
        <w:spacing w:line="237" w:lineRule="auto" w:before="1"/>
        <w:ind w:left="118" w:right="99" w:firstLine="419"/>
        <w:jc w:val="left"/>
      </w:pPr>
      <w:r>
        <w:rPr/>
        <w:t>为进一步加强公司内部管理，公司根据实际情况分类制定了境内子公司权限规则，并组织境</w:t>
      </w:r>
      <w:r>
        <w:rPr>
          <w:w w:val="100"/>
        </w:rPr>
        <w:t> </w:t>
      </w:r>
      <w:r>
        <w:rPr>
          <w:spacing w:val="-4"/>
          <w:w w:val="100"/>
        </w:rPr>
        <w:t>内子公司的相关管理人员进行专项培训，持续提高相关人员对规范运作和诚信意识的认识和理解，</w:t>
      </w:r>
      <w:r>
        <w:rPr>
          <w:spacing w:val="-86"/>
          <w:w w:val="100"/>
        </w:rPr>
        <w:t> </w:t>
      </w:r>
      <w:r>
        <w:rPr>
          <w:spacing w:val="-86"/>
          <w:w w:val="100"/>
        </w:rPr>
      </w:r>
      <w:r>
        <w:rPr/>
        <w:t>强化自律意识，完善公司治理结构。近年，公司持续加强公司治理制度化建设及相关培训。在公</w:t>
      </w:r>
      <w:r>
        <w:rPr>
          <w:spacing w:val="-97"/>
        </w:rPr>
        <w:t> </w:t>
      </w:r>
      <w:r>
        <w:rPr>
          <w:spacing w:val="-97"/>
        </w:rPr>
      </w:r>
      <w:r>
        <w:rPr/>
        <w:t>司每年常规举办的高级领导干部培训班以及年中、年末组织的所有中层干部参加的总结大会等场</w:t>
      </w:r>
      <w:r>
        <w:rPr>
          <w:spacing w:val="-98"/>
        </w:rPr>
        <w:t> </w:t>
      </w:r>
      <w:r>
        <w:rPr>
          <w:spacing w:val="-98"/>
        </w:rPr>
      </w:r>
      <w:r>
        <w:rPr/>
        <w:t>合，公司董事会秘书为参会人员讲解公司治理的原则、信息披露等有关内容，不断提高公司内部</w:t>
      </w:r>
      <w:r>
        <w:rPr>
          <w:spacing w:val="-97"/>
        </w:rPr>
        <w:t> </w:t>
      </w:r>
      <w:r>
        <w:rPr>
          <w:spacing w:val="-97"/>
        </w:rPr>
      </w:r>
      <w:r>
        <w:rPr/>
        <w:t>对上市公司信息披露和规范化建设的认识。在日常工作中，公司利用内部网络系统，收集整理优</w:t>
      </w:r>
      <w:r>
        <w:rPr>
          <w:spacing w:val="-97"/>
        </w:rPr>
        <w:t> </w:t>
      </w:r>
      <w:r>
        <w:rPr>
          <w:spacing w:val="-97"/>
        </w:rPr>
      </w:r>
      <w:r>
        <w:rPr/>
        <w:t>秀上市公司在企业规范运作的经验和做法，证监会、交易所处罚和谴责上市公司的案例，以及媒</w:t>
      </w:r>
      <w:r>
        <w:rPr>
          <w:spacing w:val="-97"/>
        </w:rPr>
        <w:t> </w:t>
      </w:r>
      <w:r>
        <w:rPr>
          <w:spacing w:val="-97"/>
        </w:rPr>
      </w:r>
      <w:r>
        <w:rPr>
          <w:spacing w:val="-6"/>
        </w:rPr>
        <w:t>体上质疑和批评公司的不规范做法，通过正反两个方面，学习规范运作的经验，借鉴和汲取教训，</w:t>
      </w:r>
      <w:r>
        <w:rPr>
          <w:spacing w:val="-54"/>
        </w:rPr>
        <w:t> </w:t>
      </w:r>
      <w:r>
        <w:rPr>
          <w:spacing w:val="-54"/>
        </w:rPr>
      </w:r>
      <w:r>
        <w:rPr/>
        <w:t>进一步强化上市公司董事、监事和高级管理人员对规范运作和诚信意识的认识和理解，树立公司</w:t>
      </w:r>
      <w:r>
        <w:rPr>
          <w:spacing w:val="-97"/>
        </w:rPr>
        <w:t> </w:t>
      </w:r>
      <w:r>
        <w:rPr>
          <w:spacing w:val="-97"/>
        </w:rPr>
      </w:r>
      <w:r>
        <w:rPr/>
        <w:t>规范化运作的理念。</w:t>
      </w:r>
    </w:p>
    <w:p>
      <w:pPr>
        <w:pStyle w:val="BodyText"/>
        <w:spacing w:line="237" w:lineRule="auto" w:before="1"/>
        <w:ind w:left="118" w:right="227" w:firstLine="419"/>
        <w:jc w:val="both"/>
      </w:pPr>
      <w:r>
        <w:rPr>
          <w:spacing w:val="-3"/>
        </w:rPr>
        <w:t>公司治理水平持续提升并获得认可。</w:t>
      </w:r>
      <w:r>
        <w:rPr>
          <w:rFonts w:ascii="宋体" w:hAnsi="宋体" w:cs="宋体" w:eastAsia="宋体" w:hint="default"/>
          <w:spacing w:val="-3"/>
        </w:rPr>
        <w:t>2010</w:t>
      </w:r>
      <w:r>
        <w:rPr>
          <w:rFonts w:ascii="宋体" w:hAnsi="宋体" w:cs="宋体" w:eastAsia="宋体" w:hint="default"/>
          <w:spacing w:val="2"/>
        </w:rPr>
        <w:t> </w:t>
      </w:r>
      <w:r>
        <w:rPr>
          <w:spacing w:val="-3"/>
        </w:rPr>
        <w:t>年，在上海证券交易所主办的“第九届中国公司治</w:t>
      </w:r>
      <w:r>
        <w:rPr>
          <w:w w:val="100"/>
        </w:rPr>
        <w:t> </w:t>
      </w:r>
      <w:r>
        <w:rPr/>
        <w:t>理论坛”上，公司荣获“2010</w:t>
      </w:r>
      <w:r>
        <w:rPr>
          <w:spacing w:val="-26"/>
        </w:rPr>
        <w:t> </w:t>
      </w:r>
      <w:r>
        <w:rPr>
          <w:spacing w:val="-3"/>
        </w:rPr>
        <w:t>年度董事会奖”，获得监管机构对东软在公司治理方面的肯定。在</w:t>
      </w:r>
      <w:r>
        <w:rPr>
          <w:spacing w:val="-94"/>
        </w:rPr>
        <w:t> </w:t>
      </w:r>
      <w:r>
        <w:rPr>
          <w:spacing w:val="-94"/>
        </w:rPr>
      </w:r>
      <w:r>
        <w:rPr>
          <w:spacing w:val="-1"/>
        </w:rPr>
        <w:t>在第十三届中国上市公司董事会“金圆桌奖”的评选中，公司荣获“最佳董事会”、“最具战略</w:t>
      </w:r>
      <w:r>
        <w:rPr>
          <w:spacing w:val="-56"/>
        </w:rPr>
        <w:t> </w:t>
      </w:r>
      <w:r>
        <w:rPr>
          <w:spacing w:val="-56"/>
        </w:rPr>
      </w:r>
      <w:r>
        <w:rPr>
          <w:spacing w:val="-1"/>
        </w:rPr>
        <w:t>眼光董事长”、“最具社会责任董事长”、“企业家精神奖”、“最具创新力董秘”等奖项。在</w:t>
      </w:r>
      <w:r>
        <w:rPr>
          <w:spacing w:val="-56"/>
        </w:rPr>
        <w:t> </w:t>
      </w:r>
      <w:r>
        <w:rPr>
          <w:spacing w:val="-56"/>
        </w:rPr>
      </w:r>
      <w:r>
        <w:rPr>
          <w:rFonts w:ascii="宋体" w:hAnsi="宋体" w:cs="宋体" w:eastAsia="宋体" w:hint="default"/>
        </w:rPr>
        <w:t>2017 </w:t>
      </w:r>
      <w:r>
        <w:rPr>
          <w:spacing w:val="-3"/>
        </w:rPr>
        <w:t>年上市公司价值评选“金智奖”的评选中，公司荣获“最具创新力上市公司”、“杰出公司</w:t>
      </w:r>
      <w:r>
        <w:rPr>
          <w:spacing w:val="-89"/>
        </w:rPr>
        <w:t> </w:t>
      </w:r>
      <w:r>
        <w:rPr>
          <w:spacing w:val="-89"/>
        </w:rPr>
      </w:r>
      <w:r>
        <w:rPr/>
        <w:t>治理实践奖”。在</w:t>
      </w:r>
      <w:r>
        <w:rPr>
          <w:spacing w:val="-45"/>
        </w:rPr>
        <w:t> </w:t>
      </w:r>
      <w:r>
        <w:rPr>
          <w:rFonts w:ascii="宋体" w:hAnsi="宋体" w:cs="宋体" w:eastAsia="宋体" w:hint="default"/>
        </w:rPr>
        <w:t>2017</w:t>
      </w:r>
      <w:r>
        <w:rPr>
          <w:rFonts w:ascii="宋体" w:hAnsi="宋体" w:cs="宋体" w:eastAsia="宋体" w:hint="default"/>
          <w:spacing w:val="-47"/>
        </w:rPr>
        <w:t> </w:t>
      </w:r>
      <w:r>
        <w:rPr/>
        <w:t>年首届中国卓越</w:t>
      </w:r>
      <w:r>
        <w:rPr>
          <w:spacing w:val="-45"/>
        </w:rPr>
        <w:t> </w:t>
      </w:r>
      <w:r>
        <w:rPr>
          <w:rFonts w:ascii="宋体" w:hAnsi="宋体" w:cs="宋体" w:eastAsia="宋体" w:hint="default"/>
        </w:rPr>
        <w:t>IR</w:t>
      </w:r>
      <w:r>
        <w:rPr>
          <w:rFonts w:ascii="宋体" w:hAnsi="宋体" w:cs="宋体" w:eastAsia="宋体" w:hint="default"/>
          <w:spacing w:val="-45"/>
        </w:rPr>
        <w:t> </w:t>
      </w:r>
      <w:r>
        <w:rPr/>
        <w:t>评选中，公司荣获“2017</w:t>
      </w:r>
      <w:r>
        <w:rPr>
          <w:spacing w:val="-45"/>
        </w:rPr>
        <w:t> </w:t>
      </w:r>
      <w:r>
        <w:rPr/>
        <w:t>年度中国卓越</w:t>
      </w:r>
      <w:r>
        <w:rPr>
          <w:spacing w:val="-45"/>
        </w:rPr>
        <w:t> </w:t>
      </w:r>
      <w:r>
        <w:rPr>
          <w:rFonts w:ascii="宋体" w:hAnsi="宋体" w:cs="宋体" w:eastAsia="宋体" w:hint="default"/>
        </w:rPr>
        <w:t>IR</w:t>
      </w:r>
      <w:r>
        <w:rPr>
          <w:rFonts w:ascii="宋体" w:hAnsi="宋体" w:cs="宋体" w:eastAsia="宋体" w:hint="default"/>
          <w:spacing w:val="-45"/>
        </w:rPr>
        <w:t> </w:t>
      </w:r>
      <w:r>
        <w:rPr/>
        <w:t>最佳信披</w:t>
      </w:r>
      <w:r>
        <w:rPr>
          <w:w w:val="100"/>
        </w:rPr>
        <w:t> </w:t>
      </w:r>
      <w:r>
        <w:rPr/>
        <w:t>奖”和“2017</w:t>
      </w:r>
      <w:r>
        <w:rPr>
          <w:spacing w:val="-56"/>
        </w:rPr>
        <w:t> </w:t>
      </w:r>
      <w:r>
        <w:rPr/>
        <w:t>年度中国卓越</w:t>
      </w:r>
      <w:r>
        <w:rPr>
          <w:spacing w:val="-53"/>
        </w:rPr>
        <w:t> </w:t>
      </w:r>
      <w:r>
        <w:rPr>
          <w:rFonts w:ascii="宋体" w:hAnsi="宋体" w:cs="宋体" w:eastAsia="宋体" w:hint="default"/>
        </w:rPr>
        <w:t>IR</w:t>
      </w:r>
      <w:r>
        <w:rPr>
          <w:rFonts w:ascii="宋体" w:hAnsi="宋体" w:cs="宋体" w:eastAsia="宋体" w:hint="default"/>
          <w:spacing w:val="-56"/>
        </w:rPr>
        <w:t> </w:t>
      </w:r>
      <w:r>
        <w:rPr/>
        <w:t>最佳领袖奖”。</w:t>
      </w:r>
    </w:p>
    <w:p>
      <w:pPr>
        <w:spacing w:line="240" w:lineRule="auto" w:before="9"/>
        <w:rPr>
          <w:rFonts w:ascii="宋体" w:hAnsi="宋体" w:cs="宋体" w:eastAsia="宋体" w:hint="default"/>
          <w:sz w:val="20"/>
          <w:szCs w:val="20"/>
        </w:rPr>
      </w:pPr>
    </w:p>
    <w:p>
      <w:pPr>
        <w:pStyle w:val="BodyText"/>
        <w:spacing w:line="273" w:lineRule="exact"/>
        <w:ind w:left="118" w:right="0"/>
        <w:jc w:val="both"/>
      </w:pPr>
      <w:r>
        <w:rPr/>
        <w:t>公司治理与中国证监会相关规定的要求是否存在重大差异；如有重大差异，应当说明原因</w:t>
      </w:r>
    </w:p>
    <w:p>
      <w:pPr>
        <w:spacing w:line="528" w:lineRule="auto" w:before="0"/>
        <w:ind w:left="118" w:right="6940" w:firstLine="0"/>
        <w:jc w:val="left"/>
        <w:rPr>
          <w:rFonts w:ascii="宋体" w:hAnsi="宋体" w:cs="宋体" w:eastAsia="宋体" w:hint="default"/>
          <w:sz w:val="21"/>
          <w:szCs w:val="21"/>
        </w:rPr>
      </w:pPr>
      <w:r>
        <w:rPr/>
        <w:pict>
          <v:shape style="position:absolute;margin-left:89.664001pt;margin-top:48.503693pt;width:447.8pt;height:83.8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1380"/>
                    <w:gridCol w:w="2422"/>
                    <w:gridCol w:w="2163"/>
                  </w:tblGrid>
                  <w:tr>
                    <w:trPr>
                      <w:trHeight w:val="55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2017-01-05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2017-01-06</w:t>
                        </w:r>
                      </w:p>
                    </w:tc>
                  </w:tr>
                  <w:tr>
                    <w:trPr>
                      <w:trHeight w:val="5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2017-05-05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2017-05-06</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pgSz w:w="11910" w:h="16840"/>
          <w:pgMar w:header="941" w:footer="1228" w:top="1300" w:bottom="1440" w:left="1680" w:right="1040"/>
        </w:sectPr>
      </w:pPr>
    </w:p>
    <w:p>
      <w:pPr>
        <w:spacing w:line="240" w:lineRule="auto" w:before="12"/>
        <w:rPr>
          <w:rFonts w:ascii="宋体" w:hAnsi="宋体" w:cs="宋体" w:eastAsia="宋体" w:hint="default"/>
          <w:b/>
          <w:bCs/>
          <w:sz w:val="16"/>
          <w:szCs w:val="16"/>
        </w:rPr>
      </w:pPr>
    </w:p>
    <w:tbl>
      <w:tblPr>
        <w:tblW w:w="0" w:type="auto"/>
        <w:jc w:val="left"/>
        <w:tblInd w:w="393" w:type="dxa"/>
        <w:tblLayout w:type="fixed"/>
        <w:tblCellMar>
          <w:top w:w="0" w:type="dxa"/>
          <w:left w:w="0" w:type="dxa"/>
          <w:bottom w:w="0" w:type="dxa"/>
          <w:right w:w="0" w:type="dxa"/>
        </w:tblCellMar>
        <w:tblLook w:val="01E0"/>
      </w:tblPr>
      <w:tblGrid>
        <w:gridCol w:w="2977"/>
        <w:gridCol w:w="1380"/>
        <w:gridCol w:w="2422"/>
        <w:gridCol w:w="2163"/>
      </w:tblGrid>
      <w:tr>
        <w:trPr>
          <w:trHeight w:val="55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2017-09-27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2017-09-28</w:t>
            </w:r>
          </w:p>
        </w:tc>
      </w:tr>
      <w:tr>
        <w:trPr>
          <w:trHeight w:val="55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2017-12-05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2017-12-06</w:t>
            </w:r>
          </w:p>
        </w:tc>
      </w:tr>
    </w:tbl>
    <w:p>
      <w:pPr>
        <w:spacing w:line="240" w:lineRule="auto" w:before="5"/>
        <w:rPr>
          <w:rFonts w:ascii="宋体" w:hAnsi="宋体" w:cs="宋体" w:eastAsia="宋体" w:hint="default"/>
          <w:b/>
          <w:bCs/>
          <w:sz w:val="15"/>
          <w:szCs w:val="15"/>
        </w:rPr>
      </w:pPr>
    </w:p>
    <w:p>
      <w:pPr>
        <w:pStyle w:val="BodyText"/>
        <w:spacing w:line="274" w:lineRule="exact" w:before="36"/>
        <w:ind w:left="398" w:right="5463"/>
        <w:jc w:val="left"/>
      </w:pPr>
      <w:r>
        <w:rPr/>
        <w:t>股东大会情况说明</w:t>
      </w:r>
    </w:p>
    <w:p>
      <w:pPr>
        <w:pStyle w:val="BodyText"/>
        <w:spacing w:line="274" w:lineRule="exact"/>
        <w:ind w:left="398" w:right="546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398" w:right="5463"/>
        <w:jc w:val="left"/>
        <w:rPr>
          <w:b w:val="0"/>
          <w:bCs w:val="0"/>
        </w:rPr>
      </w:pPr>
      <w:r>
        <w:rPr/>
        <w:t>三、董事履行职责情况</w:t>
      </w:r>
      <w:r>
        <w:rPr>
          <w:spacing w:val="-101"/>
        </w:rPr>
        <w:t> </w:t>
      </w:r>
      <w:r>
        <w:rPr>
          <w:spacing w:val="-101"/>
        </w:rPr>
      </w: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1154"/>
        <w:gridCol w:w="847"/>
        <w:gridCol w:w="1102"/>
        <w:gridCol w:w="852"/>
        <w:gridCol w:w="968"/>
        <w:gridCol w:w="907"/>
        <w:gridCol w:w="845"/>
        <w:gridCol w:w="1292"/>
        <w:gridCol w:w="1258"/>
      </w:tblGrid>
      <w:tr>
        <w:trPr>
          <w:trHeight w:val="572" w:hRule="exact"/>
        </w:trPr>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359" w:right="36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4"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5" w:lineRule="exact"/>
              <w:ind w:left="204"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1154"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3"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3" w:right="11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199"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陈锡民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石野诚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徐洪利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邓锋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刘淑莲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7"/>
        <w:rPr>
          <w:rFonts w:ascii="宋体" w:hAnsi="宋体" w:cs="宋体" w:eastAsia="宋体" w:hint="default"/>
          <w:b/>
          <w:bCs/>
          <w:sz w:val="15"/>
          <w:szCs w:val="15"/>
        </w:rPr>
      </w:pPr>
    </w:p>
    <w:p>
      <w:pPr>
        <w:pStyle w:val="BodyText"/>
        <w:spacing w:line="273" w:lineRule="exact" w:before="36"/>
        <w:ind w:left="398" w:right="0"/>
        <w:jc w:val="left"/>
      </w:pPr>
      <w:r>
        <w:rPr/>
        <w:t>连续两次未亲自出席董事会会议的说明</w:t>
      </w:r>
    </w:p>
    <w:p>
      <w:pPr>
        <w:pStyle w:val="BodyText"/>
        <w:spacing w:line="273" w:lineRule="exact"/>
        <w:ind w:left="398" w:right="5463"/>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28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4"/>
        <w:spacing w:line="240" w:lineRule="auto" w:before="36"/>
        <w:ind w:left="398" w:right="0"/>
        <w:jc w:val="left"/>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pStyle w:val="BodyText"/>
        <w:spacing w:line="240" w:lineRule="auto" w:before="59"/>
        <w:ind w:left="398" w:right="546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398" w:right="5463"/>
        <w:jc w:val="left"/>
        <w:rPr>
          <w:b w:val="0"/>
          <w:bCs w:val="0"/>
        </w:rPr>
      </w:pPr>
      <w:r>
        <w:rPr>
          <w:rFonts w:ascii="宋体" w:hAnsi="宋体" w:cs="宋体" w:eastAsia="宋体" w:hint="default"/>
        </w:rPr>
        <w:t>(</w:t>
      </w:r>
      <w:r>
        <w:rPr/>
        <w:t>三</w:t>
      </w:r>
      <w:r>
        <w:rPr>
          <w:rFonts w:ascii="宋体" w:hAnsi="宋体" w:cs="宋体" w:eastAsia="宋体" w:hint="default"/>
        </w:rPr>
        <w:t>)</w:t>
      </w:r>
      <w:r>
        <w:rPr/>
        <w:t>其他</w:t>
      </w:r>
      <w:r>
        <w:rPr>
          <w:b w:val="0"/>
          <w:bCs w:val="0"/>
        </w:rPr>
      </w:r>
    </w:p>
    <w:p>
      <w:pPr>
        <w:pStyle w:val="BodyText"/>
        <w:tabs>
          <w:tab w:pos="1240" w:val="left" w:leader="none"/>
        </w:tabs>
        <w:spacing w:line="240" w:lineRule="auto" w:before="56"/>
        <w:ind w:left="398" w:right="546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82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240" w:val="left" w:leader="none"/>
        </w:tabs>
        <w:spacing w:line="240" w:lineRule="auto" w:before="56"/>
        <w:ind w:left="398" w:right="546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398" w:right="5463"/>
        <w:jc w:val="left"/>
        <w:rPr>
          <w:b w:val="0"/>
          <w:bCs w:val="0"/>
        </w:rPr>
      </w:pPr>
      <w:r>
        <w:rPr/>
        <w:t>五、监事会发现公司存在风险的说明</w:t>
      </w:r>
      <w:r>
        <w:rPr>
          <w:b w:val="0"/>
          <w:bCs w:val="0"/>
        </w:rPr>
      </w:r>
    </w:p>
    <w:p>
      <w:pPr>
        <w:pStyle w:val="BodyText"/>
        <w:spacing w:line="240" w:lineRule="auto" w:before="58"/>
        <w:ind w:left="398" w:right="5463"/>
        <w:jc w:val="left"/>
      </w:pPr>
      <w:r>
        <w:rPr/>
        <w:t>□适用</w:t>
      </w:r>
      <w:r>
        <w:rPr>
          <w:spacing w:val="-1"/>
        </w:rPr>
        <w:t> </w:t>
      </w:r>
      <w:r>
        <w:rPr/>
        <w:t>√不适用</w:t>
      </w:r>
    </w:p>
    <w:p>
      <w:pPr>
        <w:spacing w:after="0" w:line="240" w:lineRule="auto"/>
        <w:jc w:val="left"/>
        <w:sectPr>
          <w:pgSz w:w="11910" w:h="16840"/>
          <w:pgMar w:header="941" w:footer="1228" w:top="1300" w:bottom="1440" w:left="1400" w:right="1040"/>
        </w:sectPr>
      </w:pPr>
    </w:p>
    <w:p>
      <w:pPr>
        <w:spacing w:line="240" w:lineRule="auto" w:before="7"/>
        <w:rPr>
          <w:rFonts w:ascii="宋体" w:hAnsi="宋体" w:cs="宋体" w:eastAsia="宋体" w:hint="default"/>
          <w:sz w:val="11"/>
          <w:szCs w:val="11"/>
        </w:rPr>
      </w:pPr>
    </w:p>
    <w:p>
      <w:pPr>
        <w:pStyle w:val="Heading4"/>
        <w:spacing w:line="240" w:lineRule="auto" w:before="36"/>
        <w:ind w:left="542" w:right="206"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60" w:val="left" w:leader="none"/>
        </w:tabs>
        <w:spacing w:line="240" w:lineRule="auto" w:before="56"/>
        <w:ind w:left="118" w:right="294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tabs>
          <w:tab w:pos="960" w:val="left" w:leader="none"/>
        </w:tabs>
        <w:spacing w:line="271" w:lineRule="exact"/>
        <w:ind w:left="118" w:right="20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t>七、报告期内对高级管理人员的考评机制，以及激励机制的建立、实施情况</w:t>
      </w:r>
      <w:r>
        <w:rPr>
          <w:b w:val="0"/>
          <w:bCs w:val="0"/>
        </w:rPr>
      </w:r>
    </w:p>
    <w:p>
      <w:pPr>
        <w:pStyle w:val="BodyText"/>
        <w:tabs>
          <w:tab w:pos="960" w:val="left" w:leader="none"/>
        </w:tabs>
        <w:spacing w:line="272" w:lineRule="exact" w:before="86"/>
        <w:ind w:left="538" w:right="215" w:hanging="420"/>
        <w:jc w:val="left"/>
      </w:pPr>
      <w:r>
        <w:rPr>
          <w:spacing w:val="-1"/>
        </w:rPr>
        <w:t>√适用</w:t>
        <w:tab/>
      </w:r>
      <w:r>
        <w:rPr>
          <w:spacing w:val="-2"/>
        </w:rPr>
        <w:t>□不适用</w:t>
      </w:r>
      <w:r>
        <w:rPr>
          <w:spacing w:val="-99"/>
        </w:rPr>
        <w:t> </w:t>
      </w:r>
      <w:r>
        <w:rPr>
          <w:spacing w:val="-99"/>
        </w:rPr>
      </w:r>
      <w:r>
        <w:rPr>
          <w:spacing w:val="-2"/>
        </w:rPr>
        <w:t>为维护公司及股东的利益，面对国际经济形势带来的挑战和行业发展的机遇，促进公司在全</w:t>
      </w:r>
    </w:p>
    <w:p>
      <w:pPr>
        <w:pStyle w:val="BodyText"/>
        <w:spacing w:line="272" w:lineRule="exact" w:before="1"/>
        <w:ind w:left="118" w:right="206"/>
        <w:jc w:val="left"/>
      </w:pPr>
      <w:r>
        <w:rPr>
          <w:spacing w:val="-1"/>
        </w:rPr>
        <w:t>球化进程中持续稳定发展，有效激励高级管理人员，公司根据所处行业特点、市场趋势和公司自</w:t>
      </w:r>
      <w:r>
        <w:rPr>
          <w:spacing w:val="-55"/>
        </w:rPr>
        <w:t> </w:t>
      </w:r>
      <w:r>
        <w:rPr>
          <w:spacing w:val="-55"/>
        </w:rPr>
      </w:r>
      <w:r>
        <w:rPr>
          <w:spacing w:val="-1"/>
        </w:rPr>
        <w:t>身的实际情况，持续加强对高级管理人员的考评，有效应用高级管理人员的胜任能力模型，继续</w:t>
      </w:r>
    </w:p>
    <w:p>
      <w:pPr>
        <w:pStyle w:val="BodyText"/>
        <w:spacing w:line="272" w:lineRule="exact" w:before="2"/>
        <w:ind w:left="118" w:right="206"/>
        <w:jc w:val="left"/>
      </w:pPr>
      <w:r>
        <w:rPr>
          <w:spacing w:val="-1"/>
        </w:rPr>
        <w:t>采取平衡计分卡、职能述职评价等考核评价方式，并结合限制性股票激励计划，持续促进高级管</w:t>
      </w:r>
      <w:r>
        <w:rPr>
          <w:spacing w:val="-55"/>
        </w:rPr>
        <w:t> </w:t>
      </w:r>
      <w:r>
        <w:rPr>
          <w:spacing w:val="-55"/>
        </w:rPr>
      </w:r>
      <w:r>
        <w:rPr>
          <w:spacing w:val="-1"/>
        </w:rPr>
        <w:t>理人员对经营业绩及公司长远发展目标的关注。注重领导力的提升和对企业发展的贡献，提升了</w:t>
      </w:r>
    </w:p>
    <w:p>
      <w:pPr>
        <w:pStyle w:val="BodyText"/>
        <w:spacing w:line="272" w:lineRule="exact" w:before="1"/>
        <w:ind w:left="118" w:right="206"/>
        <w:jc w:val="left"/>
      </w:pPr>
      <w:r>
        <w:rPr>
          <w:spacing w:val="-1"/>
        </w:rPr>
        <w:t>高级管理人员的岗位责任感和自豪感，对促进高级管理人员的稳定和发展起到了较好的作用。面</w:t>
      </w:r>
      <w:r>
        <w:rPr>
          <w:spacing w:val="-55"/>
        </w:rPr>
        <w:t> </w:t>
      </w:r>
      <w:r>
        <w:rPr>
          <w:spacing w:val="-55"/>
        </w:rPr>
      </w:r>
      <w:r>
        <w:rPr>
          <w:spacing w:val="-1"/>
        </w:rPr>
        <w:t>对公司全球化和多元化的发展，公司还将继续完善更有效的高级管理人员的激励和约束机制，以</w:t>
      </w:r>
    </w:p>
    <w:p>
      <w:pPr>
        <w:pStyle w:val="BodyText"/>
        <w:spacing w:line="249" w:lineRule="exact"/>
        <w:ind w:left="118" w:right="206"/>
        <w:jc w:val="left"/>
      </w:pPr>
      <w:r>
        <w:rPr/>
        <w:t>持续提高公司业绩和运营质量。</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t>八、是否披露内部控制自我评价报告</w:t>
      </w:r>
      <w:r>
        <w:rPr>
          <w:b w:val="0"/>
          <w:bCs w:val="0"/>
        </w:rPr>
      </w:r>
    </w:p>
    <w:p>
      <w:pPr>
        <w:pStyle w:val="BodyText"/>
        <w:spacing w:line="273" w:lineRule="exact" w:before="56"/>
        <w:ind w:left="118" w:right="206"/>
        <w:jc w:val="left"/>
      </w:pPr>
      <w:r>
        <w:rPr/>
        <w:t>√适用</w:t>
      </w:r>
      <w:r>
        <w:rPr>
          <w:spacing w:val="-1"/>
        </w:rPr>
        <w:t> </w:t>
      </w:r>
      <w:r>
        <w:rPr/>
        <w:t>□不适用</w:t>
      </w:r>
    </w:p>
    <w:p>
      <w:pPr>
        <w:pStyle w:val="BodyText"/>
        <w:spacing w:line="237" w:lineRule="auto"/>
        <w:ind w:left="118" w:right="208" w:firstLine="419"/>
        <w:jc w:val="both"/>
      </w:pPr>
      <w:r>
        <w:rPr>
          <w:spacing w:val="-4"/>
        </w:rPr>
        <w:t>与本年度报告公告的同时，公司披露了《</w:t>
      </w:r>
      <w:r>
        <w:rPr>
          <w:rFonts w:ascii="宋体" w:hAnsi="宋体" w:cs="宋体" w:eastAsia="宋体" w:hint="default"/>
          <w:spacing w:val="-4"/>
        </w:rPr>
        <w:t>2017</w:t>
      </w:r>
      <w:r>
        <w:rPr>
          <w:rFonts w:ascii="宋体" w:hAnsi="宋体" w:cs="宋体" w:eastAsia="宋体" w:hint="default"/>
          <w:spacing w:val="-41"/>
        </w:rPr>
        <w:t> </w:t>
      </w:r>
      <w:r>
        <w:rPr>
          <w:spacing w:val="-6"/>
        </w:rPr>
        <w:t>年度内部控制评价报告》，对</w:t>
      </w:r>
      <w:r>
        <w:rPr>
          <w:spacing w:val="-41"/>
        </w:rPr>
        <w:t> </w:t>
      </w:r>
      <w:r>
        <w:rPr>
          <w:rFonts w:ascii="宋体" w:hAnsi="宋体" w:cs="宋体" w:eastAsia="宋体" w:hint="default"/>
        </w:rPr>
        <w:t>2017</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w w:val="100"/>
        </w:rPr>
        <w:t> </w:t>
      </w:r>
      <w:r>
        <w:rPr>
          <w:spacing w:val="-1"/>
        </w:rPr>
        <w:t>日（内部控制评价报告基准日）的内部控制有效性进行了评价。根据公司财务报告内部控制重大</w:t>
      </w:r>
      <w:r>
        <w:rPr>
          <w:spacing w:val="-55"/>
        </w:rPr>
        <w:t> </w:t>
      </w:r>
      <w:r>
        <w:rPr>
          <w:spacing w:val="-55"/>
        </w:rPr>
      </w:r>
      <w:r>
        <w:rPr>
          <w:spacing w:val="-6"/>
        </w:rPr>
        <w:t>缺陷的认定情况，于内部控制评价报告基准日，不存在财务报告内部控制重大缺陷，董事会认为，</w:t>
      </w:r>
      <w:r>
        <w:rPr>
          <w:spacing w:val="-54"/>
        </w:rPr>
        <w:t> </w:t>
      </w:r>
      <w:r>
        <w:rPr>
          <w:spacing w:val="-54"/>
        </w:rPr>
      </w:r>
      <w:r>
        <w:rPr>
          <w:spacing w:val="-1"/>
        </w:rPr>
        <w:t>公司已按照企业内部控制规范体系和相关规定的要求在所有重大方面保持了有效的财务报告内部</w:t>
      </w:r>
      <w:r>
        <w:rPr>
          <w:spacing w:val="-55"/>
        </w:rPr>
        <w:t> </w:t>
      </w:r>
      <w:r>
        <w:rPr>
          <w:spacing w:val="-55"/>
        </w:rPr>
      </w:r>
      <w:r>
        <w:rPr>
          <w:spacing w:val="-1"/>
        </w:rPr>
        <w:t>控制。根据公司非财务报告内部控制重大缺陷认定情况，于内部控制评价报告基准日，公司未发</w:t>
      </w:r>
      <w:r>
        <w:rPr>
          <w:spacing w:val="-55"/>
        </w:rPr>
        <w:t> </w:t>
      </w:r>
      <w:r>
        <w:rPr>
          <w:spacing w:val="-55"/>
        </w:rPr>
      </w:r>
      <w:r>
        <w:rPr>
          <w:spacing w:val="-1"/>
        </w:rPr>
        <w:t>现非财务报告内部控制重大缺陷。自内部控制评价报告基准日至内部控制评价报告发出日之间未</w:t>
      </w:r>
      <w:r>
        <w:rPr>
          <w:spacing w:val="-55"/>
        </w:rPr>
        <w:t> </w:t>
      </w:r>
      <w:r>
        <w:rPr>
          <w:spacing w:val="-55"/>
        </w:rPr>
      </w:r>
      <w:r>
        <w:rPr/>
        <w:t>发</w:t>
      </w:r>
      <w:r>
        <w:rPr>
          <w:spacing w:val="-61"/>
        </w:rPr>
        <w:t> </w:t>
      </w:r>
      <w:r>
        <w:rPr/>
        <w:t>生</w:t>
      </w:r>
      <w:r>
        <w:rPr>
          <w:spacing w:val="-61"/>
        </w:rPr>
        <w:t> </w:t>
      </w:r>
      <w:r>
        <w:rPr/>
        <w:t>影</w:t>
      </w:r>
      <w:r>
        <w:rPr>
          <w:spacing w:val="-61"/>
        </w:rPr>
        <w:t> </w:t>
      </w:r>
      <w:r>
        <w:rPr/>
        <w:t>响</w:t>
      </w:r>
      <w:r>
        <w:rPr>
          <w:spacing w:val="-64"/>
        </w:rPr>
        <w:t> </w:t>
      </w:r>
      <w:r>
        <w:rPr/>
        <w:t>内</w:t>
      </w:r>
      <w:r>
        <w:rPr>
          <w:spacing w:val="-61"/>
        </w:rPr>
        <w:t> </w:t>
      </w:r>
      <w:r>
        <w:rPr/>
        <w:t>部</w:t>
      </w:r>
      <w:r>
        <w:rPr>
          <w:spacing w:val="-61"/>
        </w:rPr>
        <w:t> </w:t>
      </w:r>
      <w:r>
        <w:rPr/>
        <w:t>控</w:t>
      </w:r>
      <w:r>
        <w:rPr>
          <w:spacing w:val="-64"/>
        </w:rPr>
        <w:t> </w:t>
      </w:r>
      <w:r>
        <w:rPr/>
        <w:t>制</w:t>
      </w:r>
      <w:r>
        <w:rPr>
          <w:spacing w:val="-61"/>
        </w:rPr>
        <w:t> </w:t>
      </w:r>
      <w:r>
        <w:rPr/>
        <w:t>有</w:t>
      </w:r>
      <w:r>
        <w:rPr>
          <w:spacing w:val="-64"/>
        </w:rPr>
        <w:t> </w:t>
      </w:r>
      <w:r>
        <w:rPr/>
        <w:t>效</w:t>
      </w:r>
      <w:r>
        <w:rPr>
          <w:spacing w:val="-61"/>
        </w:rPr>
        <w:t> </w:t>
      </w:r>
      <w:r>
        <w:rPr/>
        <w:t>性</w:t>
      </w:r>
      <w:r>
        <w:rPr>
          <w:spacing w:val="-61"/>
        </w:rPr>
        <w:t> </w:t>
      </w:r>
      <w:r>
        <w:rPr/>
        <w:t>评</w:t>
      </w:r>
      <w:r>
        <w:rPr>
          <w:spacing w:val="-61"/>
        </w:rPr>
        <w:t> </w:t>
      </w:r>
      <w:r>
        <w:rPr/>
        <w:t>价</w:t>
      </w:r>
      <w:r>
        <w:rPr>
          <w:spacing w:val="-64"/>
        </w:rPr>
        <w:t> </w:t>
      </w:r>
      <w:r>
        <w:rPr/>
        <w:t>结</w:t>
      </w:r>
      <w:r>
        <w:rPr>
          <w:spacing w:val="-61"/>
        </w:rPr>
        <w:t> </w:t>
      </w:r>
      <w:r>
        <w:rPr/>
        <w:t>论</w:t>
      </w:r>
      <w:r>
        <w:rPr>
          <w:spacing w:val="-61"/>
        </w:rPr>
        <w:t> </w:t>
      </w:r>
      <w:r>
        <w:rPr/>
        <w:t>的</w:t>
      </w:r>
      <w:r>
        <w:rPr>
          <w:spacing w:val="-64"/>
        </w:rPr>
        <w:t> </w:t>
      </w:r>
      <w:r>
        <w:rPr/>
        <w:t>因</w:t>
      </w:r>
      <w:r>
        <w:rPr>
          <w:spacing w:val="-61"/>
        </w:rPr>
        <w:t> </w:t>
      </w:r>
      <w:r>
        <w:rPr/>
        <w:t>素</w:t>
      </w:r>
      <w:r>
        <w:rPr>
          <w:spacing w:val="-64"/>
        </w:rPr>
        <w:t> </w:t>
      </w:r>
      <w:r>
        <w:rPr/>
        <w:t>。</w:t>
      </w:r>
      <w:r>
        <w:rPr>
          <w:spacing w:val="-61"/>
        </w:rPr>
        <w:t> </w:t>
      </w:r>
      <w:r>
        <w:rPr/>
        <w:t>具</w:t>
      </w:r>
      <w:r>
        <w:rPr>
          <w:spacing w:val="-61"/>
        </w:rPr>
        <w:t> </w:t>
      </w:r>
      <w:r>
        <w:rPr/>
        <w:t>体</w:t>
      </w:r>
      <w:r>
        <w:rPr>
          <w:spacing w:val="-61"/>
        </w:rPr>
        <w:t> </w:t>
      </w:r>
      <w:r>
        <w:rPr/>
        <w:t>内</w:t>
      </w:r>
      <w:r>
        <w:rPr>
          <w:spacing w:val="-64"/>
        </w:rPr>
        <w:t> </w:t>
      </w:r>
      <w:r>
        <w:rPr/>
        <w:t>容</w:t>
      </w:r>
      <w:r>
        <w:rPr>
          <w:spacing w:val="-61"/>
        </w:rPr>
        <w:t> </w:t>
      </w:r>
      <w:r>
        <w:rPr/>
        <w:t>，</w:t>
      </w:r>
      <w:r>
        <w:rPr>
          <w:spacing w:val="-61"/>
        </w:rPr>
        <w:t> </w:t>
      </w:r>
      <w:r>
        <w:rPr/>
        <w:t>详</w:t>
      </w:r>
      <w:r>
        <w:rPr>
          <w:spacing w:val="-64"/>
        </w:rPr>
        <w:t> </w:t>
      </w:r>
      <w:r>
        <w:rPr/>
        <w:t>见</w:t>
      </w:r>
      <w:r>
        <w:rPr>
          <w:spacing w:val="-61"/>
        </w:rPr>
        <w:t> </w:t>
      </w:r>
      <w:r>
        <w:rPr/>
        <w:t>上</w:t>
      </w:r>
      <w:r>
        <w:rPr>
          <w:spacing w:val="-64"/>
        </w:rPr>
        <w:t> </w:t>
      </w:r>
      <w:r>
        <w:rPr/>
        <w:t>海</w:t>
      </w:r>
      <w:r>
        <w:rPr>
          <w:spacing w:val="-61"/>
        </w:rPr>
        <w:t> </w:t>
      </w:r>
      <w:r>
        <w:rPr/>
        <w:t>证</w:t>
      </w:r>
      <w:r>
        <w:rPr>
          <w:spacing w:val="-61"/>
        </w:rPr>
        <w:t> </w:t>
      </w:r>
      <w:r>
        <w:rPr/>
        <w:t>券</w:t>
      </w:r>
      <w:r>
        <w:rPr>
          <w:spacing w:val="-61"/>
        </w:rPr>
        <w:t> </w:t>
      </w:r>
      <w:r>
        <w:rPr/>
        <w:t>交</w:t>
      </w:r>
      <w:r>
        <w:rPr>
          <w:spacing w:val="-64"/>
        </w:rPr>
        <w:t> </w:t>
      </w:r>
      <w:r>
        <w:rPr/>
        <w:t>易</w:t>
      </w:r>
      <w:r>
        <w:rPr>
          <w:spacing w:val="-61"/>
        </w:rPr>
        <w:t> </w:t>
      </w:r>
      <w:r>
        <w:rPr/>
        <w:t>所</w:t>
      </w:r>
      <w:r>
        <w:rPr>
          <w:spacing w:val="-61"/>
        </w:rPr>
        <w:t> </w:t>
      </w:r>
      <w:r>
        <w:rPr/>
        <w:t>网</w:t>
      </w:r>
      <w:r>
        <w:rPr>
          <w:spacing w:val="-64"/>
        </w:rPr>
        <w:t> </w:t>
      </w:r>
      <w:r>
        <w:rPr/>
        <w:t>站</w:t>
      </w:r>
    </w:p>
    <w:p>
      <w:pPr>
        <w:pStyle w:val="BodyText"/>
        <w:spacing w:line="274" w:lineRule="exact"/>
        <w:ind w:left="118" w:right="206"/>
        <w:jc w:val="left"/>
      </w:pPr>
      <w:r>
        <w:rPr/>
        <w:t>（</w:t>
      </w:r>
      <w:hyperlink r:id="rId10">
        <w:r>
          <w:rPr>
            <w:rFonts w:ascii="宋体" w:hAnsi="宋体" w:cs="宋体" w:eastAsia="宋体" w:hint="default"/>
          </w:rPr>
          <w:t>http://www.sse.com.cn</w:t>
        </w:r>
      </w:hyperlink>
      <w:r>
        <w:rPr/>
        <w:t>）。</w:t>
      </w:r>
    </w:p>
    <w:p>
      <w:pPr>
        <w:spacing w:line="240" w:lineRule="auto" w:before="8"/>
        <w:rPr>
          <w:rFonts w:ascii="宋体" w:hAnsi="宋体" w:cs="宋体" w:eastAsia="宋体" w:hint="default"/>
          <w:sz w:val="20"/>
          <w:szCs w:val="20"/>
        </w:rPr>
      </w:pPr>
    </w:p>
    <w:p>
      <w:pPr>
        <w:pStyle w:val="BodyText"/>
        <w:spacing w:line="273" w:lineRule="exact"/>
        <w:ind w:left="118" w:right="206"/>
        <w:jc w:val="left"/>
      </w:pPr>
      <w:r>
        <w:rPr/>
        <w:t>报告期内部控制存在重大缺陷情况的说明</w:t>
      </w:r>
    </w:p>
    <w:p>
      <w:pPr>
        <w:pStyle w:val="BodyText"/>
        <w:spacing w:line="273" w:lineRule="exact"/>
        <w:ind w:left="118" w:right="20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t>九、内部控制审计报告的相关情况说明</w:t>
      </w:r>
      <w:r>
        <w:rPr>
          <w:b w:val="0"/>
          <w:bCs w:val="0"/>
        </w:rPr>
      </w:r>
    </w:p>
    <w:p>
      <w:pPr>
        <w:pStyle w:val="BodyText"/>
        <w:tabs>
          <w:tab w:pos="960" w:val="left" w:leader="none"/>
        </w:tabs>
        <w:spacing w:line="273" w:lineRule="exact" w:before="58"/>
        <w:ind w:left="118" w:right="206"/>
        <w:jc w:val="left"/>
      </w:pPr>
      <w:r>
        <w:rPr>
          <w:spacing w:val="-1"/>
        </w:rPr>
        <w:t>√适用</w:t>
        <w:tab/>
      </w:r>
      <w:r>
        <w:rPr>
          <w:spacing w:val="-2"/>
        </w:rPr>
        <w:t>□不适用</w:t>
      </w:r>
    </w:p>
    <w:p>
      <w:pPr>
        <w:pStyle w:val="BodyText"/>
        <w:spacing w:line="240" w:lineRule="auto"/>
        <w:ind w:left="118" w:right="96" w:firstLine="419"/>
        <w:jc w:val="left"/>
      </w:pPr>
      <w:r>
        <w:rPr>
          <w:spacing w:val="-12"/>
          <w:w w:val="100"/>
        </w:rPr>
        <w:t>立信会计师事务所（特殊普通合伙）对公司</w:t>
      </w:r>
      <w:r>
        <w:rPr>
          <w:spacing w:val="-47"/>
          <w:w w:val="100"/>
        </w:rPr>
        <w:t> </w:t>
      </w:r>
      <w:r>
        <w:rPr>
          <w:rFonts w:ascii="宋体" w:hAnsi="宋体" w:cs="宋体" w:eastAsia="宋体" w:hint="default"/>
          <w:spacing w:val="-1"/>
          <w:w w:val="100"/>
        </w:rPr>
        <w:t>2017</w:t>
      </w:r>
      <w:r>
        <w:rPr>
          <w:rFonts w:ascii="宋体" w:hAnsi="宋体" w:cs="宋体" w:eastAsia="宋体" w:hint="default"/>
          <w:spacing w:val="-45"/>
          <w:w w:val="100"/>
        </w:rPr>
        <w:t> </w:t>
      </w:r>
      <w:r>
        <w:rPr>
          <w:spacing w:val="-2"/>
          <w:w w:val="100"/>
        </w:rPr>
        <w:t>年度财务报告内部控制的有效性进行了审计，</w:t>
      </w:r>
      <w:r>
        <w:rPr>
          <w:w w:val="100"/>
        </w:rPr>
        <w:t> </w:t>
      </w:r>
      <w:r>
        <w:rPr/>
        <w:t>并出具了标准无保留意见的审计报告。</w:t>
      </w:r>
    </w:p>
    <w:p>
      <w:pPr>
        <w:pStyle w:val="BodyText"/>
        <w:spacing w:line="237" w:lineRule="auto"/>
        <w:ind w:left="118" w:right="206" w:firstLine="419"/>
        <w:jc w:val="left"/>
      </w:pPr>
      <w:r>
        <w:rPr>
          <w:spacing w:val="-3"/>
        </w:rPr>
        <w:t>立信会计师事务所（特殊普通合伙）出具的《</w:t>
      </w:r>
      <w:r>
        <w:rPr>
          <w:rFonts w:ascii="宋体" w:hAnsi="宋体" w:cs="宋体" w:eastAsia="宋体" w:hint="default"/>
          <w:spacing w:val="-3"/>
        </w:rPr>
        <w:t>2017</w:t>
      </w:r>
      <w:r>
        <w:rPr>
          <w:rFonts w:ascii="宋体" w:hAnsi="宋体" w:cs="宋体" w:eastAsia="宋体" w:hint="default"/>
          <w:spacing w:val="-39"/>
        </w:rPr>
        <w:t> </w:t>
      </w:r>
      <w:r>
        <w:rPr/>
        <w:t>年度内部控制审计报告》与本年度报告同</w:t>
      </w:r>
      <w:r>
        <w:rPr>
          <w:w w:val="100"/>
        </w:rPr>
        <w:t> </w:t>
      </w:r>
      <w:r>
        <w:rPr/>
        <w:t>时披露，具体内容详见上海证券交易所网站（</w:t>
      </w:r>
      <w:hyperlink r:id="rId10">
        <w:r>
          <w:rPr>
            <w:rFonts w:ascii="宋体" w:hAnsi="宋体" w:cs="宋体" w:eastAsia="宋体" w:hint="default"/>
          </w:rPr>
          <w:t>http://www.sse.com.cn</w:t>
        </w:r>
      </w:hyperlink>
      <w:r>
        <w:rPr/>
        <w:t>）。</w:t>
      </w:r>
      <w:r>
        <w:rPr>
          <w:spacing w:val="-3"/>
          <w:w w:val="100"/>
        </w:rPr>
        <w:t> </w:t>
      </w: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t>十、其他</w:t>
      </w:r>
      <w:r>
        <w:rPr>
          <w:b w:val="0"/>
          <w:bCs w:val="0"/>
        </w:rPr>
      </w:r>
    </w:p>
    <w:p>
      <w:pPr>
        <w:pStyle w:val="BodyText"/>
        <w:tabs>
          <w:tab w:pos="960" w:val="left" w:leader="none"/>
        </w:tabs>
        <w:spacing w:line="240" w:lineRule="auto" w:before="56"/>
        <w:ind w:left="118" w:right="206"/>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spacing w:line="240" w:lineRule="auto" w:before="0"/>
        <w:ind w:right="2854"/>
        <w:jc w:val="center"/>
        <w:rPr>
          <w:b w:val="0"/>
          <w:bCs w:val="0"/>
        </w:rPr>
      </w:pPr>
      <w:bookmarkStart w:name="_TOC_250002" w:id="10"/>
      <w:r>
        <w:rPr/>
        <w:t>第十节</w:t>
      </w:r>
      <w:r>
        <w:rPr>
          <w:spacing w:val="-2"/>
        </w:rPr>
        <w:t> </w:t>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18" w:right="206"/>
        <w:jc w:val="left"/>
      </w:pPr>
      <w:r>
        <w:rPr/>
        <w:t>□适用</w:t>
      </w:r>
      <w:r>
        <w:rPr>
          <w:spacing w:val="-1"/>
        </w:rPr>
        <w:t> </w:t>
      </w:r>
      <w:r>
        <w:rPr/>
        <w:t>√不适用</w:t>
      </w:r>
    </w:p>
    <w:p>
      <w:pPr>
        <w:spacing w:after="0" w:line="240" w:lineRule="auto"/>
        <w:jc w:val="left"/>
        <w:sectPr>
          <w:pgSz w:w="11910" w:h="16840"/>
          <w:pgMar w:header="941" w:footer="1228" w:top="1300" w:bottom="1440" w:left="1680" w:right="1060"/>
        </w:sectPr>
      </w:pPr>
    </w:p>
    <w:p>
      <w:pPr>
        <w:spacing w:line="240" w:lineRule="auto" w:before="9"/>
        <w:rPr>
          <w:rFonts w:ascii="宋体" w:hAnsi="宋体" w:cs="宋体" w:eastAsia="宋体" w:hint="default"/>
          <w:sz w:val="16"/>
          <w:szCs w:val="16"/>
        </w:rPr>
      </w:pPr>
    </w:p>
    <w:p>
      <w:pPr>
        <w:pStyle w:val="Heading1"/>
        <w:spacing w:line="240" w:lineRule="auto"/>
        <w:ind w:left="3319" w:right="3319"/>
        <w:jc w:val="center"/>
        <w:rPr>
          <w:b w:val="0"/>
          <w:bCs w:val="0"/>
        </w:rPr>
      </w:pPr>
      <w:bookmarkStart w:name="_TOC_250001" w:id="11"/>
      <w:r>
        <w:rPr/>
        <w:t>第十一节</w:t>
      </w:r>
      <w:r>
        <w:rPr>
          <w:spacing w:val="-3"/>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941" w:footer="1228" w:top="1300" w:bottom="1440" w:left="1680" w:right="1160"/>
        </w:sectPr>
      </w:pPr>
    </w:p>
    <w:p>
      <w:pPr>
        <w:pStyle w:val="Heading4"/>
        <w:spacing w:line="240" w:lineRule="auto" w:before="36"/>
        <w:ind w:left="118" w:right="-18"/>
        <w:jc w:val="left"/>
        <w:rPr>
          <w:b w:val="0"/>
          <w:bCs w:val="0"/>
        </w:rPr>
      </w:pPr>
      <w:r>
        <w:rPr/>
        <w:t>一、审计报告</w:t>
      </w:r>
      <w:r>
        <w:rPr>
          <w:b w:val="0"/>
          <w:bCs w:val="0"/>
        </w:rPr>
      </w:r>
    </w:p>
    <w:p>
      <w:pPr>
        <w:pStyle w:val="BodyText"/>
        <w:spacing w:line="240" w:lineRule="auto" w:before="58"/>
        <w:ind w:left="11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18" w:right="0" w:firstLine="0"/>
        <w:jc w:val="left"/>
        <w:rPr>
          <w:rFonts w:ascii="宋体" w:hAnsi="宋体" w:cs="宋体" w:eastAsia="宋体" w:hint="default"/>
          <w:sz w:val="36"/>
          <w:szCs w:val="36"/>
        </w:rPr>
      </w:pPr>
      <w:r>
        <w:rPr>
          <w:rFonts w:ascii="宋体" w:hAnsi="宋体" w:cs="宋体" w:eastAsia="宋体" w:hint="default"/>
          <w:b/>
          <w:bCs/>
          <w:w w:val="95"/>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240" w:lineRule="auto"/>
        <w:ind w:left="118" w:right="0"/>
        <w:jc w:val="left"/>
      </w:pPr>
      <w:r>
        <w:rPr/>
        <w:t>信会师报字</w:t>
      </w:r>
      <w:r>
        <w:rPr>
          <w:rFonts w:ascii="Times New Roman" w:hAnsi="Times New Roman" w:cs="Times New Roman" w:eastAsia="Times New Roman" w:hint="default"/>
        </w:rPr>
        <w:t>[2018]</w:t>
      </w:r>
      <w:r>
        <w:rPr/>
        <w:t>第</w:t>
      </w:r>
      <w:r>
        <w:rPr>
          <w:spacing w:val="-55"/>
        </w:rPr>
        <w:t> </w:t>
      </w:r>
      <w:r>
        <w:rPr>
          <w:rFonts w:ascii="Times New Roman" w:hAnsi="Times New Roman" w:cs="Times New Roman" w:eastAsia="Times New Roman" w:hint="default"/>
        </w:rPr>
        <w:t>ZA11063</w:t>
      </w:r>
      <w:r>
        <w:rPr>
          <w:rFonts w:ascii="Times New Roman" w:hAnsi="Times New Roman" w:cs="Times New Roman" w:eastAsia="Times New Roman" w:hint="default"/>
          <w:spacing w:val="-2"/>
        </w:rPr>
        <w:t> </w:t>
      </w:r>
      <w:r>
        <w:rPr/>
        <w:t>号</w:t>
      </w:r>
    </w:p>
    <w:p>
      <w:pPr>
        <w:spacing w:after="0" w:line="240" w:lineRule="auto"/>
        <w:jc w:val="left"/>
        <w:sectPr>
          <w:type w:val="continuous"/>
          <w:pgSz w:w="11910" w:h="16840"/>
          <w:pgMar w:top="1580" w:bottom="280" w:left="1680" w:right="1160"/>
          <w:cols w:num="3" w:equalWidth="0">
            <w:col w:w="1695" w:space="1999"/>
            <w:col w:w="1563" w:space="636"/>
            <w:col w:w="3177"/>
          </w:cols>
        </w:sectPr>
      </w:pPr>
    </w:p>
    <w:p>
      <w:pPr>
        <w:spacing w:line="240" w:lineRule="auto" w:before="10"/>
        <w:rPr>
          <w:rFonts w:ascii="宋体" w:hAnsi="宋体" w:cs="宋体" w:eastAsia="宋体" w:hint="default"/>
          <w:sz w:val="8"/>
          <w:szCs w:val="8"/>
        </w:rPr>
      </w:pPr>
    </w:p>
    <w:p>
      <w:pPr>
        <w:pStyle w:val="Heading4"/>
        <w:spacing w:line="384" w:lineRule="auto" w:before="36"/>
        <w:ind w:left="118" w:right="5781"/>
        <w:jc w:val="left"/>
        <w:rPr>
          <w:b w:val="0"/>
          <w:bCs w:val="0"/>
        </w:rPr>
      </w:pPr>
      <w:r>
        <w:rPr>
          <w:spacing w:val="-1"/>
        </w:rPr>
        <w:t>东软集团股份有限公司全体股东：</w:t>
      </w:r>
      <w:r>
        <w:rPr>
          <w:spacing w:val="-92"/>
        </w:rPr>
        <w:t> </w:t>
      </w:r>
      <w:r>
        <w:rPr>
          <w:spacing w:val="-92"/>
        </w:rPr>
      </w:r>
      <w:r>
        <w:rPr/>
        <w:t>一、审计意见</w:t>
      </w:r>
      <w:r>
        <w:rPr>
          <w:b w:val="0"/>
          <w:bCs w:val="0"/>
        </w:rPr>
      </w:r>
    </w:p>
    <w:p>
      <w:pPr>
        <w:pStyle w:val="BodyText"/>
        <w:spacing w:line="384" w:lineRule="auto" w:before="39"/>
        <w:ind w:left="118" w:right="108" w:firstLine="566"/>
        <w:jc w:val="both"/>
      </w:pPr>
      <w:r>
        <w:rPr/>
        <w:t>我们审计了东软集团股份有限公司（以下简称东软集团）财务报表，包括</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w w:val="100"/>
        </w:rPr>
        <w:t> </w:t>
      </w:r>
      <w:r>
        <w:rPr/>
        <w:t>日的合并及母公司资产负债表，</w:t>
      </w:r>
      <w:r>
        <w:rPr>
          <w:rFonts w:ascii="宋体" w:hAnsi="宋体" w:cs="宋体" w:eastAsia="宋体" w:hint="default"/>
        </w:rPr>
        <w:t>2017</w:t>
      </w:r>
      <w:r>
        <w:rPr>
          <w:rFonts w:ascii="宋体" w:hAnsi="宋体" w:cs="宋体" w:eastAsia="宋体" w:hint="default"/>
          <w:spacing w:val="-33"/>
        </w:rPr>
        <w:t> </w:t>
      </w:r>
      <w:r>
        <w:rPr>
          <w:spacing w:val="-3"/>
        </w:rPr>
        <w:t>年度的合并及母公司利润表、合并及母公司现金流量表、合</w:t>
      </w:r>
      <w:r>
        <w:rPr>
          <w:spacing w:val="-96"/>
        </w:rPr>
        <w:t> </w:t>
      </w:r>
      <w:r>
        <w:rPr>
          <w:spacing w:val="-96"/>
        </w:rPr>
      </w:r>
      <w:r>
        <w:rPr/>
        <w:t>并及母公司股东权益变动表以及相关财务报表附注。</w:t>
      </w:r>
    </w:p>
    <w:p>
      <w:pPr>
        <w:pStyle w:val="BodyText"/>
        <w:spacing w:line="384" w:lineRule="auto" w:before="38"/>
        <w:ind w:left="118" w:right="122" w:firstLine="566"/>
        <w:jc w:val="both"/>
      </w:pPr>
      <w:r>
        <w:rPr/>
        <w:t>我们认为，后附的财务报表在所有重大方面按照企业会计准则的规定编制，公允反映了东</w:t>
      </w:r>
      <w:r>
        <w:rPr>
          <w:w w:val="100"/>
        </w:rPr>
        <w:t> </w:t>
      </w:r>
      <w:r>
        <w:rPr/>
        <w:t>软集团</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2017</w:t>
      </w:r>
      <w:r>
        <w:rPr>
          <w:rFonts w:ascii="宋体" w:hAnsi="宋体" w:cs="宋体" w:eastAsia="宋体" w:hint="default"/>
          <w:spacing w:val="-55"/>
        </w:rPr>
        <w:t> </w:t>
      </w:r>
      <w:r>
        <w:rPr/>
        <w:t>年度的合并及母公司经营成果和现</w:t>
      </w:r>
      <w:r>
        <w:rPr>
          <w:w w:val="100"/>
        </w:rPr>
        <w:t> </w:t>
      </w:r>
      <w:r>
        <w:rPr/>
        <w:t>金流量。</w:t>
      </w:r>
    </w:p>
    <w:p>
      <w:pPr>
        <w:spacing w:line="386" w:lineRule="auto" w:before="38"/>
        <w:ind w:left="684" w:right="0" w:hanging="567"/>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我们按照中国注册会计师审计准则的规定执行了审计工作。审计报告的“注册会计师对财</w:t>
      </w:r>
    </w:p>
    <w:p>
      <w:pPr>
        <w:pStyle w:val="BodyText"/>
        <w:spacing w:line="384" w:lineRule="auto" w:before="36"/>
        <w:ind w:left="118" w:right="117"/>
        <w:jc w:val="both"/>
      </w:pPr>
      <w:r>
        <w:rPr>
          <w:spacing w:val="-2"/>
        </w:rPr>
        <w:t>务报表审计的责任”部分进一步阐述了我们在这些准则下的责任。按照中国注册会计师职业道德</w:t>
      </w:r>
      <w:r>
        <w:rPr>
          <w:spacing w:val="-26"/>
        </w:rPr>
        <w:t> </w:t>
      </w:r>
      <w:r>
        <w:rPr>
          <w:spacing w:val="-26"/>
        </w:rPr>
      </w:r>
      <w:r>
        <w:rPr>
          <w:spacing w:val="-2"/>
        </w:rPr>
        <w:t>守则，我们独立于东软集团，并履行了职业道德方面的其他责任。我们相信，我们获取的审计证</w:t>
      </w:r>
      <w:r>
        <w:rPr>
          <w:spacing w:val="-26"/>
        </w:rPr>
        <w:t> </w:t>
      </w:r>
      <w:r>
        <w:rPr>
          <w:spacing w:val="-26"/>
        </w:rPr>
      </w:r>
      <w:r>
        <w:rPr/>
        <w:t>据是充分、适当的，为发表审计意见提供了基础。</w:t>
      </w:r>
    </w:p>
    <w:p>
      <w:pPr>
        <w:pStyle w:val="Heading4"/>
        <w:spacing w:line="240" w:lineRule="auto" w:before="38"/>
        <w:ind w:left="118" w:right="0"/>
        <w:jc w:val="both"/>
        <w:rPr>
          <w:b w:val="0"/>
          <w:bCs w:val="0"/>
        </w:rPr>
      </w:pPr>
      <w:r>
        <w:rPr/>
        <w:t>三、关键审计事项</w:t>
      </w:r>
      <w:r>
        <w:rPr>
          <w:b w:val="0"/>
          <w:bCs w:val="0"/>
        </w:rPr>
      </w:r>
    </w:p>
    <w:p>
      <w:pPr>
        <w:pStyle w:val="BodyText"/>
        <w:spacing w:line="384" w:lineRule="auto" w:before="164"/>
        <w:ind w:left="118" w:right="117" w:firstLine="566"/>
        <w:jc w:val="both"/>
      </w:pPr>
      <w:r>
        <w:rPr/>
        <w:t>关键审计事项是我们根据职业判断，认为对本期财务报表审计最为重要的事项。这些事项</w:t>
      </w:r>
      <w:r>
        <w:rPr>
          <w:w w:val="100"/>
        </w:rPr>
        <w:t> </w:t>
      </w:r>
      <w:r>
        <w:rPr>
          <w:spacing w:val="-2"/>
        </w:rPr>
        <w:t>的应对以对财务报表整体进行审计并形成审计意见为背景，我们不对这些事项单独发表意见。我</w:t>
      </w:r>
      <w:r>
        <w:rPr>
          <w:spacing w:val="-25"/>
        </w:rPr>
        <w:t> </w:t>
      </w:r>
      <w:r>
        <w:rPr>
          <w:spacing w:val="-25"/>
        </w:rPr>
      </w:r>
      <w:r>
        <w:rPr/>
        <w:t>们确定下列事项是需要在审计报告中沟通的关键审计事项。</w:t>
      </w:r>
    </w:p>
    <w:p>
      <w:pPr>
        <w:spacing w:after="0" w:line="384" w:lineRule="auto"/>
        <w:jc w:val="both"/>
        <w:sectPr>
          <w:type w:val="continuous"/>
          <w:pgSz w:w="11910" w:h="16840"/>
          <w:pgMar w:top="1580" w:bottom="280" w:left="1680" w:right="1160"/>
        </w:sect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5375"/>
        <w:gridCol w:w="3675"/>
      </w:tblGrid>
      <w:tr>
        <w:trPr>
          <w:trHeight w:val="416" w:hRule="exact"/>
        </w:trPr>
        <w:tc>
          <w:tcPr>
            <w:tcW w:w="5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0"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15"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b/>
                <w:bCs/>
                <w:sz w:val="21"/>
                <w:szCs w:val="21"/>
              </w:rPr>
              <w:t>（一）采用完工百分比法确认的收入</w:t>
            </w:r>
            <w:r>
              <w:rPr>
                <w:rFonts w:ascii="宋体" w:hAnsi="宋体" w:cs="宋体" w:eastAsia="宋体" w:hint="default"/>
                <w:sz w:val="21"/>
                <w:szCs w:val="21"/>
              </w:rPr>
            </w:r>
          </w:p>
        </w:tc>
      </w:tr>
      <w:tr>
        <w:trPr>
          <w:trHeight w:val="3617" w:hRule="exact"/>
        </w:trPr>
        <w:tc>
          <w:tcPr>
            <w:tcW w:w="5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5"/>
                <w:w w:val="100"/>
                <w:sz w:val="21"/>
                <w:szCs w:val="21"/>
              </w:rPr>
              <w:t>东软集团营业收入中主要为系统集成合同收入、软件定制</w:t>
            </w:r>
            <w:r>
              <w:rPr>
                <w:rFonts w:ascii="宋体" w:hAnsi="宋体" w:cs="宋体" w:eastAsia="宋体" w:hint="default"/>
                <w:w w:val="100"/>
                <w:sz w:val="21"/>
                <w:szCs w:val="21"/>
              </w:rPr>
              <w:t> </w:t>
            </w:r>
            <w:r>
              <w:rPr>
                <w:rFonts w:ascii="宋体" w:hAnsi="宋体" w:cs="宋体" w:eastAsia="宋体" w:hint="default"/>
                <w:spacing w:val="-5"/>
                <w:w w:val="100"/>
                <w:sz w:val="21"/>
                <w:szCs w:val="21"/>
              </w:rPr>
              <w:t>及软件维护等劳务收入，东软集团对上述业务于资产负债</w:t>
            </w:r>
            <w:r>
              <w:rPr>
                <w:rFonts w:ascii="宋体" w:hAnsi="宋体" w:cs="宋体" w:eastAsia="宋体" w:hint="default"/>
                <w:w w:val="100"/>
                <w:sz w:val="21"/>
                <w:szCs w:val="21"/>
              </w:rPr>
              <w:t> </w:t>
            </w:r>
            <w:r>
              <w:rPr>
                <w:rFonts w:ascii="宋体" w:hAnsi="宋体" w:cs="宋体" w:eastAsia="宋体" w:hint="default"/>
                <w:spacing w:val="-5"/>
                <w:w w:val="100"/>
                <w:sz w:val="21"/>
                <w:szCs w:val="21"/>
              </w:rPr>
              <w:t>表日按照完工百分比法确认营业收入。采用完工百分比法</w:t>
            </w:r>
            <w:r>
              <w:rPr>
                <w:rFonts w:ascii="宋体" w:hAnsi="宋体" w:cs="宋体" w:eastAsia="宋体" w:hint="default"/>
                <w:w w:val="100"/>
                <w:sz w:val="21"/>
                <w:szCs w:val="21"/>
              </w:rPr>
              <w:t> </w:t>
            </w:r>
            <w:r>
              <w:rPr>
                <w:rFonts w:ascii="宋体" w:hAnsi="宋体" w:cs="宋体" w:eastAsia="宋体" w:hint="default"/>
                <w:spacing w:val="-5"/>
                <w:w w:val="100"/>
                <w:sz w:val="21"/>
                <w:szCs w:val="21"/>
              </w:rPr>
              <w:t>时，合同完工进度依据已完成的工作量占合同预计总工作</w:t>
            </w:r>
            <w:r>
              <w:rPr>
                <w:rFonts w:ascii="宋体" w:hAnsi="宋体" w:cs="宋体" w:eastAsia="宋体" w:hint="default"/>
                <w:w w:val="100"/>
                <w:sz w:val="21"/>
                <w:szCs w:val="21"/>
              </w:rPr>
              <w:t> </w:t>
            </w:r>
            <w:r>
              <w:rPr>
                <w:rFonts w:ascii="宋体" w:hAnsi="宋体" w:cs="宋体" w:eastAsia="宋体" w:hint="default"/>
                <w:sz w:val="21"/>
                <w:szCs w:val="21"/>
              </w:rPr>
              <w:t>量的比例衡量。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根据完工百分比法确认的收入涉及管理层的判断和估计，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w w:val="100"/>
                <w:sz w:val="21"/>
                <w:szCs w:val="21"/>
              </w:rPr>
              <w:t>该等估计受到现有经验以及市场信息的影响，进而可能影</w:t>
            </w:r>
            <w:r>
              <w:rPr>
                <w:rFonts w:ascii="宋体" w:hAnsi="宋体" w:cs="宋体" w:eastAsia="宋体" w:hint="default"/>
                <w:w w:val="100"/>
                <w:sz w:val="21"/>
                <w:szCs w:val="21"/>
              </w:rPr>
              <w:t> </w:t>
            </w:r>
            <w:r>
              <w:rPr>
                <w:rFonts w:ascii="宋体" w:hAnsi="宋体" w:cs="宋体" w:eastAsia="宋体" w:hint="default"/>
                <w:spacing w:val="-5"/>
                <w:w w:val="100"/>
                <w:sz w:val="21"/>
                <w:szCs w:val="21"/>
              </w:rPr>
              <w:t>响东软集团收入的确认，因此我们将采用完工百分比法确</w:t>
            </w:r>
            <w:r>
              <w:rPr>
                <w:rFonts w:ascii="宋体" w:hAnsi="宋体" w:cs="宋体" w:eastAsia="宋体" w:hint="default"/>
                <w:w w:val="100"/>
                <w:sz w:val="21"/>
                <w:szCs w:val="21"/>
              </w:rPr>
              <w:t> </w:t>
            </w:r>
            <w:r>
              <w:rPr>
                <w:rFonts w:ascii="宋体" w:hAnsi="宋体" w:cs="宋体" w:eastAsia="宋体" w:hint="default"/>
                <w:sz w:val="21"/>
                <w:szCs w:val="21"/>
              </w:rPr>
              <w:t>认的收入列为关键审计事项。</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8"/>
              <w:ind w:left="103" w:right="96"/>
              <w:jc w:val="left"/>
              <w:rPr>
                <w:rFonts w:ascii="宋体" w:hAnsi="宋体" w:cs="宋体" w:eastAsia="宋体" w:hint="default"/>
                <w:sz w:val="21"/>
                <w:szCs w:val="21"/>
              </w:rPr>
            </w:pPr>
            <w:r>
              <w:rPr>
                <w:rFonts w:ascii="宋体" w:hAnsi="宋体" w:cs="宋体" w:eastAsia="宋体" w:hint="default"/>
                <w:sz w:val="21"/>
                <w:szCs w:val="21"/>
              </w:rPr>
              <w:t>我们执行的主要程序包括：</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、我们了解东软集团管理流程并评价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其内部控制；</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、我们测试管理层作出会计估计以及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相关的依据和数据，确定其预估的准</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确性；</w:t>
            </w:r>
            <w:r>
              <w:rPr>
                <w:rFonts w:ascii="宋体" w:hAnsi="宋体" w:cs="宋体" w:eastAsia="宋体" w:hint="default"/>
                <w:spacing w:val="-102"/>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、我们检查了与收入确认相关的支持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性文件，包括销售合同、销售发票、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客户签收单、验收报告等；</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、我们执行了截止性测试程序，检查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8"/>
                <w:sz w:val="21"/>
                <w:szCs w:val="21"/>
              </w:rPr>
              <w:t>相关合同收入是否在恰当的期间确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认。</w:t>
            </w:r>
          </w:p>
        </w:tc>
      </w:tr>
      <w:tr>
        <w:trPr>
          <w:trHeight w:val="516"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b/>
                <w:bCs/>
                <w:sz w:val="21"/>
                <w:szCs w:val="21"/>
              </w:rPr>
              <w:t>（二）东软望海其他方股东增资导致持股比例下降对其丧失控制权的会计处理</w:t>
            </w:r>
            <w:r>
              <w:rPr>
                <w:rFonts w:ascii="宋体" w:hAnsi="宋体" w:cs="宋体" w:eastAsia="宋体" w:hint="default"/>
                <w:sz w:val="21"/>
                <w:szCs w:val="21"/>
              </w:rPr>
            </w:r>
          </w:p>
        </w:tc>
      </w:tr>
      <w:tr>
        <w:trPr>
          <w:trHeight w:val="5459" w:hRule="exact"/>
        </w:trPr>
        <w:tc>
          <w:tcPr>
            <w:tcW w:w="5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本年度，东软集团原控股子公司北京东软望海科技有限公</w:t>
            </w:r>
            <w:r>
              <w:rPr>
                <w:rFonts w:ascii="宋体" w:hAnsi="宋体" w:cs="宋体" w:eastAsia="宋体" w:hint="default"/>
                <w:w w:val="100"/>
                <w:sz w:val="21"/>
                <w:szCs w:val="21"/>
              </w:rPr>
              <w:t> </w:t>
            </w:r>
            <w:r>
              <w:rPr>
                <w:rFonts w:ascii="宋体" w:hAnsi="宋体" w:cs="宋体" w:eastAsia="宋体" w:hint="default"/>
                <w:spacing w:val="-6"/>
                <w:sz w:val="21"/>
                <w:szCs w:val="21"/>
              </w:rPr>
              <w:t>司（以下简称“东软望海”）引进投资者，东软集团对东</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软望海的股权比例下降至</w:t>
            </w:r>
            <w:r>
              <w:rPr>
                <w:rFonts w:ascii="宋体" w:hAnsi="宋体" w:cs="宋体" w:eastAsia="宋体" w:hint="default"/>
                <w:spacing w:val="-55"/>
                <w:sz w:val="21"/>
                <w:szCs w:val="21"/>
              </w:rPr>
              <w:t> </w:t>
            </w:r>
            <w:r>
              <w:rPr>
                <w:rFonts w:ascii="宋体" w:hAnsi="宋体" w:cs="宋体" w:eastAsia="宋体" w:hint="default"/>
                <w:sz w:val="21"/>
                <w:szCs w:val="21"/>
              </w:rPr>
              <w:t>34.79%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w w:val="100"/>
                <w:sz w:val="21"/>
                <w:szCs w:val="21"/>
              </w:rPr>
              <w:t>根据企业会计准则的规定，管理层确认此次因东软望海其</w:t>
            </w:r>
            <w:r>
              <w:rPr>
                <w:rFonts w:ascii="宋体" w:hAnsi="宋体" w:cs="宋体" w:eastAsia="宋体" w:hint="default"/>
                <w:w w:val="100"/>
                <w:sz w:val="21"/>
                <w:szCs w:val="21"/>
              </w:rPr>
              <w:t> </w:t>
            </w:r>
            <w:r>
              <w:rPr>
                <w:rFonts w:ascii="宋体" w:hAnsi="宋体" w:cs="宋体" w:eastAsia="宋体" w:hint="default"/>
                <w:spacing w:val="2"/>
                <w:sz w:val="21"/>
                <w:szCs w:val="21"/>
              </w:rPr>
              <w:t>他方股东增资导致持股比例下降对其丧失控制权确认的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sz w:val="21"/>
                <w:szCs w:val="21"/>
              </w:rPr>
              <w:t>投资收益（以下简称“视同处置收益”）及剩余股权重估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收益合计为人民币</w:t>
            </w:r>
            <w:r>
              <w:rPr>
                <w:rFonts w:ascii="宋体" w:hAnsi="宋体" w:cs="宋体" w:eastAsia="宋体" w:hint="default"/>
                <w:spacing w:val="-49"/>
                <w:sz w:val="21"/>
                <w:szCs w:val="21"/>
              </w:rPr>
              <w:t> </w:t>
            </w:r>
            <w:r>
              <w:rPr>
                <w:rFonts w:ascii="宋体" w:hAnsi="宋体" w:cs="宋体" w:eastAsia="宋体" w:hint="default"/>
                <w:sz w:val="21"/>
                <w:szCs w:val="21"/>
              </w:rPr>
              <w:t>6.88</w:t>
            </w:r>
            <w:r>
              <w:rPr>
                <w:rFonts w:ascii="宋体" w:hAnsi="宋体" w:cs="宋体" w:eastAsia="宋体" w:hint="default"/>
                <w:spacing w:val="-46"/>
                <w:sz w:val="21"/>
                <w:szCs w:val="21"/>
              </w:rPr>
              <w:t> </w:t>
            </w:r>
            <w:r>
              <w:rPr>
                <w:rFonts w:ascii="宋体" w:hAnsi="宋体" w:cs="宋体" w:eastAsia="宋体" w:hint="default"/>
                <w:sz w:val="21"/>
                <w:szCs w:val="21"/>
              </w:rPr>
              <w:t>亿元（扣除税负影响），并自东</w:t>
            </w:r>
            <w:r>
              <w:rPr>
                <w:rFonts w:ascii="宋体" w:hAnsi="宋体" w:cs="宋体" w:eastAsia="宋体" w:hint="default"/>
                <w:w w:val="100"/>
                <w:sz w:val="21"/>
                <w:szCs w:val="21"/>
              </w:rPr>
              <w:t> </w:t>
            </w:r>
            <w:r>
              <w:rPr>
                <w:rFonts w:ascii="宋体" w:hAnsi="宋体" w:cs="宋体" w:eastAsia="宋体" w:hint="default"/>
                <w:spacing w:val="2"/>
                <w:sz w:val="21"/>
                <w:szCs w:val="21"/>
              </w:rPr>
              <w:t>软集团对东软望海丧失控制权之日起将持有剩余的东软</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望海</w:t>
            </w:r>
            <w:r>
              <w:rPr>
                <w:rFonts w:ascii="宋体" w:hAnsi="宋体" w:cs="宋体" w:eastAsia="宋体" w:hint="default"/>
                <w:spacing w:val="8"/>
                <w:sz w:val="21"/>
                <w:szCs w:val="21"/>
              </w:rPr>
              <w:t> </w:t>
            </w:r>
            <w:r>
              <w:rPr>
                <w:rFonts w:ascii="宋体" w:hAnsi="宋体" w:cs="宋体" w:eastAsia="宋体" w:hint="default"/>
                <w:sz w:val="21"/>
                <w:szCs w:val="21"/>
              </w:rPr>
              <w:t>34.79%</w:t>
            </w:r>
            <w:r>
              <w:rPr>
                <w:rFonts w:ascii="宋体" w:hAnsi="宋体" w:cs="宋体" w:eastAsia="宋体" w:hint="default"/>
                <w:sz w:val="21"/>
                <w:szCs w:val="21"/>
              </w:rPr>
              <w:t>股权作为对联营企业权益法核算，在合并财</w:t>
            </w:r>
            <w:r>
              <w:rPr>
                <w:rFonts w:ascii="宋体" w:hAnsi="宋体" w:cs="宋体" w:eastAsia="宋体" w:hint="default"/>
                <w:w w:val="100"/>
                <w:sz w:val="21"/>
                <w:szCs w:val="21"/>
              </w:rPr>
              <w:t> </w:t>
            </w:r>
            <w:r>
              <w:rPr>
                <w:rFonts w:ascii="宋体" w:hAnsi="宋体" w:cs="宋体" w:eastAsia="宋体" w:hint="default"/>
                <w:spacing w:val="2"/>
                <w:sz w:val="21"/>
                <w:szCs w:val="21"/>
              </w:rPr>
              <w:t>务报表中以丧失控制权日剩余股权的公允价值作为初始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入账价值。</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由于此次交易对</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年度合并财务报表具有重大影响，</w:t>
            </w:r>
            <w:r>
              <w:rPr>
                <w:rFonts w:ascii="宋体" w:hAnsi="宋体" w:cs="宋体" w:eastAsia="宋体" w:hint="default"/>
                <w:w w:val="100"/>
                <w:sz w:val="21"/>
                <w:szCs w:val="21"/>
              </w:rPr>
              <w:t> </w:t>
            </w:r>
            <w:r>
              <w:rPr>
                <w:rFonts w:ascii="宋体" w:hAnsi="宋体" w:cs="宋体" w:eastAsia="宋体" w:hint="default"/>
                <w:spacing w:val="2"/>
                <w:sz w:val="21"/>
                <w:szCs w:val="21"/>
              </w:rPr>
              <w:t>因此我们将东软集团因东软望海其他方股东增资导致持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股比例下降对其丧失控制权的会计处理列为关键审计事</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项。</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我们执行的主要程序包括：</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、通过检查东软集团及投资者的投资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协议、东软望海的公司章程以及东软</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集团对东软望海丧失控制权相关的东</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软望海公司治理文件等，并按照企业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会计准则的要求，评价在此次交易完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成后东软集团是否已对东软望海丧失</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控制权；</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、评价对视同处置收益、剩余股权重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估收益以及对联营企业权益法核算初</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始价值的确认等会计处理是否符合企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业会计准则的要求；</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、我们利用外部专家工作，评价管理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层确定剩余东软望海</w:t>
            </w:r>
            <w:r>
              <w:rPr>
                <w:rFonts w:ascii="宋体" w:hAnsi="宋体" w:cs="宋体" w:eastAsia="宋体" w:hint="default"/>
                <w:spacing w:val="-8"/>
                <w:sz w:val="21"/>
                <w:szCs w:val="21"/>
              </w:rPr>
              <w:t> </w:t>
            </w:r>
            <w:r>
              <w:rPr>
                <w:rFonts w:ascii="宋体" w:hAnsi="宋体" w:cs="宋体" w:eastAsia="宋体" w:hint="default"/>
                <w:sz w:val="21"/>
                <w:szCs w:val="21"/>
              </w:rPr>
              <w:t>34.79%</w:t>
            </w:r>
            <w:r>
              <w:rPr>
                <w:rFonts w:ascii="宋体" w:hAnsi="宋体" w:cs="宋体" w:eastAsia="宋体" w:hint="default"/>
                <w:sz w:val="21"/>
                <w:szCs w:val="21"/>
              </w:rPr>
              <w:t>股权的公</w:t>
            </w:r>
            <w:r>
              <w:rPr>
                <w:rFonts w:ascii="宋体" w:hAnsi="宋体" w:cs="宋体" w:eastAsia="宋体" w:hint="default"/>
                <w:w w:val="100"/>
                <w:sz w:val="21"/>
                <w:szCs w:val="21"/>
              </w:rPr>
              <w:t> </w:t>
            </w:r>
            <w:r>
              <w:rPr>
                <w:rFonts w:ascii="宋体" w:hAnsi="宋体" w:cs="宋体" w:eastAsia="宋体" w:hint="default"/>
                <w:spacing w:val="3"/>
                <w:sz w:val="21"/>
                <w:szCs w:val="21"/>
              </w:rPr>
              <w:t>允价值的可靠性，并复核外部专家所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采用的估值方法和参数的合理性；</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、考虑在财务报表中有关此次交易的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披露是否符合企业会计准则和其他相</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关规则的要求。</w:t>
            </w:r>
          </w:p>
        </w:tc>
      </w:tr>
    </w:tbl>
    <w:p>
      <w:pPr>
        <w:spacing w:after="0" w:line="237" w:lineRule="auto"/>
        <w:jc w:val="left"/>
        <w:rPr>
          <w:rFonts w:ascii="宋体" w:hAnsi="宋体" w:cs="宋体" w:eastAsia="宋体" w:hint="default"/>
          <w:sz w:val="21"/>
          <w:szCs w:val="21"/>
        </w:rPr>
        <w:sectPr>
          <w:headerReference w:type="default" r:id="rId50"/>
          <w:pgSz w:w="11910" w:h="16840"/>
          <w:pgMar w:header="946" w:footer="1228" w:top="1300" w:bottom="1420" w:left="1580" w:right="1040"/>
        </w:sectPr>
      </w:pPr>
    </w:p>
    <w:p>
      <w:pPr>
        <w:spacing w:line="240" w:lineRule="auto" w:before="2"/>
        <w:rPr>
          <w:rFonts w:ascii="Times New Roman" w:hAnsi="Times New Roman" w:cs="Times New Roman" w:eastAsia="Times New Roman" w:hint="default"/>
          <w:sz w:val="24"/>
          <w:szCs w:val="24"/>
        </w:rPr>
      </w:pPr>
    </w:p>
    <w:p>
      <w:pPr>
        <w:pStyle w:val="Heading4"/>
        <w:spacing w:line="240" w:lineRule="auto" w:before="36"/>
        <w:ind w:left="118" w:right="0"/>
        <w:jc w:val="left"/>
        <w:rPr>
          <w:b w:val="0"/>
          <w:bCs w:val="0"/>
        </w:rPr>
      </w:pPr>
      <w:r>
        <w:rPr/>
        <w:t>四、其他信息</w:t>
      </w:r>
      <w:r>
        <w:rPr>
          <w:b w:val="0"/>
          <w:bCs w:val="0"/>
        </w:rPr>
      </w:r>
    </w:p>
    <w:p>
      <w:pPr>
        <w:pStyle w:val="BodyText"/>
        <w:spacing w:line="350" w:lineRule="auto" w:before="126"/>
        <w:ind w:left="118" w:right="110" w:firstLine="566"/>
        <w:jc w:val="both"/>
      </w:pPr>
      <w:r>
        <w:rPr>
          <w:spacing w:val="-3"/>
        </w:rPr>
        <w:t>东软集团管理层（以下简称管理层）对其他信息负责。其他信息包括东软集团 </w:t>
      </w:r>
      <w:r>
        <w:rPr>
          <w:rFonts w:ascii="宋体" w:hAnsi="宋体" w:cs="宋体" w:eastAsia="宋体" w:hint="default"/>
        </w:rPr>
        <w:t>2017</w:t>
      </w:r>
      <w:r>
        <w:rPr>
          <w:rFonts w:ascii="宋体" w:hAnsi="宋体" w:cs="宋体" w:eastAsia="宋体" w:hint="default"/>
          <w:spacing w:val="-45"/>
        </w:rPr>
        <w:t> </w:t>
      </w:r>
      <w:r>
        <w:rPr>
          <w:spacing w:val="-3"/>
        </w:rPr>
        <w:t>年年度</w:t>
      </w:r>
      <w:r>
        <w:rPr>
          <w:spacing w:val="-3"/>
          <w:w w:val="100"/>
        </w:rPr>
        <w:t> </w:t>
      </w:r>
      <w:r>
        <w:rPr/>
        <w:t>报告中涵盖的信息，但不包括财务报表和我们的审计报告。</w:t>
      </w:r>
    </w:p>
    <w:p>
      <w:pPr>
        <w:pStyle w:val="BodyText"/>
        <w:spacing w:line="350" w:lineRule="auto" w:before="27"/>
        <w:ind w:left="118" w:right="182" w:firstLine="566"/>
        <w:jc w:val="both"/>
      </w:pPr>
      <w:r>
        <w:rPr>
          <w:spacing w:val="-2"/>
        </w:rPr>
        <w:t>我们对财务报表发表的审计意见不涵盖其他信息，我们也不对其他信息发表任何形式的鉴</w:t>
      </w:r>
      <w:r>
        <w:rPr>
          <w:w w:val="100"/>
        </w:rPr>
        <w:t> </w:t>
      </w:r>
      <w:r>
        <w:rPr/>
        <w:t>证结论。</w:t>
      </w:r>
    </w:p>
    <w:p>
      <w:pPr>
        <w:pStyle w:val="BodyText"/>
        <w:spacing w:line="348" w:lineRule="auto" w:before="29"/>
        <w:ind w:left="118" w:right="182" w:firstLine="566"/>
        <w:jc w:val="both"/>
      </w:pPr>
      <w:r>
        <w:rPr>
          <w:spacing w:val="-2"/>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p>
    <w:p>
      <w:pPr>
        <w:pStyle w:val="BodyText"/>
        <w:spacing w:line="350" w:lineRule="auto" w:before="31"/>
        <w:ind w:left="118" w:right="182" w:firstLine="566"/>
        <w:jc w:val="both"/>
      </w:pPr>
      <w:r>
        <w:rPr>
          <w:spacing w:val="-2"/>
        </w:rPr>
        <w:t>基于我们已执行的工作，如果我们确定其他信息存在重大错报，我们应当报告该事实。在</w:t>
      </w:r>
      <w:r>
        <w:rPr>
          <w:w w:val="100"/>
        </w:rPr>
        <w:t> </w:t>
      </w:r>
      <w:r>
        <w:rPr/>
        <w:t>这方面，我们无任何事项需要报告。</w:t>
      </w:r>
    </w:p>
    <w:p>
      <w:pPr>
        <w:spacing w:line="350" w:lineRule="auto" w:before="27"/>
        <w:ind w:left="684" w:right="0" w:hanging="567"/>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w:t>
      </w:r>
    </w:p>
    <w:p>
      <w:pPr>
        <w:pStyle w:val="BodyText"/>
        <w:spacing w:line="348" w:lineRule="auto" w:before="29"/>
        <w:ind w:left="684" w:right="0" w:hanging="567"/>
        <w:jc w:val="left"/>
      </w:pPr>
      <w:r>
        <w:rPr/>
        <w:t>维护必要的内部控制，以使财务报表不存在由于舞弊或错误导致的重大错报。</w:t>
      </w:r>
      <w:r>
        <w:rPr>
          <w:w w:val="100"/>
        </w:rPr>
        <w:t> </w:t>
      </w:r>
      <w:r>
        <w:rPr>
          <w:spacing w:val="-2"/>
        </w:rPr>
        <w:t>在编制财务报表时，管理层负责评估东软集团的持续经营能力，披露与持续经营相关的事</w:t>
      </w:r>
    </w:p>
    <w:p>
      <w:pPr>
        <w:pStyle w:val="BodyText"/>
        <w:spacing w:line="350" w:lineRule="auto" w:before="31"/>
        <w:ind w:left="684" w:right="0" w:hanging="567"/>
        <w:jc w:val="left"/>
      </w:pPr>
      <w:r>
        <w:rPr>
          <w:spacing w:val="-2"/>
        </w:rPr>
        <w:t>项，并运用持续经营假设，除非计划进行清算、终止运营或别无其他现实的选择。</w:t>
      </w:r>
      <w:r>
        <w:rPr>
          <w:spacing w:val="-35"/>
        </w:rPr>
        <w:t> </w:t>
      </w:r>
      <w:r>
        <w:rPr>
          <w:spacing w:val="-35"/>
        </w:rPr>
      </w:r>
      <w:r>
        <w:rPr/>
        <w:t>治理层负责监督东软集团的财务报告过程。</w:t>
      </w:r>
    </w:p>
    <w:p>
      <w:pPr>
        <w:spacing w:line="350" w:lineRule="auto" w:before="27"/>
        <w:ind w:left="684" w:right="0" w:hanging="567"/>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w:t>
      </w:r>
    </w:p>
    <w:p>
      <w:pPr>
        <w:pStyle w:val="BodyText"/>
        <w:spacing w:line="348" w:lineRule="auto" w:before="29"/>
        <w:ind w:left="118" w:right="117"/>
        <w:jc w:val="both"/>
      </w:pPr>
      <w:r>
        <w:rPr>
          <w:spacing w:val="-2"/>
        </w:rPr>
        <w:t>并出具包含审计意见的审计报告。合理保证是高水平的保证，但并不能保证按照审计准则执行的</w:t>
      </w:r>
      <w:r>
        <w:rPr>
          <w:spacing w:val="-25"/>
        </w:rPr>
        <w:t> </w:t>
      </w:r>
      <w:r>
        <w:rPr>
          <w:spacing w:val="-25"/>
        </w:rPr>
      </w:r>
      <w:r>
        <w:rPr>
          <w:spacing w:val="-2"/>
        </w:rPr>
        <w:t>审计在某一重大错报存在时总能发现。错报可能由于舞弊或错误导致，如果合理预期错报单独或</w:t>
      </w:r>
      <w:r>
        <w:rPr>
          <w:spacing w:val="-25"/>
        </w:rPr>
        <w:t> </w:t>
      </w:r>
      <w:r>
        <w:rPr>
          <w:spacing w:val="-25"/>
        </w:rPr>
      </w:r>
      <w:r>
        <w:rPr/>
        <w:t>汇总起来可能影响财务报表使用者依据财务报表作出的经济决策，则通常认为错报是重大的。</w:t>
      </w:r>
    </w:p>
    <w:p>
      <w:pPr>
        <w:pStyle w:val="BodyText"/>
        <w:spacing w:line="348" w:lineRule="auto" w:before="31"/>
        <w:ind w:left="118" w:right="182" w:firstLine="566"/>
        <w:jc w:val="both"/>
      </w:pPr>
      <w:r>
        <w:rPr>
          <w:spacing w:val="-2"/>
        </w:rPr>
        <w:t>在按照审计准则执行审计工作的过程中，我们运用职业判断，并保持职业怀疑。同时，我</w:t>
      </w:r>
      <w:r>
        <w:rPr>
          <w:w w:val="100"/>
        </w:rPr>
        <w:t> </w:t>
      </w:r>
      <w:r>
        <w:rPr/>
        <w:t>们也执行以下工作：</w:t>
      </w:r>
    </w:p>
    <w:p>
      <w:pPr>
        <w:pStyle w:val="BodyText"/>
        <w:spacing w:line="350" w:lineRule="auto" w:before="31"/>
        <w:ind w:left="118" w:right="108" w:firstLine="566"/>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29"/>
        <w:ind w:left="684" w:right="0"/>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123"/>
        <w:ind w:left="68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50" w:lineRule="auto" w:before="126"/>
        <w:ind w:left="118" w:right="108" w:firstLine="566"/>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spacing w:val="-2"/>
        </w:rPr>
        <w:t>导致对东软集团持续经营能力产生重大疑虑的事项或情况是否存在重大不确定性得出结论。如果</w:t>
      </w:r>
      <w:r>
        <w:rPr>
          <w:spacing w:val="-25"/>
        </w:rPr>
        <w:t> </w:t>
      </w:r>
      <w:r>
        <w:rPr>
          <w:spacing w:val="-25"/>
        </w:rPr>
      </w:r>
      <w:r>
        <w:rPr>
          <w:spacing w:val="-2"/>
        </w:rPr>
        <w:t>我们得出结论认为存在重大不确定性，审计准则要求我们在审计报告中提请报表使用者注意财务</w:t>
      </w:r>
      <w:r>
        <w:rPr>
          <w:spacing w:val="-25"/>
        </w:rPr>
        <w:t> </w:t>
      </w:r>
      <w:r>
        <w:rPr>
          <w:spacing w:val="-25"/>
        </w:rPr>
      </w:r>
      <w:r>
        <w:rPr>
          <w:spacing w:val="-2"/>
        </w:rPr>
        <w:t>报表中的相关披露；如果披露不充分，我们应当发表非无保留意见。我们的结论基于截至审计报</w:t>
      </w:r>
      <w:r>
        <w:rPr>
          <w:spacing w:val="-25"/>
        </w:rPr>
        <w:t> </w:t>
      </w:r>
      <w:r>
        <w:rPr>
          <w:spacing w:val="-25"/>
        </w:rPr>
      </w:r>
      <w:r>
        <w:rPr/>
        <w:t>告日可获得的信息。然而，未来的事项或情况可能导致东软集团不能持续经营。</w:t>
      </w:r>
    </w:p>
    <w:p>
      <w:pPr>
        <w:spacing w:after="0" w:line="350" w:lineRule="auto"/>
        <w:jc w:val="both"/>
        <w:sectPr>
          <w:pgSz w:w="11910" w:h="16840"/>
          <w:pgMar w:header="946" w:footer="1228" w:top="1300" w:bottom="1420" w:left="1680" w:right="1160"/>
        </w:sectPr>
      </w:pPr>
    </w:p>
    <w:p>
      <w:pPr>
        <w:spacing w:line="240" w:lineRule="auto" w:before="3"/>
        <w:rPr>
          <w:rFonts w:ascii="宋体" w:hAnsi="宋体" w:cs="宋体" w:eastAsia="宋体" w:hint="default"/>
          <w:sz w:val="21"/>
          <w:szCs w:val="21"/>
        </w:rPr>
      </w:pPr>
    </w:p>
    <w:p>
      <w:pPr>
        <w:pStyle w:val="BodyText"/>
        <w:spacing w:line="350" w:lineRule="auto" w:before="36"/>
        <w:ind w:left="118" w:right="108" w:firstLine="566"/>
        <w:jc w:val="both"/>
      </w:pPr>
      <w:r>
        <w:rPr>
          <w:spacing w:val="-3"/>
        </w:rPr>
        <w:t>（</w:t>
      </w:r>
      <w:r>
        <w:rPr>
          <w:rFonts w:ascii="宋体" w:hAnsi="宋体" w:cs="宋体" w:eastAsia="宋体" w:hint="default"/>
          <w:spacing w:val="-3"/>
        </w:rPr>
        <w:t>5</w:t>
      </w:r>
      <w:r>
        <w:rPr>
          <w:spacing w:val="-3"/>
        </w:rPr>
        <w:t>）评价财务报表的总体列报、结构和内容（包括披露），并评价财务报表是否公允反映</w:t>
      </w:r>
      <w:r>
        <w:rPr>
          <w:w w:val="100"/>
        </w:rPr>
        <w:t> </w:t>
      </w:r>
      <w:r>
        <w:rPr/>
        <w:t>相关交易和事项。</w:t>
      </w:r>
    </w:p>
    <w:p>
      <w:pPr>
        <w:pStyle w:val="BodyText"/>
        <w:spacing w:line="348" w:lineRule="auto" w:before="29"/>
        <w:ind w:left="118" w:right="107" w:firstLine="566"/>
        <w:jc w:val="both"/>
      </w:pPr>
      <w:r>
        <w:rPr>
          <w:spacing w:val="-3"/>
        </w:rPr>
        <w:t>（</w:t>
      </w:r>
      <w:r>
        <w:rPr>
          <w:rFonts w:ascii="宋体" w:hAnsi="宋体" w:cs="宋体" w:eastAsia="宋体" w:hint="default"/>
          <w:spacing w:val="-3"/>
        </w:rPr>
        <w:t>6</w:t>
      </w:r>
      <w:r>
        <w:rPr>
          <w:spacing w:val="-3"/>
        </w:rPr>
        <w:t>）就东软集团中实体或业务活动的财务信息获取充分、适当的审计证据，以对财务报表</w:t>
      </w:r>
      <w:r>
        <w:rPr>
          <w:w w:val="100"/>
        </w:rPr>
        <w:t> </w:t>
      </w:r>
      <w:r>
        <w:rPr/>
        <w:t>发表审计意见。我们负责指导、监督和执行集团审计，并对审计意见承担全部责任。</w:t>
      </w:r>
    </w:p>
    <w:p>
      <w:pPr>
        <w:pStyle w:val="BodyText"/>
        <w:spacing w:line="350" w:lineRule="auto" w:before="31"/>
        <w:ind w:left="118" w:right="182" w:firstLine="566"/>
        <w:jc w:val="both"/>
      </w:pPr>
      <w:r>
        <w:rPr>
          <w:spacing w:val="-2"/>
        </w:rPr>
        <w:t>我们与治理层就计划的审计范围、时间安排和重大审计发现等事项进行沟通，包括沟通我</w:t>
      </w:r>
      <w:r>
        <w:rPr>
          <w:w w:val="100"/>
        </w:rPr>
        <w:t> </w:t>
      </w:r>
      <w:r>
        <w:rPr/>
        <w:t>们在审计中识别出的值得关注的内部控制缺陷。</w:t>
      </w:r>
    </w:p>
    <w:p>
      <w:pPr>
        <w:pStyle w:val="BodyText"/>
        <w:spacing w:line="350" w:lineRule="auto" w:before="27"/>
        <w:ind w:left="118" w:right="182" w:firstLine="566"/>
        <w:jc w:val="both"/>
      </w:pPr>
      <w:r>
        <w:rPr>
          <w:spacing w:val="-2"/>
        </w:rPr>
        <w:t>我们还就已遵守与独立性相关的职业道德要求向治理层提供声明，并与治理层沟通可能被</w:t>
      </w:r>
      <w:r>
        <w:rPr>
          <w:w w:val="100"/>
        </w:rPr>
        <w:t> </w:t>
      </w:r>
      <w:r>
        <w:rPr/>
        <w:t>合理认为影响我们独立性的所有关系和其他事项，以及相关的防范措施。</w:t>
      </w:r>
    </w:p>
    <w:p>
      <w:pPr>
        <w:pStyle w:val="BodyText"/>
        <w:spacing w:line="350" w:lineRule="auto" w:before="30"/>
        <w:ind w:left="118" w:right="117" w:firstLine="566"/>
        <w:jc w:val="both"/>
      </w:pPr>
      <w:r>
        <w:rPr/>
        <w:t>从与治理层沟通过的事项中，我们确定哪些事项对本期财务报表审计最为重要，因而构成</w:t>
      </w:r>
      <w:r>
        <w:rPr>
          <w:w w:val="100"/>
        </w:rPr>
        <w:t> </w:t>
      </w:r>
      <w:r>
        <w:rPr>
          <w:spacing w:val="-2"/>
        </w:rPr>
        <w:t>关键审计事项。我们在审计报告中描述这些事项，除非法律法规禁止公开披露这些事项，或在极</w:t>
      </w:r>
      <w:r>
        <w:rPr>
          <w:spacing w:val="-25"/>
        </w:rPr>
        <w:t> </w:t>
      </w:r>
      <w:r>
        <w:rPr>
          <w:spacing w:val="-25"/>
        </w:rPr>
      </w:r>
      <w:r>
        <w:rPr>
          <w:spacing w:val="-2"/>
        </w:rPr>
        <w:t>少数情形下，如果合理预期在审计报告中沟通某事项造成的负面后果超过在公众利益方面产生的</w:t>
      </w:r>
      <w:r>
        <w:rPr>
          <w:spacing w:val="-25"/>
        </w:rPr>
        <w:t> </w:t>
      </w:r>
      <w:r>
        <w:rPr>
          <w:spacing w:val="-25"/>
        </w:rPr>
      </w:r>
      <w:r>
        <w:rPr/>
        <w:t>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tabs>
          <w:tab w:pos="4858" w:val="left" w:leader="none"/>
        </w:tabs>
        <w:spacing w:line="240" w:lineRule="auto"/>
        <w:ind w:left="324" w:right="0"/>
        <w:jc w:val="left"/>
        <w:rPr>
          <w:b w:val="0"/>
          <w:bCs w:val="0"/>
        </w:rPr>
      </w:pPr>
      <w:r>
        <w:rPr/>
        <w:t>立信会计师事务所</w:t>
        <w:tab/>
        <w:t>中国注册会计师：姜丽君</w:t>
      </w:r>
      <w:r>
        <w:rPr>
          <w:b w:val="0"/>
          <w:bCs w:val="0"/>
        </w:rPr>
      </w:r>
    </w:p>
    <w:p>
      <w:pPr>
        <w:pStyle w:val="Heading4"/>
        <w:tabs>
          <w:tab w:pos="5067" w:val="left" w:leader="none"/>
        </w:tabs>
        <w:spacing w:line="240" w:lineRule="auto" w:before="126"/>
        <w:ind w:left="324" w:right="0"/>
        <w:jc w:val="left"/>
        <w:rPr>
          <w:b w:val="0"/>
          <w:bCs w:val="0"/>
        </w:rPr>
      </w:pPr>
      <w:r>
        <w:rPr/>
        <w:t>（特殊普通合伙）</w:t>
        <w:tab/>
        <w:t>（项目合伙人）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Heading4"/>
        <w:spacing w:line="240" w:lineRule="auto"/>
        <w:ind w:left="4859" w:right="0"/>
        <w:jc w:val="left"/>
        <w:rPr>
          <w:b w:val="0"/>
          <w:bCs w:val="0"/>
        </w:rPr>
      </w:pPr>
      <w:r>
        <w:rPr/>
        <w:t>中国注册会计师：于延国</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tabs>
          <w:tab w:pos="4332" w:val="left" w:leader="none"/>
        </w:tabs>
        <w:spacing w:line="240" w:lineRule="auto" w:before="157"/>
        <w:ind w:left="324" w:right="0"/>
        <w:jc w:val="left"/>
        <w:rPr>
          <w:b w:val="0"/>
          <w:bCs w:val="0"/>
        </w:rPr>
      </w:pPr>
      <w:r>
        <w:rPr/>
        <w:t>中国•上海</w:t>
        <w:tab/>
        <w:t>二〇一八年三月二十九日</w:t>
      </w:r>
      <w:r>
        <w:rPr>
          <w:b w:val="0"/>
          <w:bCs w:val="0"/>
        </w:rPr>
      </w:r>
    </w:p>
    <w:p>
      <w:pPr>
        <w:spacing w:after="0" w:line="240" w:lineRule="auto"/>
        <w:jc w:val="left"/>
        <w:sectPr>
          <w:footerReference w:type="default" r:id="rId51"/>
          <w:pgSz w:w="11910" w:h="16840"/>
          <w:pgMar w:footer="1248" w:header="946" w:top="1300" w:bottom="1440" w:left="1680" w:right="11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52"/>
          <w:pgSz w:w="11910" w:h="16840"/>
          <w:pgMar w:footer="1228" w:header="946" w:top="1300" w:bottom="1420" w:left="1580" w:right="1040"/>
          <w:pgNumType w:start="71"/>
        </w:sectPr>
      </w:pPr>
    </w:p>
    <w:p>
      <w:pPr>
        <w:pStyle w:val="Heading4"/>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东软集团股份有限公司</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372" w:space="178"/>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2,306,602,745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2,836,375,151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52,109,382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50,638,239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1,656,136,949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1,404,182,331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68,376,577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52,909,434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207,287,845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193,179,403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1,105,456,888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1,062,742,929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73,601,936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655,341,782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835,189,569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6,051,312,168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6,508,818,992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38,245,830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5,853,340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4,336,757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2,804,161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2,966,950,050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1,793,382,049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893,389,082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600,607,506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1,607,798,554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1,479,246,234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146,943,581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346,179,321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551,113,962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643,101,930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116,291,234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64,095,595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54,349,051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131,653,773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64,507,595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57,584,931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92,278,945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92,923,575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321,677,404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23,390,000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6,857,882,045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5,240,822,415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12,909,194,213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11,749,641,407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119,398,350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32,880,600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9,275,607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271,450,221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288,907,997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814,831,454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843,553,819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393,614,619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321,409,246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403,275,367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393,271,014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152,370,286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125,898,371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301,624,460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331,021,036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650,409,000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1,909,967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777,119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2,758,474,724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2,997,403,809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14,501,075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14,501,075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6,777,231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6,195,068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23,778,617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22,582,064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278,778,719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284,198,471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157,977,782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70,529,243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1,081,813,424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698,005,921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3,840,288,148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3,695,409,730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1,242,678,005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1,243,197,745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929,326,379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686,498,446</w:t>
            </w:r>
          </w:p>
        </w:tc>
      </w:tr>
    </w:tbl>
    <w:p>
      <w:pPr>
        <w:spacing w:after="0" w:line="243" w:lineRule="exact"/>
        <w:jc w:val="right"/>
        <w:rPr>
          <w:rFonts w:ascii="宋体" w:hAnsi="宋体" w:cs="宋体" w:eastAsia="宋体" w:hint="default"/>
          <w:sz w:val="21"/>
          <w:szCs w:val="21"/>
        </w:rPr>
        <w:sectPr>
          <w:headerReference w:type="default" r:id="rId53"/>
          <w:pgSz w:w="11910" w:h="16840"/>
          <w:pgMar w:header="946" w:footer="1228" w:top="1300" w:bottom="1420" w:left="1580" w:right="1040"/>
        </w:sect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53,479,701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139,157,613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-111,168,901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-57,875,436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1,253,942,401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1,123,366,322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5,659,626,653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4,855,906,368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8,920,924,836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7,711,935,832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147,981,229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342,295,845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9,068,906,065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8,054,231,677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12,909,194,213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11,749,641,407</w:t>
            </w:r>
          </w:p>
        </w:tc>
      </w:tr>
    </w:tbl>
    <w:p>
      <w:pPr>
        <w:spacing w:line="240" w:lineRule="auto" w:before="6"/>
        <w:rPr>
          <w:rFonts w:ascii="Times New Roman" w:hAnsi="Times New Roman" w:cs="Times New Roman" w:eastAsia="Times New Roman" w:hint="default"/>
          <w:sz w:val="17"/>
          <w:szCs w:val="17"/>
        </w:rPr>
      </w:pPr>
    </w:p>
    <w:p>
      <w:pPr>
        <w:pStyle w:val="BodyText"/>
        <w:tabs>
          <w:tab w:pos="2635" w:val="left" w:leader="none"/>
          <w:tab w:pos="5995" w:val="left" w:leader="none"/>
        </w:tabs>
        <w:spacing w:line="240" w:lineRule="auto" w:before="36"/>
        <w:ind w:right="226"/>
        <w:jc w:val="left"/>
      </w:pPr>
      <w:r>
        <w:rPr>
          <w:spacing w:val="-1"/>
        </w:rPr>
        <w:t>法定代表人：刘积仁</w:t>
        <w:tab/>
      </w:r>
      <w:r>
        <w:rPr>
          <w:spacing w:val="-2"/>
        </w:rPr>
        <w:t>主管会计工作负责人：张晓鸥</w:t>
        <w:tab/>
        <w:t>会计机构负责人：金辉</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46" w:footer="1228" w:top="1300" w:bottom="142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东软集团股份有限公司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1128"/>
        <w:gridCol w:w="2021"/>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1,586,062,833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1,991,187,429</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45,121,631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40,276,406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1,417,917,540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1,074,451,576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35,299,867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32,690,140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388,632,804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423,497,329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809,709,819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758,924,112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602,133,986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681,777,112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4,884,878,480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5,002,804,104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1,053,340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2,853,340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5,161,784,720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4,258,772,430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240,030,901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240,510,130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506,489,038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540,977,831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44,873,214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3,213,448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176,385,791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179,375,315</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665"/>
        <w:gridCol w:w="1128"/>
        <w:gridCol w:w="2021"/>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34,710,377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36,753,832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11,672,270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7,466,226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72,315,615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67,842,628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236,000,000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6,485,315,266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5,337,765,180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11,370,193,746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10,340,569,284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224,988,571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279,001,204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744,388,460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743,486,097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252,701,383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223,099,650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188,630,381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195,242,597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84,141,176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66,010,322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750,717,025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675,375,142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2,545,566,996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2,782,215,012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14,501,075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14,501,075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23,557,604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22,582,064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188,837,267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206,103,711</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59,158,883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21,543,731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886,054,829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564,730,581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3,431,621,825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3,346,945,593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1,242,678,005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1,243,197,745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615,864,562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498,928,473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53,479,701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139,157,613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651,961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4,113,115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1,275,479,464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1,144,903,385</w:t>
            </w:r>
          </w:p>
        </w:tc>
      </w:tr>
    </w:tbl>
    <w:p>
      <w:pPr>
        <w:spacing w:after="0" w:line="243" w:lineRule="exact"/>
        <w:jc w:val="right"/>
        <w:rPr>
          <w:rFonts w:ascii="宋体" w:hAnsi="宋体" w:cs="宋体" w:eastAsia="宋体" w:hint="default"/>
          <w:sz w:val="21"/>
          <w:szCs w:val="21"/>
        </w:rPr>
        <w:sectPr>
          <w:headerReference w:type="default" r:id="rId54"/>
          <w:pgSz w:w="11910" w:h="16840"/>
          <w:pgMar w:header="946" w:footer="1228" w:top="1300" w:bottom="1420" w:left="1580" w:right="1040"/>
        </w:sect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665"/>
        <w:gridCol w:w="1128"/>
        <w:gridCol w:w="2021"/>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4,857,377,630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4,241,638,586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7,938,571,921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6,993,623,691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28"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11,370,193,746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10,340,569,284</w:t>
            </w:r>
          </w:p>
        </w:tc>
      </w:tr>
    </w:tbl>
    <w:p>
      <w:pPr>
        <w:spacing w:line="240" w:lineRule="auto" w:before="5"/>
        <w:rPr>
          <w:rFonts w:ascii="Times New Roman" w:hAnsi="Times New Roman" w:cs="Times New Roman" w:eastAsia="Times New Roman" w:hint="default"/>
          <w:sz w:val="17"/>
          <w:szCs w:val="17"/>
        </w:rPr>
      </w:pPr>
    </w:p>
    <w:p>
      <w:pPr>
        <w:pStyle w:val="BodyText"/>
        <w:tabs>
          <w:tab w:pos="2738" w:val="left" w:leader="none"/>
          <w:tab w:pos="6204" w:val="left" w:leader="none"/>
        </w:tabs>
        <w:spacing w:line="240" w:lineRule="auto" w:before="36"/>
        <w:ind w:right="226"/>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46" w:footer="1228" w:top="1300" w:bottom="142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7,131,134,732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7,734,848,084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7,131,134,732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7,734,848,084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7,068,122,344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7,671,191,248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4,875,381,229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5,370,495,535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68,739,657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66,413,140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612,043,389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690,886,154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1,438,442,360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1,481,239,422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52,913,499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16,767,784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20,602,210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45,389,213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9,275,607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-8,439,787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748,457,640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1,602,589,239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-46,549,649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-30,549,914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17,471,255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2,165,999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107,786,923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946,003,813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1,659,972,287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93,203,805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240,718,012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1,931,542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12,731,242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1,037,276,076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1,887,959,057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147,052,379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183,312,320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890,223,697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1,704,646,737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890,223,697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1,704,646,737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-168,264,739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-146,330,478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1,058,488,436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1,850,977,215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-53,293,465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48,014,428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-53,293,465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45,106,840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-53,293,465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45,106,840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-18,900,948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2,857,024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-569,883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-33,822,634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42,249,816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2,907,588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836,930,232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1,752,661,165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1,005,194,971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1,896,084,055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-168,264,739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-143,422,890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1.50</w:t>
            </w:r>
          </w:p>
        </w:tc>
      </w:tr>
    </w:tbl>
    <w:p>
      <w:pPr>
        <w:spacing w:line="240" w:lineRule="auto" w:before="5"/>
        <w:rPr>
          <w:rFonts w:ascii="宋体" w:hAnsi="宋体" w:cs="宋体" w:eastAsia="宋体" w:hint="default"/>
          <w:sz w:val="15"/>
          <w:szCs w:val="15"/>
        </w:rPr>
      </w:pPr>
    </w:p>
    <w:p>
      <w:pPr>
        <w:pStyle w:val="BodyText"/>
        <w:tabs>
          <w:tab w:pos="2844" w:val="left" w:leader="none"/>
          <w:tab w:pos="6310" w:val="left" w:leader="none"/>
        </w:tabs>
        <w:spacing w:line="240" w:lineRule="auto" w:before="36"/>
        <w:ind w:right="226"/>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5"/>
          <w:pgSz w:w="11910" w:h="16840"/>
          <w:pgMar w:header="946" w:footer="1228" w:top="1300" w:bottom="142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1104"/>
        <w:gridCol w:w="2038"/>
        <w:gridCol w:w="1781"/>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5,031,671,065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4,812,779,382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3,624,154,788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3,732,378,805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34,582,744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27,164,457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272,544,450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206,149,495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640,140,688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552,390,790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37,593,344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-14,563,173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24,865,501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25,273,006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-60,537</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2"/>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126"/>
        <w:gridCol w:w="1104"/>
        <w:gridCol w:w="2038"/>
        <w:gridCol w:w="1781"/>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6</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416,749,678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827,569,182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-35,997,819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19,129,904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4,061,038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2,104,219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72,927,230</w:t>
            </w: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891,527,496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1,113,598,866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51,901,770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252,365,812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517,085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10,331,744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942,912,181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1,355,632,934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72,404,986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104,989,222</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870,507,195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1,250,643,712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870,507,195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1,250,643,712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-3,461,154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-3,954,371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-3,461,154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-3,954,371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-3,461,154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-3,954,371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867,046,041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1,246,689,341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04"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tabs>
          <w:tab w:pos="2844" w:val="left" w:leader="none"/>
          <w:tab w:pos="6310" w:val="left" w:leader="none"/>
        </w:tabs>
        <w:spacing w:line="240" w:lineRule="auto" w:before="36"/>
        <w:ind w:right="226"/>
        <w:jc w:val="left"/>
      </w:pPr>
      <w:r>
        <w:rPr>
          <w:spacing w:val="-1"/>
        </w:rPr>
        <w:t>法定代表人：刘积仁</w:t>
        <w:tab/>
      </w:r>
      <w:r>
        <w:rPr>
          <w:spacing w:val="-2"/>
        </w:rPr>
        <w:t>主管会计工作负责人：张晓鸥</w:t>
        <w:tab/>
        <w:t>会计机构负责人：金辉</w:t>
      </w:r>
    </w:p>
    <w:p>
      <w:pPr>
        <w:spacing w:after="0" w:line="240" w:lineRule="auto"/>
        <w:jc w:val="left"/>
        <w:sectPr>
          <w:pgSz w:w="11910" w:h="16840"/>
          <w:pgMar w:header="946" w:footer="1228" w:top="1300" w:bottom="142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6" w:footer="1228" w:top="1300" w:bottom="142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289"/>
        <w:gridCol w:w="2035"/>
        <w:gridCol w:w="207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7,566,966,407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8,334,322,078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106,599,971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108,316,039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361,578,525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342,054,459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8,035,144,903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8,784,692,576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3,427,654,669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4,057,594,983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3,198,072,350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3,129,723,590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431,565,591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546,761,086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810,106,576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903,360,499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7,867,399,186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8,637,440,158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167,745,717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147,252,418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2,649,050,000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3,152,918,973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11,759,317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13,827,216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66,205,130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2,229,178</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310,725,863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587,938,049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2,727,014,447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4,067,639,279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435,959,439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537,258,372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3,396,843,466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3,690,428,900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96,665,566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1,056,726,737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801,400,257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4,889,529,642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5,125,753,095</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9"/>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9"/>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51"/>
        <w:gridCol w:w="1289"/>
        <w:gridCol w:w="2035"/>
        <w:gridCol w:w="207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-2,162,515,195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-1,058,113,816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1,511,510,293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1,112,269,704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1,511,510,293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1,103,347,195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770,642,800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1,971,014,913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2,282,153,093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3,083,284,617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644,460,550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1,832,782,527</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150,794,135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175,183,104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2,841,619</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4,330,211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3,299,303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799,584,896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2,011,264,934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1,482,568,197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1,072,019,683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-60,054,489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43,716,842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-572,255,770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204,875,127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2,821,652,083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2,616,776,956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2,249,396,313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2,821,652,083</w:t>
            </w:r>
          </w:p>
        </w:tc>
      </w:tr>
    </w:tbl>
    <w:p>
      <w:pPr>
        <w:spacing w:line="240" w:lineRule="auto" w:before="5"/>
        <w:rPr>
          <w:rFonts w:ascii="宋体" w:hAnsi="宋体" w:cs="宋体" w:eastAsia="宋体" w:hint="default"/>
          <w:sz w:val="15"/>
          <w:szCs w:val="15"/>
        </w:rPr>
      </w:pPr>
    </w:p>
    <w:p>
      <w:pPr>
        <w:pStyle w:val="BodyText"/>
        <w:tabs>
          <w:tab w:pos="2738" w:val="left" w:leader="none"/>
          <w:tab w:pos="6204" w:val="left" w:leader="none"/>
        </w:tabs>
        <w:spacing w:line="240" w:lineRule="auto" w:before="36"/>
        <w:ind w:right="226"/>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6"/>
          <w:footerReference w:type="default" r:id="rId57"/>
          <w:pgSz w:w="11910" w:h="16840"/>
          <w:pgMar w:header="0" w:footer="1228" w:top="840" w:bottom="1420" w:left="1580" w:right="1040"/>
          <w:pgNumType w:start="79"/>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5,104,477,386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5,149,662,147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74,992,173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61,058,432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1,256,913,985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731,322,400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6,436,383,544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5,942,042,979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3,525,131,983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3,463,097,489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1,035,735,039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975,340,904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213,961,608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162,234,800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1,257,887,530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1,142,286,383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6,032,716,160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5,742,959,576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403,667,384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199,083,403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2,708,281,830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38,306,382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8,771,019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3,381,251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16,038,285</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1,057,144,649</w:t>
            </w:r>
          </w:p>
        </w:tc>
      </w:tr>
    </w:tbl>
    <w:p>
      <w:pPr>
        <w:spacing w:after="0" w:line="240" w:lineRule="auto"/>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775,336,189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2,221,687,633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4,565,571,972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134,450,407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115,971,987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2,356,910,000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3,090,000,000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364,563,180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186,550,000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117,098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249,575,922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2,856,040,685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3,642,097,909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-634,353,052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923,474,063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8,922,509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1,034,573,492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1,043,496,001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1,284,573,492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146,934,722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152,475,756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4,330,211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3,299,303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751,264,933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1,440,348,551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-151,264,933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-396,852,550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-27,565,370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42,706,105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-409,515,971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768,411,021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1,979,029,594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1,210,618,573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1,569,513,623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1,979,029,594</w:t>
            </w:r>
          </w:p>
        </w:tc>
      </w:tr>
    </w:tbl>
    <w:p>
      <w:pPr>
        <w:spacing w:line="240" w:lineRule="auto" w:before="7"/>
        <w:rPr>
          <w:rFonts w:ascii="宋体" w:hAnsi="宋体" w:cs="宋体" w:eastAsia="宋体" w:hint="default"/>
          <w:sz w:val="15"/>
          <w:szCs w:val="15"/>
        </w:rPr>
      </w:pPr>
    </w:p>
    <w:p>
      <w:pPr>
        <w:pStyle w:val="BodyText"/>
        <w:tabs>
          <w:tab w:pos="2844" w:val="left" w:leader="none"/>
          <w:tab w:pos="6204" w:val="left" w:leader="none"/>
        </w:tabs>
        <w:spacing w:line="240" w:lineRule="auto" w:before="36"/>
        <w:ind w:right="226"/>
        <w:jc w:val="left"/>
      </w:pPr>
      <w:r>
        <w:rPr>
          <w:spacing w:val="-1"/>
        </w:rPr>
        <w:t>法定代表人：刘积仁</w:t>
        <w:tab/>
      </w:r>
      <w:r>
        <w:rPr>
          <w:spacing w:val="-2"/>
        </w:rPr>
        <w:t>主管会计工作负责人：张晓鸥</w:t>
        <w:tab/>
        <w:t>会计机构负责人：金辉</w:t>
      </w:r>
      <w:r>
        <w:rPr/>
      </w:r>
    </w:p>
    <w:p>
      <w:pPr>
        <w:spacing w:after="0" w:line="240" w:lineRule="auto"/>
        <w:jc w:val="left"/>
        <w:sectPr>
          <w:footerReference w:type="default" r:id="rId58"/>
          <w:pgSz w:w="11910" w:h="16840"/>
          <w:pgMar w:footer="1248" w:header="0" w:top="1300" w:bottom="1440" w:left="1580" w:right="10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9"/>
          <w:footerReference w:type="default" r:id="rId60"/>
          <w:pgSz w:w="16840" w:h="11910" w:orient="landscape"/>
          <w:pgMar w:header="946" w:footer="1228" w:top="1300" w:bottom="1420" w:left="540" w:right="540"/>
          <w:pgNumType w:start="81"/>
        </w:sectPr>
      </w:pPr>
    </w:p>
    <w:p>
      <w:pPr>
        <w:spacing w:line="244" w:lineRule="exact" w:before="86"/>
        <w:ind w:left="7102"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0"/>
          <w:szCs w:val="20"/>
        </w:rPr>
      </w:pPr>
    </w:p>
    <w:p>
      <w:pPr>
        <w:pStyle w:val="BodyText"/>
        <w:tabs>
          <w:tab w:pos="945" w:val="left" w:leader="none"/>
        </w:tabs>
        <w:spacing w:line="240" w:lineRule="auto"/>
        <w:ind w:left="0" w:right="134"/>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right"/>
        <w:sectPr>
          <w:type w:val="continuous"/>
          <w:pgSz w:w="16840" w:h="11910" w:orient="landscape"/>
          <w:pgMar w:top="1580" w:bottom="280" w:left="540" w:right="540"/>
          <w:cols w:num="2" w:equalWidth="0">
            <w:col w:w="8920" w:space="40"/>
            <w:col w:w="6800"/>
          </w:cols>
        </w:sectPr>
      </w:pP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4"/>
        <w:gridCol w:w="1229"/>
        <w:gridCol w:w="518"/>
        <w:gridCol w:w="521"/>
        <w:gridCol w:w="377"/>
        <w:gridCol w:w="1051"/>
        <w:gridCol w:w="1049"/>
        <w:gridCol w:w="1140"/>
        <w:gridCol w:w="662"/>
        <w:gridCol w:w="1232"/>
        <w:gridCol w:w="943"/>
        <w:gridCol w:w="1231"/>
        <w:gridCol w:w="1140"/>
        <w:gridCol w:w="1298"/>
      </w:tblGrid>
      <w:tr>
        <w:trPr>
          <w:trHeight w:val="252" w:hRule="exact"/>
        </w:trPr>
        <w:tc>
          <w:tcPr>
            <w:tcW w:w="31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9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81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3144" w:type="dxa"/>
            <w:vMerge/>
            <w:tcBorders>
              <w:left w:val="single" w:sz="4" w:space="0" w:color="000000"/>
              <w:right w:val="single" w:sz="4" w:space="0" w:color="000000"/>
            </w:tcBorders>
          </w:tcPr>
          <w:p>
            <w:pPr/>
          </w:p>
        </w:tc>
        <w:tc>
          <w:tcPr>
            <w:tcW w:w="99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9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2" w:lineRule="exact"/>
              <w:ind w:left="554" w:right="10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50" w:hRule="exact"/>
        </w:trPr>
        <w:tc>
          <w:tcPr>
            <w:tcW w:w="3144" w:type="dxa"/>
            <w:vMerge/>
            <w:tcBorders>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62" w:type="dxa"/>
            <w:vMerge w:val="restart"/>
            <w:tcBorders>
              <w:top w:val="single" w:sz="4" w:space="0" w:color="000000"/>
              <w:left w:val="single" w:sz="4" w:space="0" w:color="000000"/>
              <w:right w:val="single" w:sz="4" w:space="0" w:color="000000"/>
            </w:tcBorders>
          </w:tcPr>
          <w:p>
            <w:pPr>
              <w:pStyle w:val="TableParagraph"/>
              <w:spacing w:line="244" w:lineRule="auto" w:before="101"/>
              <w:ind w:left="237" w:right="5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43" w:type="dxa"/>
            <w:vMerge w:val="restart"/>
            <w:tcBorders>
              <w:top w:val="single" w:sz="4" w:space="0" w:color="000000"/>
              <w:left w:val="single" w:sz="4" w:space="0" w:color="000000"/>
              <w:right w:val="single" w:sz="4" w:space="0" w:color="000000"/>
            </w:tcBorders>
          </w:tcPr>
          <w:p>
            <w:pPr>
              <w:pStyle w:val="TableParagraph"/>
              <w:spacing w:line="244" w:lineRule="auto" w:before="101"/>
              <w:ind w:left="288" w:right="10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0" w:type="dxa"/>
            <w:vMerge/>
            <w:tcBorders>
              <w:left w:val="single" w:sz="4" w:space="0" w:color="000000"/>
              <w:right w:val="single" w:sz="4" w:space="0" w:color="000000"/>
            </w:tcBorders>
          </w:tcPr>
          <w:p>
            <w:pPr/>
          </w:p>
        </w:tc>
        <w:tc>
          <w:tcPr>
            <w:tcW w:w="1298" w:type="dxa"/>
            <w:vMerge/>
            <w:tcBorders>
              <w:left w:val="single" w:sz="4" w:space="0" w:color="000000"/>
              <w:right w:val="single" w:sz="4" w:space="0" w:color="000000"/>
            </w:tcBorders>
          </w:tcPr>
          <w:p>
            <w:pPr/>
          </w:p>
        </w:tc>
      </w:tr>
      <w:tr>
        <w:trPr>
          <w:trHeight w:val="490" w:hRule="exact"/>
        </w:trPr>
        <w:tc>
          <w:tcPr>
            <w:tcW w:w="3144"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5"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5"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165"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96"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9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051"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r>
      <w:tr>
        <w:trPr>
          <w:trHeight w:val="243"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1,243,197,745</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686,498,446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139,157,613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-57,875,436</w:t>
            </w: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1,123,366,322</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4,855,906,368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342,295,845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8,054,231,677</w:t>
            </w: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1,243,197,745</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686,498,446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139,157,613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-57,875,436</w:t>
            </w: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1,123,366,322</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4,855,906,368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342,295,845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8,054,231,677</w:t>
            </w:r>
          </w:p>
        </w:tc>
      </w:tr>
      <w:tr>
        <w:trPr>
          <w:trHeight w:val="47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-519,740</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242,827,933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-85,677,912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-53,293,465</w:t>
            </w: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130,576,079</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803,720,285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-194,314,616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1,014,674,388</w:t>
            </w: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-53,293,465</w:t>
            </w: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1,058,488,436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-168,264,739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836,930,232</w:t>
            </w: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-519,740</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242,827,933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-85,677,912</w:t>
            </w: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-23,208,258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304,777,847</w:t>
            </w: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49,079,197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48,323,048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97,402,245</w:t>
            </w:r>
          </w:p>
        </w:tc>
      </w:tr>
      <w:tr>
        <w:trPr>
          <w:trHeight w:val="243"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38,508,891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-994,288</w:t>
            </w: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11,188,093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50,691,272</w:t>
            </w: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-519,740</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155,239,845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-84,683,624</w:t>
            </w: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-82,719,399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156,684,330</w:t>
            </w: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130,576,079</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-254,768,151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-2,841,619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-127,033,691</w:t>
            </w: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130,576,079</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-130,576,079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-124,192,072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-2,841,619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-127,033,691</w:t>
            </w: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540" w:right="540"/>
        </w:sectPr>
      </w:pPr>
    </w:p>
    <w:p>
      <w:pPr>
        <w:spacing w:line="240" w:lineRule="auto" w:before="3"/>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3144"/>
        <w:gridCol w:w="1229"/>
        <w:gridCol w:w="518"/>
        <w:gridCol w:w="521"/>
        <w:gridCol w:w="377"/>
        <w:gridCol w:w="1051"/>
        <w:gridCol w:w="1049"/>
        <w:gridCol w:w="1140"/>
        <w:gridCol w:w="662"/>
        <w:gridCol w:w="1232"/>
        <w:gridCol w:w="943"/>
        <w:gridCol w:w="1231"/>
        <w:gridCol w:w="1140"/>
        <w:gridCol w:w="1298"/>
      </w:tblGrid>
      <w:tr>
        <w:trPr>
          <w:trHeight w:val="242"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1,242,678,005</w:t>
            </w: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929,326,379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sz w:val="18"/>
              </w:rPr>
              <w:t>53,479,701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sz w:val="18"/>
              </w:rPr>
              <w:t>-111,168,901</w:t>
            </w:r>
          </w:p>
        </w:tc>
        <w:tc>
          <w:tcPr>
            <w:tcW w:w="66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1,253,942,401</w:t>
            </w:r>
          </w:p>
        </w:tc>
        <w:tc>
          <w:tcPr>
            <w:tcW w:w="9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5,659,626,653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sz w:val="18"/>
              </w:rPr>
              <w:t>147,981,229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5" w:right="0"/>
              <w:jc w:val="left"/>
              <w:rPr>
                <w:rFonts w:ascii="宋体" w:hAnsi="宋体" w:cs="宋体" w:eastAsia="宋体" w:hint="default"/>
                <w:sz w:val="18"/>
                <w:szCs w:val="18"/>
              </w:rPr>
            </w:pPr>
            <w:r>
              <w:rPr>
                <w:rFonts w:ascii="宋体"/>
                <w:sz w:val="18"/>
              </w:rPr>
              <w:t>9,068,906,065</w:t>
            </w:r>
          </w:p>
        </w:tc>
      </w:tr>
    </w:tbl>
    <w:p>
      <w:pPr>
        <w:spacing w:line="240" w:lineRule="auto" w:before="10"/>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4"/>
        <w:gridCol w:w="1229"/>
        <w:gridCol w:w="514"/>
        <w:gridCol w:w="511"/>
        <w:gridCol w:w="377"/>
        <w:gridCol w:w="1140"/>
        <w:gridCol w:w="1049"/>
        <w:gridCol w:w="1140"/>
        <w:gridCol w:w="650"/>
        <w:gridCol w:w="1229"/>
        <w:gridCol w:w="926"/>
        <w:gridCol w:w="1231"/>
        <w:gridCol w:w="1140"/>
        <w:gridCol w:w="1315"/>
      </w:tblGrid>
      <w:tr>
        <w:trPr>
          <w:trHeight w:val="250"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3084" w:type="dxa"/>
            <w:vMerge/>
            <w:tcBorders>
              <w:left w:val="single" w:sz="4" w:space="0" w:color="000000"/>
              <w:right w:val="single" w:sz="4" w:space="0" w:color="000000"/>
            </w:tcBorders>
          </w:tcPr>
          <w:p>
            <w:pPr/>
          </w:p>
        </w:tc>
        <w:tc>
          <w:tcPr>
            <w:tcW w:w="99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9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2" w:hRule="exact"/>
        </w:trPr>
        <w:tc>
          <w:tcPr>
            <w:tcW w:w="3084" w:type="dxa"/>
            <w:vMerge/>
            <w:tcBorders>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50" w:type="dxa"/>
            <w:vMerge w:val="restart"/>
            <w:tcBorders>
              <w:top w:val="single" w:sz="4" w:space="0" w:color="000000"/>
              <w:left w:val="single" w:sz="4" w:space="0" w:color="000000"/>
              <w:right w:val="single" w:sz="4" w:space="0" w:color="000000"/>
            </w:tcBorders>
          </w:tcPr>
          <w:p>
            <w:pPr>
              <w:pStyle w:val="TableParagraph"/>
              <w:spacing w:line="244" w:lineRule="auto" w:before="97"/>
              <w:ind w:left="230" w:right="4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26" w:type="dxa"/>
            <w:vMerge w:val="restart"/>
            <w:tcBorders>
              <w:top w:val="single" w:sz="4" w:space="0" w:color="000000"/>
              <w:left w:val="single" w:sz="4" w:space="0" w:color="000000"/>
              <w:right w:val="single" w:sz="4" w:space="0" w:color="000000"/>
            </w:tcBorders>
          </w:tcPr>
          <w:p>
            <w:pPr>
              <w:pStyle w:val="TableParagraph"/>
              <w:spacing w:line="244" w:lineRule="auto" w:before="97"/>
              <w:ind w:left="278" w:right="9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0"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r>
      <w:tr>
        <w:trPr>
          <w:trHeight w:val="475" w:hRule="exact"/>
        </w:trPr>
        <w:tc>
          <w:tcPr>
            <w:tcW w:w="3084"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140"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1,242,576,745</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825,099,602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134,842,500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-102,982,276</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933,840,533</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3,312,350,282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316,142,318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6,392,184,704</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1,242,576,745</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825,099,602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134,842,500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-102,982,276</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933,840,533</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3,312,350,282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316,142,318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6,392,184,704</w:t>
            </w:r>
          </w:p>
        </w:tc>
      </w:tr>
      <w:tr>
        <w:trPr>
          <w:trHeight w:val="47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621,000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-138,601,156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4,315,113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45,106,840</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189,525,789</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1,543,556,086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26,153,527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1,662,046,973</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45,106,840</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1,850,977,215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-143,422,890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1,752,661,165</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621,000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-138,601,156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4,315,113</w:t>
            </w: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169,576,417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27,281,148</w:t>
            </w: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z w:val="18"/>
              </w:rPr>
              <w:t>991,500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386,548,791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8,923,500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921,970,954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1,300,587,745</w:t>
            </w:r>
          </w:p>
        </w:tc>
      </w:tr>
      <w:tr>
        <w:trPr>
          <w:trHeight w:val="24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44,851,331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-1,273,887</w:t>
            </w: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527,968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46,653,186</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-370,500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-570,001,278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-3,334,500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-752,922,505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-1,319,959,783</w:t>
            </w: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189,525,789</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-307,421,129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-117,895,340</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189,525,789</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-189,525,789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-117,895,340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-117,895,340</w:t>
            </w: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1"/>
          <w:pgSz w:w="16840" w:h="11910" w:orient="landscape"/>
          <w:pgMar w:header="946" w:footer="1228" w:top="1300" w:bottom="1420" w:left="540" w:right="540"/>
        </w:sectPr>
      </w:pPr>
    </w:p>
    <w:p>
      <w:pPr>
        <w:spacing w:line="240" w:lineRule="auto" w:before="3"/>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3084"/>
        <w:gridCol w:w="1229"/>
        <w:gridCol w:w="514"/>
        <w:gridCol w:w="511"/>
        <w:gridCol w:w="377"/>
        <w:gridCol w:w="1140"/>
        <w:gridCol w:w="1049"/>
        <w:gridCol w:w="1140"/>
        <w:gridCol w:w="650"/>
        <w:gridCol w:w="1229"/>
        <w:gridCol w:w="926"/>
        <w:gridCol w:w="1231"/>
        <w:gridCol w:w="1140"/>
        <w:gridCol w:w="1315"/>
      </w:tblGrid>
      <w:tr>
        <w:trPr>
          <w:trHeight w:val="2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1,243,197,745</w:t>
            </w:r>
          </w:p>
        </w:tc>
        <w:tc>
          <w:tcPr>
            <w:tcW w:w="5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sz w:val="18"/>
              </w:rPr>
              <w:t>686,498,446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139,157,613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8"/>
                <w:szCs w:val="18"/>
              </w:rPr>
            </w:pPr>
            <w:r>
              <w:rPr>
                <w:rFonts w:ascii="宋体"/>
                <w:sz w:val="18"/>
              </w:rPr>
              <w:t>-57,875,436</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1,123,366,322</w:t>
            </w:r>
          </w:p>
        </w:tc>
        <w:tc>
          <w:tcPr>
            <w:tcW w:w="926"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4,855,906,368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5" w:right="0"/>
              <w:jc w:val="left"/>
              <w:rPr>
                <w:rFonts w:ascii="宋体" w:hAnsi="宋体" w:cs="宋体" w:eastAsia="宋体" w:hint="default"/>
                <w:sz w:val="18"/>
                <w:szCs w:val="18"/>
              </w:rPr>
            </w:pPr>
            <w:r>
              <w:rPr>
                <w:rFonts w:ascii="宋体"/>
                <w:sz w:val="18"/>
              </w:rPr>
              <w:t>342,295,845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sz w:val="18"/>
              </w:rPr>
              <w:t>8,054,231,677</w:t>
            </w:r>
          </w:p>
        </w:tc>
      </w:tr>
    </w:tbl>
    <w:p>
      <w:pPr>
        <w:pStyle w:val="BodyText"/>
        <w:tabs>
          <w:tab w:pos="6617" w:val="left" w:leader="none"/>
          <w:tab w:pos="12078" w:val="left" w:leader="none"/>
        </w:tabs>
        <w:spacing w:line="241" w:lineRule="exact"/>
        <w:ind w:left="1577" w:right="0"/>
        <w:jc w:val="left"/>
      </w:pPr>
      <w:r>
        <w:rPr>
          <w:spacing w:val="-1"/>
        </w:rPr>
        <w:t>法定代表人：刘积仁</w:t>
        <w:tab/>
      </w:r>
      <w:r>
        <w:rPr>
          <w:spacing w:val="-2"/>
        </w:rPr>
        <w:t>主管会计工作负责人：张晓鸥</w:t>
        <w:tab/>
        <w:t>会计机构负责人：金辉</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946" w:footer="1228" w:top="1300" w:bottom="1420" w:left="540" w:right="520"/>
        </w:sectPr>
      </w:pPr>
    </w:p>
    <w:p>
      <w:pPr>
        <w:spacing w:line="272" w:lineRule="exact" w:before="64"/>
        <w:ind w:left="7102" w:right="-6"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5399" w:val="left" w:leader="none"/>
        </w:tabs>
        <w:spacing w:line="240" w:lineRule="auto"/>
        <w:ind w:left="445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540" w:right="520"/>
          <w:cols w:num="2" w:equalWidth="0">
            <w:col w:w="9026" w:space="40"/>
            <w:col w:w="671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28"/>
        <w:gridCol w:w="1316"/>
        <w:gridCol w:w="641"/>
        <w:gridCol w:w="641"/>
        <w:gridCol w:w="449"/>
        <w:gridCol w:w="1126"/>
        <w:gridCol w:w="1126"/>
        <w:gridCol w:w="1219"/>
        <w:gridCol w:w="838"/>
        <w:gridCol w:w="1315"/>
        <w:gridCol w:w="1318"/>
        <w:gridCol w:w="1421"/>
      </w:tblGrid>
      <w:tr>
        <w:trPr>
          <w:trHeight w:val="250" w:hRule="exact"/>
        </w:trPr>
        <w:tc>
          <w:tcPr>
            <w:tcW w:w="412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0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7" w:hRule="exact"/>
        </w:trPr>
        <w:tc>
          <w:tcPr>
            <w:tcW w:w="4128" w:type="dxa"/>
            <w:vMerge/>
            <w:tcBorders>
              <w:left w:val="single" w:sz="6" w:space="0" w:color="000000"/>
              <w:right w:val="single" w:sz="6" w:space="0" w:color="000000"/>
            </w:tcBorders>
          </w:tcPr>
          <w:p>
            <w:pPr/>
          </w:p>
        </w:tc>
        <w:tc>
          <w:tcPr>
            <w:tcW w:w="1316"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3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1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3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1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4128" w:type="dxa"/>
            <w:vMerge/>
            <w:tcBorders>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4" w:space="0" w:color="000000"/>
            </w:tcBorders>
          </w:tcPr>
          <w:p>
            <w:pPr/>
          </w:p>
        </w:tc>
        <w:tc>
          <w:tcPr>
            <w:tcW w:w="6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4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4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219" w:type="dxa"/>
            <w:vMerge/>
            <w:tcBorders>
              <w:left w:val="single" w:sz="6" w:space="0" w:color="000000"/>
              <w:bottom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1315"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1,243,197,745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421,765,919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139,157,613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4,113,115</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1,141,598,046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4,222,908,331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6,894,425,543</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77,162,554</w:t>
            </w: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3,305,339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18,730,255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99,198,148</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1,243,197,745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498,928,473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139,157,613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4,113,115</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1,144,903,385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4,241,638,586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6,993,623,691</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-519,740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116,936,089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-85,677,912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-3,461,154</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130,576,079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615,739,044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944,948,230</w:t>
            </w:r>
          </w:p>
        </w:tc>
      </w:tr>
      <w:tr>
        <w:trPr>
          <w:trHeight w:val="248"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-3,461,154</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870,507,195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867,046,041</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-519,740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116,936,089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-85,677,912</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202,094,261</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37,181,520</w:t>
            </w: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37,181,520</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22,811,465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-994,288</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23,805,753</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-519,740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56,943,104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-84,683,624</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141,106,988</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130,576,079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-254,768,151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-124,192,072</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130,576,079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-130,576,079</w:t>
            </w: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-124,192,072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-124,192,072</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580" w:bottom="280" w:left="540" w:right="520"/>
        </w:sectPr>
      </w:pPr>
    </w:p>
    <w:p>
      <w:pPr>
        <w:spacing w:line="240" w:lineRule="auto" w:before="3"/>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4128"/>
        <w:gridCol w:w="1316"/>
        <w:gridCol w:w="641"/>
        <w:gridCol w:w="641"/>
        <w:gridCol w:w="449"/>
        <w:gridCol w:w="1126"/>
        <w:gridCol w:w="1126"/>
        <w:gridCol w:w="1219"/>
        <w:gridCol w:w="838"/>
        <w:gridCol w:w="1315"/>
        <w:gridCol w:w="1318"/>
        <w:gridCol w:w="1421"/>
      </w:tblGrid>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1,242,678,005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615,864,562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53,479,701</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sz w:val="18"/>
              </w:rPr>
              <w:t>651,961</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1,275,479,464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4,857,377,630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sz w:val="18"/>
              </w:rPr>
              <w:t>7,938,571,921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128"/>
        <w:gridCol w:w="1316"/>
        <w:gridCol w:w="641"/>
        <w:gridCol w:w="641"/>
        <w:gridCol w:w="449"/>
        <w:gridCol w:w="1126"/>
        <w:gridCol w:w="1126"/>
        <w:gridCol w:w="1219"/>
        <w:gridCol w:w="838"/>
        <w:gridCol w:w="1315"/>
        <w:gridCol w:w="1318"/>
        <w:gridCol w:w="1421"/>
      </w:tblGrid>
      <w:tr>
        <w:trPr>
          <w:trHeight w:val="247" w:hRule="exact"/>
        </w:trPr>
        <w:tc>
          <w:tcPr>
            <w:tcW w:w="412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0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4128" w:type="dxa"/>
            <w:vMerge/>
            <w:tcBorders>
              <w:left w:val="single" w:sz="6" w:space="0" w:color="000000"/>
              <w:right w:val="single" w:sz="6" w:space="0" w:color="000000"/>
            </w:tcBorders>
          </w:tcPr>
          <w:p>
            <w:pPr/>
          </w:p>
        </w:tc>
        <w:tc>
          <w:tcPr>
            <w:tcW w:w="1316"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3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1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3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1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3" w:hRule="exact"/>
        </w:trPr>
        <w:tc>
          <w:tcPr>
            <w:tcW w:w="4128" w:type="dxa"/>
            <w:vMerge/>
            <w:tcBorders>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4" w:space="0" w:color="000000"/>
            </w:tcBorders>
          </w:tcPr>
          <w:p>
            <w:pPr/>
          </w:p>
        </w:tc>
        <w:tc>
          <w:tcPr>
            <w:tcW w:w="6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4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4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219" w:type="dxa"/>
            <w:vMerge/>
            <w:tcBorders>
              <w:left w:val="single" w:sz="6" w:space="0" w:color="000000"/>
              <w:bottom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1315"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1,242,576,745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489,510,548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134,842,500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8,785,369</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926,536,773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3,122,123,126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5,654,690,061</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-717,883</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30,770,055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174,363,645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204,415,817</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1,242,576,745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4" w:space="0" w:color="000000"/>
            </w:tcBorders>
          </w:tcPr>
          <w:p>
            <w:pP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489,510,548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134,842,500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8,067,486</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957,306,828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3,296,486,771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5,859,105,878</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621,000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9,417,925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4,315,113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-3,954,371</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187,596,557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945,151,815</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1,134,517,813</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-3,954,371</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1,250,643,712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1,246,689,341</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621,000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9,417,925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4,315,113</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5,723,812</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991,500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35,068,800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8,923,500</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27,136,800</w:t>
            </w:r>
          </w:p>
        </w:tc>
      </w:tr>
      <w:tr>
        <w:trPr>
          <w:trHeight w:val="248"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42,973,708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-1,273,887</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44,247,595</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-370,500</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-68,624,583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-3,334,500</w:t>
            </w: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-65,660,583</w:t>
            </w: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187,596,557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-305,491,897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-117,895,340</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187,596,557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-187,596,557</w:t>
            </w: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-117,895,340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-117,895,340</w:t>
            </w: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6" w:type="dxa"/>
            <w:tcBorders>
              <w:top w:val="single" w:sz="6" w:space="0" w:color="000000"/>
              <w:left w:val="single" w:sz="6"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62"/>
          <w:pgSz w:w="16840" w:h="11910" w:orient="landscape"/>
          <w:pgMar w:header="946" w:footer="1228" w:top="1300" w:bottom="1420" w:left="540" w:right="520"/>
        </w:sectPr>
      </w:pPr>
    </w:p>
    <w:p>
      <w:pPr>
        <w:spacing w:line="240" w:lineRule="auto" w:before="3"/>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4128"/>
        <w:gridCol w:w="1316"/>
        <w:gridCol w:w="641"/>
        <w:gridCol w:w="641"/>
        <w:gridCol w:w="449"/>
        <w:gridCol w:w="1126"/>
        <w:gridCol w:w="1126"/>
        <w:gridCol w:w="1219"/>
        <w:gridCol w:w="838"/>
        <w:gridCol w:w="1315"/>
        <w:gridCol w:w="1318"/>
        <w:gridCol w:w="1421"/>
      </w:tblGrid>
      <w:tr>
        <w:trPr>
          <w:trHeight w:val="250" w:hRule="exact"/>
        </w:trPr>
        <w:tc>
          <w:tcPr>
            <w:tcW w:w="41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1,243,197,745</w:t>
            </w:r>
          </w:p>
        </w:tc>
        <w:tc>
          <w:tcPr>
            <w:tcW w:w="641" w:type="dxa"/>
            <w:tcBorders>
              <w:top w:val="single" w:sz="6" w:space="0" w:color="000000"/>
              <w:left w:val="single" w:sz="4" w:space="0" w:color="000000"/>
              <w:bottom w:val="single" w:sz="6" w:space="0" w:color="000000"/>
              <w:right w:val="single" w:sz="4" w:space="0" w:color="000000"/>
            </w:tcBorders>
          </w:tcPr>
          <w:p>
            <w:pPr/>
          </w:p>
        </w:tc>
        <w:tc>
          <w:tcPr>
            <w:tcW w:w="641" w:type="dxa"/>
            <w:tcBorders>
              <w:top w:val="single" w:sz="6" w:space="0" w:color="000000"/>
              <w:left w:val="single" w:sz="4" w:space="0" w:color="000000"/>
              <w:bottom w:val="single" w:sz="6" w:space="0" w:color="000000"/>
              <w:right w:val="single" w:sz="4" w:space="0" w:color="000000"/>
            </w:tcBorders>
          </w:tcPr>
          <w:p>
            <w:pPr/>
          </w:p>
        </w:tc>
        <w:tc>
          <w:tcPr>
            <w:tcW w:w="449" w:type="dxa"/>
            <w:tcBorders>
              <w:top w:val="single" w:sz="6" w:space="0" w:color="000000"/>
              <w:left w:val="single" w:sz="4"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498,928,473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sz w:val="18"/>
              </w:rPr>
              <w:t>139,157,613</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sz w:val="18"/>
              </w:rPr>
              <w:t>4,113,115</w:t>
            </w:r>
          </w:p>
        </w:tc>
        <w:tc>
          <w:tcPr>
            <w:tcW w:w="838"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1,144,903,385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4,241,638,586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sz w:val="18"/>
              </w:rPr>
              <w:t>6,993,623,691</w:t>
            </w:r>
          </w:p>
        </w:tc>
      </w:tr>
    </w:tbl>
    <w:p>
      <w:pPr>
        <w:spacing w:line="240" w:lineRule="auto" w:before="5"/>
        <w:rPr>
          <w:rFonts w:ascii="Times New Roman" w:hAnsi="Times New Roman" w:cs="Times New Roman" w:eastAsia="Times New Roman" w:hint="default"/>
          <w:sz w:val="17"/>
          <w:szCs w:val="17"/>
        </w:rPr>
      </w:pPr>
    </w:p>
    <w:p>
      <w:pPr>
        <w:pStyle w:val="BodyText"/>
        <w:tabs>
          <w:tab w:pos="6356" w:val="left" w:leader="none"/>
          <w:tab w:pos="10977" w:val="left" w:leader="none"/>
        </w:tabs>
        <w:spacing w:line="240" w:lineRule="auto" w:before="36"/>
        <w:ind w:left="2678" w:right="0"/>
        <w:jc w:val="left"/>
      </w:pPr>
      <w:r>
        <w:rPr>
          <w:spacing w:val="-1"/>
        </w:rPr>
        <w:t>法定代表人：刘积仁</w:t>
        <w:tab/>
      </w:r>
      <w:r>
        <w:rPr>
          <w:spacing w:val="-2"/>
        </w:rPr>
        <w:t>主管会计工作负责人：张晓鸥</w:t>
        <w:tab/>
        <w:t>会计机构负责人：金辉</w:t>
      </w:r>
    </w:p>
    <w:p>
      <w:pPr>
        <w:spacing w:after="0" w:line="240" w:lineRule="auto"/>
        <w:jc w:val="left"/>
        <w:sectPr>
          <w:pgSz w:w="16840" w:h="11910" w:orient="landscape"/>
          <w:pgMar w:header="946" w:footer="1228" w:top="1300" w:bottom="1420" w:left="540" w:right="520"/>
        </w:sectPr>
      </w:pPr>
    </w:p>
    <w:p>
      <w:pPr>
        <w:spacing w:line="240" w:lineRule="auto" w:before="9"/>
        <w:rPr>
          <w:rFonts w:ascii="宋体" w:hAnsi="宋体" w:cs="宋体" w:eastAsia="宋体" w:hint="default"/>
          <w:sz w:val="6"/>
          <w:szCs w:val="6"/>
        </w:rPr>
      </w:pPr>
    </w:p>
    <w:p>
      <w:pPr>
        <w:spacing w:line="360" w:lineRule="exact"/>
        <w:ind w:left="61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12"/>
        <w:rPr>
          <w:rFonts w:ascii="宋体" w:hAnsi="宋体" w:cs="宋体" w:eastAsia="宋体" w:hint="default"/>
          <w:sz w:val="15"/>
          <w:szCs w:val="15"/>
        </w:rPr>
      </w:pPr>
    </w:p>
    <w:p>
      <w:pPr>
        <w:pStyle w:val="Heading4"/>
        <w:tabs>
          <w:tab w:pos="537" w:val="left" w:leader="none"/>
        </w:tabs>
        <w:spacing w:line="290" w:lineRule="auto" w:before="36"/>
        <w:ind w:left="118" w:right="7356"/>
        <w:jc w:val="left"/>
        <w:rPr>
          <w:b w:val="0"/>
          <w:bCs w:val="0"/>
        </w:rPr>
      </w:pPr>
      <w:r>
        <w:rPr/>
        <w:t>三、公司基本情况</w:t>
      </w:r>
      <w:r>
        <w:rPr>
          <w:spacing w:val="-104"/>
        </w:rPr>
        <w:t> </w:t>
      </w:r>
      <w:r>
        <w:rPr>
          <w:spacing w:val="-104"/>
        </w:rPr>
      </w:r>
      <w:r>
        <w:rPr>
          <w:rFonts w:ascii="宋体" w:hAnsi="宋体" w:cs="宋体" w:eastAsia="宋体" w:hint="default"/>
          <w:w w:val="95"/>
        </w:rPr>
        <w:t>1.</w:t>
        <w:tab/>
      </w:r>
      <w:r>
        <w:rPr/>
        <w:t>公司概况</w:t>
      </w:r>
      <w:r>
        <w:rPr>
          <w:b w:val="0"/>
          <w:bCs w:val="0"/>
        </w:rPr>
      </w:r>
    </w:p>
    <w:p>
      <w:pPr>
        <w:pStyle w:val="BodyText"/>
        <w:tabs>
          <w:tab w:pos="960" w:val="left" w:leader="none"/>
        </w:tabs>
        <w:spacing w:line="240" w:lineRule="auto" w:before="12"/>
        <w:ind w:left="538" w:right="217" w:hanging="420"/>
        <w:jc w:val="left"/>
      </w:pPr>
      <w:r>
        <w:rPr>
          <w:spacing w:val="-1"/>
        </w:rPr>
        <w:t>√适用</w:t>
        <w:tab/>
      </w:r>
      <w:r>
        <w:rPr>
          <w:spacing w:val="-2"/>
        </w:rPr>
        <w:t>□不适用</w:t>
      </w:r>
      <w:r>
        <w:rPr>
          <w:spacing w:val="-99"/>
        </w:rPr>
        <w:t> </w:t>
      </w:r>
      <w:r>
        <w:rPr>
          <w:spacing w:val="-99"/>
        </w:rPr>
      </w:r>
      <w:r>
        <w:rPr>
          <w:spacing w:val="-2"/>
        </w:rPr>
        <w:t>东软集团股份有限公司（以下简称“本公司”或“公司”）原名为沈阳东软软件股份有限公</w:t>
      </w:r>
    </w:p>
    <w:p>
      <w:pPr>
        <w:pStyle w:val="BodyText"/>
        <w:spacing w:line="237" w:lineRule="auto"/>
        <w:ind w:left="118" w:right="208"/>
        <w:jc w:val="both"/>
      </w:pPr>
      <w:r>
        <w:rPr/>
        <w:t>司，是于</w:t>
      </w:r>
      <w:r>
        <w:rPr>
          <w:spacing w:val="-54"/>
        </w:rPr>
        <w:t> </w:t>
      </w:r>
      <w:r>
        <w:rPr>
          <w:rFonts w:ascii="宋体" w:hAnsi="宋体" w:cs="宋体" w:eastAsia="宋体" w:hint="default"/>
        </w:rPr>
        <w:t>1993</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7</w:t>
      </w:r>
      <w:r>
        <w:rPr>
          <w:rFonts w:ascii="宋体" w:hAnsi="宋体" w:cs="宋体" w:eastAsia="宋体" w:hint="default"/>
          <w:spacing w:val="-56"/>
        </w:rPr>
        <w:t> </w:t>
      </w:r>
      <w:r>
        <w:rPr/>
        <w:t>日经沈阳市体改委体改发（</w:t>
      </w:r>
      <w:r>
        <w:rPr>
          <w:rFonts w:ascii="宋体" w:hAnsi="宋体" w:cs="宋体" w:eastAsia="宋体" w:hint="default"/>
        </w:rPr>
        <w:t>1993</w:t>
      </w:r>
      <w:r>
        <w:rPr/>
        <w:t>）</w:t>
      </w:r>
      <w:r>
        <w:rPr>
          <w:rFonts w:ascii="宋体" w:hAnsi="宋体" w:cs="宋体" w:eastAsia="宋体" w:hint="default"/>
        </w:rPr>
        <w:t>47</w:t>
      </w:r>
      <w:r>
        <w:rPr>
          <w:rFonts w:ascii="宋体" w:hAnsi="宋体" w:cs="宋体" w:eastAsia="宋体" w:hint="default"/>
          <w:spacing w:val="-54"/>
        </w:rPr>
        <w:t> </w:t>
      </w:r>
      <w:r>
        <w:rPr/>
        <w:t>号文批准在中华人民共和国注册成</w:t>
      </w:r>
      <w:r>
        <w:rPr>
          <w:w w:val="100"/>
        </w:rPr>
        <w:t> </w:t>
      </w:r>
      <w:r>
        <w:rPr>
          <w:spacing w:val="-2"/>
        </w:rPr>
        <w:t>立的中外合资股份有限公司。公司的企业法人统一社会信用代码：</w:t>
      </w:r>
      <w:r>
        <w:rPr>
          <w:rFonts w:ascii="宋体" w:hAnsi="宋体" w:cs="宋体" w:eastAsia="宋体" w:hint="default"/>
          <w:spacing w:val="-2"/>
        </w:rPr>
        <w:t>91210100604608172K</w:t>
      </w:r>
      <w:r>
        <w:rPr>
          <w:spacing w:val="-2"/>
        </w:rPr>
        <w:t>。</w:t>
      </w:r>
      <w:r>
        <w:rPr>
          <w:rFonts w:ascii="宋体" w:hAnsi="宋体" w:cs="宋体" w:eastAsia="宋体" w:hint="default"/>
          <w:spacing w:val="-2"/>
        </w:rPr>
        <w:t>1996</w:t>
      </w:r>
      <w:r>
        <w:rPr>
          <w:rFonts w:ascii="宋体" w:hAnsi="宋体" w:cs="宋体" w:eastAsia="宋体" w:hint="default"/>
          <w:spacing w:val="-15"/>
        </w:rPr>
        <w:t> </w:t>
      </w:r>
      <w:r>
        <w:rPr/>
        <w:t>年</w:t>
      </w:r>
      <w:r>
        <w:rPr>
          <w:spacing w:val="-89"/>
        </w:rPr>
        <w:t> </w:t>
      </w:r>
      <w:r>
        <w:rPr>
          <w:rFonts w:ascii="宋体" w:hAnsi="宋体" w:cs="宋体" w:eastAsia="宋体" w:hint="default"/>
        </w:rPr>
        <w:t>6</w:t>
      </w:r>
      <w:r>
        <w:rPr>
          <w:rFonts w:ascii="宋体" w:hAnsi="宋体" w:cs="宋体" w:eastAsia="宋体" w:hint="default"/>
          <w:spacing w:val="-53"/>
        </w:rPr>
        <w:t> </w:t>
      </w:r>
      <w:r>
        <w:rPr/>
        <w:t>月在上海证券交易所上市。所属行业为</w:t>
      </w:r>
      <w:r>
        <w:rPr>
          <w:spacing w:val="-53"/>
        </w:rPr>
        <w:t> </w:t>
      </w:r>
      <w:r>
        <w:rPr>
          <w:rFonts w:ascii="宋体" w:hAnsi="宋体" w:cs="宋体" w:eastAsia="宋体" w:hint="default"/>
        </w:rPr>
        <w:t>IT</w:t>
      </w:r>
      <w:r>
        <w:rPr>
          <w:rFonts w:ascii="宋体" w:hAnsi="宋体" w:cs="宋体" w:eastAsia="宋体" w:hint="default"/>
          <w:spacing w:val="-55"/>
        </w:rPr>
        <w:t> </w:t>
      </w:r>
      <w:r>
        <w:rPr/>
        <w:t>类。</w:t>
      </w:r>
    </w:p>
    <w:p>
      <w:pPr>
        <w:pStyle w:val="BodyText"/>
        <w:spacing w:line="272" w:lineRule="exact" w:before="26"/>
        <w:ind w:left="118" w:right="208" w:firstLine="419"/>
        <w:jc w:val="both"/>
      </w:pPr>
      <w:r>
        <w:rPr>
          <w:spacing w:val="-2"/>
        </w:rPr>
        <w:t>本公司的前身是东北大学下属的两家公司：沈阳东大开放软件系统股份有限公司和沈阳东大</w:t>
      </w:r>
      <w:r>
        <w:rPr>
          <w:w w:val="100"/>
        </w:rPr>
        <w:t> </w:t>
      </w:r>
      <w:r>
        <w:rPr>
          <w:spacing w:val="-5"/>
        </w:rPr>
        <w:t>阿尔派软件有限公司，前者成立于</w:t>
      </w:r>
      <w:r>
        <w:rPr>
          <w:spacing w:val="-35"/>
        </w:rPr>
        <w:t> </w:t>
      </w:r>
      <w:r>
        <w:rPr>
          <w:rFonts w:ascii="宋体" w:hAnsi="宋体" w:cs="宋体" w:eastAsia="宋体" w:hint="default"/>
        </w:rPr>
        <w:t>1991</w:t>
      </w:r>
      <w:r>
        <w:rPr>
          <w:rFonts w:ascii="宋体" w:hAnsi="宋体" w:cs="宋体" w:eastAsia="宋体" w:hint="default"/>
          <w:spacing w:val="-38"/>
        </w:rPr>
        <w:t> </w:t>
      </w:r>
      <w:r>
        <w:rPr/>
        <w:t>年</w:t>
      </w:r>
      <w:r>
        <w:rPr>
          <w:spacing w:val="-35"/>
        </w:rPr>
        <w:t> </w:t>
      </w:r>
      <w:r>
        <w:rPr>
          <w:rFonts w:ascii="宋体" w:hAnsi="宋体" w:cs="宋体" w:eastAsia="宋体" w:hint="default"/>
        </w:rPr>
        <w:t>4</w:t>
      </w:r>
      <w:r>
        <w:rPr>
          <w:rFonts w:ascii="宋体" w:hAnsi="宋体" w:cs="宋体" w:eastAsia="宋体" w:hint="default"/>
          <w:spacing w:val="-38"/>
        </w:rPr>
        <w:t> </w:t>
      </w:r>
      <w:r>
        <w:rPr>
          <w:spacing w:val="-4"/>
        </w:rPr>
        <w:t>月，是沈阳市南湖科技开发区最早进行股份制试点的</w:t>
      </w:r>
    </w:p>
    <w:p>
      <w:pPr>
        <w:pStyle w:val="BodyText"/>
        <w:spacing w:line="247" w:lineRule="exact"/>
        <w:ind w:left="118" w:right="0"/>
        <w:jc w:val="both"/>
      </w:pPr>
      <w:r>
        <w:rPr/>
        <w:t>高科技企业，后者于</w:t>
      </w:r>
      <w:r>
        <w:rPr>
          <w:spacing w:val="-53"/>
        </w:rPr>
        <w:t> </w:t>
      </w:r>
      <w:r>
        <w:rPr>
          <w:rFonts w:ascii="宋体" w:hAnsi="宋体" w:cs="宋体" w:eastAsia="宋体" w:hint="default"/>
        </w:rPr>
        <w:t>1991</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月与日本阿尔派株式会社合资成立。本公司于</w:t>
      </w:r>
      <w:r>
        <w:rPr>
          <w:spacing w:val="-55"/>
        </w:rPr>
        <w:t> </w:t>
      </w:r>
      <w:r>
        <w:rPr>
          <w:rFonts w:ascii="宋体" w:hAnsi="宋体" w:cs="宋体" w:eastAsia="宋体" w:hint="default"/>
        </w:rPr>
        <w:t>1993</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月进行股</w:t>
      </w:r>
    </w:p>
    <w:p>
      <w:pPr>
        <w:pStyle w:val="BodyText"/>
        <w:spacing w:line="273" w:lineRule="exact"/>
        <w:ind w:left="118" w:right="0"/>
        <w:jc w:val="both"/>
      </w:pPr>
      <w:r>
        <w:rPr>
          <w:spacing w:val="-9"/>
        </w:rPr>
        <w:t>份制改造，于</w:t>
      </w:r>
      <w:r>
        <w:rPr>
          <w:spacing w:val="-45"/>
        </w:rPr>
        <w:t> </w:t>
      </w:r>
      <w:r>
        <w:rPr>
          <w:rFonts w:ascii="宋体" w:hAnsi="宋体" w:cs="宋体" w:eastAsia="宋体" w:hint="default"/>
        </w:rPr>
        <w:t>1996</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7"/>
        </w:rPr>
        <w:t> </w:t>
      </w:r>
      <w:r>
        <w:rPr>
          <w:rFonts w:ascii="宋体" w:hAnsi="宋体" w:cs="宋体" w:eastAsia="宋体" w:hint="default"/>
        </w:rPr>
        <w:t>9</w:t>
      </w:r>
      <w:r>
        <w:rPr>
          <w:rFonts w:ascii="宋体" w:hAnsi="宋体" w:cs="宋体" w:eastAsia="宋体" w:hint="default"/>
          <w:spacing w:val="-45"/>
        </w:rPr>
        <w:t> </w:t>
      </w:r>
      <w:r>
        <w:rPr>
          <w:spacing w:val="-3"/>
        </w:rPr>
        <w:t>日经中国证券监督管理委员会批准，首次向社会公众发行人民币普通</w:t>
      </w:r>
    </w:p>
    <w:p>
      <w:pPr>
        <w:pStyle w:val="BodyText"/>
        <w:spacing w:line="273" w:lineRule="exact"/>
        <w:ind w:left="118" w:right="0"/>
        <w:jc w:val="both"/>
      </w:pPr>
      <w:r>
        <w:rPr/>
        <w:t>股</w:t>
      </w:r>
      <w:r>
        <w:rPr>
          <w:spacing w:val="-53"/>
        </w:rPr>
        <w:t> </w:t>
      </w:r>
      <w:r>
        <w:rPr>
          <w:rFonts w:ascii="宋体" w:hAnsi="宋体" w:cs="宋体" w:eastAsia="宋体" w:hint="default"/>
        </w:rPr>
        <w:t>1,500</w:t>
      </w:r>
      <w:r>
        <w:rPr>
          <w:rFonts w:ascii="宋体" w:hAnsi="宋体" w:cs="宋体" w:eastAsia="宋体" w:hint="default"/>
          <w:spacing w:val="-53"/>
        </w:rPr>
        <w:t> </w:t>
      </w:r>
      <w:r>
        <w:rPr/>
        <w:t>万股，皆为向境内投资人发行的以人民币认购的内资股，并于</w:t>
      </w:r>
      <w:r>
        <w:rPr>
          <w:spacing w:val="-53"/>
        </w:rPr>
        <w:t> </w:t>
      </w:r>
      <w:r>
        <w:rPr>
          <w:rFonts w:ascii="宋体" w:hAnsi="宋体" w:cs="宋体" w:eastAsia="宋体" w:hint="default"/>
        </w:rPr>
        <w:t>1996</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日在上海</w:t>
      </w:r>
    </w:p>
    <w:p>
      <w:pPr>
        <w:pStyle w:val="BodyText"/>
        <w:spacing w:line="272" w:lineRule="exact"/>
        <w:ind w:left="118" w:right="0"/>
        <w:jc w:val="both"/>
      </w:pPr>
      <w:r>
        <w:rPr>
          <w:spacing w:val="-3"/>
        </w:rPr>
        <w:t>证券交易所挂牌上市。</w:t>
      </w:r>
      <w:r>
        <w:rPr>
          <w:rFonts w:ascii="宋体" w:hAnsi="宋体" w:cs="宋体" w:eastAsia="宋体" w:hint="default"/>
          <w:spacing w:val="-3"/>
        </w:rPr>
        <w:t>2004</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41"/>
        </w:rPr>
        <w:t> </w:t>
      </w:r>
      <w:r>
        <w:rPr/>
        <w:t>月</w:t>
      </w:r>
      <w:r>
        <w:rPr>
          <w:spacing w:val="-38"/>
        </w:rPr>
        <w:t> </w:t>
      </w:r>
      <w:r>
        <w:rPr>
          <w:rFonts w:ascii="宋体" w:hAnsi="宋体" w:cs="宋体" w:eastAsia="宋体" w:hint="default"/>
        </w:rPr>
        <w:t>5</w:t>
      </w:r>
      <w:r>
        <w:rPr>
          <w:rFonts w:ascii="宋体" w:hAnsi="宋体" w:cs="宋体" w:eastAsia="宋体" w:hint="default"/>
          <w:spacing w:val="-41"/>
        </w:rPr>
        <w:t> </w:t>
      </w:r>
      <w:r>
        <w:rPr>
          <w:spacing w:val="-3"/>
        </w:rPr>
        <w:t>日，本公司原控股股东东软集团有限公司向本公司原第二大</w:t>
      </w:r>
    </w:p>
    <w:p>
      <w:pPr>
        <w:pStyle w:val="BodyText"/>
        <w:spacing w:line="272" w:lineRule="exact"/>
        <w:ind w:left="118" w:right="0"/>
        <w:jc w:val="both"/>
        <w:rPr>
          <w:rFonts w:ascii="宋体" w:hAnsi="宋体" w:cs="宋体" w:eastAsia="宋体" w:hint="default"/>
        </w:rPr>
      </w:pPr>
      <w:r>
        <w:rPr/>
        <w:t>股东阿尔派电子（中国）有限公司协议收购其所持有的本公司外资法人股，并于</w:t>
      </w:r>
      <w:r>
        <w:rPr>
          <w:spacing w:val="-52"/>
        </w:rPr>
        <w:t> </w:t>
      </w:r>
      <w:r>
        <w:rPr>
          <w:rFonts w:ascii="宋体" w:hAnsi="宋体" w:cs="宋体" w:eastAsia="宋体" w:hint="default"/>
        </w:rPr>
        <w:t>2004</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5</w:t>
      </w:r>
    </w:p>
    <w:p>
      <w:pPr>
        <w:pStyle w:val="BodyText"/>
        <w:spacing w:line="237" w:lineRule="auto"/>
        <w:ind w:left="118" w:right="217"/>
        <w:jc w:val="both"/>
      </w:pPr>
      <w:r>
        <w:rPr/>
        <w:t>日办理完成工商登记变更手续，本公司由此变更为内资股份有限公司。</w:t>
      </w:r>
      <w:r>
        <w:rPr>
          <w:rFonts w:ascii="宋体" w:hAnsi="宋体" w:cs="宋体" w:eastAsia="宋体" w:hint="default"/>
        </w:rPr>
        <w:t>2006</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w:t>
      </w:r>
      <w:r>
        <w:rPr>
          <w:w w:val="100"/>
        </w:rPr>
        <w:t> </w:t>
      </w:r>
      <w:r>
        <w:rPr>
          <w:spacing w:val="-2"/>
        </w:rPr>
        <w:t>股权分置改革相关股东会议审议通过了《沈阳东软软件股份有限公司股权分置改革方案》，</w:t>
      </w:r>
      <w:r>
        <w:rPr>
          <w:rFonts w:ascii="宋体" w:hAnsi="宋体" w:cs="宋体" w:eastAsia="宋体" w:hint="default"/>
          <w:spacing w:val="-2"/>
        </w:rPr>
        <w:t>2006</w:t>
      </w:r>
      <w:r>
        <w:rPr>
          <w:rFonts w:ascii="宋体" w:hAnsi="宋体" w:cs="宋体" w:eastAsia="宋体" w:hint="default"/>
          <w:spacing w:val="-21"/>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日，公司原控股股东东软集团有限公司完成了向流通股股东的对价支付，共向流通股股</w:t>
      </w:r>
    </w:p>
    <w:p>
      <w:pPr>
        <w:pStyle w:val="BodyText"/>
        <w:spacing w:line="272" w:lineRule="exact"/>
        <w:ind w:left="118" w:right="0"/>
        <w:jc w:val="both"/>
      </w:pPr>
      <w:r>
        <w:rPr/>
        <w:t>东支付</w:t>
      </w:r>
      <w:r>
        <w:rPr>
          <w:spacing w:val="-53"/>
        </w:rPr>
        <w:t> </w:t>
      </w:r>
      <w:r>
        <w:rPr>
          <w:rFonts w:ascii="宋体" w:hAnsi="宋体" w:cs="宋体" w:eastAsia="宋体" w:hint="default"/>
        </w:rPr>
        <w:t>28,314,574</w:t>
      </w:r>
      <w:r>
        <w:rPr>
          <w:rFonts w:ascii="宋体" w:hAnsi="宋体" w:cs="宋体" w:eastAsia="宋体" w:hint="default"/>
          <w:spacing w:val="-55"/>
        </w:rPr>
        <w:t> </w:t>
      </w:r>
      <w:r>
        <w:rPr/>
        <w:t>股和</w:t>
      </w:r>
      <w:r>
        <w:rPr>
          <w:spacing w:val="-54"/>
        </w:rPr>
        <w:t> </w:t>
      </w:r>
      <w:r>
        <w:rPr>
          <w:rFonts w:ascii="宋体" w:hAnsi="宋体" w:cs="宋体" w:eastAsia="宋体" w:hint="default"/>
        </w:rPr>
        <w:t>41,339,277</w:t>
      </w:r>
      <w:r>
        <w:rPr>
          <w:rFonts w:ascii="宋体" w:hAnsi="宋体" w:cs="宋体" w:eastAsia="宋体" w:hint="default"/>
          <w:spacing w:val="-55"/>
        </w:rPr>
        <w:t> </w:t>
      </w:r>
      <w:r>
        <w:rPr/>
        <w:t>元现金对价，即每</w:t>
      </w:r>
      <w:r>
        <w:rPr>
          <w:spacing w:val="-53"/>
        </w:rPr>
        <w:t> </w:t>
      </w:r>
      <w:r>
        <w:rPr>
          <w:rFonts w:ascii="宋体" w:hAnsi="宋体" w:cs="宋体" w:eastAsia="宋体" w:hint="default"/>
        </w:rPr>
        <w:t>10</w:t>
      </w:r>
      <w:r>
        <w:rPr>
          <w:rFonts w:ascii="宋体" w:hAnsi="宋体" w:cs="宋体" w:eastAsia="宋体" w:hint="default"/>
          <w:spacing w:val="-53"/>
        </w:rPr>
        <w:t> </w:t>
      </w:r>
      <w:r>
        <w:rPr/>
        <w:t>股流通股获付</w:t>
      </w:r>
      <w:r>
        <w:rPr>
          <w:spacing w:val="-53"/>
        </w:rPr>
        <w:t> </w:t>
      </w:r>
      <w:r>
        <w:rPr>
          <w:rFonts w:ascii="宋体" w:hAnsi="宋体" w:cs="宋体" w:eastAsia="宋体" w:hint="default"/>
        </w:rPr>
        <w:t>2.5</w:t>
      </w:r>
      <w:r>
        <w:rPr>
          <w:rFonts w:ascii="宋体" w:hAnsi="宋体" w:cs="宋体" w:eastAsia="宋体" w:hint="default"/>
          <w:spacing w:val="-55"/>
        </w:rPr>
        <w:t> </w:t>
      </w:r>
      <w:r>
        <w:rPr/>
        <w:t>股股票和</w:t>
      </w:r>
      <w:r>
        <w:rPr>
          <w:spacing w:val="-52"/>
        </w:rPr>
        <w:t> </w:t>
      </w:r>
      <w:r>
        <w:rPr>
          <w:rFonts w:ascii="宋体" w:hAnsi="宋体" w:cs="宋体" w:eastAsia="宋体" w:hint="default"/>
        </w:rPr>
        <w:t>3.65</w:t>
      </w:r>
      <w:r>
        <w:rPr>
          <w:rFonts w:ascii="宋体" w:hAnsi="宋体" w:cs="宋体" w:eastAsia="宋体" w:hint="default"/>
          <w:spacing w:val="-55"/>
        </w:rPr>
        <w:t> </w:t>
      </w:r>
      <w:r>
        <w:rPr/>
        <w:t>元现</w:t>
      </w:r>
    </w:p>
    <w:p>
      <w:pPr>
        <w:pStyle w:val="BodyText"/>
        <w:spacing w:line="271" w:lineRule="exact"/>
        <w:ind w:left="118" w:right="0"/>
        <w:jc w:val="both"/>
      </w:pPr>
      <w:r>
        <w:rPr/>
        <w:t>金，该股权分置改革实施后，公司股份总数不变，股份结构发生相应变化。</w:t>
      </w:r>
      <w:r>
        <w:rPr>
          <w:rFonts w:ascii="宋体" w:hAnsi="宋体" w:cs="宋体" w:eastAsia="宋体" w:hint="default"/>
        </w:rPr>
        <w:t>2008</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t>日，</w:t>
      </w:r>
    </w:p>
    <w:p>
      <w:pPr>
        <w:pStyle w:val="BodyText"/>
        <w:spacing w:line="272" w:lineRule="exact"/>
        <w:ind w:left="118" w:right="0"/>
        <w:jc w:val="both"/>
        <w:rPr>
          <w:rFonts w:ascii="宋体" w:hAnsi="宋体" w:cs="宋体" w:eastAsia="宋体" w:hint="default"/>
        </w:rPr>
      </w:pPr>
      <w:r>
        <w:rPr/>
        <w:t>经中国证券监督管理委员会批准，本公司吸收合并原控股股东东软集团有限公司，于</w:t>
      </w:r>
      <w:r>
        <w:rPr>
          <w:spacing w:val="-53"/>
        </w:rPr>
        <w:t> </w:t>
      </w:r>
      <w:r>
        <w:rPr>
          <w:rFonts w:ascii="宋体" w:hAnsi="宋体" w:cs="宋体" w:eastAsia="宋体" w:hint="default"/>
        </w:rPr>
        <w:t>2008</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72" w:lineRule="exact"/>
        <w:ind w:left="118" w:right="0"/>
        <w:jc w:val="both"/>
      </w:pP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公</w:t>
      </w:r>
      <w:r>
        <w:rPr>
          <w:spacing w:val="-3"/>
          <w:w w:val="100"/>
        </w:rPr>
        <w:t>司</w:t>
      </w:r>
      <w:r>
        <w:rPr>
          <w:w w:val="100"/>
        </w:rPr>
        <w:t>在</w:t>
      </w:r>
      <w:r>
        <w:rPr>
          <w:spacing w:val="-3"/>
          <w:w w:val="100"/>
        </w:rPr>
        <w:t>中</w:t>
      </w:r>
      <w:r>
        <w:rPr>
          <w:w w:val="100"/>
        </w:rPr>
        <w:t>国</w:t>
      </w:r>
      <w:r>
        <w:rPr>
          <w:spacing w:val="-3"/>
          <w:w w:val="100"/>
        </w:rPr>
        <w:t>证</w:t>
      </w:r>
      <w:r>
        <w:rPr>
          <w:w w:val="100"/>
        </w:rPr>
        <w:t>券登</w:t>
      </w:r>
      <w:r>
        <w:rPr>
          <w:spacing w:val="-3"/>
          <w:w w:val="100"/>
        </w:rPr>
        <w:t>记</w:t>
      </w:r>
      <w:r>
        <w:rPr>
          <w:w w:val="100"/>
        </w:rPr>
        <w:t>结</w:t>
      </w:r>
      <w:r>
        <w:rPr>
          <w:spacing w:val="-3"/>
          <w:w w:val="100"/>
        </w:rPr>
        <w:t>算</w:t>
      </w:r>
      <w:r>
        <w:rPr>
          <w:w w:val="100"/>
        </w:rPr>
        <w:t>有</w:t>
      </w:r>
      <w:r>
        <w:rPr>
          <w:spacing w:val="-3"/>
          <w:w w:val="100"/>
        </w:rPr>
        <w:t>限</w:t>
      </w:r>
      <w:r>
        <w:rPr>
          <w:w w:val="100"/>
        </w:rPr>
        <w:t>公</w:t>
      </w:r>
      <w:r>
        <w:rPr>
          <w:spacing w:val="-3"/>
          <w:w w:val="100"/>
        </w:rPr>
        <w:t>司</w:t>
      </w:r>
      <w:r>
        <w:rPr>
          <w:w w:val="100"/>
        </w:rPr>
        <w:t>上</w:t>
      </w:r>
      <w:r>
        <w:rPr>
          <w:spacing w:val="-3"/>
          <w:w w:val="100"/>
        </w:rPr>
        <w:t>海</w:t>
      </w:r>
      <w:r>
        <w:rPr>
          <w:w w:val="100"/>
        </w:rPr>
        <w:t>分公</w:t>
      </w:r>
      <w:r>
        <w:rPr>
          <w:spacing w:val="-3"/>
          <w:w w:val="100"/>
        </w:rPr>
        <w:t>司</w:t>
      </w:r>
      <w:r>
        <w:rPr>
          <w:w w:val="100"/>
        </w:rPr>
        <w:t>办</w:t>
      </w:r>
      <w:r>
        <w:rPr>
          <w:spacing w:val="-3"/>
          <w:w w:val="100"/>
        </w:rPr>
        <w:t>理</w:t>
      </w:r>
      <w:r>
        <w:rPr>
          <w:w w:val="100"/>
        </w:rPr>
        <w:t>完</w:t>
      </w:r>
      <w:r>
        <w:rPr>
          <w:spacing w:val="-3"/>
          <w:w w:val="100"/>
        </w:rPr>
        <w:t>成</w:t>
      </w:r>
      <w:r>
        <w:rPr>
          <w:w w:val="100"/>
        </w:rPr>
        <w:t>了</w:t>
      </w:r>
      <w:r>
        <w:rPr>
          <w:spacing w:val="-3"/>
          <w:w w:val="100"/>
        </w:rPr>
        <w:t>换</w:t>
      </w:r>
      <w:r>
        <w:rPr>
          <w:w w:val="100"/>
        </w:rPr>
        <w:t>股</w:t>
      </w:r>
      <w:r>
        <w:rPr>
          <w:spacing w:val="-3"/>
          <w:w w:val="100"/>
        </w:rPr>
        <w:t>吸</w:t>
      </w:r>
      <w:r>
        <w:rPr>
          <w:w w:val="100"/>
        </w:rPr>
        <w:t>收合</w:t>
      </w:r>
      <w:r>
        <w:rPr>
          <w:spacing w:val="-3"/>
          <w:w w:val="100"/>
        </w:rPr>
        <w:t>并</w:t>
      </w:r>
      <w:r>
        <w:rPr>
          <w:w w:val="100"/>
        </w:rPr>
        <w:t>的</w:t>
      </w:r>
      <w:r>
        <w:rPr>
          <w:spacing w:val="-3"/>
          <w:w w:val="100"/>
        </w:rPr>
        <w:t>股</w:t>
      </w:r>
      <w:r>
        <w:rPr>
          <w:w w:val="100"/>
        </w:rPr>
        <w:t>份</w:t>
      </w:r>
      <w:r>
        <w:rPr>
          <w:spacing w:val="-3"/>
          <w:w w:val="100"/>
        </w:rPr>
        <w:t>登记</w:t>
      </w:r>
      <w:r>
        <w:rPr>
          <w:w w:val="100"/>
        </w:rPr>
        <w:t>及</w:t>
      </w:r>
    </w:p>
    <w:p>
      <w:pPr>
        <w:pStyle w:val="BodyText"/>
        <w:spacing w:line="237" w:lineRule="auto"/>
        <w:ind w:left="118" w:right="207"/>
        <w:jc w:val="both"/>
      </w:pPr>
      <w:r>
        <w:rPr/>
        <w:t>注销原东软集团有限公司所持有的本公司全部股份的相关手续，并于</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日办理完成</w:t>
      </w:r>
      <w:r>
        <w:rPr>
          <w:w w:val="100"/>
        </w:rPr>
        <w:t> </w:t>
      </w:r>
      <w:r>
        <w:rPr>
          <w:spacing w:val="-3"/>
        </w:rPr>
        <w:t>工商注销登记手续，本次变更后外资股东合计持股比例为 </w:t>
      </w:r>
      <w:r>
        <w:rPr>
          <w:rFonts w:ascii="宋体" w:hAnsi="宋体" w:cs="宋体" w:eastAsia="宋体" w:hint="default"/>
          <w:spacing w:val="-3"/>
        </w:rPr>
        <w:t>28.62%</w:t>
      </w:r>
      <w:r>
        <w:rPr>
          <w:spacing w:val="-3"/>
        </w:rPr>
        <w:t>，本公司由此变更为中外合资股</w:t>
      </w:r>
      <w:r>
        <w:rPr>
          <w:spacing w:val="-70"/>
        </w:rPr>
        <w:t> </w:t>
      </w:r>
      <w:r>
        <w:rPr>
          <w:spacing w:val="-70"/>
        </w:rPr>
      </w:r>
      <w:r>
        <w:rPr>
          <w:spacing w:val="-3"/>
        </w:rPr>
        <w:t>份有限公司。</w:t>
      </w:r>
      <w:r>
        <w:rPr>
          <w:rFonts w:ascii="宋体" w:hAnsi="宋体" w:cs="宋体" w:eastAsia="宋体" w:hint="default"/>
          <w:spacing w:val="-3"/>
        </w:rPr>
        <w:t>2008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spacing w:val="-7"/>
        </w:rPr>
        <w:t>日，公司</w:t>
      </w:r>
      <w:r>
        <w:rPr>
          <w:spacing w:val="-51"/>
        </w:rPr>
        <w:t> </w:t>
      </w:r>
      <w:r>
        <w:rPr>
          <w:rFonts w:ascii="宋体" w:hAnsi="宋体" w:cs="宋体" w:eastAsia="宋体" w:hint="default"/>
        </w:rPr>
        <w:t>2007</w:t>
      </w:r>
      <w:r>
        <w:rPr>
          <w:rFonts w:ascii="宋体" w:hAnsi="宋体" w:cs="宋体" w:eastAsia="宋体" w:hint="default"/>
          <w:spacing w:val="-53"/>
        </w:rPr>
        <w:t> </w:t>
      </w:r>
      <w:r>
        <w:rPr/>
        <w:t>年度股东大会审议通过公司名称由“沈阳东软软件股</w:t>
      </w:r>
    </w:p>
    <w:p>
      <w:pPr>
        <w:pStyle w:val="BodyText"/>
        <w:spacing w:line="272" w:lineRule="exact"/>
        <w:ind w:left="118" w:right="0"/>
        <w:jc w:val="both"/>
      </w:pPr>
      <w:r>
        <w:rPr>
          <w:w w:val="100"/>
        </w:rPr>
        <w:t>份有</w:t>
      </w:r>
      <w:r>
        <w:rPr>
          <w:spacing w:val="-3"/>
          <w:w w:val="100"/>
        </w:rPr>
        <w:t>限</w:t>
      </w:r>
      <w:r>
        <w:rPr>
          <w:w w:val="100"/>
        </w:rPr>
        <w:t>公</w:t>
      </w:r>
      <w:r>
        <w:rPr>
          <w:spacing w:val="-3"/>
          <w:w w:val="100"/>
        </w:rPr>
        <w:t>司</w:t>
      </w:r>
      <w:r>
        <w:rPr>
          <w:w w:val="100"/>
        </w:rPr>
        <w:t>”</w:t>
      </w:r>
      <w:r>
        <w:rPr>
          <w:spacing w:val="-3"/>
          <w:w w:val="100"/>
        </w:rPr>
        <w:t>变</w:t>
      </w:r>
      <w:r>
        <w:rPr>
          <w:w w:val="100"/>
        </w:rPr>
        <w:t>更</w:t>
      </w:r>
      <w:r>
        <w:rPr>
          <w:spacing w:val="-3"/>
          <w:w w:val="100"/>
        </w:rPr>
        <w:t>为</w:t>
      </w:r>
      <w:r>
        <w:rPr>
          <w:w w:val="100"/>
        </w:rPr>
        <w:t>“</w:t>
      </w:r>
      <w:r>
        <w:rPr>
          <w:spacing w:val="-3"/>
          <w:w w:val="100"/>
        </w:rPr>
        <w:t>东</w:t>
      </w:r>
      <w:r>
        <w:rPr>
          <w:w w:val="100"/>
        </w:rPr>
        <w:t>软</w:t>
      </w:r>
      <w:r>
        <w:rPr>
          <w:spacing w:val="-1"/>
          <w:w w:val="100"/>
        </w:rPr>
        <w:t>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85"/>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日</w:t>
      </w:r>
      <w:r>
        <w:rPr>
          <w:spacing w:val="-87"/>
          <w:w w:val="100"/>
        </w:rPr>
        <w:t>，</w:t>
      </w:r>
      <w:r>
        <w:rPr>
          <w:w w:val="100"/>
        </w:rPr>
        <w:t>本</w:t>
      </w:r>
      <w:r>
        <w:rPr>
          <w:spacing w:val="-3"/>
          <w:w w:val="100"/>
        </w:rPr>
        <w:t>公</w:t>
      </w:r>
      <w:r>
        <w:rPr>
          <w:w w:val="100"/>
        </w:rPr>
        <w:t>司</w:t>
      </w:r>
      <w:r>
        <w:rPr>
          <w:spacing w:val="-3"/>
          <w:w w:val="100"/>
        </w:rPr>
        <w:t>办</w:t>
      </w:r>
      <w:r>
        <w:rPr>
          <w:w w:val="100"/>
        </w:rPr>
        <w:t>理完</w:t>
      </w:r>
      <w:r>
        <w:rPr>
          <w:spacing w:val="-3"/>
          <w:w w:val="100"/>
        </w:rPr>
        <w:t>成</w:t>
      </w:r>
      <w:r>
        <w:rPr>
          <w:w w:val="100"/>
        </w:rPr>
        <w:t>了</w:t>
      </w:r>
      <w:r>
        <w:rPr>
          <w:spacing w:val="-3"/>
          <w:w w:val="100"/>
        </w:rPr>
        <w:t>公</w:t>
      </w:r>
      <w:r>
        <w:rPr>
          <w:w w:val="100"/>
        </w:rPr>
        <w:t>司</w:t>
      </w:r>
      <w:r>
        <w:rPr>
          <w:spacing w:val="-3"/>
          <w:w w:val="100"/>
        </w:rPr>
        <w:t>名称</w:t>
      </w:r>
      <w:r>
        <w:rPr>
          <w:w w:val="100"/>
        </w:rPr>
        <w:t>、</w:t>
      </w:r>
    </w:p>
    <w:p>
      <w:pPr>
        <w:pStyle w:val="BodyText"/>
        <w:spacing w:line="272" w:lineRule="exact"/>
        <w:ind w:left="118" w:right="0"/>
        <w:jc w:val="both"/>
      </w:pPr>
      <w:r>
        <w:rPr/>
        <w:t>住所变更的工商变更登记手续。</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t>日，本公司实施完成</w:t>
      </w:r>
      <w:r>
        <w:rPr>
          <w:spacing w:val="-54"/>
        </w:rPr>
        <w:t> </w:t>
      </w:r>
      <w:r>
        <w:rPr>
          <w:rFonts w:ascii="宋体" w:hAnsi="宋体" w:cs="宋体" w:eastAsia="宋体" w:hint="default"/>
        </w:rPr>
        <w:t>2008</w:t>
      </w:r>
      <w:r>
        <w:rPr>
          <w:rFonts w:ascii="宋体" w:hAnsi="宋体" w:cs="宋体" w:eastAsia="宋体" w:hint="default"/>
          <w:spacing w:val="-56"/>
        </w:rPr>
        <w:t> </w:t>
      </w:r>
      <w:r>
        <w:rPr/>
        <w:t>年半年度利润分配及</w:t>
      </w:r>
    </w:p>
    <w:p>
      <w:pPr>
        <w:pStyle w:val="BodyText"/>
        <w:spacing w:line="272" w:lineRule="exact"/>
        <w:ind w:left="118" w:right="0"/>
        <w:jc w:val="both"/>
      </w:pPr>
      <w:r>
        <w:rPr>
          <w:w w:val="100"/>
        </w:rPr>
        <w:t>转增</w:t>
      </w:r>
      <w:r>
        <w:rPr>
          <w:spacing w:val="-3"/>
          <w:w w:val="100"/>
        </w:rPr>
        <w:t>股</w:t>
      </w:r>
      <w:r>
        <w:rPr>
          <w:w w:val="100"/>
        </w:rPr>
        <w:t>本</w:t>
      </w:r>
      <w:r>
        <w:rPr>
          <w:spacing w:val="-3"/>
          <w:w w:val="100"/>
        </w:rPr>
        <w:t>方</w:t>
      </w:r>
      <w:r>
        <w:rPr>
          <w:w w:val="100"/>
        </w:rPr>
        <w:t>案</w:t>
      </w:r>
      <w:r>
        <w:rPr>
          <w:spacing w:val="-108"/>
          <w:w w:val="100"/>
        </w:rPr>
        <w:t>，</w:t>
      </w:r>
      <w:r>
        <w:rPr>
          <w:w w:val="100"/>
        </w:rPr>
        <w:t>以</w:t>
      </w:r>
      <w:r>
        <w:rPr>
          <w:spacing w:val="-60"/>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6</w:t>
      </w:r>
      <w:r>
        <w:rPr>
          <w:rFonts w:ascii="宋体" w:hAnsi="宋体" w:cs="宋体" w:eastAsia="宋体" w:hint="default"/>
          <w:spacing w:val="-60"/>
        </w:rPr>
        <w:t> </w:t>
      </w:r>
      <w:r>
        <w:rPr>
          <w:w w:val="100"/>
        </w:rPr>
        <w:t>月</w:t>
      </w:r>
      <w:r>
        <w:rPr>
          <w:spacing w:val="-62"/>
        </w:rPr>
        <w:t> </w:t>
      </w:r>
      <w:r>
        <w:rPr>
          <w:rFonts w:ascii="宋体" w:hAnsi="宋体" w:cs="宋体" w:eastAsia="宋体" w:hint="default"/>
          <w:w w:val="100"/>
        </w:rPr>
        <w:t>30</w:t>
      </w:r>
      <w:r>
        <w:rPr>
          <w:rFonts w:ascii="宋体" w:hAnsi="宋体" w:cs="宋体" w:eastAsia="宋体" w:hint="default"/>
          <w:spacing w:val="-62"/>
        </w:rPr>
        <w:t> </w:t>
      </w:r>
      <w:r>
        <w:rPr>
          <w:w w:val="100"/>
        </w:rPr>
        <w:t>日</w:t>
      </w:r>
      <w:r>
        <w:rPr>
          <w:spacing w:val="-3"/>
          <w:w w:val="100"/>
        </w:rPr>
        <w:t>股</w:t>
      </w:r>
      <w:r>
        <w:rPr>
          <w:w w:val="100"/>
        </w:rPr>
        <w:t>本</w:t>
      </w:r>
      <w:r>
        <w:rPr>
          <w:spacing w:val="-60"/>
        </w:rPr>
        <w:t> </w:t>
      </w:r>
      <w:r>
        <w:rPr>
          <w:rFonts w:ascii="宋体" w:hAnsi="宋体" w:cs="宋体" w:eastAsia="宋体" w:hint="default"/>
          <w:w w:val="100"/>
        </w:rPr>
        <w:t>5</w:t>
      </w:r>
      <w:r>
        <w:rPr>
          <w:rFonts w:ascii="宋体" w:hAnsi="宋体" w:cs="宋体" w:eastAsia="宋体" w:hint="default"/>
          <w:spacing w:val="-3"/>
          <w:w w:val="100"/>
        </w:rPr>
        <w:t>2</w:t>
      </w:r>
      <w:r>
        <w:rPr>
          <w:rFonts w:ascii="宋体" w:hAnsi="宋体" w:cs="宋体" w:eastAsia="宋体" w:hint="default"/>
          <w:w w:val="100"/>
        </w:rPr>
        <w:t>4,6</w:t>
      </w:r>
      <w:r>
        <w:rPr>
          <w:rFonts w:ascii="宋体" w:hAnsi="宋体" w:cs="宋体" w:eastAsia="宋体" w:hint="default"/>
          <w:spacing w:val="-3"/>
          <w:w w:val="100"/>
        </w:rPr>
        <w:t>1</w:t>
      </w:r>
      <w:r>
        <w:rPr>
          <w:rFonts w:ascii="宋体" w:hAnsi="宋体" w:cs="宋体" w:eastAsia="宋体" w:hint="default"/>
          <w:w w:val="100"/>
        </w:rPr>
        <w:t>2,9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0"/>
        </w:rPr>
        <w:t> </w:t>
      </w:r>
      <w:r>
        <w:rPr>
          <w:spacing w:val="-3"/>
          <w:w w:val="100"/>
        </w:rPr>
        <w:t>股</w:t>
      </w:r>
      <w:r>
        <w:rPr>
          <w:w w:val="100"/>
        </w:rPr>
        <w:t>为</w:t>
      </w:r>
      <w:r>
        <w:rPr>
          <w:spacing w:val="-3"/>
          <w:w w:val="100"/>
        </w:rPr>
        <w:t>基</w:t>
      </w:r>
      <w:r>
        <w:rPr>
          <w:w w:val="100"/>
        </w:rPr>
        <w:t>数</w:t>
      </w:r>
      <w:r>
        <w:rPr>
          <w:spacing w:val="-106"/>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62"/>
        </w:rPr>
        <w:t> </w:t>
      </w:r>
      <w:r>
        <w:rPr>
          <w:rFonts w:ascii="宋体" w:hAnsi="宋体" w:cs="宋体" w:eastAsia="宋体" w:hint="default"/>
          <w:w w:val="100"/>
        </w:rPr>
        <w:t>10</w:t>
      </w:r>
      <w:r>
        <w:rPr>
          <w:rFonts w:ascii="宋体" w:hAnsi="宋体" w:cs="宋体" w:eastAsia="宋体" w:hint="default"/>
          <w:spacing w:val="-60"/>
        </w:rPr>
        <w:t> </w:t>
      </w:r>
      <w:r>
        <w:rPr>
          <w:spacing w:val="-3"/>
          <w:w w:val="100"/>
        </w:rPr>
        <w:t>股</w:t>
      </w:r>
      <w:r>
        <w:rPr>
          <w:w w:val="100"/>
        </w:rPr>
        <w:t>送</w:t>
      </w:r>
      <w:r>
        <w:rPr>
          <w:spacing w:val="-62"/>
        </w:rPr>
        <w:t> </w:t>
      </w:r>
      <w:r>
        <w:rPr>
          <w:rFonts w:ascii="宋体" w:hAnsi="宋体" w:cs="宋体" w:eastAsia="宋体" w:hint="default"/>
          <w:w w:val="100"/>
        </w:rPr>
        <w:t>2</w:t>
      </w:r>
      <w:r>
        <w:rPr>
          <w:rFonts w:ascii="宋体" w:hAnsi="宋体" w:cs="宋体" w:eastAsia="宋体" w:hint="default"/>
          <w:spacing w:val="-60"/>
        </w:rPr>
        <w:t> </w:t>
      </w:r>
      <w:r>
        <w:rPr>
          <w:spacing w:val="-3"/>
          <w:w w:val="100"/>
        </w:rPr>
        <w:t>股</w:t>
      </w:r>
      <w:r>
        <w:rPr>
          <w:w w:val="100"/>
        </w:rPr>
        <w:t>红</w:t>
      </w:r>
      <w:r>
        <w:rPr>
          <w:spacing w:val="-3"/>
          <w:w w:val="100"/>
        </w:rPr>
        <w:t>股</w:t>
      </w:r>
      <w:r>
        <w:rPr>
          <w:w w:val="100"/>
        </w:rPr>
        <w:t>，</w:t>
      </w:r>
    </w:p>
    <w:p>
      <w:pPr>
        <w:pStyle w:val="BodyText"/>
        <w:spacing w:line="272" w:lineRule="exact"/>
        <w:ind w:left="118" w:right="0"/>
        <w:jc w:val="both"/>
        <w:rPr>
          <w:rFonts w:ascii="宋体" w:hAnsi="宋体" w:cs="宋体" w:eastAsia="宋体" w:hint="default"/>
        </w:rPr>
      </w:pPr>
      <w:r>
        <w:rPr/>
        <w:t>以资本公积金转增股本方式，向全体股东每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股转增</w:t>
      </w:r>
      <w:r>
        <w:rPr>
          <w:spacing w:val="-54"/>
        </w:rPr>
        <w:t> </w:t>
      </w:r>
      <w:r>
        <w:rPr>
          <w:rFonts w:ascii="宋体" w:hAnsi="宋体" w:cs="宋体" w:eastAsia="宋体" w:hint="default"/>
        </w:rPr>
        <w:t>6</w:t>
      </w:r>
      <w:r>
        <w:rPr>
          <w:rFonts w:ascii="宋体" w:hAnsi="宋体" w:cs="宋体" w:eastAsia="宋体" w:hint="default"/>
          <w:spacing w:val="-55"/>
        </w:rPr>
        <w:t> </w:t>
      </w:r>
      <w:r>
        <w:rPr/>
        <w:t>股，共计送股和转增股份</w:t>
      </w:r>
      <w:r>
        <w:rPr>
          <w:spacing w:val="-54"/>
        </w:rPr>
        <w:t> </w:t>
      </w:r>
      <w:r>
        <w:rPr>
          <w:rFonts w:ascii="宋体" w:hAnsi="宋体" w:cs="宋体" w:eastAsia="宋体" w:hint="default"/>
        </w:rPr>
        <w:t>419,690,340</w:t>
      </w:r>
    </w:p>
    <w:p>
      <w:pPr>
        <w:pStyle w:val="BodyText"/>
        <w:spacing w:line="272" w:lineRule="exact"/>
        <w:ind w:left="118" w:right="0"/>
        <w:jc w:val="both"/>
      </w:pPr>
      <w:r>
        <w:rPr/>
        <w:t>股，公司注册资本增至人民币</w:t>
      </w:r>
      <w:r>
        <w:rPr>
          <w:spacing w:val="-54"/>
        </w:rPr>
        <w:t> </w:t>
      </w:r>
      <w:r>
        <w:rPr>
          <w:rFonts w:ascii="宋体" w:hAnsi="宋体" w:cs="宋体" w:eastAsia="宋体" w:hint="default"/>
        </w:rPr>
        <w:t>944,303,265</w:t>
      </w:r>
      <w:r>
        <w:rPr>
          <w:rFonts w:ascii="宋体" w:hAnsi="宋体" w:cs="宋体" w:eastAsia="宋体" w:hint="default"/>
          <w:spacing w:val="-54"/>
        </w:rPr>
        <w:t> </w:t>
      </w:r>
      <w:r>
        <w:rPr/>
        <w:t>元。</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月，本公司实施完成</w:t>
      </w:r>
      <w:r>
        <w:rPr>
          <w:spacing w:val="-53"/>
        </w:rPr>
        <w:t> </w:t>
      </w:r>
      <w:r>
        <w:rPr>
          <w:rFonts w:ascii="宋体" w:hAnsi="宋体" w:cs="宋体" w:eastAsia="宋体" w:hint="default"/>
        </w:rPr>
        <w:t>2009</w:t>
      </w:r>
      <w:r>
        <w:rPr>
          <w:rFonts w:ascii="宋体" w:hAnsi="宋体" w:cs="宋体" w:eastAsia="宋体" w:hint="default"/>
          <w:spacing w:val="-54"/>
        </w:rPr>
        <w:t> </w:t>
      </w:r>
      <w:r>
        <w:rPr/>
        <w:t>年度利润分</w:t>
      </w:r>
    </w:p>
    <w:p>
      <w:pPr>
        <w:pStyle w:val="BodyText"/>
        <w:spacing w:line="272" w:lineRule="exact"/>
        <w:ind w:left="118" w:right="0"/>
        <w:jc w:val="both"/>
      </w:pPr>
      <w:r>
        <w:rPr>
          <w:spacing w:val="-6"/>
        </w:rPr>
        <w:t>配及转增股本方案，以</w:t>
      </w:r>
      <w:r>
        <w:rPr>
          <w:spacing w:val="-48"/>
        </w:rPr>
        <w:t> </w:t>
      </w:r>
      <w:r>
        <w:rPr>
          <w:rFonts w:ascii="宋体" w:hAnsi="宋体" w:cs="宋体" w:eastAsia="宋体" w:hint="default"/>
        </w:rPr>
        <w:t>2009</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日总股本</w:t>
      </w:r>
      <w:r>
        <w:rPr>
          <w:spacing w:val="-49"/>
        </w:rPr>
        <w:t> </w:t>
      </w:r>
      <w:r>
        <w:rPr>
          <w:rFonts w:ascii="宋体" w:hAnsi="宋体" w:cs="宋体" w:eastAsia="宋体" w:hint="default"/>
        </w:rPr>
        <w:t>944,303,265</w:t>
      </w:r>
      <w:r>
        <w:rPr>
          <w:rFonts w:ascii="宋体" w:hAnsi="宋体" w:cs="宋体" w:eastAsia="宋体" w:hint="default"/>
          <w:spacing w:val="-52"/>
        </w:rPr>
        <w:t> </w:t>
      </w:r>
      <w:r>
        <w:rPr>
          <w:spacing w:val="-5"/>
        </w:rPr>
        <w:t>股为基数，以资本公积金转增股本</w:t>
      </w:r>
    </w:p>
    <w:p>
      <w:pPr>
        <w:pStyle w:val="BodyText"/>
        <w:spacing w:line="272" w:lineRule="exact"/>
        <w:ind w:left="118" w:right="0"/>
        <w:jc w:val="both"/>
      </w:pPr>
      <w:r>
        <w:rPr/>
        <w:t>方式，向全体股东每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股转增</w:t>
      </w:r>
      <w:r>
        <w:rPr>
          <w:spacing w:val="-54"/>
        </w:rPr>
        <w:t> </w:t>
      </w:r>
      <w:r>
        <w:rPr>
          <w:rFonts w:ascii="宋体" w:hAnsi="宋体" w:cs="宋体" w:eastAsia="宋体" w:hint="default"/>
        </w:rPr>
        <w:t>3</w:t>
      </w:r>
      <w:r>
        <w:rPr>
          <w:rFonts w:ascii="宋体" w:hAnsi="宋体" w:cs="宋体" w:eastAsia="宋体" w:hint="default"/>
          <w:spacing w:val="-56"/>
        </w:rPr>
        <w:t> </w:t>
      </w:r>
      <w:r>
        <w:rPr/>
        <w:t>股，共转增</w:t>
      </w:r>
      <w:r>
        <w:rPr>
          <w:spacing w:val="-54"/>
        </w:rPr>
        <w:t> </w:t>
      </w:r>
      <w:r>
        <w:rPr>
          <w:rFonts w:ascii="宋体" w:hAnsi="宋体" w:cs="宋体" w:eastAsia="宋体" w:hint="default"/>
        </w:rPr>
        <w:t>283,290,980</w:t>
      </w:r>
      <w:r>
        <w:rPr>
          <w:rFonts w:ascii="宋体" w:hAnsi="宋体" w:cs="宋体" w:eastAsia="宋体" w:hint="default"/>
          <w:spacing w:val="-56"/>
        </w:rPr>
        <w:t> </w:t>
      </w:r>
      <w:r>
        <w:rPr/>
        <w:t>股，转增后的公司注册资本变更为</w:t>
      </w:r>
    </w:p>
    <w:p>
      <w:pPr>
        <w:pStyle w:val="BodyText"/>
        <w:spacing w:line="272" w:lineRule="exact"/>
        <w:ind w:left="118" w:right="0"/>
        <w:jc w:val="both"/>
      </w:pPr>
      <w:r>
        <w:rPr>
          <w:rFonts w:ascii="宋体" w:hAnsi="宋体" w:cs="宋体" w:eastAsia="宋体" w:hint="default"/>
        </w:rPr>
        <w:t>1,227,594,245</w:t>
      </w:r>
      <w:r>
        <w:rPr>
          <w:rFonts w:ascii="宋体" w:hAnsi="宋体" w:cs="宋体" w:eastAsia="宋体" w:hint="default"/>
          <w:spacing w:val="-55"/>
        </w:rPr>
        <w:t> </w:t>
      </w:r>
      <w:r>
        <w:rPr/>
        <w:t>元。</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日，东北大学科技产业集团有限公司等本公司股东所持有的</w:t>
      </w:r>
    </w:p>
    <w:p>
      <w:pPr>
        <w:pStyle w:val="BodyText"/>
        <w:spacing w:line="272" w:lineRule="exact"/>
        <w:ind w:left="118" w:right="0"/>
        <w:jc w:val="both"/>
      </w:pPr>
      <w:r>
        <w:rPr>
          <w:rFonts w:ascii="宋体" w:hAnsi="宋体" w:cs="宋体" w:eastAsia="宋体" w:hint="default"/>
        </w:rPr>
        <w:t>900,294,040</w:t>
      </w:r>
      <w:r>
        <w:rPr>
          <w:rFonts w:ascii="宋体" w:hAnsi="宋体" w:cs="宋体" w:eastAsia="宋体" w:hint="default"/>
          <w:spacing w:val="-55"/>
        </w:rPr>
        <w:t> </w:t>
      </w:r>
      <w:r>
        <w:rPr/>
        <w:t>股有限售条件的流通股上市流通。</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日，本公司完成限制性股票激励</w:t>
      </w:r>
    </w:p>
    <w:p>
      <w:pPr>
        <w:pStyle w:val="BodyText"/>
        <w:spacing w:line="272" w:lineRule="exact"/>
        <w:ind w:left="118" w:right="0"/>
        <w:jc w:val="both"/>
        <w:rPr>
          <w:rFonts w:ascii="宋体" w:hAnsi="宋体" w:cs="宋体" w:eastAsia="宋体" w:hint="default"/>
        </w:rPr>
      </w:pPr>
      <w:r>
        <w:rPr/>
        <w:t>计划，新增有限售条件流通股</w:t>
      </w:r>
      <w:r>
        <w:rPr>
          <w:spacing w:val="-55"/>
        </w:rPr>
        <w:t> </w:t>
      </w:r>
      <w:r>
        <w:rPr>
          <w:rFonts w:ascii="宋体" w:hAnsi="宋体" w:cs="宋体" w:eastAsia="宋体" w:hint="default"/>
        </w:rPr>
        <w:t>14,982,500</w:t>
      </w:r>
      <w:r>
        <w:rPr>
          <w:rFonts w:ascii="宋体" w:hAnsi="宋体" w:cs="宋体" w:eastAsia="宋体" w:hint="default"/>
          <w:spacing w:val="-55"/>
        </w:rPr>
        <w:t> </w:t>
      </w:r>
      <w:r>
        <w:rPr/>
        <w:t>股，股本由</w:t>
      </w:r>
      <w:r>
        <w:rPr>
          <w:spacing w:val="-55"/>
        </w:rPr>
        <w:t> </w:t>
      </w:r>
      <w:r>
        <w:rPr>
          <w:rFonts w:ascii="宋体" w:hAnsi="宋体" w:cs="宋体" w:eastAsia="宋体" w:hint="default"/>
        </w:rPr>
        <w:t>1,227,594,245</w:t>
      </w:r>
      <w:r>
        <w:rPr>
          <w:rFonts w:ascii="宋体" w:hAnsi="宋体" w:cs="宋体" w:eastAsia="宋体" w:hint="default"/>
          <w:spacing w:val="-55"/>
        </w:rPr>
        <w:t> </w:t>
      </w:r>
      <w:r>
        <w:rPr/>
        <w:t>股增加至</w:t>
      </w:r>
      <w:r>
        <w:rPr>
          <w:spacing w:val="-54"/>
        </w:rPr>
        <w:t> </w:t>
      </w:r>
      <w:r>
        <w:rPr>
          <w:rFonts w:ascii="宋体" w:hAnsi="宋体" w:cs="宋体" w:eastAsia="宋体" w:hint="default"/>
        </w:rPr>
        <w:t>1,242,576,745</w:t>
      </w:r>
    </w:p>
    <w:p>
      <w:pPr>
        <w:pStyle w:val="BodyText"/>
        <w:spacing w:line="273" w:lineRule="exact"/>
        <w:ind w:left="118" w:right="0"/>
        <w:jc w:val="both"/>
      </w:pPr>
      <w:r>
        <w:rPr/>
        <w:t>股。</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日，公司限制性股票激励计划预留限制性股票的登记手续办理完成，公司总</w:t>
      </w:r>
    </w:p>
    <w:p>
      <w:pPr>
        <w:pStyle w:val="BodyText"/>
        <w:spacing w:line="273" w:lineRule="exact"/>
        <w:ind w:left="118" w:right="0"/>
        <w:jc w:val="both"/>
      </w:pPr>
      <w:r>
        <w:rPr/>
        <w:t>股本由</w:t>
      </w:r>
      <w:r>
        <w:rPr>
          <w:spacing w:val="-54"/>
        </w:rPr>
        <w:t> </w:t>
      </w:r>
      <w:r>
        <w:rPr>
          <w:rFonts w:ascii="宋体" w:hAnsi="宋体" w:cs="宋体" w:eastAsia="宋体" w:hint="default"/>
        </w:rPr>
        <w:t>1,242,576,745</w:t>
      </w:r>
      <w:r>
        <w:rPr>
          <w:rFonts w:ascii="宋体" w:hAnsi="宋体" w:cs="宋体" w:eastAsia="宋体" w:hint="default"/>
          <w:spacing w:val="-53"/>
        </w:rPr>
        <w:t> </w:t>
      </w:r>
      <w:r>
        <w:rPr/>
        <w:t>股变更为</w:t>
      </w:r>
      <w:r>
        <w:rPr>
          <w:spacing w:val="-54"/>
        </w:rPr>
        <w:t> </w:t>
      </w:r>
      <w:r>
        <w:rPr>
          <w:rFonts w:ascii="宋体" w:hAnsi="宋体" w:cs="宋体" w:eastAsia="宋体" w:hint="default"/>
        </w:rPr>
        <w:t>1,243,568,245</w:t>
      </w:r>
      <w:r>
        <w:rPr>
          <w:rFonts w:ascii="宋体" w:hAnsi="宋体" w:cs="宋体" w:eastAsia="宋体" w:hint="default"/>
          <w:spacing w:val="-54"/>
        </w:rPr>
        <w:t> </w:t>
      </w:r>
      <w:r>
        <w:rPr/>
        <w:t>股；</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日，公司回购并注销</w:t>
      </w:r>
      <w:r>
        <w:rPr>
          <w:spacing w:val="-53"/>
        </w:rPr>
        <w:t> </w:t>
      </w:r>
      <w:r>
        <w:rPr>
          <w:rFonts w:ascii="宋体" w:hAnsi="宋体" w:cs="宋体" w:eastAsia="宋体" w:hint="default"/>
        </w:rPr>
        <w:t>10</w:t>
      </w:r>
      <w:r>
        <w:rPr>
          <w:rFonts w:ascii="宋体" w:hAnsi="宋体" w:cs="宋体" w:eastAsia="宋体" w:hint="default"/>
          <w:spacing w:val="-54"/>
        </w:rPr>
        <w:t> </w:t>
      </w:r>
      <w:r>
        <w:rPr/>
        <w:t>名</w:t>
      </w:r>
    </w:p>
    <w:p>
      <w:pPr>
        <w:pStyle w:val="BodyText"/>
        <w:spacing w:line="272" w:lineRule="exact"/>
        <w:ind w:left="118" w:right="0"/>
        <w:jc w:val="both"/>
      </w:pPr>
      <w:r>
        <w:rPr/>
        <w:t>激励对象持有的已获授但未解锁的</w:t>
      </w:r>
      <w:r>
        <w:rPr>
          <w:spacing w:val="-55"/>
        </w:rPr>
        <w:t> </w:t>
      </w:r>
      <w:r>
        <w:rPr>
          <w:rFonts w:ascii="宋体" w:hAnsi="宋体" w:cs="宋体" w:eastAsia="宋体" w:hint="default"/>
        </w:rPr>
        <w:t>37.05</w:t>
      </w:r>
      <w:r>
        <w:rPr>
          <w:rFonts w:ascii="宋体" w:hAnsi="宋体" w:cs="宋体" w:eastAsia="宋体" w:hint="default"/>
          <w:spacing w:val="-57"/>
        </w:rPr>
        <w:t> </w:t>
      </w:r>
      <w:r>
        <w:rPr/>
        <w:t>万股限制性股票，公司总股本由</w:t>
      </w:r>
      <w:r>
        <w:rPr>
          <w:spacing w:val="-55"/>
        </w:rPr>
        <w:t> </w:t>
      </w:r>
      <w:r>
        <w:rPr>
          <w:rFonts w:ascii="宋体" w:hAnsi="宋体" w:cs="宋体" w:eastAsia="宋体" w:hint="default"/>
        </w:rPr>
        <w:t>1,243,568,245</w:t>
      </w:r>
      <w:r>
        <w:rPr>
          <w:rFonts w:ascii="宋体" w:hAnsi="宋体" w:cs="宋体" w:eastAsia="宋体" w:hint="default"/>
          <w:spacing w:val="-54"/>
        </w:rPr>
        <w:t> </w:t>
      </w:r>
      <w:r>
        <w:rPr/>
        <w:t>股变更</w:t>
      </w:r>
    </w:p>
    <w:p>
      <w:pPr>
        <w:pStyle w:val="BodyText"/>
        <w:spacing w:line="272" w:lineRule="exact"/>
        <w:ind w:left="118" w:right="0"/>
        <w:jc w:val="both"/>
      </w:pPr>
      <w:r>
        <w:rPr/>
        <w:t>为</w:t>
      </w:r>
      <w:r>
        <w:rPr>
          <w:spacing w:val="-55"/>
        </w:rPr>
        <w:t> </w:t>
      </w:r>
      <w:r>
        <w:rPr>
          <w:rFonts w:ascii="宋体" w:hAnsi="宋体" w:cs="宋体" w:eastAsia="宋体" w:hint="default"/>
        </w:rPr>
        <w:t>1,243,197,745</w:t>
      </w:r>
      <w:r>
        <w:rPr>
          <w:rFonts w:ascii="宋体" w:hAnsi="宋体" w:cs="宋体" w:eastAsia="宋体" w:hint="default"/>
          <w:spacing w:val="-55"/>
        </w:rPr>
        <w:t> </w:t>
      </w:r>
      <w:r>
        <w:rPr/>
        <w:t>股；</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22</w:t>
      </w:r>
      <w:r>
        <w:rPr>
          <w:rFonts w:ascii="宋体" w:hAnsi="宋体" w:cs="宋体" w:eastAsia="宋体" w:hint="default"/>
          <w:spacing w:val="-55"/>
        </w:rPr>
        <w:t> </w:t>
      </w:r>
      <w:r>
        <w:rPr/>
        <w:t>日，公司回购并注销</w:t>
      </w:r>
      <w:r>
        <w:rPr>
          <w:spacing w:val="-55"/>
        </w:rPr>
        <w:t> </w:t>
      </w:r>
      <w:r>
        <w:rPr>
          <w:rFonts w:ascii="宋体" w:hAnsi="宋体" w:cs="宋体" w:eastAsia="宋体" w:hint="default"/>
        </w:rPr>
        <w:t>27</w:t>
      </w:r>
      <w:r>
        <w:rPr>
          <w:rFonts w:ascii="宋体" w:hAnsi="宋体" w:cs="宋体" w:eastAsia="宋体" w:hint="default"/>
          <w:spacing w:val="-55"/>
        </w:rPr>
        <w:t> </w:t>
      </w:r>
      <w:r>
        <w:rPr/>
        <w:t>名激励对象持有的已获授但未解</w:t>
      </w:r>
    </w:p>
    <w:p>
      <w:pPr>
        <w:pStyle w:val="BodyText"/>
        <w:spacing w:line="272" w:lineRule="exact"/>
        <w:ind w:left="118" w:right="0"/>
        <w:jc w:val="both"/>
      </w:pPr>
      <w:r>
        <w:rPr/>
        <w:t>锁的</w:t>
      </w:r>
      <w:r>
        <w:rPr>
          <w:spacing w:val="-54"/>
        </w:rPr>
        <w:t> </w:t>
      </w:r>
      <w:r>
        <w:rPr>
          <w:rFonts w:ascii="宋体" w:hAnsi="宋体" w:cs="宋体" w:eastAsia="宋体" w:hint="default"/>
        </w:rPr>
        <w:t>51.974</w:t>
      </w:r>
      <w:r>
        <w:rPr>
          <w:rFonts w:ascii="宋体" w:hAnsi="宋体" w:cs="宋体" w:eastAsia="宋体" w:hint="default"/>
          <w:spacing w:val="-54"/>
        </w:rPr>
        <w:t> </w:t>
      </w:r>
      <w:r>
        <w:rPr/>
        <w:t>万股限制性股票，公司总股本由</w:t>
      </w:r>
      <w:r>
        <w:rPr>
          <w:spacing w:val="-54"/>
        </w:rPr>
        <w:t> </w:t>
      </w:r>
      <w:r>
        <w:rPr>
          <w:rFonts w:ascii="宋体" w:hAnsi="宋体" w:cs="宋体" w:eastAsia="宋体" w:hint="default"/>
        </w:rPr>
        <w:t>1,243,197,745</w:t>
      </w:r>
      <w:r>
        <w:rPr>
          <w:rFonts w:ascii="宋体" w:hAnsi="宋体" w:cs="宋体" w:eastAsia="宋体" w:hint="default"/>
          <w:spacing w:val="-54"/>
        </w:rPr>
        <w:t> </w:t>
      </w:r>
      <w:r>
        <w:rPr/>
        <w:t>股变更为</w:t>
      </w:r>
      <w:r>
        <w:rPr>
          <w:spacing w:val="-54"/>
        </w:rPr>
        <w:t> </w:t>
      </w:r>
      <w:r>
        <w:rPr>
          <w:rFonts w:ascii="宋体" w:hAnsi="宋体" w:cs="宋体" w:eastAsia="宋体" w:hint="default"/>
        </w:rPr>
        <w:t>1,242,678,005</w:t>
      </w:r>
      <w:r>
        <w:rPr>
          <w:rFonts w:ascii="宋体" w:hAnsi="宋体" w:cs="宋体" w:eastAsia="宋体" w:hint="default"/>
          <w:spacing w:val="-51"/>
        </w:rPr>
        <w:t> </w:t>
      </w:r>
      <w:r>
        <w:rPr/>
        <w:t>股。至此，</w:t>
      </w:r>
    </w:p>
    <w:p>
      <w:pPr>
        <w:pStyle w:val="BodyText"/>
        <w:spacing w:line="271" w:lineRule="exact"/>
        <w:ind w:left="118" w:right="0"/>
        <w:jc w:val="both"/>
      </w:pPr>
      <w:r>
        <w:rPr/>
        <w:t>本公司总股本</w:t>
      </w:r>
      <w:r>
        <w:rPr>
          <w:spacing w:val="-56"/>
        </w:rPr>
        <w:t> </w:t>
      </w:r>
      <w:r>
        <w:rPr>
          <w:rFonts w:ascii="宋体" w:hAnsi="宋体" w:cs="宋体" w:eastAsia="宋体" w:hint="default"/>
        </w:rPr>
        <w:t>1,242,678,005</w:t>
      </w:r>
      <w:r>
        <w:rPr>
          <w:rFonts w:ascii="宋体" w:hAnsi="宋体" w:cs="宋体" w:eastAsia="宋体" w:hint="default"/>
          <w:spacing w:val="-55"/>
        </w:rPr>
        <w:t> </w:t>
      </w:r>
      <w:r>
        <w:rPr/>
        <w:t>股，其中</w:t>
      </w:r>
      <w:r>
        <w:rPr>
          <w:spacing w:val="-56"/>
        </w:rPr>
        <w:t> </w:t>
      </w:r>
      <w:r>
        <w:rPr>
          <w:rFonts w:ascii="宋体" w:hAnsi="宋体" w:cs="宋体" w:eastAsia="宋体" w:hint="default"/>
        </w:rPr>
        <w:t>1,236,625,535</w:t>
      </w:r>
      <w:r>
        <w:rPr>
          <w:rFonts w:ascii="宋体" w:hAnsi="宋体" w:cs="宋体" w:eastAsia="宋体" w:hint="default"/>
          <w:spacing w:val="-56"/>
        </w:rPr>
        <w:t> </w:t>
      </w:r>
      <w:r>
        <w:rPr/>
        <w:t>股为无限售条件的流通股。</w:t>
      </w:r>
    </w:p>
    <w:p>
      <w:pPr>
        <w:pStyle w:val="BodyText"/>
        <w:spacing w:line="237" w:lineRule="auto"/>
        <w:ind w:left="118" w:right="210" w:firstLine="419"/>
        <w:jc w:val="both"/>
      </w:pPr>
      <w:r>
        <w:rPr/>
        <w:t>截至</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0"/>
        </w:rPr>
        <w:t> </w:t>
      </w:r>
      <w:r>
        <w:rPr>
          <w:spacing w:val="-5"/>
        </w:rPr>
        <w:t>日止，本公司累计发行股本总数</w:t>
      </w:r>
      <w:r>
        <w:rPr>
          <w:spacing w:val="-50"/>
        </w:rPr>
        <w:t> </w:t>
      </w:r>
      <w:r>
        <w:rPr>
          <w:rFonts w:ascii="宋体" w:hAnsi="宋体" w:cs="宋体" w:eastAsia="宋体" w:hint="default"/>
        </w:rPr>
        <w:t>1,242,678,005</w:t>
      </w:r>
      <w:r>
        <w:rPr>
          <w:rFonts w:ascii="宋体" w:hAnsi="宋体" w:cs="宋体" w:eastAsia="宋体" w:hint="default"/>
          <w:spacing w:val="-50"/>
        </w:rPr>
        <w:t> </w:t>
      </w:r>
      <w:r>
        <w:rPr>
          <w:spacing w:val="-6"/>
        </w:rPr>
        <w:t>股。本公司及纳入合并</w:t>
      </w:r>
      <w:r>
        <w:rPr>
          <w:w w:val="100"/>
        </w:rPr>
        <w:t> </w:t>
      </w:r>
      <w:r>
        <w:rPr>
          <w:spacing w:val="-2"/>
        </w:rPr>
        <w:t>范围的子公司（以下简称“本集团”）是以软件为核心，通过软件与服务的结合，软件与制造的</w:t>
      </w:r>
      <w:r>
        <w:rPr>
          <w:spacing w:val="-26"/>
        </w:rPr>
        <w:t> </w:t>
      </w:r>
      <w:r>
        <w:rPr>
          <w:spacing w:val="-26"/>
        </w:rPr>
      </w:r>
      <w:r>
        <w:rPr>
          <w:spacing w:val="-2"/>
        </w:rPr>
        <w:t>结合，技术与行业能力的结合，提供行业解决方案、产品工程解决方案及相关产品、平台及服务</w:t>
      </w:r>
      <w:r>
        <w:rPr>
          <w:spacing w:val="-25"/>
        </w:rPr>
        <w:t> </w:t>
      </w:r>
      <w:r>
        <w:rPr>
          <w:spacing w:val="-25"/>
        </w:rPr>
      </w:r>
      <w:r>
        <w:rPr/>
        <w:t>为主要业务领域的高科技企业。</w:t>
      </w:r>
    </w:p>
    <w:p>
      <w:pPr>
        <w:pStyle w:val="BodyText"/>
        <w:spacing w:line="274" w:lineRule="exact" w:before="22"/>
        <w:ind w:left="118" w:right="217" w:firstLine="419"/>
        <w:jc w:val="both"/>
      </w:pPr>
      <w:r>
        <w:rPr/>
        <w:t>公司注册地：沈阳市浑南新区新秀街</w:t>
      </w:r>
      <w:r>
        <w:rPr>
          <w:spacing w:val="-54"/>
        </w:rPr>
        <w:t> </w:t>
      </w:r>
      <w:r>
        <w:rPr>
          <w:rFonts w:ascii="宋体" w:hAnsi="宋体" w:cs="宋体" w:eastAsia="宋体" w:hint="default"/>
        </w:rPr>
        <w:t>2</w:t>
      </w:r>
      <w:r>
        <w:rPr>
          <w:rFonts w:ascii="宋体" w:hAnsi="宋体" w:cs="宋体" w:eastAsia="宋体" w:hint="default"/>
          <w:spacing w:val="-54"/>
        </w:rPr>
        <w:t> </w:t>
      </w:r>
      <w:r>
        <w:rPr/>
        <w:t>号，总部办公地址：沈阳市浑南新区新秀街</w:t>
      </w:r>
      <w:r>
        <w:rPr>
          <w:spacing w:val="-53"/>
        </w:rPr>
        <w:t> </w:t>
      </w:r>
      <w:r>
        <w:rPr>
          <w:rFonts w:ascii="宋体" w:hAnsi="宋体" w:cs="宋体" w:eastAsia="宋体" w:hint="default"/>
        </w:rPr>
        <w:t>2</w:t>
      </w:r>
      <w:r>
        <w:rPr>
          <w:rFonts w:ascii="宋体" w:hAnsi="宋体" w:cs="宋体" w:eastAsia="宋体" w:hint="default"/>
          <w:spacing w:val="-54"/>
        </w:rPr>
        <w:t> </w:t>
      </w:r>
      <w:r>
        <w:rPr/>
        <w:t>号东软</w:t>
      </w:r>
      <w:r>
        <w:rPr>
          <w:w w:val="100"/>
        </w:rPr>
        <w:t> </w:t>
      </w:r>
      <w:r>
        <w:rPr/>
        <w:t>软件园。</w:t>
      </w:r>
    </w:p>
    <w:p>
      <w:pPr>
        <w:pStyle w:val="BodyText"/>
        <w:spacing w:line="246" w:lineRule="exact"/>
        <w:ind w:left="538" w:right="206"/>
        <w:jc w:val="left"/>
      </w:pPr>
      <w:r>
        <w:rPr/>
        <w:t>本财务报表业经公司全体董事（董事会）于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日批准报出。</w:t>
      </w:r>
    </w:p>
    <w:p>
      <w:pPr>
        <w:spacing w:after="0" w:line="246" w:lineRule="exact"/>
        <w:jc w:val="left"/>
        <w:sectPr>
          <w:headerReference w:type="default" r:id="rId63"/>
          <w:footerReference w:type="default" r:id="rId64"/>
          <w:pgSz w:w="11910" w:h="16840"/>
          <w:pgMar w:header="0" w:footer="1248" w:top="840" w:bottom="1440" w:left="1680" w:right="1060"/>
          <w:pgNumType w:start="86"/>
        </w:sectPr>
      </w:pPr>
    </w:p>
    <w:p>
      <w:pPr>
        <w:spacing w:line="240" w:lineRule="auto" w:before="2"/>
        <w:rPr>
          <w:rFonts w:ascii="宋体" w:hAnsi="宋体" w:cs="宋体" w:eastAsia="宋体" w:hint="default"/>
          <w:sz w:val="11"/>
          <w:szCs w:val="11"/>
        </w:rPr>
      </w:pPr>
    </w:p>
    <w:p>
      <w:pPr>
        <w:pStyle w:val="BodyText"/>
        <w:spacing w:line="240" w:lineRule="auto" w:before="36"/>
        <w:ind w:right="0"/>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日，本公司的基本法律架构如下：</w:t>
      </w:r>
    </w:p>
    <w:p>
      <w:pPr>
        <w:spacing w:line="240" w:lineRule="auto" w:before="10"/>
        <w:rPr>
          <w:rFonts w:ascii="宋体" w:hAnsi="宋体" w:cs="宋体" w:eastAsia="宋体" w:hint="default"/>
          <w:sz w:val="8"/>
          <w:szCs w:val="8"/>
        </w:rPr>
      </w:pPr>
    </w:p>
    <w:tbl>
      <w:tblPr>
        <w:tblW w:w="0" w:type="auto"/>
        <w:jc w:val="left"/>
        <w:tblInd w:w="767" w:type="dxa"/>
        <w:tblLayout w:type="fixed"/>
        <w:tblCellMar>
          <w:top w:w="0" w:type="dxa"/>
          <w:left w:w="0" w:type="dxa"/>
          <w:bottom w:w="0" w:type="dxa"/>
          <w:right w:w="0" w:type="dxa"/>
        </w:tblCellMar>
        <w:tblLook w:val="01E0"/>
      </w:tblPr>
      <w:tblGrid>
        <w:gridCol w:w="1076"/>
        <w:gridCol w:w="1264"/>
        <w:gridCol w:w="733"/>
        <w:gridCol w:w="890"/>
        <w:gridCol w:w="838"/>
        <w:gridCol w:w="1504"/>
        <w:gridCol w:w="1189"/>
        <w:gridCol w:w="993"/>
      </w:tblGrid>
      <w:tr>
        <w:trPr>
          <w:trHeight w:val="540" w:hRule="exact"/>
        </w:trPr>
        <w:tc>
          <w:tcPr>
            <w:tcW w:w="3073" w:type="dxa"/>
            <w:gridSpan w:val="3"/>
            <w:tcBorders>
              <w:top w:val="nil" w:sz="6" w:space="0" w:color="auto"/>
              <w:left w:val="nil" w:sz="6" w:space="0" w:color="auto"/>
              <w:bottom w:val="nil" w:sz="6" w:space="0" w:color="auto"/>
              <w:right w:val="single" w:sz="6" w:space="0" w:color="000000"/>
            </w:tcBorders>
          </w:tcPr>
          <w:p>
            <w:pPr/>
          </w:p>
        </w:tc>
        <w:tc>
          <w:tcPr>
            <w:tcW w:w="1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41"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686" w:type="dxa"/>
            <w:gridSpan w:val="3"/>
            <w:tcBorders>
              <w:top w:val="nil" w:sz="6" w:space="0" w:color="auto"/>
              <w:left w:val="single" w:sz="6" w:space="0" w:color="000000"/>
              <w:bottom w:val="nil" w:sz="6" w:space="0" w:color="auto"/>
              <w:right w:val="nil" w:sz="6" w:space="0" w:color="auto"/>
            </w:tcBorders>
          </w:tcPr>
          <w:p>
            <w:pPr/>
          </w:p>
        </w:tc>
      </w:tr>
      <w:tr>
        <w:trPr>
          <w:trHeight w:val="188" w:hRule="exact"/>
        </w:trPr>
        <w:tc>
          <w:tcPr>
            <w:tcW w:w="3963" w:type="dxa"/>
            <w:gridSpan w:val="4"/>
            <w:tcBorders>
              <w:top w:val="nil" w:sz="6" w:space="0" w:color="auto"/>
              <w:left w:val="nil" w:sz="6" w:space="0" w:color="auto"/>
              <w:bottom w:val="nil" w:sz="6" w:space="0" w:color="auto"/>
              <w:right w:val="single" w:sz="6" w:space="0" w:color="000000"/>
            </w:tcBorders>
          </w:tcPr>
          <w:p>
            <w:pPr/>
          </w:p>
        </w:tc>
        <w:tc>
          <w:tcPr>
            <w:tcW w:w="4524" w:type="dxa"/>
            <w:gridSpan w:val="4"/>
            <w:tcBorders>
              <w:top w:val="nil" w:sz="6" w:space="0" w:color="auto"/>
              <w:left w:val="single" w:sz="6" w:space="0" w:color="000000"/>
              <w:bottom w:val="nil" w:sz="6" w:space="0" w:color="auto"/>
              <w:right w:val="nil" w:sz="6" w:space="0" w:color="auto"/>
            </w:tcBorders>
          </w:tcPr>
          <w:p>
            <w:pPr/>
          </w:p>
        </w:tc>
      </w:tr>
      <w:tr>
        <w:trPr>
          <w:trHeight w:val="375" w:hRule="exact"/>
        </w:trPr>
        <w:tc>
          <w:tcPr>
            <w:tcW w:w="1076" w:type="dxa"/>
            <w:tcBorders>
              <w:top w:val="nil" w:sz="6" w:space="0" w:color="auto"/>
              <w:left w:val="nil" w:sz="6" w:space="0" w:color="auto"/>
              <w:bottom w:val="single" w:sz="6" w:space="0" w:color="000000"/>
              <w:right w:val="single" w:sz="6" w:space="0" w:color="000000"/>
            </w:tcBorders>
          </w:tcPr>
          <w:p>
            <w:pPr/>
          </w:p>
        </w:tc>
        <w:tc>
          <w:tcPr>
            <w:tcW w:w="6418" w:type="dxa"/>
            <w:gridSpan w:val="6"/>
            <w:tcBorders>
              <w:top w:val="single" w:sz="12" w:space="0" w:color="000000"/>
              <w:left w:val="single" w:sz="6" w:space="0" w:color="000000"/>
              <w:bottom w:val="single" w:sz="6" w:space="0" w:color="000000"/>
              <w:right w:val="single" w:sz="6" w:space="0" w:color="000000"/>
            </w:tcBorders>
          </w:tcPr>
          <w:p>
            <w:pPr/>
          </w:p>
        </w:tc>
        <w:tc>
          <w:tcPr>
            <w:tcW w:w="993" w:type="dxa"/>
            <w:tcBorders>
              <w:top w:val="nil" w:sz="6" w:space="0" w:color="auto"/>
              <w:left w:val="single" w:sz="6" w:space="0" w:color="000000"/>
              <w:bottom w:val="single" w:sz="6" w:space="0" w:color="000000"/>
              <w:right w:val="nil" w:sz="6" w:space="0" w:color="auto"/>
            </w:tcBorders>
          </w:tcPr>
          <w:p>
            <w:pPr/>
          </w:p>
        </w:tc>
      </w:tr>
      <w:tr>
        <w:trPr>
          <w:trHeight w:val="1526" w:hRule="exact"/>
        </w:trPr>
        <w:tc>
          <w:tcPr>
            <w:tcW w:w="2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exact" w:before="159"/>
              <w:ind w:left="7" w:right="0"/>
              <w:jc w:val="center"/>
              <w:rPr>
                <w:rFonts w:ascii="宋体" w:hAnsi="宋体" w:cs="宋体" w:eastAsia="宋体" w:hint="default"/>
                <w:sz w:val="21"/>
                <w:szCs w:val="21"/>
              </w:rPr>
            </w:pP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家直接控股子公司</w:t>
            </w:r>
          </w:p>
          <w:p>
            <w:pPr>
              <w:pStyle w:val="TableParagraph"/>
              <w:spacing w:line="240" w:lineRule="auto"/>
              <w:ind w:left="141" w:right="132" w:hanging="2"/>
              <w:jc w:val="center"/>
              <w:rPr>
                <w:rFonts w:ascii="宋体" w:hAnsi="宋体" w:cs="宋体" w:eastAsia="宋体" w:hint="default"/>
                <w:sz w:val="21"/>
                <w:szCs w:val="21"/>
              </w:rPr>
            </w:pPr>
            <w:r>
              <w:rPr>
                <w:rFonts w:ascii="宋体" w:hAnsi="宋体" w:cs="宋体" w:eastAsia="宋体" w:hint="default"/>
                <w:sz w:val="21"/>
                <w:szCs w:val="21"/>
              </w:rPr>
              <w:t>（持有权益占</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z w:val="21"/>
                <w:szCs w:val="21"/>
              </w:rPr>
              <w:t>以上</w:t>
            </w:r>
            <w:r>
              <w:rPr>
                <w:rFonts w:ascii="宋体" w:hAnsi="宋体" w:cs="宋体" w:eastAsia="宋体" w:hint="default"/>
                <w:spacing w:val="-3"/>
                <w:w w:val="100"/>
                <w:sz w:val="21"/>
                <w:szCs w:val="21"/>
              </w:rPr>
              <w:t> </w:t>
            </w:r>
            <w:r>
              <w:rPr>
                <w:rFonts w:ascii="宋体" w:hAnsi="宋体" w:cs="宋体" w:eastAsia="宋体" w:hint="default"/>
                <w:sz w:val="21"/>
                <w:szCs w:val="21"/>
              </w:rPr>
              <w:t>或持股</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以下但具有</w:t>
            </w:r>
            <w:r>
              <w:rPr>
                <w:rFonts w:ascii="宋体" w:hAnsi="宋体" w:cs="宋体" w:eastAsia="宋体" w:hint="default"/>
                <w:w w:val="100"/>
                <w:sz w:val="21"/>
                <w:szCs w:val="21"/>
              </w:rPr>
              <w:t> </w:t>
            </w:r>
            <w:r>
              <w:rPr>
                <w:rFonts w:ascii="宋体" w:hAnsi="宋体" w:cs="宋体" w:eastAsia="宋体" w:hint="default"/>
                <w:sz w:val="21"/>
                <w:szCs w:val="21"/>
              </w:rPr>
              <w:t>实际控制权）</w:t>
            </w:r>
          </w:p>
        </w:tc>
        <w:tc>
          <w:tcPr>
            <w:tcW w:w="3965" w:type="dxa"/>
            <w:gridSpan w:val="4"/>
            <w:tcBorders>
              <w:top w:val="nil" w:sz="6" w:space="0" w:color="auto"/>
              <w:left w:val="single" w:sz="6" w:space="0" w:color="000000"/>
              <w:bottom w:val="nil" w:sz="6" w:space="0" w:color="auto"/>
              <w:right w:val="single" w:sz="6" w:space="0" w:color="000000"/>
            </w:tcBorders>
          </w:tcPr>
          <w:p>
            <w:pPr/>
          </w:p>
        </w:tc>
        <w:tc>
          <w:tcPr>
            <w:tcW w:w="2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4" w:right="63" w:firstLine="105"/>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77"/>
                <w:sz w:val="21"/>
                <w:szCs w:val="21"/>
              </w:rPr>
              <w:t> </w:t>
            </w:r>
            <w:r>
              <w:rPr>
                <w:rFonts w:ascii="宋体" w:hAnsi="宋体" w:cs="宋体" w:eastAsia="宋体" w:hint="default"/>
                <w:sz w:val="21"/>
                <w:szCs w:val="21"/>
              </w:rPr>
              <w:t>家直接持股联营公</w:t>
            </w:r>
            <w:r>
              <w:rPr>
                <w:rFonts w:ascii="宋体" w:hAnsi="宋体" w:cs="宋体" w:eastAsia="宋体" w:hint="default"/>
                <w:w w:val="100"/>
                <w:sz w:val="21"/>
                <w:szCs w:val="21"/>
              </w:rPr>
              <w:t> </w:t>
            </w:r>
            <w:r>
              <w:rPr>
                <w:rFonts w:ascii="宋体" w:hAnsi="宋体" w:cs="宋体" w:eastAsia="宋体" w:hint="default"/>
                <w:sz w:val="21"/>
                <w:szCs w:val="21"/>
              </w:rPr>
              <w:t>司及其他被投资单位</w:t>
            </w:r>
          </w:p>
        </w:tc>
      </w:tr>
    </w:tbl>
    <w:p>
      <w:pPr>
        <w:spacing w:line="240" w:lineRule="auto" w:before="8"/>
        <w:rPr>
          <w:rFonts w:ascii="宋体" w:hAnsi="宋体" w:cs="宋体" w:eastAsia="宋体" w:hint="default"/>
          <w:sz w:val="27"/>
          <w:szCs w:val="27"/>
        </w:rPr>
      </w:pPr>
    </w:p>
    <w:p>
      <w:pPr>
        <w:pStyle w:val="Heading4"/>
        <w:tabs>
          <w:tab w:pos="637" w:val="left" w:leader="none"/>
        </w:tabs>
        <w:spacing w:line="240" w:lineRule="auto"/>
        <w:ind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1060" w:val="left" w:leader="none"/>
        </w:tabs>
        <w:spacing w:line="273" w:lineRule="exact" w:before="58"/>
        <w:ind w:right="0"/>
        <w:jc w:val="left"/>
      </w:pPr>
      <w:r>
        <w:rPr>
          <w:spacing w:val="-1"/>
        </w:rPr>
        <w:t>√适用</w:t>
        <w:tab/>
      </w:r>
      <w:r>
        <w:rPr>
          <w:spacing w:val="-2"/>
        </w:rPr>
        <w:t>□不适用</w:t>
      </w:r>
    </w:p>
    <w:p>
      <w:pPr>
        <w:pStyle w:val="BodyText"/>
        <w:spacing w:line="273" w:lineRule="exact"/>
        <w:ind w:left="638" w:right="0"/>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日止，本集团合并财务报表范围内子公司如下：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8"/>
        <w:gridCol w:w="7511"/>
      </w:tblGrid>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深圳市东软软件有限公司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东软集团（北京）有限公司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山东东软系统集成有限公司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湖南东软软件有限公司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成都东软系统集成有限公司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西安东软系统集成有限公司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武汉东软信息技术有限公司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沈阳逐日数码广告传播有限公司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东软（香港）有限公司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上海东软时代数码技术有限公司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东软（日本）有限公司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北京兰瑞科创信息技术有限公司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东软集团（广州）有限公司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东软集团（上海）有限公司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东软集团（大连）有限公司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东软云科技有限公司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沈阳东软物业管理有限公司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东软科技有限公司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杭州东软软件有限公司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东软集团（天津）有限公司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东软集团（唐山）有限公司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东软集团（海南）有限公司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东软集团（无锡）有限公司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东软集团（芜湖）有限公司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东软集团南京有限公司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东软集团（郑州）有限公司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东软集团（南昌）有限公司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东软（欧洲）有限公司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河北东软软件有限公司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沈阳东软交通信息技术有限公司</w:t>
            </w:r>
          </w:p>
        </w:tc>
      </w:tr>
    </w:tbl>
    <w:p>
      <w:pPr>
        <w:spacing w:after="0" w:line="241" w:lineRule="exact"/>
        <w:jc w:val="center"/>
        <w:rPr>
          <w:rFonts w:ascii="宋体" w:hAnsi="宋体" w:cs="宋体" w:eastAsia="宋体" w:hint="default"/>
          <w:sz w:val="21"/>
          <w:szCs w:val="21"/>
        </w:rPr>
        <w:sectPr>
          <w:headerReference w:type="default" r:id="rId65"/>
          <w:pgSz w:w="11910" w:h="16840"/>
          <w:pgMar w:header="946" w:footer="1248" w:top="1300" w:bottom="1440" w:left="1580" w:right="9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538"/>
        <w:gridCol w:w="7511"/>
      </w:tblGrid>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东软集团（徐州）有限公司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东软集团重庆有限公司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东软集团（克拉玛依）有限公司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东软集团（宁波）有限公司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东软集团（长春）有限公司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东软管理咨询（上海）有限公司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东软集团（宜昌）有限公司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东软西藏软件有限公司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东软集团（南宁）有限公司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东软医疗产业园发展有限公司</w:t>
            </w:r>
          </w:p>
        </w:tc>
      </w:tr>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东软集团（襄阳）有限公司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大连东软共创科技有限公司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沈阳智医科技有限公司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合肥东软信息技术有限公司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大连东软商业流程咨询服务有限公司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Neusoft Technology Solutions</w:t>
            </w:r>
            <w:r>
              <w:rPr>
                <w:rFonts w:ascii="宋体"/>
                <w:spacing w:val="-1"/>
                <w:sz w:val="21"/>
              </w:rPr>
              <w:t> </w:t>
            </w:r>
            <w:r>
              <w:rPr>
                <w:rFonts w:ascii="宋体"/>
                <w:sz w:val="21"/>
              </w:rPr>
              <w:t>GmbH</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50</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Neusoft Mobile Solutions</w:t>
            </w:r>
            <w:r>
              <w:rPr>
                <w:rFonts w:ascii="宋体"/>
                <w:spacing w:val="-3"/>
                <w:sz w:val="21"/>
              </w:rPr>
              <w:t> </w:t>
            </w:r>
            <w:r>
              <w:rPr>
                <w:rFonts w:ascii="宋体"/>
                <w:sz w:val="21"/>
              </w:rPr>
              <w:t>Oy</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Neusoft EDC</w:t>
            </w:r>
            <w:r>
              <w:rPr>
                <w:rFonts w:ascii="宋体"/>
                <w:spacing w:val="-2"/>
                <w:sz w:val="21"/>
              </w:rPr>
              <w:t> </w:t>
            </w:r>
            <w:r>
              <w:rPr>
                <w:rFonts w:ascii="宋体"/>
                <w:sz w:val="21"/>
              </w:rPr>
              <w:t>SRL</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东软云科技（沈阳）有限公司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东软睿驰汽车技术（沈阳）有限公司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睿驰达新能源汽车科技有限公司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Neusoft GmbH</w:t>
            </w:r>
          </w:p>
        </w:tc>
      </w:tr>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广州东软科技企业孵化器有限公司</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沈阳东软久和医疗企业管理有限公司</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58</w:t>
            </w:r>
          </w:p>
        </w:tc>
        <w:tc>
          <w:tcPr>
            <w:tcW w:w="7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睿驰新能源动力系统（武汉）有限公司</w:t>
            </w:r>
          </w:p>
        </w:tc>
      </w:tr>
    </w:tbl>
    <w:p>
      <w:pPr>
        <w:spacing w:line="240" w:lineRule="auto" w:before="7"/>
        <w:rPr>
          <w:rFonts w:ascii="宋体" w:hAnsi="宋体" w:cs="宋体" w:eastAsia="宋体" w:hint="default"/>
          <w:sz w:val="15"/>
          <w:szCs w:val="15"/>
        </w:rPr>
      </w:pPr>
    </w:p>
    <w:p>
      <w:pPr>
        <w:pStyle w:val="BodyText"/>
        <w:spacing w:line="272" w:lineRule="exact" w:before="64"/>
        <w:ind w:right="227" w:firstLine="419"/>
        <w:jc w:val="both"/>
      </w:pPr>
      <w:r>
        <w:rPr>
          <w:spacing w:val="-4"/>
        </w:rPr>
        <w:t>本期合并财务报表范围及其变化情况详见本附注“八、合并范围的变更”和</w:t>
      </w:r>
      <w:r>
        <w:rPr>
          <w:spacing w:val="55"/>
        </w:rPr>
        <w:t> </w:t>
      </w:r>
      <w:r>
        <w:rPr>
          <w:spacing w:val="-5"/>
        </w:rPr>
        <w:t>“九、在其他主</w:t>
      </w:r>
      <w:r>
        <w:rPr>
          <w:w w:val="100"/>
        </w:rPr>
        <w:t> </w:t>
      </w:r>
      <w:r>
        <w:rPr/>
        <w:t>体中的权益”。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tabs>
          <w:tab w:pos="642" w:val="left" w:leader="none"/>
        </w:tabs>
        <w:spacing w:line="290" w:lineRule="auto"/>
        <w:ind w:right="6743"/>
        <w:jc w:val="left"/>
        <w:rPr>
          <w:b w:val="0"/>
          <w:bCs w:val="0"/>
        </w:rPr>
      </w:pPr>
      <w:r>
        <w:rPr/>
        <w:t>四、财务报表的编制基础</w:t>
      </w:r>
      <w:r>
        <w:rPr>
          <w:spacing w:val="-103"/>
        </w:rPr>
        <w:t> </w:t>
      </w:r>
      <w:r>
        <w:rPr>
          <w:spacing w:val="-103"/>
        </w:rPr>
      </w:r>
      <w:r>
        <w:rPr>
          <w:rFonts w:ascii="宋体" w:hAnsi="宋体" w:cs="宋体" w:eastAsia="宋体" w:hint="default"/>
          <w:w w:val="95"/>
        </w:rPr>
        <w:t>1.</w:t>
        <w:tab/>
      </w:r>
      <w:r>
        <w:rPr/>
        <w:t>编制基础</w:t>
      </w:r>
      <w:r>
        <w:rPr>
          <w:b w:val="0"/>
          <w:bCs w:val="0"/>
        </w:rPr>
      </w:r>
    </w:p>
    <w:p>
      <w:pPr>
        <w:pStyle w:val="BodyText"/>
        <w:spacing w:line="237" w:lineRule="auto" w:before="17"/>
        <w:ind w:right="228" w:firstLine="419"/>
        <w:jc w:val="both"/>
      </w:pPr>
      <w:r>
        <w:rPr>
          <w:spacing w:val="-2"/>
        </w:rPr>
        <w:t>公司以持续经营为基础，根据实际发生的交易和事项，按照财政部颁布的《企业会计准则—</w:t>
      </w:r>
      <w:r>
        <w:rPr>
          <w:w w:val="100"/>
        </w:rPr>
        <w:t> </w:t>
      </w:r>
      <w:r>
        <w:rPr>
          <w:spacing w:val="-6"/>
        </w:rPr>
        <w:t>基本准则》和各项具体会计准则、企业会计准则应用指南、企业会计准则解释及其他相关规定（以</w:t>
      </w:r>
      <w:r>
        <w:rPr>
          <w:spacing w:val="-52"/>
        </w:rPr>
        <w:t> </w:t>
      </w:r>
      <w:r>
        <w:rPr>
          <w:spacing w:val="-52"/>
        </w:rPr>
      </w:r>
      <w:r>
        <w:rPr>
          <w:spacing w:val="-2"/>
        </w:rPr>
        <w:t>下合称“企业会计准则”），以及中国证券监督管理委员会《公开发行证券的公司信息披露编报</w:t>
      </w:r>
      <w:r>
        <w:rPr>
          <w:spacing w:val="-25"/>
        </w:rPr>
        <w:t> </w:t>
      </w:r>
      <w:r>
        <w:rPr>
          <w:spacing w:val="-25"/>
        </w:rPr>
      </w:r>
      <w:r>
        <w:rPr/>
        <w:t>规则第 </w:t>
      </w:r>
      <w:r>
        <w:rPr>
          <w:rFonts w:ascii="宋体" w:hAnsi="宋体" w:cs="宋体" w:eastAsia="宋体" w:hint="default"/>
        </w:rPr>
        <w:t>15</w:t>
      </w:r>
      <w:r>
        <w:rPr>
          <w:rFonts w:ascii="宋体" w:hAnsi="宋体" w:cs="宋体" w:eastAsia="宋体" w:hint="default"/>
          <w:spacing w:val="-55"/>
        </w:rPr>
        <w:t> </w:t>
      </w:r>
      <w:r>
        <w:rPr/>
        <w:t>号—财务报告的一般规定》的披露规定编制财务报表。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760"/>
        <w:jc w:val="left"/>
        <w:rPr>
          <w:b w:val="0"/>
          <w:bCs w:val="0"/>
        </w:rPr>
      </w:pPr>
      <w:r>
        <w:rPr>
          <w:rFonts w:ascii="宋体" w:hAnsi="宋体" w:cs="宋体" w:eastAsia="宋体" w:hint="default"/>
          <w:w w:val="95"/>
        </w:rPr>
        <w:t>2.</w:t>
        <w:tab/>
      </w:r>
      <w:r>
        <w:rPr/>
        <w:t>持续经营</w:t>
      </w:r>
      <w:r>
        <w:rPr>
          <w:b w:val="0"/>
          <w:bCs w:val="0"/>
        </w:rPr>
      </w:r>
    </w:p>
    <w:p>
      <w:pPr>
        <w:pStyle w:val="BodyText"/>
        <w:tabs>
          <w:tab w:pos="1060" w:val="left" w:leader="none"/>
        </w:tabs>
        <w:spacing w:line="273" w:lineRule="exact" w:before="58"/>
        <w:ind w:right="2760"/>
        <w:jc w:val="left"/>
      </w:pPr>
      <w:r>
        <w:rPr>
          <w:spacing w:val="-1"/>
        </w:rPr>
        <w:t>√适用</w:t>
        <w:tab/>
      </w:r>
      <w:r>
        <w:rPr>
          <w:spacing w:val="-2"/>
        </w:rPr>
        <w:t>□不适用</w:t>
      </w:r>
    </w:p>
    <w:p>
      <w:pPr>
        <w:pStyle w:val="BodyText"/>
        <w:spacing w:line="273" w:lineRule="exact"/>
        <w:ind w:left="638" w:right="226"/>
        <w:jc w:val="left"/>
      </w:pPr>
      <w:r>
        <w:rPr/>
        <w:t>公司自本报告期末起</w:t>
      </w:r>
      <w:r>
        <w:rPr>
          <w:spacing w:val="-53"/>
        </w:rPr>
        <w:t> </w:t>
      </w:r>
      <w:r>
        <w:rPr>
          <w:rFonts w:ascii="宋体" w:hAnsi="宋体" w:cs="宋体" w:eastAsia="宋体" w:hint="default"/>
        </w:rPr>
        <w:t>12</w:t>
      </w:r>
      <w:r>
        <w:rPr>
          <w:rFonts w:ascii="宋体" w:hAnsi="宋体" w:cs="宋体" w:eastAsia="宋体" w:hint="default"/>
          <w:spacing w:val="-56"/>
        </w:rPr>
        <w:t> </w:t>
      </w:r>
      <w:r>
        <w:rPr/>
        <w:t>个月具备持续经营能力，无影响持续经营能力的重大事项。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218" w:right="4900"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具体会计政策和会计估计提示：</w:t>
      </w:r>
    </w:p>
    <w:p>
      <w:pPr>
        <w:pStyle w:val="BodyText"/>
        <w:spacing w:line="230" w:lineRule="exact"/>
        <w:ind w:right="2760"/>
        <w:jc w:val="left"/>
      </w:pPr>
      <w:r>
        <w:rPr/>
        <w:t>□适用</w:t>
      </w:r>
      <w:r>
        <w:rPr>
          <w:spacing w:val="-1"/>
        </w:rPr>
        <w:t> </w:t>
      </w:r>
      <w:r>
        <w:rPr/>
        <w:t>√不适用</w:t>
      </w:r>
    </w:p>
    <w:p>
      <w:pPr>
        <w:spacing w:after="0" w:line="230" w:lineRule="exact"/>
        <w:jc w:val="left"/>
        <w:sectPr>
          <w:headerReference w:type="default" r:id="rId66"/>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tabs>
          <w:tab w:pos="542" w:val="left" w:leader="none"/>
        </w:tabs>
        <w:spacing w:line="290" w:lineRule="auto" w:before="36"/>
        <w:ind w:left="538" w:right="11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7" w:lineRule="exact"/>
        <w:ind w:left="118" w:right="0"/>
        <w:jc w:val="left"/>
      </w:pPr>
      <w:r>
        <w:rPr/>
        <w:t>经营成果、股东权益变动和现金流量等有关信息。</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5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3.</w:t>
        <w:tab/>
      </w:r>
      <w:r>
        <w:rPr/>
        <w:t>营业周期</w:t>
      </w:r>
      <w:r>
        <w:rPr>
          <w:b w:val="0"/>
          <w:bCs w:val="0"/>
        </w:rPr>
      </w:r>
    </w:p>
    <w:p>
      <w:pPr>
        <w:pStyle w:val="BodyText"/>
        <w:tabs>
          <w:tab w:pos="960" w:val="left" w:leader="none"/>
        </w:tabs>
        <w:spacing w:line="240" w:lineRule="auto" w:before="56"/>
        <w:ind w:left="538" w:right="5902" w:hanging="420"/>
        <w:jc w:val="left"/>
      </w:pPr>
      <w:r>
        <w:rPr>
          <w:spacing w:val="-1"/>
        </w:rPr>
        <w:t>√适用</w:t>
        <w:tab/>
      </w:r>
      <w:r>
        <w:rPr>
          <w:spacing w:val="-2"/>
        </w:rPr>
        <w:t>□不适用</w:t>
      </w:r>
      <w:r>
        <w:rPr>
          <w:spacing w:val="-99"/>
        </w:rPr>
        <w:t> </w:t>
      </w:r>
      <w:r>
        <w:rPr>
          <w:spacing w:val="-99"/>
        </w:rPr>
      </w:r>
      <w:r>
        <w:rPr/>
        <w:t>本公司营业周期为</w:t>
      </w:r>
      <w:r>
        <w:rPr>
          <w:spacing w:val="-51"/>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3"/>
        <w:rPr>
          <w:rFonts w:ascii="宋体" w:hAnsi="宋体" w:cs="宋体" w:eastAsia="宋体" w:hint="default"/>
          <w:sz w:val="25"/>
          <w:szCs w:val="25"/>
        </w:rPr>
      </w:pPr>
    </w:p>
    <w:p>
      <w:pPr>
        <w:tabs>
          <w:tab w:pos="542" w:val="left" w:leader="none"/>
        </w:tabs>
        <w:spacing w:line="290" w:lineRule="auto" w:before="0"/>
        <w:ind w:left="538" w:right="558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pStyle w:val="BodyText"/>
        <w:spacing w:line="229" w:lineRule="exact"/>
        <w:ind w:left="538" w:right="0"/>
        <w:jc w:val="left"/>
      </w:pPr>
      <w:r>
        <w:rPr/>
        <w:t>境外公司按所在国家或地区的货币为记账本位币，编制财务报表时折算为人民币。</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60" w:val="left" w:leader="none"/>
        </w:tabs>
        <w:spacing w:line="240" w:lineRule="auto" w:before="56"/>
        <w:ind w:left="538" w:right="112" w:hanging="420"/>
        <w:jc w:val="left"/>
      </w:pPr>
      <w:r>
        <w:rPr>
          <w:spacing w:val="-1"/>
        </w:rPr>
        <w:t>√适用</w:t>
        <w:tab/>
      </w:r>
      <w:r>
        <w:rPr>
          <w:spacing w:val="-2"/>
        </w:rPr>
        <w:t>□不适用</w:t>
      </w:r>
      <w:r>
        <w:rPr>
          <w:spacing w:val="-99"/>
        </w:rPr>
        <w:t> </w:t>
      </w:r>
      <w:r>
        <w:rPr>
          <w:spacing w:val="-99"/>
        </w:rPr>
      </w:r>
      <w:r>
        <w:rPr>
          <w:spacing w:val="-7"/>
          <w:w w:val="100"/>
        </w:rPr>
        <w:t>同一控制下企业合并：本公司在企业合并中取得的资产和负债，按照合并日在被合并方资产、</w:t>
      </w:r>
    </w:p>
    <w:p>
      <w:pPr>
        <w:pStyle w:val="BodyText"/>
        <w:spacing w:line="237" w:lineRule="auto"/>
        <w:ind w:left="118" w:right="109"/>
        <w:jc w:val="both"/>
      </w:pPr>
      <w:r>
        <w:rPr>
          <w:spacing w:val="-2"/>
        </w:rPr>
        <w:t>负债（包括最终控制方收购被合并方而形成的商誉）在最终控制方合并财务报表中的账面价值计</w:t>
      </w:r>
      <w:r>
        <w:rPr>
          <w:spacing w:val="-25"/>
        </w:rPr>
        <w:t> </w:t>
      </w:r>
      <w:r>
        <w:rPr>
          <w:spacing w:val="-25"/>
        </w:rPr>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p>
    <w:p>
      <w:pPr>
        <w:pStyle w:val="BodyText"/>
        <w:spacing w:line="237" w:lineRule="auto"/>
        <w:ind w:left="118" w:right="117" w:firstLine="419"/>
        <w:jc w:val="both"/>
      </w:pPr>
      <w:r>
        <w:rPr>
          <w:spacing w:val="-2"/>
        </w:rPr>
        <w:t>非同一控制下企业合并：本公司在购买日对作为企业合并对价付出的资产、发生或承担的负</w:t>
      </w:r>
      <w:r>
        <w:rPr>
          <w:w w:val="100"/>
        </w:rPr>
        <w:t> </w:t>
      </w:r>
      <w:r>
        <w:rPr>
          <w:spacing w:val="-2"/>
        </w:rPr>
        <w:t>债按照公允价值计量，公允价值与其账面价值的差额，计入当期损益。本公司对合并成本大于合</w:t>
      </w:r>
      <w:r>
        <w:rPr>
          <w:spacing w:val="-25"/>
        </w:rPr>
        <w:t> </w:t>
      </w:r>
      <w:r>
        <w:rPr>
          <w:spacing w:val="-25"/>
        </w:rPr>
      </w:r>
      <w:r>
        <w:rPr>
          <w:spacing w:val="-2"/>
        </w:rPr>
        <w:t>并中取得的被购买方可辨认净资产公允价值份额的差额，确认为商誉；合并成本小于合并中取得</w:t>
      </w:r>
      <w:r>
        <w:rPr>
          <w:spacing w:val="-25"/>
        </w:rPr>
        <w:t> </w:t>
      </w:r>
      <w:r>
        <w:rPr>
          <w:spacing w:val="-25"/>
        </w:rPr>
      </w:r>
      <w:r>
        <w:rPr/>
        <w:t>的被购买方可辨认净资产公允价值份额的差额，经复核后，计入当期损益。</w:t>
      </w:r>
    </w:p>
    <w:p>
      <w:pPr>
        <w:pStyle w:val="BodyText"/>
        <w:spacing w:line="274" w:lineRule="exact" w:before="22"/>
        <w:ind w:left="118" w:right="117" w:firstLine="419"/>
        <w:jc w:val="both"/>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p>
    <w:p>
      <w:pPr>
        <w:spacing w:line="240" w:lineRule="auto" w:before="4"/>
        <w:rPr>
          <w:rFonts w:ascii="宋体" w:hAnsi="宋体" w:cs="宋体" w:eastAsia="宋体" w:hint="default"/>
          <w:sz w:val="23"/>
          <w:szCs w:val="23"/>
        </w:rPr>
      </w:pPr>
    </w:p>
    <w:p>
      <w:pPr>
        <w:pStyle w:val="Heading4"/>
        <w:tabs>
          <w:tab w:pos="542" w:val="left" w:leader="none"/>
        </w:tabs>
        <w:spacing w:line="240" w:lineRule="auto"/>
        <w:ind w:left="11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60" w:val="left" w:leader="none"/>
        </w:tabs>
        <w:spacing w:line="274" w:lineRule="exact" w:before="56"/>
        <w:ind w:left="118" w:right="0"/>
        <w:jc w:val="left"/>
      </w:pPr>
      <w:r>
        <w:rPr>
          <w:spacing w:val="-1"/>
        </w:rPr>
        <w:t>√适用</w:t>
        <w:tab/>
      </w:r>
      <w:r>
        <w:rPr>
          <w:spacing w:val="-2"/>
        </w:rPr>
        <w:t>□不适用</w:t>
      </w:r>
    </w:p>
    <w:p>
      <w:pPr>
        <w:pStyle w:val="BodyText"/>
        <w:spacing w:line="272" w:lineRule="exact" w:before="27"/>
        <w:ind w:left="538" w:right="0"/>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本公司合并财务报表的合并范围以控制为基础确定，所有子公司（包括本公司所控制的被投</w:t>
      </w:r>
    </w:p>
    <w:p>
      <w:pPr>
        <w:pStyle w:val="BodyText"/>
        <w:spacing w:line="247" w:lineRule="exact"/>
        <w:ind w:left="118" w:right="0"/>
        <w:jc w:val="left"/>
      </w:pPr>
      <w:r>
        <w:rPr/>
        <w:t>资方可分割的部分）均纳入合并财务报表。</w:t>
      </w:r>
    </w:p>
    <w:p>
      <w:pPr>
        <w:pStyle w:val="BodyText"/>
        <w:spacing w:line="240" w:lineRule="auto"/>
        <w:ind w:left="538" w:right="0"/>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w:t>
      </w:r>
    </w:p>
    <w:p>
      <w:pPr>
        <w:pStyle w:val="BodyText"/>
        <w:spacing w:line="274" w:lineRule="exact" w:before="22"/>
        <w:ind w:left="118" w:right="0"/>
        <w:jc w:val="left"/>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245" w:lineRule="exact"/>
        <w:ind w:left="118" w:right="0" w:firstLine="419"/>
        <w:jc w:val="left"/>
      </w:pPr>
      <w:r>
        <w:rPr/>
        <w:t>所有纳入合并财务报表合并范围的子公司所采用的会计政策、会计期间与本公司一致，如子</w:t>
      </w:r>
    </w:p>
    <w:p>
      <w:pPr>
        <w:pStyle w:val="BodyText"/>
        <w:spacing w:line="237" w:lineRule="auto" w:before="2"/>
        <w:ind w:left="118" w:right="117"/>
        <w:jc w:val="both"/>
      </w:pPr>
      <w:r>
        <w:rPr>
          <w:spacing w:val="-2"/>
        </w:rPr>
        <w:t>公司采用的会计政策、会计期间与本公司不一致的，在编制合并财务报表时，按本公司的会计政</w:t>
      </w:r>
      <w:r>
        <w:rPr>
          <w:spacing w:val="-25"/>
        </w:rPr>
        <w:t> </w:t>
      </w:r>
      <w:r>
        <w:rPr>
          <w:spacing w:val="-25"/>
        </w:rPr>
      </w:r>
      <w:r>
        <w:rPr>
          <w:spacing w:val="-2"/>
        </w:rPr>
        <w:t>策、会计期间进行必要的调整。对于非同一控制下企业合并取得的子公司，以购买日可辨认净资</w:t>
      </w:r>
      <w:r>
        <w:rPr>
          <w:spacing w:val="-25"/>
        </w:rPr>
        <w:t> </w:t>
      </w:r>
      <w:r>
        <w:rPr>
          <w:spacing w:val="-25"/>
        </w:rPr>
      </w:r>
      <w:r>
        <w:rPr>
          <w:spacing w:val="-2"/>
        </w:rPr>
        <w:t>产公允价值为基础对其财务报表进行调整。对于同一控制下企业合并取得的子公司，以其资产、</w:t>
      </w:r>
      <w:r>
        <w:rPr>
          <w:spacing w:val="-25"/>
        </w:rPr>
        <w:t> </w:t>
      </w:r>
      <w:r>
        <w:rPr>
          <w:spacing w:val="-25"/>
        </w:rPr>
      </w:r>
      <w:r>
        <w:rPr>
          <w:spacing w:val="-2"/>
        </w:rPr>
        <w:t>负债（包括最终控制方收购该子公司而形成的商誉）在最终控制方财务报表中的账面价值为基础</w:t>
      </w:r>
      <w:r>
        <w:rPr>
          <w:spacing w:val="-25"/>
        </w:rPr>
        <w:t> </w:t>
      </w:r>
      <w:r>
        <w:rPr>
          <w:spacing w:val="-25"/>
        </w:rPr>
      </w:r>
      <w:r>
        <w:rPr/>
        <w:t>对其财务报表进行调整。</w:t>
      </w:r>
    </w:p>
    <w:p>
      <w:pPr>
        <w:pStyle w:val="BodyText"/>
        <w:spacing w:line="237" w:lineRule="auto" w:before="1"/>
        <w:ind w:left="118" w:right="11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274" w:lineRule="exact"/>
        <w:ind w:left="538" w:right="0"/>
        <w:jc w:val="left"/>
      </w:pPr>
      <w:r>
        <w:rPr/>
        <w:t>①增加子公司或业务</w:t>
      </w:r>
    </w:p>
    <w:p>
      <w:pPr>
        <w:spacing w:after="0" w:line="274" w:lineRule="exact"/>
        <w:jc w:val="left"/>
        <w:sectPr>
          <w:pgSz w:w="11910" w:h="16840"/>
          <w:pgMar w:header="946" w:footer="1248" w:top="1300" w:bottom="1440" w:left="1680" w:right="1160"/>
        </w:sectPr>
      </w:pPr>
    </w:p>
    <w:p>
      <w:pPr>
        <w:spacing w:line="240" w:lineRule="auto" w:before="2"/>
        <w:rPr>
          <w:rFonts w:ascii="宋体" w:hAnsi="宋体" w:cs="宋体" w:eastAsia="宋体" w:hint="default"/>
          <w:sz w:val="11"/>
          <w:szCs w:val="11"/>
        </w:rPr>
      </w:pPr>
    </w:p>
    <w:p>
      <w:pPr>
        <w:pStyle w:val="BodyText"/>
        <w:spacing w:line="237" w:lineRule="auto" w:before="38"/>
        <w:ind w:left="118" w:right="317" w:firstLine="419"/>
        <w:jc w:val="both"/>
      </w:pPr>
      <w:r>
        <w:rPr>
          <w:spacing w:val="-2"/>
        </w:rPr>
        <w:t>在报告期内，若因同一控制下企业合并增加子公司或业务的，则调整合并资产负债表的期初</w:t>
      </w:r>
      <w:r>
        <w:rPr>
          <w:w w:val="100"/>
        </w:rPr>
        <w:t> </w:t>
      </w: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p>
    <w:p>
      <w:pPr>
        <w:pStyle w:val="BodyText"/>
        <w:spacing w:line="237" w:lineRule="auto"/>
        <w:ind w:left="118" w:right="99" w:firstLine="419"/>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p>
    <w:p>
      <w:pPr>
        <w:pStyle w:val="BodyText"/>
        <w:spacing w:line="237" w:lineRule="auto"/>
        <w:ind w:left="118" w:right="204" w:firstLine="419"/>
        <w:jc w:val="both"/>
      </w:pPr>
      <w:r>
        <w:rPr/>
        <w:t>在报告期内，若因非同一控制下企业合并增加子公司或业务的，则不调整合并资产负债表期</w:t>
      </w:r>
      <w:r>
        <w:rPr>
          <w:w w:val="100"/>
        </w:rPr>
        <w:t> </w:t>
      </w:r>
      <w:r>
        <w:rPr/>
        <w:t>初数；将该子公司或业务自购买日至报告期末的收入、费用、利润纳入合并利润表；该子公司或</w:t>
      </w:r>
      <w:r>
        <w:rPr>
          <w:w w:val="100"/>
        </w:rPr>
        <w:t> </w:t>
      </w:r>
      <w:r>
        <w:rPr/>
        <w:t>业务自购买日至报告期末的现金流量纳入合并现金流量表。因追加投资等原因能够对非同一控制</w:t>
      </w:r>
      <w:r>
        <w:rPr>
          <w:w w:val="100"/>
        </w:rPr>
        <w:t> </w:t>
      </w:r>
      <w:r>
        <w:rPr/>
        <w:t>下的被投资方实施控制的，对于购买日之前持有的被购买方的股权，本公司按照该股权在购买日</w:t>
      </w:r>
      <w:r>
        <w:rPr>
          <w:w w:val="100"/>
        </w:rPr>
        <w:t> </w:t>
      </w:r>
      <w:r>
        <w:rPr/>
        <w:t>的公允价值进行重新计量，公允价值与其账面价值的差额计入当期投资收益。购买日之前持有的</w:t>
      </w:r>
      <w:r>
        <w:rPr>
          <w:w w:val="100"/>
        </w:rPr>
        <w:t> </w:t>
      </w:r>
      <w:r>
        <w:rPr/>
        <w:t>被购买方的股权涉及权益法核算下的其他综合收益以及除净损益、其他综合收益和利润分配之外</w:t>
      </w:r>
      <w:r>
        <w:rPr>
          <w:w w:val="100"/>
        </w:rPr>
        <w:t> </w:t>
      </w:r>
      <w:r>
        <w:rPr/>
        <w:t>的其他所有者权益变动的，与其相关的其他综合收益、其他所有者权益变动转为购买日所属当期</w:t>
      </w:r>
      <w:r>
        <w:rPr>
          <w:w w:val="100"/>
        </w:rPr>
        <w:t> </w:t>
      </w:r>
      <w:r>
        <w:rPr>
          <w:spacing w:val="-4"/>
          <w:w w:val="100"/>
        </w:rPr>
        <w:t>投资收益。由于被投资方重新计算设定受益计划净负债或净资产变动而产生的其他综合受益除外。</w:t>
      </w:r>
    </w:p>
    <w:p>
      <w:pPr>
        <w:spacing w:line="240" w:lineRule="auto" w:before="10"/>
        <w:rPr>
          <w:rFonts w:ascii="宋体" w:hAnsi="宋体" w:cs="宋体" w:eastAsia="宋体" w:hint="default"/>
          <w:sz w:val="22"/>
          <w:szCs w:val="22"/>
        </w:rPr>
      </w:pPr>
    </w:p>
    <w:p>
      <w:pPr>
        <w:pStyle w:val="BodyText"/>
        <w:spacing w:line="272" w:lineRule="exact"/>
        <w:ind w:left="538" w:right="6827"/>
        <w:jc w:val="left"/>
      </w:pPr>
      <w:r>
        <w:rPr>
          <w:spacing w:val="-1"/>
        </w:rPr>
        <w:t>②处置子公司或业务</w:t>
      </w:r>
      <w:r>
        <w:rPr>
          <w:spacing w:val="-95"/>
        </w:rPr>
        <w:t> </w:t>
      </w:r>
      <w:r>
        <w:rPr>
          <w:spacing w:val="-95"/>
        </w:rPr>
      </w:r>
      <w:r>
        <w:rPr>
          <w:rFonts w:ascii="宋体" w:hAnsi="宋体" w:cs="宋体" w:eastAsia="宋体" w:hint="default"/>
        </w:rPr>
        <w:t>a.</w:t>
      </w:r>
      <w:r>
        <w:rPr/>
        <w:t>一般处理方法</w:t>
      </w:r>
    </w:p>
    <w:p>
      <w:pPr>
        <w:pStyle w:val="BodyText"/>
        <w:spacing w:line="246" w:lineRule="exact"/>
        <w:ind w:left="118" w:right="99" w:firstLine="419"/>
        <w:jc w:val="left"/>
      </w:pPr>
      <w:r>
        <w:rPr/>
        <w:t>在报告期内，本公司处置子公司或业务，则该子公司或业务期初至处置日的收入、费用、利</w:t>
      </w:r>
    </w:p>
    <w:p>
      <w:pPr>
        <w:pStyle w:val="BodyText"/>
        <w:spacing w:line="237" w:lineRule="auto" w:before="2"/>
        <w:ind w:left="118" w:right="308"/>
        <w:jc w:val="both"/>
      </w:pPr>
      <w:r>
        <w:rPr>
          <w:spacing w:val="-2"/>
        </w:rPr>
        <w:t>润纳入合并利润表；该子公司或业务期初至处置日的现金流量纳入合并现金流量表。因处置部分</w:t>
      </w:r>
      <w:r>
        <w:rPr>
          <w:spacing w:val="-25"/>
        </w:rPr>
        <w:t> </w:t>
      </w:r>
      <w:r>
        <w:rPr>
          <w:spacing w:val="-25"/>
        </w:rPr>
      </w:r>
      <w:r>
        <w:rPr>
          <w:spacing w:val="-2"/>
        </w:rPr>
        <w:t>股权投资或其他原因丧失了对被投资方控制权时，对于处置后的剩余股权投资，本公司按照其在</w:t>
      </w:r>
      <w:r>
        <w:rPr>
          <w:spacing w:val="-25"/>
        </w:rPr>
        <w:t> </w:t>
      </w:r>
      <w:r>
        <w:rPr>
          <w:spacing w:val="-25"/>
        </w:rPr>
      </w:r>
      <w:r>
        <w:rPr>
          <w:spacing w:val="-2"/>
        </w:rPr>
        <w:t>丧失控制权日的公允价值进行重新计量。处置股权取得的对价与剩余股权公允价值之和，减去按</w:t>
      </w:r>
      <w:r>
        <w:rPr>
          <w:spacing w:val="-25"/>
        </w:rPr>
        <w:t> </w:t>
      </w:r>
      <w:r>
        <w:rPr>
          <w:spacing w:val="-25"/>
        </w:rPr>
      </w:r>
      <w:r>
        <w:rPr>
          <w:spacing w:val="-2"/>
        </w:rPr>
        <w:t>原持股比例计算应享有原有子公司自购买日或合并日开始持续计算的净资产的份额与商誉之和的</w:t>
      </w:r>
      <w:r>
        <w:rPr>
          <w:spacing w:val="-25"/>
        </w:rPr>
        <w:t> </w:t>
      </w:r>
      <w:r>
        <w:rPr>
          <w:spacing w:val="-25"/>
        </w:rPr>
      </w:r>
      <w:r>
        <w:rPr>
          <w:spacing w:val="-6"/>
          <w:w w:val="100"/>
        </w:rPr>
        <w:t>差额，计入丧失控制权当期的投资收益。与原有子公司股权投资相关的其他综合收益或除净损益、</w:t>
      </w:r>
      <w:r>
        <w:rPr>
          <w:w w:val="100"/>
        </w:rPr>
        <w:t> </w:t>
      </w:r>
      <w:r>
        <w:rPr>
          <w:spacing w:val="-2"/>
        </w:rPr>
        <w:t>其他综合收益及利润分配之外的其他所有者权益变动，在丧失控制权时转为当期投资收益，由于</w:t>
      </w:r>
      <w:r>
        <w:rPr>
          <w:spacing w:val="-25"/>
        </w:rPr>
        <w:t> </w:t>
      </w:r>
      <w:r>
        <w:rPr>
          <w:spacing w:val="-25"/>
        </w:rPr>
      </w:r>
      <w:r>
        <w:rPr/>
        <w:t>被投资方重新计算设定受益计划净负债或净资产变动而产生的其他综合收益除外。</w:t>
      </w:r>
    </w:p>
    <w:p>
      <w:pPr>
        <w:pStyle w:val="BodyText"/>
        <w:spacing w:line="274" w:lineRule="exact" w:before="22"/>
        <w:ind w:left="118" w:right="99" w:firstLine="419"/>
        <w:jc w:val="left"/>
      </w:pPr>
      <w:r>
        <w:rPr>
          <w:spacing w:val="-2"/>
        </w:rPr>
        <w:t>因其他投资方对子公司增资而导致本公司持股比例下降从而丧失控制权的，按照上述原则进</w:t>
      </w:r>
      <w:r>
        <w:rPr>
          <w:w w:val="100"/>
        </w:rPr>
        <w:t> </w:t>
      </w:r>
      <w:r>
        <w:rPr/>
        <w:t>行会计处理。</w:t>
      </w:r>
    </w:p>
    <w:p>
      <w:pPr>
        <w:pStyle w:val="BodyText"/>
        <w:spacing w:line="245" w:lineRule="exact"/>
        <w:ind w:left="538" w:right="99"/>
        <w:jc w:val="left"/>
      </w:pPr>
      <w:r>
        <w:rPr>
          <w:rFonts w:ascii="宋体" w:hAnsi="宋体" w:cs="宋体" w:eastAsia="宋体" w:hint="default"/>
        </w:rPr>
        <w:t>b.</w:t>
      </w:r>
      <w:r>
        <w:rPr/>
        <w:t>分步处置子公司</w:t>
      </w:r>
    </w:p>
    <w:p>
      <w:pPr>
        <w:pStyle w:val="BodyText"/>
        <w:spacing w:line="237" w:lineRule="auto" w:before="2"/>
        <w:ind w:left="118" w:right="317" w:firstLine="419"/>
        <w:jc w:val="both"/>
      </w:pPr>
      <w:r>
        <w:rPr>
          <w:spacing w:val="-2"/>
        </w:rPr>
        <w:t>通过多次交易分步处置对子公司股权投资直至丧失控制权的，处置对子公司股权投资的各项</w:t>
      </w:r>
      <w:r>
        <w:rPr>
          <w:w w:val="100"/>
        </w:rPr>
        <w:t> </w:t>
      </w: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237" w:lineRule="auto"/>
        <w:ind w:left="538" w:right="99"/>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272" w:lineRule="exact" w:before="26"/>
        <w:ind w:left="118" w:right="317"/>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272" w:lineRule="exact" w:before="1"/>
        <w:ind w:left="118" w:right="198" w:firstLine="419"/>
        <w:jc w:val="left"/>
      </w:pPr>
      <w:r>
        <w:rPr>
          <w:w w:val="100"/>
        </w:rPr>
        <w:t>处置</w:t>
      </w:r>
      <w:r>
        <w:rPr>
          <w:spacing w:val="-3"/>
          <w:w w:val="100"/>
        </w:rPr>
        <w:t>对</w:t>
      </w:r>
      <w:r>
        <w:rPr>
          <w:w w:val="100"/>
        </w:rPr>
        <w:t>子</w:t>
      </w:r>
      <w:r>
        <w:rPr>
          <w:spacing w:val="-3"/>
          <w:w w:val="100"/>
        </w:rPr>
        <w:t>公</w:t>
      </w:r>
      <w:r>
        <w:rPr>
          <w:w w:val="100"/>
        </w:rPr>
        <w:t>司</w:t>
      </w:r>
      <w:r>
        <w:rPr>
          <w:spacing w:val="-3"/>
          <w:w w:val="100"/>
        </w:rPr>
        <w:t>股</w:t>
      </w:r>
      <w:r>
        <w:rPr>
          <w:w w:val="100"/>
        </w:rPr>
        <w:t>权</w:t>
      </w:r>
      <w:r>
        <w:rPr>
          <w:spacing w:val="-3"/>
          <w:w w:val="100"/>
        </w:rPr>
        <w:t>投</w:t>
      </w:r>
      <w:r>
        <w:rPr>
          <w:w w:val="100"/>
        </w:rPr>
        <w:t>资</w:t>
      </w:r>
      <w:r>
        <w:rPr>
          <w:spacing w:val="-3"/>
          <w:w w:val="100"/>
        </w:rPr>
        <w:t>直</w:t>
      </w:r>
      <w:r>
        <w:rPr>
          <w:w w:val="100"/>
        </w:rPr>
        <w:t>至丧</w:t>
      </w:r>
      <w:r>
        <w:rPr>
          <w:spacing w:val="-3"/>
          <w:w w:val="100"/>
        </w:rPr>
        <w:t>失</w:t>
      </w:r>
      <w:r>
        <w:rPr>
          <w:w w:val="100"/>
        </w:rPr>
        <w:t>控</w:t>
      </w:r>
      <w:r>
        <w:rPr>
          <w:spacing w:val="-3"/>
          <w:w w:val="100"/>
        </w:rPr>
        <w:t>制</w:t>
      </w:r>
      <w:r>
        <w:rPr>
          <w:w w:val="100"/>
        </w:rPr>
        <w:t>权</w:t>
      </w:r>
      <w:r>
        <w:rPr>
          <w:spacing w:val="-3"/>
          <w:w w:val="100"/>
        </w:rPr>
        <w:t>的</w:t>
      </w:r>
      <w:r>
        <w:rPr>
          <w:w w:val="100"/>
        </w:rPr>
        <w:t>各</w:t>
      </w:r>
      <w:r>
        <w:rPr>
          <w:spacing w:val="-3"/>
          <w:w w:val="100"/>
        </w:rPr>
        <w:t>项</w:t>
      </w:r>
      <w:r>
        <w:rPr>
          <w:w w:val="100"/>
        </w:rPr>
        <w:t>交</w:t>
      </w:r>
      <w:r>
        <w:rPr>
          <w:spacing w:val="-3"/>
          <w:w w:val="100"/>
        </w:rPr>
        <w:t>易</w:t>
      </w:r>
      <w:r>
        <w:rPr>
          <w:w w:val="100"/>
        </w:rPr>
        <w:t>不属</w:t>
      </w:r>
      <w:r>
        <w:rPr>
          <w:spacing w:val="-3"/>
          <w:w w:val="100"/>
        </w:rPr>
        <w:t>于</w:t>
      </w:r>
      <w:r>
        <w:rPr>
          <w:w w:val="100"/>
        </w:rPr>
        <w:t>一</w:t>
      </w:r>
      <w:r>
        <w:rPr>
          <w:spacing w:val="-3"/>
          <w:w w:val="100"/>
        </w:rPr>
        <w:t>揽</w:t>
      </w:r>
      <w:r>
        <w:rPr>
          <w:w w:val="100"/>
        </w:rPr>
        <w:t>子</w:t>
      </w:r>
      <w:r>
        <w:rPr>
          <w:spacing w:val="-3"/>
          <w:w w:val="100"/>
        </w:rPr>
        <w:t>交</w:t>
      </w:r>
      <w:r>
        <w:rPr>
          <w:w w:val="100"/>
        </w:rPr>
        <w:t>易</w:t>
      </w:r>
      <w:r>
        <w:rPr>
          <w:spacing w:val="-3"/>
          <w:w w:val="100"/>
        </w:rPr>
        <w:t>的</w:t>
      </w:r>
      <w:r>
        <w:rPr>
          <w:spacing w:val="-94"/>
          <w:w w:val="100"/>
        </w:rPr>
        <w:t>，</w:t>
      </w:r>
      <w:r>
        <w:rPr>
          <w:w w:val="100"/>
        </w:rPr>
        <w:t>在</w:t>
      </w:r>
      <w:r>
        <w:rPr>
          <w:spacing w:val="-3"/>
          <w:w w:val="100"/>
        </w:rPr>
        <w:t>丧</w:t>
      </w:r>
      <w:r>
        <w:rPr>
          <w:w w:val="100"/>
        </w:rPr>
        <w:t>失控</w:t>
      </w:r>
      <w:r>
        <w:rPr>
          <w:spacing w:val="-3"/>
          <w:w w:val="100"/>
        </w:rPr>
        <w:t>制</w:t>
      </w:r>
      <w:r>
        <w:rPr>
          <w:w w:val="100"/>
        </w:rPr>
        <w:t>权</w:t>
      </w:r>
      <w:r>
        <w:rPr>
          <w:spacing w:val="-3"/>
          <w:w w:val="100"/>
        </w:rPr>
        <w:t>之前</w:t>
      </w:r>
      <w:r>
        <w:rPr>
          <w:w w:val="100"/>
        </w:rPr>
        <w:t>，</w:t>
      </w:r>
      <w:r>
        <w:rPr>
          <w:w w:val="100"/>
        </w:rPr>
        <w:t> 按</w:t>
      </w:r>
      <w:r>
        <w:rPr/>
        <w:t> </w:t>
      </w:r>
      <w:r>
        <w:rPr>
          <w:spacing w:val="-3"/>
          <w:w w:val="100"/>
        </w:rPr>
        <w:t>“</w:t>
      </w:r>
      <w:r>
        <w:rPr>
          <w:w w:val="100"/>
        </w:rPr>
        <w:t>不</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情况</w:t>
      </w:r>
      <w:r>
        <w:rPr>
          <w:w w:val="100"/>
        </w:rPr>
        <w:t>下部</w:t>
      </w:r>
      <w:r>
        <w:rPr>
          <w:spacing w:val="-3"/>
          <w:w w:val="100"/>
        </w:rPr>
        <w:t>分</w:t>
      </w:r>
      <w:r>
        <w:rPr>
          <w:w w:val="100"/>
        </w:rPr>
        <w:t>处</w:t>
      </w:r>
      <w:r>
        <w:rPr>
          <w:spacing w:val="-3"/>
          <w:w w:val="100"/>
        </w:rPr>
        <w:t>置</w:t>
      </w:r>
      <w:r>
        <w:rPr>
          <w:w w:val="100"/>
        </w:rPr>
        <w:t>对</w:t>
      </w:r>
      <w:r>
        <w:rPr>
          <w:spacing w:val="-3"/>
          <w:w w:val="100"/>
        </w:rPr>
        <w:t>子</w:t>
      </w:r>
      <w:r>
        <w:rPr>
          <w:w w:val="100"/>
        </w:rPr>
        <w:t>公</w:t>
      </w:r>
      <w:r>
        <w:rPr>
          <w:spacing w:val="-3"/>
          <w:w w:val="100"/>
        </w:rPr>
        <w:t>司</w:t>
      </w:r>
      <w:r>
        <w:rPr>
          <w:w w:val="100"/>
        </w:rPr>
        <w:t>的</w:t>
      </w:r>
      <w:r>
        <w:rPr>
          <w:spacing w:val="-3"/>
          <w:w w:val="100"/>
        </w:rPr>
        <w:t>股</w:t>
      </w:r>
      <w:r>
        <w:rPr>
          <w:w w:val="100"/>
        </w:rPr>
        <w:t>权投</w:t>
      </w:r>
      <w:r>
        <w:rPr>
          <w:spacing w:val="-3"/>
          <w:w w:val="100"/>
        </w:rPr>
        <w:t>资</w:t>
      </w:r>
      <w:r>
        <w:rPr>
          <w:w w:val="100"/>
        </w:rPr>
        <w:t>的</w:t>
      </w:r>
      <w:r>
        <w:rPr>
          <w:spacing w:val="-3"/>
          <w:w w:val="100"/>
        </w:rPr>
        <w:t>相</w:t>
      </w:r>
      <w:r>
        <w:rPr>
          <w:w w:val="100"/>
        </w:rPr>
        <w:t>关</w:t>
      </w:r>
      <w:r>
        <w:rPr>
          <w:spacing w:val="-3"/>
          <w:w w:val="100"/>
        </w:rPr>
        <w:t>政</w:t>
      </w:r>
      <w:r>
        <w:rPr>
          <w:w w:val="100"/>
        </w:rPr>
        <w:t>策</w:t>
      </w:r>
      <w:r>
        <w:rPr>
          <w:spacing w:val="-3"/>
          <w:w w:val="100"/>
        </w:rPr>
        <w:t>”</w:t>
      </w:r>
      <w:r>
        <w:rPr>
          <w:w w:val="100"/>
        </w:rPr>
        <w:t>进</w:t>
      </w:r>
      <w:r>
        <w:rPr>
          <w:spacing w:val="-3"/>
          <w:w w:val="100"/>
        </w:rPr>
        <w:t>行</w:t>
      </w:r>
      <w:r>
        <w:rPr>
          <w:w w:val="100"/>
        </w:rPr>
        <w:t>会计</w:t>
      </w:r>
      <w:r>
        <w:rPr>
          <w:spacing w:val="-3"/>
          <w:w w:val="100"/>
        </w:rPr>
        <w:t>处理</w:t>
      </w:r>
      <w:r>
        <w:rPr>
          <w:spacing w:val="-92"/>
          <w:w w:val="100"/>
        </w:rPr>
        <w:t>；</w:t>
      </w:r>
      <w:r>
        <w:rPr>
          <w:spacing w:val="-3"/>
          <w:w w:val="100"/>
        </w:rPr>
        <w:t>在</w:t>
      </w:r>
      <w:r>
        <w:rPr>
          <w:w w:val="100"/>
        </w:rPr>
        <w:t>丧</w:t>
      </w:r>
      <w:r>
        <w:rPr>
          <w:spacing w:val="-3"/>
          <w:w w:val="100"/>
        </w:rPr>
        <w:t>失</w:t>
      </w:r>
      <w:r>
        <w:rPr>
          <w:w w:val="100"/>
        </w:rPr>
        <w:t>控</w:t>
      </w:r>
    </w:p>
    <w:p>
      <w:pPr>
        <w:pStyle w:val="BodyText"/>
        <w:spacing w:line="247" w:lineRule="exact"/>
        <w:ind w:left="118" w:right="0"/>
        <w:jc w:val="both"/>
      </w:pPr>
      <w:r>
        <w:rPr/>
        <w:t>制权时，按处置子公司“一般处理方法”进行会计处理。</w:t>
      </w:r>
    </w:p>
    <w:p>
      <w:pPr>
        <w:pStyle w:val="BodyText"/>
        <w:spacing w:line="240" w:lineRule="auto"/>
        <w:ind w:left="538" w:right="99"/>
        <w:jc w:val="left"/>
      </w:pPr>
      <w:r>
        <w:rPr/>
        <w:t>③购买子公司少数股权</w:t>
      </w:r>
      <w:r>
        <w:rPr>
          <w:w w:val="100"/>
        </w:rPr>
        <w:t> </w:t>
      </w:r>
      <w:r>
        <w:rPr>
          <w:spacing w:val="-2"/>
        </w:rPr>
        <w:t>本公司因购买少数股权新取得的长期股权投资与按照新增持股比例计算应享有子公司自购买</w:t>
      </w:r>
    </w:p>
    <w:p>
      <w:pPr>
        <w:pStyle w:val="BodyText"/>
        <w:spacing w:line="274" w:lineRule="exact" w:before="22"/>
        <w:ind w:left="118" w:right="317"/>
        <w:jc w:val="both"/>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spacing w:line="246" w:lineRule="exact"/>
        <w:ind w:left="538" w:right="99"/>
        <w:jc w:val="left"/>
      </w:pPr>
      <w:r>
        <w:rPr/>
        <w:t>④不丧失控制权的情况下部分处置对子公司的长期股权投资</w:t>
      </w:r>
    </w:p>
    <w:p>
      <w:pPr>
        <w:spacing w:after="0" w:line="246" w:lineRule="exact"/>
        <w:jc w:val="left"/>
        <w:sectPr>
          <w:footerReference w:type="default" r:id="rId67"/>
          <w:pgSz w:w="11910" w:h="16840"/>
          <w:pgMar w:footer="1248" w:header="946" w:top="1300" w:bottom="1440" w:left="1680" w:right="960"/>
        </w:sectPr>
      </w:pPr>
    </w:p>
    <w:p>
      <w:pPr>
        <w:spacing w:line="240" w:lineRule="auto" w:before="2"/>
        <w:rPr>
          <w:rFonts w:ascii="宋体" w:hAnsi="宋体" w:cs="宋体" w:eastAsia="宋体" w:hint="default"/>
          <w:sz w:val="11"/>
          <w:szCs w:val="11"/>
        </w:rPr>
      </w:pPr>
    </w:p>
    <w:p>
      <w:pPr>
        <w:pStyle w:val="BodyText"/>
        <w:spacing w:line="237" w:lineRule="auto" w:before="38"/>
        <w:ind w:left="118" w:right="217" w:firstLine="419"/>
        <w:jc w:val="both"/>
      </w:pPr>
      <w:r>
        <w:rPr>
          <w:spacing w:val="-2"/>
        </w:rPr>
        <w:t>在不丧失控制权的情况下因部分处置对子公司的长期股权投资而取得的处置价款与处置长期</w:t>
      </w:r>
      <w:r>
        <w:rPr>
          <w:w w:val="100"/>
        </w:rPr>
        <w:t> </w:t>
      </w: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206"/>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60" w:val="left" w:leader="none"/>
        </w:tabs>
        <w:spacing w:line="272" w:lineRule="exact" w:before="86"/>
        <w:ind w:left="538" w:right="5261" w:hanging="420"/>
        <w:jc w:val="left"/>
      </w:pPr>
      <w:r>
        <w:rPr>
          <w:spacing w:val="-1"/>
        </w:rPr>
        <w:t>√适用</w:t>
        <w:tab/>
      </w:r>
      <w:r>
        <w:rPr>
          <w:spacing w:val="-2"/>
        </w:rPr>
        <w:t>□不适用</w:t>
      </w:r>
      <w:r>
        <w:rPr>
          <w:spacing w:val="-99"/>
        </w:rPr>
        <w:t> </w:t>
      </w:r>
      <w:r>
        <w:rPr>
          <w:spacing w:val="-99"/>
        </w:rPr>
      </w:r>
      <w:r>
        <w:rPr>
          <w:spacing w:val="-2"/>
        </w:rPr>
        <w:t>合营安排分为共同经营和合营企业。</w:t>
      </w:r>
    </w:p>
    <w:p>
      <w:pPr>
        <w:pStyle w:val="BodyText"/>
        <w:spacing w:line="272" w:lineRule="exact" w:before="1"/>
        <w:ind w:left="538" w:right="206"/>
        <w:jc w:val="left"/>
      </w:pPr>
      <w:r>
        <w:rPr>
          <w:spacing w:val="-7"/>
          <w:w w:val="100"/>
        </w:rPr>
        <w:t>当本公司是合营安排的合营方，享有该安排相关资产且承担该安排相关负债时，为共同经营。</w:t>
      </w:r>
      <w:r>
        <w:rPr>
          <w:spacing w:val="-76"/>
          <w:w w:val="100"/>
        </w:rPr>
        <w:t> </w:t>
      </w:r>
      <w:r>
        <w:rPr>
          <w:spacing w:val="-76"/>
          <w:w w:val="100"/>
        </w:rPr>
      </w:r>
      <w:r>
        <w:rPr>
          <w:spacing w:val="-2"/>
        </w:rPr>
        <w:t>本公司确认与共同经营中利益份额相关的下列项目，并按照相关企业会计准则的规定进行会</w:t>
      </w:r>
    </w:p>
    <w:p>
      <w:pPr>
        <w:pStyle w:val="BodyText"/>
        <w:spacing w:line="247" w:lineRule="exact"/>
        <w:ind w:left="118" w:right="206"/>
        <w:jc w:val="left"/>
      </w:pPr>
      <w:r>
        <w:rPr/>
        <w:t>计处理：</w:t>
      </w:r>
    </w:p>
    <w:p>
      <w:pPr>
        <w:pStyle w:val="BodyText"/>
        <w:spacing w:line="272" w:lineRule="exact"/>
        <w:ind w:left="538" w:right="206"/>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73" w:lineRule="exact"/>
        <w:ind w:left="538" w:right="206"/>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73" w:lineRule="exact"/>
        <w:ind w:left="538" w:right="206"/>
        <w:jc w:val="left"/>
      </w:pPr>
      <w:r>
        <w:rPr/>
        <w:t>（</w:t>
      </w:r>
      <w:r>
        <w:rPr>
          <w:rFonts w:ascii="宋体" w:hAnsi="宋体" w:cs="宋体" w:eastAsia="宋体" w:hint="default"/>
        </w:rPr>
        <w:t>3</w:t>
      </w:r>
      <w:r>
        <w:rPr/>
        <w:t>）确认出售本公司享有的共同经营产出份额所产生的收入；</w:t>
      </w:r>
    </w:p>
    <w:p>
      <w:pPr>
        <w:pStyle w:val="BodyText"/>
        <w:spacing w:line="272" w:lineRule="exact"/>
        <w:ind w:left="538" w:right="206"/>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ind w:left="538" w:right="206"/>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本公司对合营企业投资的会计政策见本附注“五、</w:t>
      </w:r>
      <w:r>
        <w:rPr>
          <w:rFonts w:ascii="宋体" w:hAnsi="宋体" w:cs="宋体" w:eastAsia="宋体" w:hint="default"/>
        </w:rPr>
        <w:t>14.</w:t>
      </w:r>
      <w:r>
        <w:rPr/>
        <w:t>长期股权投资”。</w:t>
      </w:r>
    </w:p>
    <w:p>
      <w:pPr>
        <w:spacing w:line="240" w:lineRule="auto" w:before="3"/>
        <w:rPr>
          <w:rFonts w:ascii="宋体" w:hAnsi="宋体" w:cs="宋体" w:eastAsia="宋体" w:hint="default"/>
          <w:sz w:val="25"/>
          <w:szCs w:val="25"/>
        </w:rPr>
      </w:pPr>
    </w:p>
    <w:p>
      <w:pPr>
        <w:tabs>
          <w:tab w:pos="542" w:val="left" w:leader="none"/>
        </w:tabs>
        <w:spacing w:line="290" w:lineRule="auto" w:before="0"/>
        <w:ind w:left="538" w:right="21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26" w:lineRule="exact"/>
        <w:ind w:left="118" w:right="96"/>
        <w:jc w:val="left"/>
      </w:pPr>
      <w:r>
        <w:rPr/>
        <w:t>具备期限短（从购买日起三个月内到期）、流动性强、易于转换为已知现金、价值变动风险很小</w:t>
      </w:r>
    </w:p>
    <w:p>
      <w:pPr>
        <w:pStyle w:val="BodyText"/>
        <w:spacing w:line="274" w:lineRule="exact"/>
        <w:ind w:left="118" w:right="206"/>
        <w:jc w:val="left"/>
      </w:pPr>
      <w:r>
        <w:rPr/>
        <w:t>四个条件的投资，确定为现金等价物。</w:t>
      </w:r>
    </w:p>
    <w:p>
      <w:pPr>
        <w:spacing w:line="240" w:lineRule="auto" w:before="3"/>
        <w:rPr>
          <w:rFonts w:ascii="宋体" w:hAnsi="宋体" w:cs="宋体" w:eastAsia="宋体" w:hint="default"/>
          <w:sz w:val="25"/>
          <w:szCs w:val="25"/>
        </w:rPr>
      </w:pPr>
    </w:p>
    <w:p>
      <w:pPr>
        <w:pStyle w:val="Heading4"/>
        <w:tabs>
          <w:tab w:pos="542" w:val="left" w:leader="none"/>
        </w:tabs>
        <w:spacing w:line="240" w:lineRule="auto"/>
        <w:ind w:left="118" w:right="206"/>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60" w:val="left" w:leader="none"/>
        </w:tabs>
        <w:spacing w:line="274" w:lineRule="exact" w:before="56"/>
        <w:ind w:left="118" w:right="206"/>
        <w:jc w:val="left"/>
      </w:pPr>
      <w:r>
        <w:rPr>
          <w:spacing w:val="-1"/>
        </w:rPr>
        <w:t>√适用</w:t>
        <w:tab/>
      </w:r>
      <w:r>
        <w:rPr>
          <w:spacing w:val="-2"/>
        </w:rPr>
        <w:t>□不适用</w:t>
      </w:r>
    </w:p>
    <w:p>
      <w:pPr>
        <w:pStyle w:val="BodyText"/>
        <w:spacing w:line="237" w:lineRule="auto" w:before="2"/>
        <w:ind w:left="538" w:right="206"/>
        <w:jc w:val="left"/>
      </w:pPr>
      <w:r>
        <w:rPr/>
        <w:t>（</w:t>
      </w:r>
      <w:r>
        <w:rPr>
          <w:rFonts w:ascii="宋体" w:hAnsi="宋体" w:cs="宋体" w:eastAsia="宋体" w:hint="default"/>
        </w:rPr>
        <w:t>1</w:t>
      </w:r>
      <w:r>
        <w:rPr/>
        <w:t>）外币业务</w:t>
      </w:r>
      <w:r>
        <w:rPr>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w:t>
      </w:r>
    </w:p>
    <w:p>
      <w:pPr>
        <w:pStyle w:val="BodyText"/>
        <w:spacing w:line="274" w:lineRule="exact" w:before="22"/>
        <w:ind w:left="118" w:right="206"/>
        <w:jc w:val="left"/>
      </w:pPr>
      <w:r>
        <w:rPr>
          <w:spacing w:val="-2"/>
        </w:rPr>
        <w:t>属于与购建符合资本化条件的资产相关的外币专门借款产生的汇兑差额按照借款费用资本化的原</w:t>
      </w:r>
      <w:r>
        <w:rPr>
          <w:spacing w:val="-25"/>
        </w:rPr>
        <w:t> </w:t>
      </w:r>
      <w:r>
        <w:rPr>
          <w:spacing w:val="-25"/>
        </w:rPr>
      </w:r>
      <w:r>
        <w:rPr/>
        <w:t>则处理外，均计入当期损益。</w:t>
      </w:r>
    </w:p>
    <w:p>
      <w:pPr>
        <w:spacing w:line="240" w:lineRule="auto" w:before="11"/>
        <w:rPr>
          <w:rFonts w:ascii="宋体" w:hAnsi="宋体" w:cs="宋体" w:eastAsia="宋体" w:hint="default"/>
          <w:sz w:val="20"/>
          <w:szCs w:val="20"/>
        </w:rPr>
      </w:pPr>
    </w:p>
    <w:p>
      <w:pPr>
        <w:pStyle w:val="BodyText"/>
        <w:spacing w:line="272" w:lineRule="exact"/>
        <w:ind w:left="538" w:right="206"/>
        <w:jc w:val="left"/>
      </w:pPr>
      <w:r>
        <w:rPr/>
        <w:t>（</w:t>
      </w:r>
      <w:r>
        <w:rPr>
          <w:rFonts w:ascii="宋体" w:hAnsi="宋体" w:cs="宋体" w:eastAsia="宋体" w:hint="default"/>
        </w:rPr>
        <w:t>2</w:t>
      </w:r>
      <w:r>
        <w:rPr/>
        <w:t>）外币财务报表的折算</w:t>
      </w:r>
      <w:r>
        <w:rPr>
          <w:w w:val="100"/>
        </w:rPr>
        <w:t> </w:t>
      </w:r>
      <w:r>
        <w:rPr>
          <w:spacing w:val="-7"/>
        </w:rPr>
        <w:t>资产负债表中的资产和负债项目，采用资产负债表日的即期汇率折算；所有者权益项目除“未</w:t>
      </w:r>
    </w:p>
    <w:p>
      <w:pPr>
        <w:pStyle w:val="BodyText"/>
        <w:spacing w:line="272" w:lineRule="exact" w:before="1"/>
        <w:ind w:left="118" w:right="206"/>
        <w:jc w:val="left"/>
      </w:pPr>
      <w:r>
        <w:rPr>
          <w:spacing w:val="-2"/>
        </w:rPr>
        <w:t>分配利润”项目外，其他项目采用交易发生时的即期汇率折算。利润表中的收入和费用项目，采</w:t>
      </w:r>
      <w:r>
        <w:rPr>
          <w:spacing w:val="-25"/>
        </w:rPr>
        <w:t> </w:t>
      </w:r>
      <w:r>
        <w:rPr>
          <w:spacing w:val="-25"/>
        </w:rPr>
      </w:r>
      <w:r>
        <w:rPr/>
        <w:t>用报告期平均汇率折算。</w:t>
      </w:r>
    </w:p>
    <w:p>
      <w:pPr>
        <w:pStyle w:val="BodyText"/>
        <w:spacing w:line="272" w:lineRule="exact" w:before="1"/>
        <w:ind w:left="118" w:right="217" w:firstLine="419"/>
        <w:jc w:val="both"/>
      </w:pPr>
      <w:r>
        <w:rPr>
          <w:spacing w:val="-2"/>
        </w:rPr>
        <w:t>处置境外经营时，将与该境外经营相关的外币财务报表折算差额，自所有者权益项目转入处</w:t>
      </w:r>
      <w:r>
        <w:rPr>
          <w:w w:val="100"/>
        </w:rPr>
        <w:t> </w:t>
      </w:r>
      <w:r>
        <w:rPr/>
        <w:t>置当期损益。</w:t>
      </w:r>
    </w:p>
    <w:p>
      <w:pPr>
        <w:spacing w:line="240" w:lineRule="auto" w:before="4"/>
        <w:rPr>
          <w:rFonts w:ascii="宋体" w:hAnsi="宋体" w:cs="宋体" w:eastAsia="宋体" w:hint="default"/>
          <w:sz w:val="23"/>
          <w:szCs w:val="23"/>
        </w:rPr>
      </w:pPr>
    </w:p>
    <w:p>
      <w:pPr>
        <w:pStyle w:val="Heading4"/>
        <w:spacing w:line="240" w:lineRule="auto"/>
        <w:ind w:left="118" w:right="206"/>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60" w:val="left" w:leader="none"/>
        </w:tabs>
        <w:spacing w:line="272" w:lineRule="exact" w:before="86"/>
        <w:ind w:left="538" w:right="4212" w:hanging="420"/>
        <w:jc w:val="left"/>
      </w:pPr>
      <w:r>
        <w:rPr>
          <w:spacing w:val="-1"/>
        </w:rPr>
        <w:t>√适用</w:t>
        <w:tab/>
      </w:r>
      <w:r>
        <w:rPr>
          <w:spacing w:val="-2"/>
        </w:rPr>
        <w:t>□不适用</w:t>
      </w:r>
      <w:r>
        <w:rPr>
          <w:spacing w:val="-99"/>
        </w:rPr>
        <w:t> </w:t>
      </w:r>
      <w:r>
        <w:rPr>
          <w:spacing w:val="-99"/>
        </w:rPr>
      </w:r>
      <w:r>
        <w:rPr>
          <w:spacing w:val="-2"/>
        </w:rPr>
        <w:t>金融工具包括金融资产、金融负债和权益工具。</w:t>
      </w:r>
    </w:p>
    <w:p>
      <w:pPr>
        <w:pStyle w:val="BodyText"/>
        <w:spacing w:line="246" w:lineRule="exact"/>
        <w:ind w:left="538" w:right="206"/>
        <w:jc w:val="left"/>
      </w:pPr>
      <w:r>
        <w:rPr/>
        <w:t>（</w:t>
      </w:r>
      <w:r>
        <w:rPr>
          <w:rFonts w:ascii="宋体" w:hAnsi="宋体" w:cs="宋体" w:eastAsia="宋体" w:hint="default"/>
        </w:rPr>
        <w:t>1</w:t>
      </w:r>
      <w:r>
        <w:rPr/>
        <w:t>）金融工具的分类</w:t>
      </w:r>
    </w:p>
    <w:p>
      <w:pPr>
        <w:pStyle w:val="BodyText"/>
        <w:spacing w:line="237" w:lineRule="auto" w:before="2"/>
        <w:ind w:left="118" w:right="210" w:firstLine="419"/>
        <w:jc w:val="both"/>
      </w:pPr>
      <w:r>
        <w:rPr>
          <w:spacing w:val="-2"/>
        </w:rPr>
        <w:t>金融资产和金融负债于初始确认时分类为：以公允价值计量且其变动计入当期损益的金融资</w:t>
      </w:r>
      <w:r>
        <w:rPr>
          <w:w w:val="100"/>
        </w:rPr>
        <w:t> </w:t>
      </w:r>
      <w:r>
        <w:rPr>
          <w:spacing w:val="-2"/>
        </w:rPr>
        <w:t>产或金融负债，包括交易性金融资产或金融负债和直接指定为以公允价值计量且其变动计入当期</w:t>
      </w:r>
      <w:r>
        <w:rPr>
          <w:spacing w:val="-25"/>
        </w:rPr>
        <w:t> </w:t>
      </w:r>
      <w:r>
        <w:rPr>
          <w:spacing w:val="-25"/>
        </w:rPr>
      </w:r>
      <w:r>
        <w:rPr>
          <w:spacing w:val="-7"/>
        </w:rPr>
        <w:t>损益的金融资产或金融负债、持有至到期投资、应收款项、可供出售金融资产、其他金融负债等。</w:t>
      </w:r>
    </w:p>
    <w:p>
      <w:pPr>
        <w:spacing w:line="240" w:lineRule="auto" w:before="9"/>
        <w:rPr>
          <w:rFonts w:ascii="宋体" w:hAnsi="宋体" w:cs="宋体" w:eastAsia="宋体" w:hint="default"/>
          <w:sz w:val="20"/>
          <w:szCs w:val="20"/>
        </w:rPr>
      </w:pPr>
    </w:p>
    <w:p>
      <w:pPr>
        <w:pStyle w:val="BodyText"/>
        <w:spacing w:line="273" w:lineRule="exact"/>
        <w:ind w:left="538" w:right="206"/>
        <w:jc w:val="left"/>
      </w:pPr>
      <w:r>
        <w:rPr/>
        <w:t>（</w:t>
      </w:r>
      <w:r>
        <w:rPr>
          <w:rFonts w:ascii="宋体" w:hAnsi="宋体" w:cs="宋体" w:eastAsia="宋体" w:hint="default"/>
        </w:rPr>
        <w:t>2</w:t>
      </w:r>
      <w:r>
        <w:rPr/>
        <w:t>）金融工具的确认依据和计量方法</w:t>
      </w:r>
    </w:p>
    <w:p>
      <w:pPr>
        <w:pStyle w:val="BodyText"/>
        <w:spacing w:line="240" w:lineRule="auto"/>
        <w:ind w:left="538" w:right="96"/>
        <w:jc w:val="left"/>
      </w:pPr>
      <w:r>
        <w:rPr/>
        <w:t>①以公允价值计量且其变动计入当期损益的金融资产（金融负债）</w:t>
      </w:r>
      <w:r>
        <w:rPr>
          <w:w w:val="100"/>
        </w:rPr>
        <w:t> </w:t>
      </w:r>
      <w:r>
        <w:rPr>
          <w:spacing w:val="-4"/>
          <w:w w:val="100"/>
        </w:rPr>
        <w:t>取得时以公允价值（扣除已宣告但尚未发放的现金股利或已到付息期但尚未领取的债券利息）</w:t>
      </w:r>
    </w:p>
    <w:p>
      <w:pPr>
        <w:pStyle w:val="BodyText"/>
        <w:spacing w:line="271" w:lineRule="exact"/>
        <w:ind w:left="118" w:right="206"/>
        <w:jc w:val="left"/>
      </w:pPr>
      <w:r>
        <w:rPr/>
        <w:t>作为初始确认金额，相关的交易费用计入当期损益。</w:t>
      </w:r>
    </w:p>
    <w:p>
      <w:pPr>
        <w:spacing w:after="0" w:line="271" w:lineRule="exact"/>
        <w:jc w:val="left"/>
        <w:sectPr>
          <w:footerReference w:type="default" r:id="rId68"/>
          <w:pgSz w:w="11910" w:h="16840"/>
          <w:pgMar w:footer="1248" w:header="946" w:top="1300" w:bottom="1440" w:left="1680" w:right="1060"/>
          <w:pgNumType w:start="91"/>
        </w:sectPr>
      </w:pPr>
    </w:p>
    <w:p>
      <w:pPr>
        <w:spacing w:line="240" w:lineRule="auto" w:before="2"/>
        <w:rPr>
          <w:rFonts w:ascii="宋体" w:hAnsi="宋体" w:cs="宋体" w:eastAsia="宋体" w:hint="default"/>
          <w:sz w:val="11"/>
          <w:szCs w:val="11"/>
        </w:rPr>
      </w:pPr>
    </w:p>
    <w:p>
      <w:pPr>
        <w:pStyle w:val="BodyText"/>
        <w:spacing w:line="240" w:lineRule="auto" w:before="36"/>
        <w:ind w:left="538" w:right="206"/>
        <w:jc w:val="left"/>
      </w:pP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w:t>
      </w:r>
    </w:p>
    <w:p>
      <w:pPr>
        <w:pStyle w:val="BodyText"/>
        <w:spacing w:line="271" w:lineRule="exact"/>
        <w:ind w:left="118" w:right="206"/>
        <w:jc w:val="left"/>
      </w:pPr>
      <w:r>
        <w:rPr/>
        <w:t>益。</w:t>
      </w:r>
    </w:p>
    <w:p>
      <w:pPr>
        <w:pStyle w:val="BodyText"/>
        <w:spacing w:line="272" w:lineRule="exact" w:before="27"/>
        <w:ind w:left="538" w:right="206"/>
        <w:jc w:val="left"/>
      </w:pPr>
      <w:r>
        <w:rPr/>
        <w:t>②持有至到期投资</w:t>
      </w:r>
      <w:r>
        <w:rPr>
          <w:w w:val="100"/>
        </w:rPr>
        <w:t> </w:t>
      </w:r>
      <w:r>
        <w:rPr>
          <w:spacing w:val="-2"/>
        </w:rPr>
        <w:t>取得时按公允价值（扣除已到付息期但尚未领取的债券利息）和相关交易费用之和作为初始</w:t>
      </w:r>
    </w:p>
    <w:p>
      <w:pPr>
        <w:pStyle w:val="BodyText"/>
        <w:spacing w:line="247" w:lineRule="exact"/>
        <w:ind w:left="118" w:right="206"/>
        <w:jc w:val="left"/>
      </w:pPr>
      <w:r>
        <w:rPr/>
        <w:t>确认金额。</w:t>
      </w:r>
    </w:p>
    <w:p>
      <w:pPr>
        <w:pStyle w:val="BodyText"/>
        <w:spacing w:line="237" w:lineRule="auto"/>
        <w:ind w:left="118" w:right="217" w:firstLine="419"/>
        <w:jc w:val="both"/>
      </w:pPr>
      <w:r>
        <w:rPr>
          <w:spacing w:val="-2"/>
        </w:rPr>
        <w:t>持有期间按照摊余成本和实际利率（如实际利率与票面利率差别较小的，按票面利率）计算</w:t>
      </w:r>
      <w:r>
        <w:rPr>
          <w:w w:val="100"/>
        </w:rPr>
        <w:t> </w:t>
      </w:r>
      <w:r>
        <w:rPr>
          <w:spacing w:val="-2"/>
        </w:rPr>
        <w:t>确认利息收入，计入投资收益。实际利率在取得时确定，在该预期存续期间或适用的更短期间内</w:t>
      </w:r>
      <w:r>
        <w:rPr>
          <w:spacing w:val="-25"/>
        </w:rPr>
        <w:t> </w:t>
      </w:r>
      <w:r>
        <w:rPr>
          <w:spacing w:val="-25"/>
        </w:rPr>
      </w:r>
      <w:r>
        <w:rPr/>
        <w:t>保持不变。</w:t>
      </w:r>
    </w:p>
    <w:p>
      <w:pPr>
        <w:pStyle w:val="BodyText"/>
        <w:spacing w:line="272" w:lineRule="exact"/>
        <w:ind w:left="538" w:right="206"/>
        <w:jc w:val="left"/>
      </w:pPr>
      <w:r>
        <w:rPr/>
        <w:t>处置时，将所取得价款与该投资账面价值之间的差额计入投资收益。</w:t>
      </w:r>
    </w:p>
    <w:p>
      <w:pPr>
        <w:pStyle w:val="BodyText"/>
        <w:spacing w:line="240" w:lineRule="auto"/>
        <w:ind w:left="538" w:right="206"/>
        <w:jc w:val="left"/>
      </w:pPr>
      <w:r>
        <w:rPr/>
        <w:t>③应收款项</w:t>
      </w:r>
      <w:r>
        <w:rPr>
          <w:spacing w:val="-102"/>
        </w:rPr>
        <w:t> </w:t>
      </w:r>
      <w:r>
        <w:rPr>
          <w:spacing w:val="-102"/>
        </w:rPr>
      </w:r>
      <w:r>
        <w:rPr>
          <w:spacing w:val="-2"/>
        </w:rPr>
        <w:t>公司对外销售商品或提供劳务形成的应收债权，以及公司持有的其他企业的不包括在活跃市</w:t>
      </w:r>
    </w:p>
    <w:p>
      <w:pPr>
        <w:pStyle w:val="BodyText"/>
        <w:spacing w:line="274" w:lineRule="exact" w:before="23"/>
        <w:ind w:left="118" w:right="206"/>
        <w:jc w:val="left"/>
      </w:pPr>
      <w:r>
        <w:rPr>
          <w:spacing w:val="-2"/>
        </w:rPr>
        <w:t>场上有报价的债务工具的债权，包括应收账款、其他应收款等，以向购货方应收的合同或协议价</w:t>
      </w:r>
      <w:r>
        <w:rPr>
          <w:spacing w:val="-25"/>
        </w:rPr>
        <w:t> </w:t>
      </w:r>
      <w:r>
        <w:rPr>
          <w:spacing w:val="-25"/>
        </w:rPr>
      </w:r>
      <w:r>
        <w:rPr/>
        <w:t>款作为初始确认金额；具有融资性质的，按其现值进行初始确认。</w:t>
      </w:r>
    </w:p>
    <w:p>
      <w:pPr>
        <w:pStyle w:val="BodyText"/>
        <w:spacing w:line="246" w:lineRule="exact"/>
        <w:ind w:left="538" w:right="206"/>
        <w:jc w:val="left"/>
      </w:pPr>
      <w:r>
        <w:rPr/>
        <w:t>收回或处置时，将取得的价款与该应收款项账面价值之间的差额计入当期损益。</w:t>
      </w:r>
    </w:p>
    <w:p>
      <w:pPr>
        <w:spacing w:line="240" w:lineRule="auto" w:before="8"/>
        <w:rPr>
          <w:rFonts w:ascii="宋体" w:hAnsi="宋体" w:cs="宋体" w:eastAsia="宋体" w:hint="default"/>
          <w:sz w:val="20"/>
          <w:szCs w:val="20"/>
        </w:rPr>
      </w:pPr>
    </w:p>
    <w:p>
      <w:pPr>
        <w:pStyle w:val="BodyText"/>
        <w:spacing w:line="240" w:lineRule="auto"/>
        <w:ind w:left="538" w:right="96"/>
        <w:jc w:val="left"/>
      </w:pPr>
      <w:r>
        <w:rPr/>
        <w:t>④可供出售金融资产</w:t>
      </w:r>
      <w:r>
        <w:rPr>
          <w:w w:val="100"/>
        </w:rPr>
        <w:t> </w:t>
      </w:r>
      <w:r>
        <w:rPr>
          <w:spacing w:val="-4"/>
          <w:w w:val="100"/>
        </w:rPr>
        <w:t>取得时按公允价值（扣除已宣告但尚未发放的现金股利或已到付息期但尚未领取的债券利息）</w:t>
      </w:r>
    </w:p>
    <w:p>
      <w:pPr>
        <w:pStyle w:val="BodyText"/>
        <w:spacing w:line="272" w:lineRule="exact" w:before="24"/>
        <w:ind w:left="538" w:right="206" w:hanging="420"/>
        <w:jc w:val="left"/>
      </w:pPr>
      <w:r>
        <w:rPr/>
        <w:t>和相关交易费用之和作为初始确认金额。</w:t>
      </w:r>
      <w:r>
        <w:rPr>
          <w:w w:val="100"/>
        </w:rPr>
        <w:t> </w:t>
      </w:r>
      <w:r>
        <w:rPr>
          <w:spacing w:val="-2"/>
        </w:rPr>
        <w:t>持有期间将取得的利息或现金股利确认为投资收益。期末以公允价值计量且将公允价值变动</w:t>
      </w:r>
    </w:p>
    <w:p>
      <w:pPr>
        <w:pStyle w:val="BodyText"/>
        <w:spacing w:line="272" w:lineRule="exact" w:before="1"/>
        <w:ind w:left="118" w:right="206"/>
        <w:jc w:val="left"/>
      </w:pPr>
      <w:r>
        <w:rPr>
          <w:spacing w:val="-2"/>
        </w:rPr>
        <w:t>计入其他综合收益。但是，在活跃市场中没有报价且其公允价值不能可靠计量的权益工具投资，</w:t>
      </w:r>
      <w:r>
        <w:rPr>
          <w:spacing w:val="-25"/>
        </w:rPr>
        <w:t> </w:t>
      </w:r>
      <w:r>
        <w:rPr>
          <w:spacing w:val="-25"/>
        </w:rPr>
      </w:r>
      <w:r>
        <w:rPr/>
        <w:t>以及与该权益工具挂钩并须通过交付该权益工具结算的衍生金融资产，按照成本计量。</w:t>
      </w:r>
    </w:p>
    <w:p>
      <w:pPr>
        <w:pStyle w:val="BodyText"/>
        <w:spacing w:line="272" w:lineRule="exact" w:before="1"/>
        <w:ind w:left="118" w:right="217" w:firstLine="419"/>
        <w:jc w:val="both"/>
      </w:pPr>
      <w:r>
        <w:rPr>
          <w:spacing w:val="-2"/>
        </w:rPr>
        <w:t>处置时，将取得的价款与该金融资产账面价值之间的差额，计入投资损益；同时，将原直接</w:t>
      </w:r>
      <w:r>
        <w:rPr>
          <w:w w:val="100"/>
        </w:rPr>
        <w:t> </w:t>
      </w:r>
      <w:r>
        <w:rPr/>
        <w:t>计入所有者权益的公允价值变动累计额对应处置部分的金额转出，计入投资损益。</w:t>
      </w:r>
    </w:p>
    <w:p>
      <w:pPr>
        <w:pStyle w:val="BodyText"/>
        <w:spacing w:line="272" w:lineRule="exact" w:before="2"/>
        <w:ind w:left="538" w:right="206"/>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240" w:lineRule="auto" w:before="10"/>
        <w:rPr>
          <w:rFonts w:ascii="宋体" w:hAnsi="宋体" w:cs="宋体" w:eastAsia="宋体" w:hint="default"/>
          <w:sz w:val="18"/>
          <w:szCs w:val="18"/>
        </w:rPr>
      </w:pPr>
    </w:p>
    <w:p>
      <w:pPr>
        <w:pStyle w:val="BodyText"/>
        <w:spacing w:line="240" w:lineRule="auto"/>
        <w:ind w:left="538" w:right="206"/>
        <w:jc w:val="left"/>
      </w:pPr>
      <w:r>
        <w:rPr/>
        <w:t>（</w:t>
      </w:r>
      <w:r>
        <w:rPr>
          <w:rFonts w:ascii="宋体" w:hAnsi="宋体" w:cs="宋体" w:eastAsia="宋体" w:hint="default"/>
        </w:rPr>
        <w:t>3</w:t>
      </w:r>
      <w:r>
        <w:rPr/>
        <w:t>）金融资产转移的确认依据和计量方法</w:t>
      </w:r>
      <w:r>
        <w:rPr>
          <w:w w:val="100"/>
        </w:rPr>
        <w:t> </w:t>
      </w:r>
      <w:r>
        <w:rPr>
          <w:spacing w:val="-2"/>
        </w:rPr>
        <w:t>公司发生金融资产转移时，如已将金融资产所有权上几乎所有的风险和报酬转移给转入方，</w:t>
      </w:r>
    </w:p>
    <w:p>
      <w:pPr>
        <w:pStyle w:val="BodyText"/>
        <w:spacing w:line="274" w:lineRule="exact" w:before="22"/>
        <w:ind w:left="118" w:right="206"/>
        <w:jc w:val="left"/>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245" w:lineRule="exact"/>
        <w:ind w:left="538" w:right="96"/>
        <w:jc w:val="left"/>
      </w:pPr>
      <w:r>
        <w:rPr/>
        <w:t>在判断金融资产转移是否满足上述金融资产终止确认条件时，采用实质重于形式的原则。公</w:t>
      </w:r>
    </w:p>
    <w:p>
      <w:pPr>
        <w:pStyle w:val="BodyText"/>
        <w:spacing w:line="272" w:lineRule="exact" w:before="27"/>
        <w:ind w:left="118" w:right="96"/>
        <w:jc w:val="left"/>
      </w:pP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7" w:lineRule="exact"/>
        <w:ind w:left="538" w:right="206"/>
        <w:jc w:val="left"/>
      </w:pPr>
      <w:r>
        <w:rPr/>
        <w:t>①所转移金融资产的账面价值；</w:t>
      </w:r>
    </w:p>
    <w:p>
      <w:pPr>
        <w:pStyle w:val="BodyText"/>
        <w:spacing w:line="240" w:lineRule="auto"/>
        <w:ind w:left="118" w:right="217" w:firstLine="419"/>
        <w:jc w:val="both"/>
      </w:pPr>
      <w:r>
        <w:rPr>
          <w:spacing w:val="-2"/>
        </w:rPr>
        <w:t>②因转移而收到的对价，与原直接计入所有者权益的公允价值变动累计额（涉及转移的金融</w:t>
      </w:r>
      <w:r>
        <w:rPr>
          <w:w w:val="100"/>
        </w:rPr>
        <w:t> </w:t>
      </w:r>
      <w:r>
        <w:rPr/>
        <w:t>资产为可供出售金融资产的情形）之和。</w:t>
      </w:r>
    </w:p>
    <w:p>
      <w:pPr>
        <w:spacing w:line="240" w:lineRule="auto" w:before="10"/>
        <w:rPr>
          <w:rFonts w:ascii="宋体" w:hAnsi="宋体" w:cs="宋体" w:eastAsia="宋体" w:hint="default"/>
          <w:sz w:val="22"/>
          <w:szCs w:val="22"/>
        </w:rPr>
      </w:pPr>
    </w:p>
    <w:p>
      <w:pPr>
        <w:pStyle w:val="BodyText"/>
        <w:spacing w:line="272" w:lineRule="exact"/>
        <w:ind w:left="118"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7" w:lineRule="exact"/>
        <w:ind w:left="538" w:right="206"/>
        <w:jc w:val="left"/>
      </w:pPr>
      <w:r>
        <w:rPr/>
        <w:t>①终止确认部分的账面价值；</w:t>
      </w:r>
    </w:p>
    <w:p>
      <w:pPr>
        <w:pStyle w:val="BodyText"/>
        <w:spacing w:line="240" w:lineRule="auto"/>
        <w:ind w:left="118" w:right="217" w:firstLine="419"/>
        <w:jc w:val="both"/>
      </w:pPr>
      <w:r>
        <w:rPr>
          <w:spacing w:val="-2"/>
        </w:rPr>
        <w:t>②终止确认部分的对价，与原直接计入所有者权益的公允价值变动累计额中对应终止确认部</w:t>
      </w:r>
      <w:r>
        <w:rPr>
          <w:w w:val="100"/>
        </w:rPr>
        <w:t> </w:t>
      </w:r>
      <w:r>
        <w:rPr/>
        <w:t>分的金额之和。</w:t>
      </w:r>
    </w:p>
    <w:p>
      <w:pPr>
        <w:pStyle w:val="BodyText"/>
        <w:spacing w:line="274" w:lineRule="exact" w:before="22"/>
        <w:ind w:left="118" w:right="217" w:firstLine="419"/>
        <w:jc w:val="both"/>
      </w:pPr>
      <w:r>
        <w:rPr>
          <w:spacing w:val="-2"/>
        </w:rPr>
        <w:t>金融资产转移不满足终止确认条件的，继续确认该金融资产，所收到的对价确认为一项金融</w:t>
      </w:r>
      <w:r>
        <w:rPr>
          <w:w w:val="100"/>
        </w:rPr>
        <w:t> </w:t>
      </w:r>
      <w:r>
        <w:rPr/>
        <w:t>负债。</w:t>
      </w:r>
    </w:p>
    <w:p>
      <w:pPr>
        <w:pStyle w:val="BodyText"/>
        <w:spacing w:line="245" w:lineRule="exact"/>
        <w:ind w:left="538" w:right="206"/>
        <w:jc w:val="left"/>
      </w:pPr>
      <w:r>
        <w:rPr/>
        <w:t>（</w:t>
      </w:r>
      <w:r>
        <w:rPr>
          <w:rFonts w:ascii="宋体" w:hAnsi="宋体" w:cs="宋体" w:eastAsia="宋体" w:hint="default"/>
        </w:rPr>
        <w:t>4</w:t>
      </w:r>
      <w:r>
        <w:rPr/>
        <w:t>）金融负债终止确认条件</w:t>
      </w:r>
    </w:p>
    <w:p>
      <w:pPr>
        <w:pStyle w:val="BodyText"/>
        <w:spacing w:line="237" w:lineRule="auto" w:before="2"/>
        <w:ind w:left="118" w:right="217" w:firstLine="419"/>
        <w:jc w:val="both"/>
      </w:pPr>
      <w:r>
        <w:rPr>
          <w:spacing w:val="-2"/>
        </w:rPr>
        <w:t>金融负债的现时义务全部或部分已经解除的，则终止确认该金融负债或其一部分；本公司若</w:t>
      </w:r>
      <w:r>
        <w:rPr>
          <w:w w:val="100"/>
        </w:rPr>
        <w:t> </w:t>
      </w: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p>
    <w:p>
      <w:pPr>
        <w:spacing w:after="0" w:line="237" w:lineRule="auto"/>
        <w:jc w:val="both"/>
        <w:sectPr>
          <w:pgSz w:w="11910" w:h="16840"/>
          <w:pgMar w:header="946" w:footer="1248" w:top="1300" w:bottom="1440" w:left="1680" w:right="1060"/>
        </w:sectPr>
      </w:pPr>
    </w:p>
    <w:p>
      <w:pPr>
        <w:spacing w:line="240" w:lineRule="auto" w:before="2"/>
        <w:rPr>
          <w:rFonts w:ascii="宋体" w:hAnsi="宋体" w:cs="宋体" w:eastAsia="宋体" w:hint="default"/>
          <w:sz w:val="11"/>
          <w:szCs w:val="11"/>
        </w:rPr>
      </w:pPr>
    </w:p>
    <w:p>
      <w:pPr>
        <w:pStyle w:val="BodyText"/>
        <w:spacing w:line="240" w:lineRule="auto" w:before="36"/>
        <w:ind w:right="226" w:firstLine="419"/>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274" w:lineRule="exact" w:before="22"/>
        <w:ind w:right="226" w:firstLine="419"/>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245" w:lineRule="exact"/>
        <w:ind w:left="638" w:right="0"/>
        <w:jc w:val="left"/>
      </w:pPr>
      <w:r>
        <w:rPr>
          <w:w w:val="100"/>
        </w:rPr>
        <w:t>本公</w:t>
      </w:r>
      <w:r>
        <w:rPr>
          <w:spacing w:val="-3"/>
          <w:w w:val="100"/>
        </w:rPr>
        <w:t>司</w:t>
      </w:r>
      <w:r>
        <w:rPr>
          <w:w w:val="100"/>
        </w:rPr>
        <w:t>若</w:t>
      </w:r>
      <w:r>
        <w:rPr>
          <w:spacing w:val="-3"/>
          <w:w w:val="100"/>
        </w:rPr>
        <w:t>回</w:t>
      </w:r>
      <w:r>
        <w:rPr>
          <w:w w:val="100"/>
        </w:rPr>
        <w:t>购</w:t>
      </w:r>
      <w:r>
        <w:rPr>
          <w:spacing w:val="-3"/>
          <w:w w:val="100"/>
        </w:rPr>
        <w:t>部</w:t>
      </w:r>
      <w:r>
        <w:rPr>
          <w:w w:val="100"/>
        </w:rPr>
        <w:t>分</w:t>
      </w:r>
      <w:r>
        <w:rPr>
          <w:spacing w:val="-3"/>
          <w:w w:val="100"/>
        </w:rPr>
        <w:t>金</w:t>
      </w:r>
      <w:r>
        <w:rPr>
          <w:w w:val="100"/>
        </w:rPr>
        <w:t>融</w:t>
      </w:r>
      <w:r>
        <w:rPr>
          <w:spacing w:val="-3"/>
          <w:w w:val="100"/>
        </w:rPr>
        <w:t>负</w:t>
      </w:r>
      <w:r>
        <w:rPr>
          <w:w w:val="100"/>
        </w:rPr>
        <w:t>债</w:t>
      </w:r>
      <w:r>
        <w:rPr>
          <w:spacing w:val="-3"/>
          <w:w w:val="100"/>
        </w:rPr>
        <w:t>的</w:t>
      </w:r>
      <w:r>
        <w:rPr>
          <w:spacing w:val="-92"/>
          <w:w w:val="100"/>
        </w:rPr>
        <w:t>，</w:t>
      </w:r>
      <w:r>
        <w:rPr>
          <w:spacing w:val="-3"/>
          <w:w w:val="100"/>
        </w:rPr>
        <w:t>在</w:t>
      </w:r>
      <w:r>
        <w:rPr>
          <w:w w:val="100"/>
        </w:rPr>
        <w:t>回</w:t>
      </w:r>
      <w:r>
        <w:rPr>
          <w:spacing w:val="-3"/>
          <w:w w:val="100"/>
        </w:rPr>
        <w:t>购</w:t>
      </w:r>
      <w:r>
        <w:rPr>
          <w:w w:val="100"/>
        </w:rPr>
        <w:t>日</w:t>
      </w:r>
      <w:r>
        <w:rPr>
          <w:spacing w:val="-3"/>
          <w:w w:val="100"/>
        </w:rPr>
        <w:t>按</w:t>
      </w:r>
      <w:r>
        <w:rPr>
          <w:w w:val="100"/>
        </w:rPr>
        <w:t>照</w:t>
      </w:r>
      <w:r>
        <w:rPr>
          <w:spacing w:val="-3"/>
          <w:w w:val="100"/>
        </w:rPr>
        <w:t>继</w:t>
      </w:r>
      <w:r>
        <w:rPr>
          <w:w w:val="100"/>
        </w:rPr>
        <w:t>续</w:t>
      </w:r>
      <w:r>
        <w:rPr>
          <w:spacing w:val="-3"/>
          <w:w w:val="100"/>
        </w:rPr>
        <w:t>确</w:t>
      </w:r>
      <w:r>
        <w:rPr>
          <w:w w:val="100"/>
        </w:rPr>
        <w:t>认部</w:t>
      </w:r>
      <w:r>
        <w:rPr>
          <w:spacing w:val="-3"/>
          <w:w w:val="100"/>
        </w:rPr>
        <w:t>分</w:t>
      </w:r>
      <w:r>
        <w:rPr>
          <w:w w:val="100"/>
        </w:rPr>
        <w:t>与</w:t>
      </w:r>
      <w:r>
        <w:rPr>
          <w:spacing w:val="-3"/>
          <w:w w:val="100"/>
        </w:rPr>
        <w:t>终</w:t>
      </w:r>
      <w:r>
        <w:rPr>
          <w:w w:val="100"/>
        </w:rPr>
        <w:t>止</w:t>
      </w:r>
      <w:r>
        <w:rPr>
          <w:spacing w:val="-3"/>
          <w:w w:val="100"/>
        </w:rPr>
        <w:t>确</w:t>
      </w:r>
      <w:r>
        <w:rPr>
          <w:w w:val="100"/>
        </w:rPr>
        <w:t>认</w:t>
      </w:r>
      <w:r>
        <w:rPr>
          <w:spacing w:val="-3"/>
          <w:w w:val="100"/>
        </w:rPr>
        <w:t>部</w:t>
      </w:r>
      <w:r>
        <w:rPr>
          <w:w w:val="100"/>
        </w:rPr>
        <w:t>分</w:t>
      </w:r>
      <w:r>
        <w:rPr>
          <w:spacing w:val="-3"/>
          <w:w w:val="100"/>
        </w:rPr>
        <w:t>的</w:t>
      </w:r>
      <w:r>
        <w:rPr>
          <w:w w:val="100"/>
        </w:rPr>
        <w:t>相对</w:t>
      </w:r>
      <w:r>
        <w:rPr>
          <w:spacing w:val="-3"/>
          <w:w w:val="100"/>
        </w:rPr>
        <w:t>公</w:t>
      </w:r>
      <w:r>
        <w:rPr>
          <w:w w:val="100"/>
        </w:rPr>
        <w:t>允</w:t>
      </w:r>
      <w:r>
        <w:rPr>
          <w:spacing w:val="-3"/>
          <w:w w:val="100"/>
        </w:rPr>
        <w:t>价值</w:t>
      </w:r>
      <w:r>
        <w:rPr>
          <w:w w:val="100"/>
        </w:rPr>
        <w:t>，</w:t>
      </w:r>
    </w:p>
    <w:p>
      <w:pPr>
        <w:pStyle w:val="BodyText"/>
        <w:spacing w:line="272" w:lineRule="exact" w:before="27"/>
        <w:ind w:right="226"/>
        <w:jc w:val="left"/>
      </w:pPr>
      <w:r>
        <w:rPr>
          <w:spacing w:val="-2"/>
        </w:rPr>
        <w:t>将该金融负债整体的账面价值进行分配。分配给终止确认部分的账面价值与支付的对价（包括转</w:t>
      </w:r>
      <w:r>
        <w:rPr>
          <w:spacing w:val="-25"/>
        </w:rPr>
        <w:t> </w:t>
      </w:r>
      <w:r>
        <w:rPr>
          <w:spacing w:val="-25"/>
        </w:rPr>
      </w:r>
      <w:r>
        <w:rPr/>
        <w:t>出的非现金资产或承担的新金融负债）之间的差额，计入当期损益。</w:t>
      </w:r>
    </w:p>
    <w:p>
      <w:pPr>
        <w:spacing w:line="240" w:lineRule="auto" w:before="10"/>
        <w:rPr>
          <w:rFonts w:ascii="宋体" w:hAnsi="宋体" w:cs="宋体" w:eastAsia="宋体" w:hint="default"/>
          <w:sz w:val="18"/>
          <w:szCs w:val="18"/>
        </w:rPr>
      </w:pPr>
    </w:p>
    <w:p>
      <w:pPr>
        <w:pStyle w:val="BodyText"/>
        <w:spacing w:line="240" w:lineRule="auto"/>
        <w:ind w:left="638" w:right="226"/>
        <w:jc w:val="left"/>
      </w:pPr>
      <w:r>
        <w:rPr/>
        <w:t>（</w:t>
      </w:r>
      <w:r>
        <w:rPr>
          <w:rFonts w:ascii="宋体" w:hAnsi="宋体" w:cs="宋体" w:eastAsia="宋体" w:hint="default"/>
        </w:rPr>
        <w:t>5</w:t>
      </w:r>
      <w:r>
        <w:rPr/>
        <w:t>）金融资产和金融负债公允价值的确定方法</w:t>
      </w:r>
      <w:r>
        <w:rPr>
          <w:w w:val="100"/>
        </w:rPr>
        <w:t> </w:t>
      </w:r>
      <w:r>
        <w:rPr>
          <w:spacing w:val="-2"/>
        </w:rPr>
        <w:t>存在活跃市场的金融工具，以活跃市场中的报价确定其公允价值。不存在活跃市场的金融工</w:t>
      </w:r>
    </w:p>
    <w:p>
      <w:pPr>
        <w:pStyle w:val="BodyText"/>
        <w:spacing w:line="237" w:lineRule="auto"/>
        <w:ind w:right="237"/>
        <w:jc w:val="both"/>
      </w:pPr>
      <w:r>
        <w:rPr>
          <w:spacing w:val="-2"/>
        </w:rPr>
        <w:t>具，采用估值技术确定其公允价值。在估值时，本公司采用在当前情况下适用并且有足够可利用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负债特征相一致的输入值，并优先使用相关可观察输入值。只有在相关可观察输入值无法取得或</w:t>
      </w:r>
      <w:r>
        <w:rPr>
          <w:spacing w:val="-25"/>
        </w:rPr>
        <w:t> </w:t>
      </w:r>
      <w:r>
        <w:rPr>
          <w:spacing w:val="-25"/>
        </w:rPr>
      </w:r>
      <w:r>
        <w:rPr/>
        <w:t>取得不切实可行的情况下，才使用不可观察输入值。</w:t>
      </w:r>
    </w:p>
    <w:p>
      <w:pPr>
        <w:spacing w:line="240" w:lineRule="auto" w:before="10"/>
        <w:rPr>
          <w:rFonts w:ascii="宋体" w:hAnsi="宋体" w:cs="宋体" w:eastAsia="宋体" w:hint="default"/>
          <w:sz w:val="22"/>
          <w:szCs w:val="22"/>
        </w:rPr>
      </w:pPr>
    </w:p>
    <w:p>
      <w:pPr>
        <w:pStyle w:val="BodyText"/>
        <w:spacing w:line="272" w:lineRule="exact"/>
        <w:ind w:left="638" w:right="226"/>
        <w:jc w:val="left"/>
      </w:pPr>
      <w:r>
        <w:rPr/>
        <w:t>（</w:t>
      </w:r>
      <w:r>
        <w:rPr>
          <w:rFonts w:ascii="宋体" w:hAnsi="宋体" w:cs="宋体" w:eastAsia="宋体"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w:t>
      </w:r>
    </w:p>
    <w:p>
      <w:pPr>
        <w:pStyle w:val="BodyText"/>
        <w:spacing w:line="247" w:lineRule="exact"/>
        <w:ind w:right="0"/>
        <w:jc w:val="both"/>
      </w:pPr>
      <w:r>
        <w:rPr/>
        <w:t>的账面价值进行检查，如果有客观证据表明某项金融资产发生减值的，计提减值准备。</w:t>
      </w:r>
    </w:p>
    <w:p>
      <w:pPr>
        <w:pStyle w:val="BodyText"/>
        <w:spacing w:line="272" w:lineRule="exact" w:before="26"/>
        <w:ind w:left="638" w:right="226"/>
        <w:jc w:val="left"/>
      </w:pPr>
      <w:r>
        <w:rPr/>
        <w:t>①可供出售金融资产的减值准备：</w:t>
      </w:r>
      <w:r>
        <w:rPr>
          <w:w w:val="100"/>
        </w:rPr>
        <w:t> </w:t>
      </w:r>
      <w:r>
        <w:rPr>
          <w:spacing w:val="-2"/>
        </w:rPr>
        <w:t>期末如果可供出售金融资产的公允价值发生较大幅度下降，或在综合考虑各种相关因素后，</w:t>
      </w:r>
    </w:p>
    <w:p>
      <w:pPr>
        <w:pStyle w:val="BodyText"/>
        <w:spacing w:line="272" w:lineRule="exact" w:before="1"/>
        <w:ind w:right="226"/>
        <w:jc w:val="left"/>
      </w:pPr>
      <w:r>
        <w:rPr>
          <w:spacing w:val="-2"/>
        </w:rPr>
        <w:t>预期这种下降趋势属于非暂时性的，就认定其已发生减值，将原直接计入所有者权益的公允价值</w:t>
      </w:r>
      <w:r>
        <w:rPr>
          <w:spacing w:val="-25"/>
        </w:rPr>
        <w:t> </w:t>
      </w:r>
      <w:r>
        <w:rPr>
          <w:spacing w:val="-25"/>
        </w:rPr>
      </w:r>
      <w:r>
        <w:rPr/>
        <w:t>下降形成的累计损失一并转出，确认减值损失。</w:t>
      </w:r>
    </w:p>
    <w:p>
      <w:pPr>
        <w:pStyle w:val="BodyText"/>
        <w:spacing w:line="272" w:lineRule="exact" w:before="1"/>
        <w:ind w:right="226" w:firstLine="419"/>
        <w:jc w:val="left"/>
      </w:pPr>
      <w:r>
        <w:rPr>
          <w:spacing w:val="-2"/>
        </w:rPr>
        <w:t>对于已确认减值损失的可供出售债务工具，在随后的会计期间公允价值已上升且客观上与确</w:t>
      </w:r>
      <w:r>
        <w:rPr>
          <w:w w:val="100"/>
        </w:rPr>
        <w:t> </w:t>
      </w:r>
      <w:r>
        <w:rPr/>
        <w:t>认原减值损失确认后发生的事项有关的，原确认的减值损失予以转回，计入当期损益。</w:t>
      </w:r>
    </w:p>
    <w:p>
      <w:pPr>
        <w:pStyle w:val="BodyText"/>
        <w:spacing w:line="272" w:lineRule="exact" w:before="2"/>
        <w:ind w:left="638" w:right="226"/>
        <w:jc w:val="left"/>
      </w:pPr>
      <w:r>
        <w:rPr/>
        <w:t>可供出售权益工具投资发生的减值损失，不得通过损益转回。</w:t>
      </w:r>
      <w:r>
        <w:rPr>
          <w:w w:val="100"/>
        </w:rPr>
        <w:t> </w:t>
      </w:r>
      <w:r>
        <w:rPr>
          <w:spacing w:val="-2"/>
        </w:rPr>
        <w:t>本公司对可供出售权益工具投资减值的认定标准为：期末如果可供出售金融资产的公允价值</w:t>
      </w:r>
    </w:p>
    <w:p>
      <w:pPr>
        <w:pStyle w:val="BodyText"/>
        <w:spacing w:line="272" w:lineRule="exact" w:before="1"/>
        <w:ind w:right="226"/>
        <w:jc w:val="left"/>
      </w:pPr>
      <w:r>
        <w:rPr>
          <w:spacing w:val="-2"/>
        </w:rPr>
        <w:t>发生严重下降，或在综合考虑各种相关因素后，预期这种下降趋势属于非暂时性的，就认定其已</w:t>
      </w:r>
      <w:r>
        <w:rPr>
          <w:spacing w:val="-25"/>
        </w:rPr>
        <w:t> </w:t>
      </w:r>
      <w:r>
        <w:rPr>
          <w:spacing w:val="-25"/>
        </w:rPr>
      </w:r>
      <w:r>
        <w:rPr/>
        <w:t>发生减值。</w:t>
      </w:r>
    </w:p>
    <w:p>
      <w:pPr>
        <w:pStyle w:val="BodyText"/>
        <w:spacing w:line="272" w:lineRule="exact" w:before="1"/>
        <w:ind w:left="638" w:right="226"/>
        <w:jc w:val="left"/>
      </w:pPr>
      <w:r>
        <w:rPr/>
        <w:t>本公司对可供出售权益工具投资的公允价值下跌“严重”的标准为：降幅累计超过</w:t>
      </w:r>
      <w:r>
        <w:rPr>
          <w:spacing w:val="-53"/>
        </w:rPr>
        <w:t> </w:t>
      </w:r>
      <w:r>
        <w:rPr>
          <w:rFonts w:ascii="宋体" w:hAnsi="宋体" w:cs="宋体" w:eastAsia="宋体" w:hint="default"/>
        </w:rPr>
        <w:t>50%</w:t>
      </w:r>
      <w:r>
        <w:rPr/>
        <w:t>；</w:t>
      </w:r>
      <w:r>
        <w:rPr>
          <w:w w:val="100"/>
        </w:rPr>
        <w:t> </w:t>
      </w:r>
      <w:r>
        <w:rPr>
          <w:spacing w:val="-2"/>
        </w:rPr>
        <w:t>公允价值下跌“非暂时性”的标准为：公允价值持续低于其成本超过一年；投资成本的计算</w:t>
      </w:r>
    </w:p>
    <w:p>
      <w:pPr>
        <w:pStyle w:val="BodyText"/>
        <w:spacing w:line="272" w:lineRule="exact" w:before="1"/>
        <w:ind w:right="226"/>
        <w:jc w:val="left"/>
      </w:pPr>
      <w:r>
        <w:rPr>
          <w:spacing w:val="-2"/>
        </w:rPr>
        <w:t>方法为：取得可供出售权益工具对价及相关税费；持续下跌期间的确定依据为：自下跌幅度超过</w:t>
      </w:r>
      <w:r>
        <w:rPr>
          <w:spacing w:val="-25"/>
        </w:rPr>
        <w:t> </w:t>
      </w:r>
      <w:r>
        <w:rPr>
          <w:spacing w:val="-25"/>
        </w:rPr>
      </w:r>
      <w:r>
        <w:rPr/>
        <w:t>投资成本的</w:t>
      </w:r>
      <w:r>
        <w:rPr>
          <w:spacing w:val="-53"/>
        </w:rPr>
        <w:t> </w:t>
      </w:r>
      <w:r>
        <w:rPr>
          <w:rFonts w:ascii="宋体" w:hAnsi="宋体" w:cs="宋体" w:eastAsia="宋体" w:hint="default"/>
        </w:rPr>
        <w:t>50%</w:t>
      </w:r>
      <w:r>
        <w:rPr/>
        <w:t>时计算。</w:t>
      </w:r>
    </w:p>
    <w:p>
      <w:pPr>
        <w:pStyle w:val="BodyText"/>
        <w:spacing w:line="272" w:lineRule="exact" w:before="1"/>
        <w:ind w:left="638" w:right="226"/>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4"/>
        <w:rPr>
          <w:rFonts w:ascii="宋体" w:hAnsi="宋体" w:cs="宋体" w:eastAsia="宋体" w:hint="default"/>
          <w:sz w:val="23"/>
          <w:szCs w:val="23"/>
        </w:rPr>
      </w:pPr>
    </w:p>
    <w:p>
      <w:pPr>
        <w:pStyle w:val="Heading4"/>
        <w:spacing w:line="292"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0"/>
        <w:ind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应收账款余额在 </w:t>
            </w:r>
            <w:r>
              <w:rPr>
                <w:rFonts w:ascii="宋体" w:hAnsi="宋体" w:cs="宋体" w:eastAsia="宋体" w:hint="default"/>
                <w:sz w:val="21"/>
                <w:szCs w:val="21"/>
              </w:rPr>
              <w:t>1,000</w:t>
            </w:r>
            <w:r>
              <w:rPr>
                <w:rFonts w:ascii="宋体" w:hAnsi="宋体" w:cs="宋体" w:eastAsia="宋体" w:hint="default"/>
                <w:spacing w:val="-57"/>
                <w:sz w:val="21"/>
                <w:szCs w:val="21"/>
              </w:rPr>
              <w:t> </w:t>
            </w:r>
            <w:r>
              <w:rPr>
                <w:rFonts w:ascii="宋体" w:hAnsi="宋体" w:cs="宋体" w:eastAsia="宋体" w:hint="default"/>
                <w:sz w:val="21"/>
                <w:szCs w:val="21"/>
              </w:rPr>
              <w:t>万元以上，其他应收款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余额在</w:t>
            </w:r>
            <w:r>
              <w:rPr>
                <w:rFonts w:ascii="宋体" w:hAnsi="宋体" w:cs="宋体" w:eastAsia="宋体" w:hint="default"/>
                <w:spacing w:val="-52"/>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万元以上。</w:t>
            </w:r>
          </w:p>
        </w:tc>
      </w:tr>
      <w:tr>
        <w:trPr>
          <w:trHeight w:val="137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年末对于单项金额重大的应收款项单独进行减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值测试。根据其未来现金流量现值低于其账面</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价值的差额，确认减值损失，计提坏账准备。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如减值测试后，预计未来现金流量现值不低于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其账面价值的，则归入相应组合计提坏账准备。</w:t>
            </w:r>
          </w:p>
        </w:tc>
      </w:tr>
    </w:tbl>
    <w:p>
      <w:pPr>
        <w:spacing w:after="0" w:line="237" w:lineRule="auto"/>
        <w:jc w:val="both"/>
        <w:rPr>
          <w:rFonts w:ascii="宋体" w:hAnsi="宋体" w:cs="宋体" w:eastAsia="宋体" w:hint="default"/>
          <w:sz w:val="21"/>
          <w:szCs w:val="21"/>
        </w:rPr>
        <w:sectPr>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pStyle w:val="Heading4"/>
        <w:spacing w:line="240" w:lineRule="auto" w:before="36"/>
        <w:ind w:right="276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09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根据以前年度与之相同或类似的，具有应收款</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项按账龄段划分的类似信用风险特征组合的实</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际损失率为基础，结合现时情况确定应收款项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不同账龄组合坏账准备的计提比例。</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sz w:val="15"/>
          <w:szCs w:val="15"/>
        </w:rPr>
      </w:pPr>
    </w:p>
    <w:p>
      <w:pPr>
        <w:pStyle w:val="BodyText"/>
        <w:spacing w:line="273" w:lineRule="exact" w:before="36"/>
        <w:ind w:right="2760"/>
        <w:jc w:val="left"/>
      </w:pPr>
      <w:r>
        <w:rPr/>
        <w:t>组合中，采用账龄分析法计提坏账准备的</w:t>
      </w:r>
    </w:p>
    <w:p>
      <w:pPr>
        <w:pStyle w:val="BodyText"/>
        <w:spacing w:line="273" w:lineRule="exact"/>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组合中，采用余额百分比法计提坏账准备的</w:t>
      </w:r>
    </w:p>
    <w:p>
      <w:pPr>
        <w:pStyle w:val="BodyText"/>
        <w:spacing w:line="274" w:lineRule="exact"/>
        <w:ind w:right="2760"/>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right="2760"/>
        <w:jc w:val="left"/>
      </w:pPr>
      <w:r>
        <w:rPr/>
        <w:t>组合中，采用其他方法计提坏账准备的</w:t>
      </w:r>
    </w:p>
    <w:p>
      <w:pPr>
        <w:pStyle w:val="BodyText"/>
        <w:spacing w:line="274"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4971"/>
      </w:tblGrid>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单项金额虽不重大，但存在明显减值迹象，单独进行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减值测试后其未来现金流量现值低于其账面价值。</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个别认定法，按其未来现金流量现值低于其账面价值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的差额，确认减值损失，计提坏账准备。</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4" w:lineRule="exact" w:before="56"/>
        <w:ind w:right="2760"/>
        <w:jc w:val="left"/>
      </w:pPr>
      <w:r>
        <w:rPr>
          <w:spacing w:val="-1"/>
        </w:rPr>
        <w:t>√适用</w:t>
        <w:tab/>
      </w:r>
      <w:r>
        <w:rPr>
          <w:spacing w:val="-2"/>
        </w:rPr>
        <w:t>□不适用</w:t>
      </w:r>
    </w:p>
    <w:p>
      <w:pPr>
        <w:pStyle w:val="BodyText"/>
        <w:spacing w:line="272" w:lineRule="exact" w:before="27"/>
        <w:ind w:left="638" w:right="226"/>
        <w:jc w:val="left"/>
      </w:pPr>
      <w:r>
        <w:rPr/>
        <w:t>（</w:t>
      </w:r>
      <w:r>
        <w:rPr>
          <w:rFonts w:ascii="宋体" w:hAnsi="宋体" w:cs="宋体" w:eastAsia="宋体" w:hint="default"/>
        </w:rPr>
        <w:t>1</w:t>
      </w:r>
      <w:r>
        <w:rPr/>
        <w:t>）存货的分类</w:t>
      </w:r>
      <w:r>
        <w:rPr>
          <w:w w:val="100"/>
        </w:rPr>
        <w:t> </w:t>
      </w:r>
      <w:r>
        <w:rPr>
          <w:spacing w:val="-2"/>
        </w:rPr>
        <w:t>存货分类为：在途物资、原材料、周转材料、库存商品、在产品、发出商品、委托加工物资</w:t>
      </w:r>
    </w:p>
    <w:p>
      <w:pPr>
        <w:pStyle w:val="BodyText"/>
        <w:spacing w:line="249" w:lineRule="exact"/>
        <w:ind w:right="2760"/>
        <w:jc w:val="left"/>
      </w:pPr>
      <w:r>
        <w:rPr/>
        <w:t>等。</w:t>
      </w:r>
    </w:p>
    <w:p>
      <w:pPr>
        <w:spacing w:line="240" w:lineRule="auto" w:before="10"/>
        <w:rPr>
          <w:rFonts w:ascii="宋体" w:hAnsi="宋体" w:cs="宋体" w:eastAsia="宋体" w:hint="default"/>
          <w:sz w:val="22"/>
          <w:szCs w:val="22"/>
        </w:rPr>
      </w:pPr>
    </w:p>
    <w:p>
      <w:pPr>
        <w:pStyle w:val="BodyText"/>
        <w:spacing w:line="272" w:lineRule="exact"/>
        <w:ind w:left="638" w:right="226"/>
        <w:jc w:val="left"/>
      </w:pPr>
      <w:r>
        <w:rPr/>
        <w:t>（</w:t>
      </w:r>
      <w:r>
        <w:rPr>
          <w:rFonts w:ascii="宋体" w:hAnsi="宋体" w:cs="宋体" w:eastAsia="宋体" w:hint="default"/>
        </w:rPr>
        <w:t>2</w:t>
      </w:r>
      <w:r>
        <w:rPr/>
        <w:t>）发出存货的计价方法</w:t>
      </w:r>
      <w:r>
        <w:rPr>
          <w:w w:val="100"/>
        </w:rPr>
        <w:t> </w:t>
      </w:r>
      <w:r>
        <w:rPr>
          <w:spacing w:val="-2"/>
        </w:rPr>
        <w:t>原材料的发出成本按移动加权平均法结转成本；在产品及产成品的成本包括直接材料、直接</w:t>
      </w:r>
    </w:p>
    <w:p>
      <w:pPr>
        <w:pStyle w:val="BodyText"/>
        <w:spacing w:line="272" w:lineRule="exact" w:before="1"/>
        <w:ind w:left="638" w:right="2760" w:hanging="420"/>
        <w:jc w:val="left"/>
      </w:pPr>
      <w:r>
        <w:rPr/>
        <w:t>人工及按正常生产能力下适当百分比应分配的制造费用。</w:t>
      </w:r>
      <w:r>
        <w:rPr>
          <w:w w:val="100"/>
        </w:rPr>
        <w:t> </w:t>
      </w:r>
      <w:r>
        <w:rPr/>
        <w:t>在产品包括在建合同成本，其成本核算为：</w:t>
      </w:r>
    </w:p>
    <w:p>
      <w:pPr>
        <w:pStyle w:val="BodyText"/>
        <w:spacing w:line="272" w:lineRule="exact" w:before="2"/>
        <w:ind w:right="226" w:firstLine="419"/>
        <w:jc w:val="left"/>
      </w:pPr>
      <w:r>
        <w:rPr>
          <w:spacing w:val="-2"/>
        </w:rPr>
        <w:t>于资产负债表日，在建合同累计已发生的合同成本扣除累计已确认的合同费用后的余额列为</w:t>
      </w:r>
      <w:r>
        <w:rPr>
          <w:w w:val="100"/>
        </w:rPr>
        <w:t> </w:t>
      </w:r>
      <w:r>
        <w:rPr>
          <w:spacing w:val="-2"/>
        </w:rPr>
        <w:t>流动资产中的存货。在建合同成本主要指在建合同项目所发生的成本，包括已经运送至客户指定</w:t>
      </w:r>
    </w:p>
    <w:p>
      <w:pPr>
        <w:spacing w:after="0" w:line="272" w:lineRule="exact"/>
        <w:jc w:val="left"/>
        <w:sectPr>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pStyle w:val="BodyText"/>
        <w:spacing w:line="240" w:lineRule="auto" w:before="36"/>
        <w:ind w:left="118" w:right="0"/>
        <w:jc w:val="left"/>
      </w:pPr>
      <w:r>
        <w:rPr>
          <w:spacing w:val="-2"/>
        </w:rPr>
        <w:t>的特定场所的系统硬件成本、尚在进行中的安装成本或系统整合成本、已发生的合同直接人工及</w:t>
      </w:r>
      <w:r>
        <w:rPr>
          <w:spacing w:val="-25"/>
        </w:rPr>
        <w:t> </w:t>
      </w:r>
      <w:r>
        <w:rPr>
          <w:spacing w:val="-25"/>
        </w:rPr>
      </w:r>
      <w:r>
        <w:rPr/>
        <w:t>间接费用以及正在履行的其他合约义务所发生的成本。</w:t>
      </w:r>
    </w:p>
    <w:p>
      <w:pPr>
        <w:spacing w:line="240" w:lineRule="auto" w:before="10"/>
        <w:rPr>
          <w:rFonts w:ascii="宋体" w:hAnsi="宋体" w:cs="宋体" w:eastAsia="宋体" w:hint="default"/>
          <w:sz w:val="22"/>
          <w:szCs w:val="22"/>
        </w:rPr>
      </w:pPr>
    </w:p>
    <w:p>
      <w:pPr>
        <w:pStyle w:val="BodyText"/>
        <w:spacing w:line="272" w:lineRule="exact"/>
        <w:ind w:left="538" w:right="0"/>
        <w:jc w:val="left"/>
      </w:pPr>
      <w:r>
        <w:rPr/>
        <w:t>（</w:t>
      </w:r>
      <w:r>
        <w:rPr>
          <w:rFonts w:ascii="宋体" w:hAnsi="宋体" w:cs="宋体" w:eastAsia="宋体" w:hint="default"/>
        </w:rPr>
        <w:t>3</w:t>
      </w:r>
      <w:r>
        <w:rPr/>
        <w:t>）不同类别存货可变现净值的确定依据</w:t>
      </w:r>
      <w:r>
        <w:rPr>
          <w:w w:val="100"/>
        </w:rPr>
        <w:t> </w:t>
      </w:r>
      <w:r>
        <w:rPr>
          <w:spacing w:val="-2"/>
        </w:rPr>
        <w:t>产成品、库存商品和用于出售的材料等直接用于出售的商品存货，在正常生产经营过程中，</w:t>
      </w:r>
    </w:p>
    <w:p>
      <w:pPr>
        <w:pStyle w:val="BodyText"/>
        <w:spacing w:line="272" w:lineRule="exact" w:before="1"/>
        <w:ind w:left="118" w:right="0"/>
        <w:jc w:val="left"/>
      </w:pPr>
      <w:r>
        <w:rPr>
          <w:spacing w:val="-2"/>
        </w:rPr>
        <w:t>以该存货的估计售价减去估计的销售费用和相关税费后的金额，确定其可变现净值；需要经过加</w:t>
      </w:r>
      <w:r>
        <w:rPr>
          <w:spacing w:val="-25"/>
        </w:rPr>
        <w:t> </w:t>
      </w:r>
      <w:r>
        <w:rPr>
          <w:spacing w:val="-25"/>
        </w:rPr>
      </w:r>
      <w:r>
        <w:rPr>
          <w:spacing w:val="-2"/>
        </w:rPr>
        <w:t>工的材料存货，在正常生产经营过程中，以所生产的产成品的估计售价减去至完工时估计将要发</w:t>
      </w:r>
    </w:p>
    <w:p>
      <w:pPr>
        <w:pStyle w:val="BodyText"/>
        <w:spacing w:line="272" w:lineRule="exact" w:before="1"/>
        <w:ind w:left="118" w:right="0"/>
        <w:jc w:val="left"/>
      </w:pPr>
      <w:r>
        <w:rPr>
          <w:spacing w:val="-2"/>
        </w:rPr>
        <w:t>生的成本、估计的销售费用和相关税费后的金额，确定其可变现净值；为执行销售合同或者劳务</w:t>
      </w:r>
      <w:r>
        <w:rPr>
          <w:spacing w:val="-25"/>
        </w:rPr>
        <w:t> </w:t>
      </w:r>
      <w:r>
        <w:rPr>
          <w:spacing w:val="-25"/>
        </w:rPr>
      </w:r>
      <w:r>
        <w:rPr>
          <w:spacing w:val="-2"/>
        </w:rPr>
        <w:t>合同而持有的存货，其可变现净值以合同价格为基础计算，若持有存货的数量多于销售合同订购</w:t>
      </w:r>
    </w:p>
    <w:p>
      <w:pPr>
        <w:pStyle w:val="BodyText"/>
        <w:spacing w:line="272" w:lineRule="exact" w:before="1"/>
        <w:ind w:left="118" w:right="0"/>
        <w:jc w:val="left"/>
      </w:pPr>
      <w:r>
        <w:rPr>
          <w:spacing w:val="-2"/>
        </w:rPr>
        <w:t>数量的，超出部分的存货的可变现净值以一般销售价格为基础计算。期末按照单个存货项目计提</w:t>
      </w:r>
      <w:r>
        <w:rPr>
          <w:spacing w:val="-25"/>
        </w:rPr>
        <w:t> </w:t>
      </w:r>
      <w:r>
        <w:rPr>
          <w:spacing w:val="-25"/>
        </w:rPr>
      </w:r>
      <w:r>
        <w:rPr>
          <w:spacing w:val="-2"/>
        </w:rPr>
        <w:t>存货跌价准备；但对于数量繁多、单价较低的存货，按照存货类别计提存货跌价准备；与在同一</w:t>
      </w:r>
    </w:p>
    <w:p>
      <w:pPr>
        <w:pStyle w:val="BodyText"/>
        <w:spacing w:line="272" w:lineRule="exact" w:before="1"/>
        <w:ind w:left="118" w:right="0"/>
        <w:jc w:val="left"/>
      </w:pPr>
      <w:r>
        <w:rPr>
          <w:spacing w:val="-2"/>
        </w:rPr>
        <w:t>地区生产和销售的产品系列相关、具有相同或类似最终用途或目的，且难以与其他项目分开计量</w:t>
      </w:r>
      <w:r>
        <w:rPr>
          <w:spacing w:val="-25"/>
        </w:rPr>
        <w:t> </w:t>
      </w:r>
      <w:r>
        <w:rPr>
          <w:spacing w:val="-25"/>
        </w:rPr>
      </w:r>
      <w:r>
        <w:rPr>
          <w:spacing w:val="-2"/>
        </w:rPr>
        <w:t>的存货，则合并计提存货跌价准备。除有明确证据表明资产负债表日市场价格异常外，存货项目</w:t>
      </w:r>
    </w:p>
    <w:p>
      <w:pPr>
        <w:pStyle w:val="BodyText"/>
        <w:spacing w:line="272" w:lineRule="exact" w:before="1"/>
        <w:ind w:left="118" w:right="0"/>
        <w:jc w:val="left"/>
      </w:pPr>
      <w:r>
        <w:rPr>
          <w:spacing w:val="-2"/>
        </w:rPr>
        <w:t>的可变现净值以资产负债表日市场价格为基础确定。本期期末存货项目的可变现净值以资产负债</w:t>
      </w:r>
      <w:r>
        <w:rPr>
          <w:spacing w:val="-25"/>
        </w:rPr>
        <w:t> </w:t>
      </w:r>
      <w:r>
        <w:rPr>
          <w:spacing w:val="-25"/>
        </w:rPr>
      </w:r>
      <w:r>
        <w:rPr/>
        <w:t>表日市场价格为基础确定。</w:t>
      </w:r>
    </w:p>
    <w:p>
      <w:pPr>
        <w:spacing w:line="240" w:lineRule="auto" w:before="10"/>
        <w:rPr>
          <w:rFonts w:ascii="宋体" w:hAnsi="宋体" w:cs="宋体" w:eastAsia="宋体" w:hint="default"/>
          <w:sz w:val="18"/>
          <w:szCs w:val="18"/>
        </w:rPr>
      </w:pPr>
    </w:p>
    <w:p>
      <w:pPr>
        <w:pStyle w:val="BodyText"/>
        <w:spacing w:line="240" w:lineRule="auto"/>
        <w:ind w:left="538" w:right="5107"/>
        <w:jc w:val="left"/>
      </w:pPr>
      <w:r>
        <w:rPr>
          <w:spacing w:val="-2"/>
        </w:rPr>
        <w:t>（</w:t>
      </w:r>
      <w:r>
        <w:rPr>
          <w:rFonts w:ascii="宋体" w:hAnsi="宋体" w:cs="宋体" w:eastAsia="宋体" w:hint="default"/>
          <w:spacing w:val="-2"/>
        </w:rPr>
        <w:t>4</w:t>
      </w:r>
      <w:r>
        <w:rPr>
          <w:spacing w:val="-2"/>
        </w:rPr>
        <w:t>）存货的盘存制度</w:t>
      </w:r>
      <w:r>
        <w:rPr>
          <w:spacing w:val="-86"/>
        </w:rPr>
        <w:t> </w:t>
      </w:r>
      <w:r>
        <w:rPr>
          <w:spacing w:val="-86"/>
        </w:rPr>
      </w:r>
      <w:r>
        <w:rPr/>
        <w:t>采用永续盘存制。</w:t>
      </w:r>
    </w:p>
    <w:p>
      <w:pPr>
        <w:spacing w:line="240" w:lineRule="auto" w:before="6"/>
        <w:rPr>
          <w:rFonts w:ascii="宋体" w:hAnsi="宋体" w:cs="宋体" w:eastAsia="宋体" w:hint="default"/>
          <w:sz w:val="20"/>
          <w:szCs w:val="20"/>
        </w:rPr>
      </w:pPr>
    </w:p>
    <w:p>
      <w:pPr>
        <w:pStyle w:val="BodyText"/>
        <w:spacing w:line="240" w:lineRule="auto"/>
        <w:ind w:left="538" w:right="5107"/>
        <w:jc w:val="left"/>
      </w:pPr>
      <w:r>
        <w:rPr/>
        <w:t>（</w:t>
      </w:r>
      <w:r>
        <w:rPr>
          <w:rFonts w:ascii="宋体" w:hAnsi="宋体" w:cs="宋体" w:eastAsia="宋体" w:hint="default"/>
        </w:rPr>
        <w:t>5</w:t>
      </w:r>
      <w:r>
        <w:rPr/>
        <w:t>）低值易耗品的摊销方法</w:t>
      </w:r>
      <w:r>
        <w:rPr>
          <w:w w:val="100"/>
        </w:rPr>
        <w:t> </w:t>
      </w:r>
      <w:r>
        <w:rPr>
          <w:spacing w:val="-2"/>
        </w:rPr>
        <w:t>低值易耗品采用一次转销法。</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960" w:val="left" w:leader="none"/>
        </w:tabs>
        <w:spacing w:line="240" w:lineRule="auto" w:before="56"/>
        <w:ind w:left="538" w:right="1800" w:hanging="420"/>
        <w:jc w:val="left"/>
      </w:pPr>
      <w:r>
        <w:rPr>
          <w:spacing w:val="-1"/>
        </w:rPr>
        <w:t>√适用</w:t>
        <w:tab/>
      </w:r>
      <w:r>
        <w:rPr>
          <w:spacing w:val="-2"/>
        </w:rPr>
        <w:t>□不适用</w:t>
      </w:r>
      <w:r>
        <w:rPr>
          <w:spacing w:val="-99"/>
        </w:rPr>
        <w:t> </w:t>
      </w:r>
      <w:r>
        <w:rPr>
          <w:spacing w:val="-99"/>
        </w:rPr>
      </w:r>
      <w:r>
        <w:rPr>
          <w:spacing w:val="-2"/>
        </w:rPr>
        <w:t>本公司将同时满足下列条件的非流动资产或处置组划分为持有待售类别：</w:t>
      </w:r>
    </w:p>
    <w:p>
      <w:pPr>
        <w:pStyle w:val="BodyText"/>
        <w:spacing w:line="271" w:lineRule="exact"/>
        <w:ind w:left="538"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37" w:lineRule="auto" w:before="2"/>
        <w:ind w:left="118" w:right="108" w:firstLine="419"/>
        <w:jc w:val="both"/>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w:t>
      </w:r>
      <w:r>
        <w:rPr>
          <w:w w:val="100"/>
        </w:rPr>
        <w:t> </w:t>
      </w:r>
      <w:r>
        <w:rPr>
          <w:spacing w:val="-2"/>
        </w:rPr>
        <w:t>出售将在一年内完成。有关规定要求本公司相关权力机构或者监管部门批准后方可出售的，已经</w:t>
      </w:r>
      <w:r>
        <w:rPr>
          <w:spacing w:val="-25"/>
        </w:rPr>
        <w:t> </w:t>
      </w:r>
      <w:r>
        <w:rPr>
          <w:spacing w:val="-25"/>
        </w:rPr>
      </w:r>
      <w:r>
        <w:rPr/>
        <w:t>获得批准。</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60" w:val="left" w:leader="none"/>
        </w:tabs>
        <w:spacing w:line="274" w:lineRule="exact" w:before="56"/>
        <w:ind w:left="118" w:right="0"/>
        <w:jc w:val="left"/>
      </w:pPr>
      <w:r>
        <w:rPr>
          <w:spacing w:val="-1"/>
        </w:rPr>
        <w:t>√适用</w:t>
        <w:tab/>
      </w:r>
      <w:r>
        <w:rPr>
          <w:spacing w:val="-2"/>
        </w:rPr>
        <w:t>□不适用</w:t>
      </w:r>
    </w:p>
    <w:p>
      <w:pPr>
        <w:pStyle w:val="BodyText"/>
        <w:spacing w:line="272" w:lineRule="exact" w:before="27"/>
        <w:ind w:left="538" w:right="0"/>
        <w:jc w:val="left"/>
      </w:pPr>
      <w:r>
        <w:rPr/>
        <w:t>（</w:t>
      </w:r>
      <w:r>
        <w:rPr>
          <w:rFonts w:ascii="宋体" w:hAnsi="宋体" w:cs="宋体" w:eastAsia="宋体" w:hint="default"/>
        </w:rPr>
        <w:t>1</w:t>
      </w:r>
      <w:r>
        <w:rPr/>
        <w:t>）共同控制、重大影响的判断标准</w:t>
      </w:r>
      <w:r>
        <w:rPr>
          <w:w w:val="100"/>
        </w:rPr>
        <w:t> </w:t>
      </w:r>
      <w:r>
        <w:rPr>
          <w:spacing w:val="-2"/>
        </w:rPr>
        <w:t>共同控制，是指按照相关约定对某项安排所共有的控制，并且该安排的相关活动必须经过分</w:t>
      </w:r>
    </w:p>
    <w:p>
      <w:pPr>
        <w:pStyle w:val="BodyText"/>
        <w:spacing w:line="272" w:lineRule="exact" w:before="1"/>
        <w:ind w:left="118" w:right="0"/>
        <w:jc w:val="left"/>
      </w:pPr>
      <w:r>
        <w:rPr>
          <w:spacing w:val="-2"/>
        </w:rPr>
        <w:t>享控制权的参与方一致同意后才能决策。本公司与其他合营方一同对被投资单位实施共同控制且</w:t>
      </w:r>
      <w:r>
        <w:rPr>
          <w:spacing w:val="-25"/>
        </w:rPr>
        <w:t> </w:t>
      </w:r>
      <w:r>
        <w:rPr>
          <w:spacing w:val="-25"/>
        </w:rPr>
      </w:r>
      <w:r>
        <w:rPr/>
        <w:t>对被投资单位净资产享有权利的，被投资单位为本公司的合营企业。</w:t>
      </w:r>
    </w:p>
    <w:p>
      <w:pPr>
        <w:pStyle w:val="BodyText"/>
        <w:spacing w:line="272" w:lineRule="exact" w:before="1"/>
        <w:ind w:left="118" w:right="117" w:firstLine="419"/>
        <w:jc w:val="both"/>
      </w:pPr>
      <w:r>
        <w:rPr>
          <w:spacing w:val="-2"/>
        </w:rPr>
        <w:t>重大影响，是指对一个企业的财务和经营决策有参与决策的权力，但并不能够控制或者与其</w:t>
      </w:r>
      <w:r>
        <w:rPr>
          <w:w w:val="100"/>
        </w:rPr>
        <w:t> </w:t>
      </w:r>
      <w:r>
        <w:rPr>
          <w:spacing w:val="-2"/>
        </w:rPr>
        <w:t>他方一起共同控制这些政策的制定。本公司能够对被投资单位施加重大影响的，被投资单位为本</w:t>
      </w:r>
    </w:p>
    <w:p>
      <w:pPr>
        <w:pStyle w:val="BodyText"/>
        <w:spacing w:line="249" w:lineRule="exact"/>
        <w:ind w:left="118" w:right="0"/>
        <w:jc w:val="left"/>
      </w:pPr>
      <w:r>
        <w:rPr/>
        <w:t>公司联营企业。</w:t>
      </w:r>
    </w:p>
    <w:p>
      <w:pPr>
        <w:spacing w:line="240" w:lineRule="auto" w:before="6"/>
        <w:rPr>
          <w:rFonts w:ascii="宋体" w:hAnsi="宋体" w:cs="宋体" w:eastAsia="宋体" w:hint="default"/>
          <w:sz w:val="20"/>
          <w:szCs w:val="20"/>
        </w:rPr>
      </w:pPr>
    </w:p>
    <w:p>
      <w:pPr>
        <w:pStyle w:val="BodyText"/>
        <w:spacing w:line="274" w:lineRule="exact"/>
        <w:ind w:left="538" w:right="0"/>
        <w:jc w:val="left"/>
      </w:pPr>
      <w:r>
        <w:rPr/>
        <w:t>（</w:t>
      </w:r>
      <w:r>
        <w:rPr>
          <w:rFonts w:ascii="宋体" w:hAnsi="宋体" w:cs="宋体" w:eastAsia="宋体" w:hint="default"/>
        </w:rPr>
        <w:t>2</w:t>
      </w:r>
      <w:r>
        <w:rPr/>
        <w:t>）初始投资成本的确定</w:t>
      </w:r>
    </w:p>
    <w:p>
      <w:pPr>
        <w:pStyle w:val="BodyText"/>
        <w:spacing w:line="272" w:lineRule="exact" w:before="27"/>
        <w:ind w:left="538" w:right="0"/>
        <w:jc w:val="left"/>
      </w:pPr>
      <w:r>
        <w:rPr/>
        <w:t>①企业合并形成的长期股权投资</w:t>
      </w:r>
      <w:r>
        <w:rPr>
          <w:w w:val="100"/>
        </w:rPr>
        <w:t> </w:t>
      </w:r>
      <w:r>
        <w:rPr>
          <w:spacing w:val="-2"/>
        </w:rPr>
        <w:t>同一控制下的企业合并：公司以支付现金、转让非现金资产或承担债务方式以及以发行权益</w:t>
      </w:r>
    </w:p>
    <w:p>
      <w:pPr>
        <w:pStyle w:val="BodyText"/>
        <w:spacing w:line="272" w:lineRule="exact" w:before="1"/>
        <w:ind w:left="118" w:right="0"/>
        <w:jc w:val="left"/>
      </w:pPr>
      <w:r>
        <w:rPr>
          <w:spacing w:val="-2"/>
        </w:rPr>
        <w:t>性证券作为合并对价的，在合并日按照取得被合并方所有者权益在最终控制方合并财务报表中的</w:t>
      </w:r>
      <w:r>
        <w:rPr>
          <w:spacing w:val="-25"/>
        </w:rPr>
        <w:t> </w:t>
      </w:r>
      <w:r>
        <w:rPr>
          <w:spacing w:val="-25"/>
        </w:rPr>
      </w:r>
      <w:r>
        <w:rPr>
          <w:spacing w:val="-2"/>
        </w:rPr>
        <w:t>账面价值的份额作为长期股权投资的初始投资成本。因追加投资等原因能够对同一控制下的被投</w:t>
      </w:r>
    </w:p>
    <w:p>
      <w:pPr>
        <w:pStyle w:val="BodyText"/>
        <w:spacing w:line="272" w:lineRule="exact" w:before="1"/>
        <w:ind w:left="118" w:right="0"/>
        <w:jc w:val="left"/>
      </w:pPr>
      <w:r>
        <w:rPr>
          <w:spacing w:val="-2"/>
        </w:rPr>
        <w:t>资单位实施控制的，在合并日根据合并后应享有被合并方净资产在最终控制方合并财务报表中的</w:t>
      </w:r>
      <w:r>
        <w:rPr>
          <w:spacing w:val="-25"/>
        </w:rPr>
        <w:t> </w:t>
      </w:r>
      <w:r>
        <w:rPr>
          <w:spacing w:val="-25"/>
        </w:rPr>
      </w:r>
      <w:r>
        <w:rPr>
          <w:spacing w:val="-2"/>
        </w:rPr>
        <w:t>账面价值的份额，确定长期股权投资的初始投资成本。合并日长期股权投资的初始投资成本，与</w:t>
      </w:r>
    </w:p>
    <w:p>
      <w:pPr>
        <w:pStyle w:val="BodyText"/>
        <w:spacing w:line="272" w:lineRule="exact" w:before="2"/>
        <w:ind w:left="118" w:right="0"/>
        <w:jc w:val="left"/>
      </w:pPr>
      <w:r>
        <w:rPr>
          <w:spacing w:val="-2"/>
        </w:rPr>
        <w:t>达到合并前的长期股权投资账面价值加上合并日进一步取得股份新支付对价的账面价值之和的差</w:t>
      </w:r>
      <w:r>
        <w:rPr>
          <w:spacing w:val="-25"/>
        </w:rPr>
        <w:t> </w:t>
      </w:r>
      <w:r>
        <w:rPr>
          <w:spacing w:val="-25"/>
        </w:rPr>
      </w:r>
      <w:r>
        <w:rPr/>
        <w:t>额，调整股本溢价，股本溢价不足冲减的，冲减留存收益。</w:t>
      </w:r>
    </w:p>
    <w:p>
      <w:pPr>
        <w:spacing w:after="0" w:line="272" w:lineRule="exact"/>
        <w:jc w:val="left"/>
        <w:sectPr>
          <w:pgSz w:w="11910" w:h="16840"/>
          <w:pgMar w:header="946" w:footer="1248" w:top="1300" w:bottom="1440" w:left="1680" w:right="1160"/>
        </w:sectPr>
      </w:pPr>
    </w:p>
    <w:p>
      <w:pPr>
        <w:spacing w:line="240" w:lineRule="auto" w:before="2"/>
        <w:rPr>
          <w:rFonts w:ascii="宋体" w:hAnsi="宋体" w:cs="宋体" w:eastAsia="宋体" w:hint="default"/>
          <w:sz w:val="11"/>
          <w:szCs w:val="11"/>
        </w:rPr>
      </w:pPr>
    </w:p>
    <w:p>
      <w:pPr>
        <w:pStyle w:val="BodyText"/>
        <w:spacing w:line="237" w:lineRule="auto" w:before="38"/>
        <w:ind w:left="118" w:right="317" w:firstLine="419"/>
        <w:jc w:val="both"/>
      </w:pPr>
      <w:r>
        <w:rPr>
          <w:spacing w:val="-2"/>
        </w:rPr>
        <w:t>非同一控制下的企业合并：公司按照购买日确定的合并成本作为长期股权投资的初始投资成</w:t>
      </w:r>
      <w:r>
        <w:rPr>
          <w:w w:val="100"/>
        </w:rPr>
        <w:t> </w:t>
      </w:r>
      <w:r>
        <w:rPr>
          <w:spacing w:val="-2"/>
        </w:rPr>
        <w:t>本。因追加投资等原因能够对非同一控制下的被投资单位实施控制的，按照原持有的股权投资账</w:t>
      </w:r>
      <w:r>
        <w:rPr>
          <w:spacing w:val="-25"/>
        </w:rPr>
        <w:t> </w:t>
      </w:r>
      <w:r>
        <w:rPr>
          <w:spacing w:val="-25"/>
        </w:rPr>
      </w:r>
      <w:r>
        <w:rPr/>
        <w:t>面价值加上新增投资成本之和，作为改按成本法核算的初始投资成本。</w:t>
      </w:r>
    </w:p>
    <w:p>
      <w:pPr>
        <w:spacing w:line="240" w:lineRule="auto" w:before="11"/>
        <w:rPr>
          <w:rFonts w:ascii="宋体" w:hAnsi="宋体" w:cs="宋体" w:eastAsia="宋体" w:hint="default"/>
          <w:sz w:val="20"/>
          <w:szCs w:val="20"/>
        </w:rPr>
      </w:pPr>
    </w:p>
    <w:p>
      <w:pPr>
        <w:pStyle w:val="BodyText"/>
        <w:spacing w:line="237" w:lineRule="auto"/>
        <w:ind w:left="538" w:right="99"/>
        <w:jc w:val="left"/>
      </w:pPr>
      <w:r>
        <w:rPr/>
        <w:t>②其他方式取得的长期股权投资</w:t>
      </w:r>
      <w:r>
        <w:rPr>
          <w:w w:val="100"/>
        </w:rPr>
        <w:t> </w:t>
      </w:r>
      <w:r>
        <w:rPr/>
        <w:t>以支付现金方式取得的长期股权投资，按照实际支付的购买价款作为初始投资成本。</w:t>
      </w:r>
      <w:r>
        <w:rPr>
          <w:w w:val="100"/>
        </w:rPr>
        <w:t> </w:t>
      </w:r>
      <w:r>
        <w:rPr>
          <w:spacing w:val="-4"/>
          <w:w w:val="100"/>
        </w:rPr>
        <w:t>以发行权益性证券取得的长期股权投资，按照发行权益性证券的公允价值作为初始投资成本。</w:t>
      </w:r>
      <w:r>
        <w:rPr>
          <w:spacing w:val="-94"/>
          <w:w w:val="100"/>
        </w:rPr>
        <w:t> </w:t>
      </w:r>
      <w:r>
        <w:rPr>
          <w:spacing w:val="-94"/>
          <w:w w:val="100"/>
        </w:rPr>
      </w:r>
      <w:r>
        <w:rPr>
          <w:spacing w:val="-1"/>
        </w:rPr>
        <w:t>在非货币性资产交换具备商业实质和换入资产或换出资产的公允价值能够可靠计量的前提下，</w:t>
      </w:r>
    </w:p>
    <w:p>
      <w:pPr>
        <w:pStyle w:val="BodyText"/>
        <w:spacing w:line="237" w:lineRule="auto"/>
        <w:ind w:left="118" w:right="317"/>
        <w:jc w:val="both"/>
      </w:pPr>
      <w:r>
        <w:rPr>
          <w:spacing w:val="-2"/>
        </w:rPr>
        <w:t>非货币性资产交换换入的长期股权投资以换出资产的公允价值和应支付的相关税费确定其初始投</w:t>
      </w:r>
      <w:r>
        <w:rPr>
          <w:spacing w:val="-25"/>
        </w:rPr>
        <w:t> </w:t>
      </w:r>
      <w:r>
        <w:rPr>
          <w:spacing w:val="-25"/>
        </w:rPr>
      </w:r>
      <w:r>
        <w:rPr>
          <w:spacing w:val="-2"/>
        </w:rPr>
        <w:t>资成本，除非有确凿证据表明换入资产的公允价值更加可靠；不满足上述前提的非货币性资产交</w:t>
      </w:r>
      <w:r>
        <w:rPr>
          <w:spacing w:val="-25"/>
        </w:rPr>
        <w:t> </w:t>
      </w:r>
      <w:r>
        <w:rPr>
          <w:spacing w:val="-25"/>
        </w:rPr>
      </w:r>
      <w:r>
        <w:rPr/>
        <w:t>换，以换出资产的账面价值和应支付的相关税费作为换入长期股权投资的初始投资成本。</w:t>
      </w:r>
    </w:p>
    <w:p>
      <w:pPr>
        <w:pStyle w:val="BodyText"/>
        <w:spacing w:line="274" w:lineRule="exact"/>
        <w:ind w:left="538" w:right="99"/>
        <w:jc w:val="left"/>
      </w:pPr>
      <w:r>
        <w:rPr/>
        <w:t>通过债务重组取得的长期股权投资，其初始投资成本按照公允价值为基础确定。</w:t>
      </w:r>
    </w:p>
    <w:p>
      <w:pPr>
        <w:spacing w:line="240" w:lineRule="auto" w:before="9"/>
        <w:rPr>
          <w:rFonts w:ascii="宋体" w:hAnsi="宋体" w:cs="宋体" w:eastAsia="宋体" w:hint="default"/>
          <w:sz w:val="20"/>
          <w:szCs w:val="20"/>
        </w:rPr>
      </w:pPr>
    </w:p>
    <w:p>
      <w:pPr>
        <w:pStyle w:val="BodyText"/>
        <w:spacing w:line="273" w:lineRule="exact"/>
        <w:ind w:left="538" w:right="99"/>
        <w:jc w:val="left"/>
      </w:pPr>
      <w:r>
        <w:rPr/>
        <w:t>（</w:t>
      </w:r>
      <w:r>
        <w:rPr>
          <w:rFonts w:ascii="宋体" w:hAnsi="宋体" w:cs="宋体" w:eastAsia="宋体" w:hint="default"/>
        </w:rPr>
        <w:t>3</w:t>
      </w:r>
      <w:r>
        <w:rPr/>
        <w:t>）后续计量及损益确认</w:t>
      </w:r>
    </w:p>
    <w:p>
      <w:pPr>
        <w:pStyle w:val="BodyText"/>
        <w:spacing w:line="240" w:lineRule="auto"/>
        <w:ind w:left="538" w:right="99"/>
        <w:jc w:val="left"/>
      </w:pPr>
      <w:r>
        <w:rPr/>
        <w:t>①成本法核算的长期股权投资</w:t>
      </w:r>
      <w:r>
        <w:rPr>
          <w:w w:val="100"/>
        </w:rPr>
        <w:t> </w:t>
      </w:r>
      <w:r>
        <w:rPr>
          <w:spacing w:val="-2"/>
        </w:rPr>
        <w:t>公司对子公司的长期股权投资，采用成本法核算除取得投资时实际支付的价款或对价中包含</w:t>
      </w:r>
    </w:p>
    <w:p>
      <w:pPr>
        <w:pStyle w:val="BodyText"/>
        <w:spacing w:line="274" w:lineRule="exact" w:before="22"/>
        <w:ind w:left="118" w:right="317"/>
        <w:jc w:val="both"/>
      </w:pPr>
      <w:r>
        <w:rPr>
          <w:spacing w:val="-2"/>
        </w:rPr>
        <w:t>的已宣告但尚未发放的现金股利或利润外，公司按照享有被投资单位宣告发放的现金股利或利润</w:t>
      </w:r>
      <w:r>
        <w:rPr>
          <w:spacing w:val="-25"/>
        </w:rPr>
        <w:t> </w:t>
      </w:r>
      <w:r>
        <w:rPr>
          <w:spacing w:val="-25"/>
        </w:rPr>
      </w:r>
      <w:r>
        <w:rPr/>
        <w:t>确认当期投资收益。</w:t>
      </w:r>
    </w:p>
    <w:p>
      <w:pPr>
        <w:pStyle w:val="BodyText"/>
        <w:spacing w:line="244" w:lineRule="exact"/>
        <w:ind w:left="538" w:right="99"/>
        <w:jc w:val="left"/>
      </w:pPr>
      <w:r>
        <w:rPr/>
        <w:t>②权益法核算的长期股权投资</w:t>
      </w:r>
    </w:p>
    <w:p>
      <w:pPr>
        <w:pStyle w:val="BodyText"/>
        <w:spacing w:line="237" w:lineRule="auto"/>
        <w:ind w:left="118" w:right="317" w:firstLine="419"/>
        <w:jc w:val="both"/>
      </w:pPr>
      <w:r>
        <w:rPr>
          <w:spacing w:val="-2"/>
        </w:rPr>
        <w:t>对联营企业和合营企业的长期股权投资，采用权益法核算。初始投资成本大于投资时应享有</w:t>
      </w:r>
      <w:r>
        <w:rPr>
          <w:w w:val="100"/>
        </w:rPr>
        <w:t> </w:t>
      </w:r>
      <w:r>
        <w:rPr>
          <w:spacing w:val="-2"/>
        </w:rPr>
        <w:t>被投资单位可辨认净资产公允价值份额的差额，不调整长期股权投资的初始投资成本；初始投资</w:t>
      </w:r>
      <w:r>
        <w:rPr>
          <w:spacing w:val="-25"/>
        </w:rPr>
        <w:t> </w:t>
      </w:r>
      <w:r>
        <w:rPr>
          <w:spacing w:val="-25"/>
        </w:rPr>
      </w:r>
      <w:r>
        <w:rPr/>
        <w:t>成本小于投资时应享有被投资单位可辨认净资产公允价值份额的差额，计入当期损益。</w:t>
      </w:r>
    </w:p>
    <w:p>
      <w:pPr>
        <w:pStyle w:val="BodyText"/>
        <w:spacing w:line="237" w:lineRule="auto" w:before="1"/>
        <w:ind w:left="118" w:right="317" w:firstLine="419"/>
        <w:jc w:val="both"/>
      </w:pPr>
      <w:r>
        <w:rPr>
          <w:spacing w:val="-2"/>
        </w:rPr>
        <w:t>公司按照应享有或应分担的被投资单位实现的净损益和其他综合收益的份额，分别确认投资</w:t>
      </w:r>
      <w:r>
        <w:rPr>
          <w:w w:val="100"/>
        </w:rPr>
        <w:t> </w:t>
      </w:r>
      <w:r>
        <w:rPr>
          <w:spacing w:val="-2"/>
        </w:rPr>
        <w:t>收益和其他综合收益，同时调整长期股权投资的账面价值；按照被投资单位宣告分派的利润或现</w:t>
      </w:r>
      <w:r>
        <w:rPr>
          <w:spacing w:val="-25"/>
        </w:rPr>
        <w:t> </w:t>
      </w:r>
      <w:r>
        <w:rPr>
          <w:spacing w:val="-25"/>
        </w:rPr>
      </w:r>
      <w:r>
        <w:rPr>
          <w:spacing w:val="-2"/>
        </w:rPr>
        <w:t>金股利计算应享有的部分，相应减少长期股权投资的账面价值；对于被投资单位除净损益、其他</w:t>
      </w:r>
      <w:r>
        <w:rPr>
          <w:spacing w:val="-25"/>
        </w:rPr>
        <w:t> </w:t>
      </w:r>
      <w:r>
        <w:rPr>
          <w:spacing w:val="-25"/>
        </w:rPr>
      </w:r>
      <w:r>
        <w:rPr>
          <w:spacing w:val="-2"/>
        </w:rPr>
        <w:t>综合收益和利润分配以外所有者权益的其他变动，调整长期股权投资的账面价值并计入所有者权</w:t>
      </w:r>
      <w:r>
        <w:rPr>
          <w:spacing w:val="-25"/>
        </w:rPr>
        <w:t> </w:t>
      </w:r>
      <w:r>
        <w:rPr>
          <w:spacing w:val="-25"/>
        </w:rPr>
      </w:r>
      <w:r>
        <w:rPr/>
        <w:t>益。</w:t>
      </w:r>
    </w:p>
    <w:p>
      <w:pPr>
        <w:pStyle w:val="BodyText"/>
        <w:spacing w:line="274" w:lineRule="exact" w:before="22"/>
        <w:ind w:left="118" w:right="317" w:firstLine="419"/>
        <w:jc w:val="both"/>
      </w:pPr>
      <w:r>
        <w:rPr>
          <w:spacing w:val="-2"/>
        </w:rPr>
        <w:t>在确认应享有被投资单位净损益的份额时，以取得投资时被投资单位可辨认净资产的公允价</w:t>
      </w:r>
      <w:r>
        <w:rPr>
          <w:w w:val="100"/>
        </w:rPr>
        <w:t> </w:t>
      </w:r>
      <w:r>
        <w:rPr/>
        <w:t>值为基础，并按照公司的会计政策及会计期间，对被投资单位的净利润进行调整后确认。</w:t>
      </w:r>
    </w:p>
    <w:p>
      <w:pPr>
        <w:pStyle w:val="BodyText"/>
        <w:spacing w:line="245" w:lineRule="exact"/>
        <w:ind w:left="538" w:right="99"/>
        <w:jc w:val="left"/>
      </w:pPr>
      <w:r>
        <w:rPr/>
        <w:t>在持有投资期间，被投资单位编制合并财务报表的，以合并财务报表中的净利润、其他综合</w:t>
      </w:r>
    </w:p>
    <w:p>
      <w:pPr>
        <w:pStyle w:val="BodyText"/>
        <w:spacing w:line="274" w:lineRule="exact"/>
        <w:ind w:left="118" w:right="0"/>
        <w:jc w:val="both"/>
      </w:pPr>
      <w:r>
        <w:rPr/>
        <w:t>收益和其他所有者权益变动中归属于被投资单位的金额为基础进行核算。</w:t>
      </w:r>
    </w:p>
    <w:p>
      <w:pPr>
        <w:spacing w:line="240" w:lineRule="auto" w:before="11"/>
        <w:rPr>
          <w:rFonts w:ascii="宋体" w:hAnsi="宋体" w:cs="宋体" w:eastAsia="宋体" w:hint="default"/>
          <w:sz w:val="20"/>
          <w:szCs w:val="20"/>
        </w:rPr>
      </w:pPr>
    </w:p>
    <w:p>
      <w:pPr>
        <w:pStyle w:val="BodyText"/>
        <w:spacing w:line="237" w:lineRule="auto"/>
        <w:ind w:left="118" w:right="317" w:firstLine="419"/>
        <w:jc w:val="both"/>
      </w:pPr>
      <w:r>
        <w:rPr>
          <w:spacing w:val="-2"/>
        </w:rPr>
        <w:t>公司与联营企业、合营企业之间发生的未实现内部交易损益按照应享有的比例计算归属于公</w:t>
      </w:r>
      <w:r>
        <w:rPr>
          <w:w w:val="100"/>
        </w:rPr>
        <w:t> </w:t>
      </w:r>
      <w:r>
        <w:rPr>
          <w:spacing w:val="-2"/>
        </w:rPr>
        <w:t>司的部分，予以抵销，在此基础上确认投资收益。与被投资单位发生的未实现内部交易损失，属</w:t>
      </w:r>
      <w:r>
        <w:rPr>
          <w:spacing w:val="-25"/>
        </w:rPr>
        <w:t> </w:t>
      </w:r>
      <w:r>
        <w:rPr>
          <w:spacing w:val="-25"/>
        </w:rPr>
      </w:r>
      <w:r>
        <w:rPr>
          <w:spacing w:val="-2"/>
        </w:rPr>
        <w:t>于资产减值损失的，全额确认。公司与联营企业、合营企业之间发生投出或出售资产的交易，该</w:t>
      </w:r>
      <w:r>
        <w:rPr>
          <w:spacing w:val="-25"/>
        </w:rPr>
        <w:t> </w:t>
      </w:r>
      <w:r>
        <w:rPr>
          <w:spacing w:val="-25"/>
        </w:rPr>
      </w:r>
      <w:r>
        <w:rPr>
          <w:spacing w:val="-2"/>
        </w:rPr>
        <w:t>资产构成业务的，按照“五、</w:t>
      </w:r>
      <w:r>
        <w:rPr>
          <w:rFonts w:ascii="宋体" w:hAnsi="宋体" w:cs="宋体" w:eastAsia="宋体" w:hint="default"/>
          <w:spacing w:val="-2"/>
        </w:rPr>
        <w:t>5.</w:t>
      </w:r>
      <w:r>
        <w:rPr>
          <w:spacing w:val="-2"/>
        </w:rPr>
        <w:t>同一控制下和非同一控制下企业合并的会计处理方法”和“五、</w:t>
      </w:r>
      <w:r>
        <w:rPr>
          <w:spacing w:val="-23"/>
        </w:rPr>
        <w:t> </w:t>
      </w:r>
      <w:r>
        <w:rPr>
          <w:spacing w:val="-23"/>
        </w:rPr>
      </w:r>
      <w:r>
        <w:rPr>
          <w:rFonts w:ascii="宋体" w:hAnsi="宋体" w:cs="宋体" w:eastAsia="宋体" w:hint="default"/>
        </w:rPr>
        <w:t>6.</w:t>
      </w:r>
      <w:r>
        <w:rPr/>
        <w:t>合并财务报表的编制方法”中披露的相关政策进行会计处理。</w:t>
      </w:r>
    </w:p>
    <w:p>
      <w:pPr>
        <w:pStyle w:val="BodyText"/>
        <w:spacing w:line="237" w:lineRule="auto"/>
        <w:ind w:left="118" w:right="317" w:firstLine="419"/>
        <w:jc w:val="both"/>
      </w:pPr>
      <w:r>
        <w:rPr>
          <w:spacing w:val="-2"/>
        </w:rPr>
        <w:t>在公司确认应分担被投资单位发生的亏损时，按照以下顺序进行处理：首先，冲减长期股权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274" w:lineRule="exact" w:before="22"/>
        <w:ind w:left="538" w:right="99"/>
        <w:jc w:val="left"/>
      </w:pPr>
      <w:r>
        <w:rPr/>
        <w:t>③长期股权投资的处置</w:t>
      </w:r>
      <w:r>
        <w:rPr>
          <w:w w:val="100"/>
        </w:rPr>
        <w:t> </w:t>
      </w:r>
      <w:r>
        <w:rPr>
          <w:spacing w:val="-2"/>
        </w:rPr>
        <w:t>处置长期股权投资，其账面价值与实际取得价款的差额，计入当期损益。采用权益法核算的</w:t>
      </w:r>
    </w:p>
    <w:p>
      <w:pPr>
        <w:pStyle w:val="BodyText"/>
        <w:spacing w:line="245" w:lineRule="exact"/>
        <w:ind w:left="118" w:right="0"/>
        <w:jc w:val="both"/>
      </w:pPr>
      <w:r>
        <w:rPr/>
        <w:t>长期股权投资，在处置该项投资时，采用与被投资单位直接处置相关资产或负债相同的基础，按</w:t>
      </w:r>
    </w:p>
    <w:p>
      <w:pPr>
        <w:pStyle w:val="BodyText"/>
        <w:spacing w:line="237" w:lineRule="auto" w:before="2"/>
        <w:ind w:left="118" w:right="317"/>
        <w:jc w:val="both"/>
      </w:pPr>
      <w:r>
        <w:rPr>
          <w:spacing w:val="-2"/>
        </w:rPr>
        <w:t>相应比例对原计入其他综合收益的部分进行会计处理。因被投资单位除净损益、其他综合收益和</w:t>
      </w:r>
      <w:r>
        <w:rPr>
          <w:spacing w:val="-25"/>
        </w:rPr>
        <w:t> </w:t>
      </w:r>
      <w:r>
        <w:rPr>
          <w:spacing w:val="-25"/>
        </w:rPr>
      </w:r>
      <w:r>
        <w:rPr>
          <w:spacing w:val="-2"/>
        </w:rPr>
        <w:t>利润分配以外的其他所有者权益变动而确认的所有者权益，按比例结转入当期损益。由于被投资</w:t>
      </w:r>
      <w:r>
        <w:rPr>
          <w:spacing w:val="-25"/>
        </w:rPr>
        <w:t> </w:t>
      </w:r>
      <w:r>
        <w:rPr>
          <w:spacing w:val="-25"/>
        </w:rPr>
      </w:r>
      <w:r>
        <w:rPr/>
        <w:t>方重新计量设定受益计划净负债或净资产变动而产生的其他综合收益除外。</w:t>
      </w:r>
    </w:p>
    <w:p>
      <w:pPr>
        <w:pStyle w:val="BodyText"/>
        <w:spacing w:line="274" w:lineRule="exact" w:before="23"/>
        <w:ind w:left="118" w:right="317" w:firstLine="419"/>
        <w:jc w:val="both"/>
      </w:pPr>
      <w:r>
        <w:rPr>
          <w:spacing w:val="-2"/>
        </w:rPr>
        <w:t>因处置部分股权投资等原因丧失了对被投资单位的共同控制或重大影响的，处置后的剩余股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p>
    <w:p>
      <w:pPr>
        <w:spacing w:after="0" w:line="274" w:lineRule="exact"/>
        <w:jc w:val="both"/>
        <w:sectPr>
          <w:pgSz w:w="11910" w:h="16840"/>
          <w:pgMar w:header="946" w:footer="1248" w:top="1300" w:bottom="1440" w:left="1680" w:right="960"/>
        </w:sectPr>
      </w:pPr>
    </w:p>
    <w:p>
      <w:pPr>
        <w:spacing w:line="240" w:lineRule="auto" w:before="2"/>
        <w:rPr>
          <w:rFonts w:ascii="宋体" w:hAnsi="宋体" w:cs="宋体" w:eastAsia="宋体" w:hint="default"/>
          <w:sz w:val="11"/>
          <w:szCs w:val="11"/>
        </w:rPr>
      </w:pPr>
    </w:p>
    <w:p>
      <w:pPr>
        <w:pStyle w:val="BodyText"/>
        <w:spacing w:line="237" w:lineRule="auto" w:before="38"/>
        <w:ind w:right="237"/>
        <w:jc w:val="both"/>
      </w:pP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权益法核算时全部转入当期损益。</w:t>
      </w:r>
    </w:p>
    <w:p>
      <w:pPr>
        <w:pStyle w:val="BodyText"/>
        <w:spacing w:line="237" w:lineRule="auto"/>
        <w:ind w:right="230" w:firstLine="419"/>
        <w:jc w:val="both"/>
      </w:pPr>
      <w:r>
        <w:rPr>
          <w:spacing w:val="-2"/>
        </w:rPr>
        <w:t>因处置部分股权投资、因其他投资方对子公司增资而导致本公司持股比例下降等原因丧失了</w:t>
      </w:r>
      <w:r>
        <w:rPr>
          <w:w w:val="100"/>
        </w:rPr>
        <w:t> </w:t>
      </w:r>
      <w:r>
        <w:rPr>
          <w:spacing w:val="-2"/>
        </w:rPr>
        <w:t>对被投资单位控制权的，在编制个别财务报表时，剩余股权能够对被投资单位实施共同控制或重</w:t>
      </w:r>
      <w:r>
        <w:rPr>
          <w:spacing w:val="-25"/>
        </w:rPr>
        <w:t> </w:t>
      </w:r>
      <w:r>
        <w:rPr>
          <w:spacing w:val="-25"/>
        </w:rPr>
      </w:r>
      <w:r>
        <w:rPr>
          <w:spacing w:val="-3"/>
        </w:rPr>
        <w:t>大影响的，改按权益法核算，并对该剩余股权视同自取得时即采用权益法核算进行调整； 剩余股</w:t>
      </w:r>
      <w:r>
        <w:rPr>
          <w:spacing w:val="-80"/>
        </w:rPr>
        <w:t> </w:t>
      </w:r>
      <w:r>
        <w:rPr>
          <w:spacing w:val="-80"/>
        </w:rPr>
      </w:r>
      <w:r>
        <w:rPr>
          <w:spacing w:val="-2"/>
        </w:rPr>
        <w:t>权不能对被投资单位实施共同控制或施加重大影响的，改按金融工具确认和计量准则的有关规定</w:t>
      </w:r>
      <w:r>
        <w:rPr>
          <w:spacing w:val="-25"/>
        </w:rPr>
        <w:t> </w:t>
      </w:r>
      <w:r>
        <w:rPr>
          <w:spacing w:val="-25"/>
        </w:rPr>
      </w:r>
      <w:r>
        <w:rPr/>
        <w:t>进行会计处理，其在丧失控制之日的公允价值与账面价值间的差额计入当期损益。</w:t>
      </w:r>
    </w:p>
    <w:p>
      <w:pPr>
        <w:pStyle w:val="BodyText"/>
        <w:spacing w:line="237" w:lineRule="auto" w:before="1"/>
        <w:ind w:right="237" w:firstLine="419"/>
        <w:jc w:val="both"/>
      </w:pPr>
      <w:r>
        <w:rPr>
          <w:spacing w:val="-2"/>
        </w:rPr>
        <w:t>处置的股权是因追加投资等原因通过企业合并取得的，在编制个别财务报表时，处置后的剩</w:t>
      </w:r>
      <w:r>
        <w:rPr>
          <w:w w:val="100"/>
        </w:rPr>
        <w:t> </w:t>
      </w:r>
      <w:r>
        <w:rPr>
          <w:spacing w:val="-2"/>
        </w:rPr>
        <w:t>余股权采用成本法或权益法核算的，购买日之前持有的股权投资因采用权益法核算而确认的其他</w:t>
      </w:r>
      <w:r>
        <w:rPr>
          <w:spacing w:val="-25"/>
        </w:rPr>
        <w:t> </w:t>
      </w:r>
      <w:r>
        <w:rPr>
          <w:spacing w:val="-25"/>
        </w:rPr>
      </w:r>
      <w:r>
        <w:rPr>
          <w:spacing w:val="-2"/>
        </w:rPr>
        <w:t>综合收益和其他所有者权益按比例结转；处置后的剩余股权改按金融工具确认和计量准则进行会</w:t>
      </w:r>
      <w:r>
        <w:rPr>
          <w:spacing w:val="-25"/>
        </w:rPr>
        <w:t> </w:t>
      </w:r>
      <w:r>
        <w:rPr>
          <w:spacing w:val="-25"/>
        </w:rPr>
      </w:r>
      <w:r>
        <w:rPr/>
        <w:t>计处理的，其他综合收益和其他所有者权益全部结转。</w:t>
      </w:r>
    </w:p>
    <w:p>
      <w:pPr>
        <w:spacing w:line="240" w:lineRule="auto" w:before="3"/>
        <w:rPr>
          <w:rFonts w:ascii="宋体" w:hAnsi="宋体" w:cs="宋体" w:eastAsia="宋体" w:hint="default"/>
          <w:sz w:val="25"/>
          <w:szCs w:val="25"/>
        </w:rPr>
      </w:pPr>
    </w:p>
    <w:p>
      <w:pPr>
        <w:pStyle w:val="Heading4"/>
        <w:spacing w:line="290" w:lineRule="auto"/>
        <w:ind w:right="6111"/>
        <w:jc w:val="left"/>
        <w:rPr>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spacing w:val="-1"/>
        </w:rPr>
        <w:t>(1).</w:t>
      </w:r>
      <w:r>
        <w:rPr>
          <w:spacing w:val="-1"/>
        </w:rPr>
        <w:t>如果采用成本计量模式的：</w:t>
      </w:r>
      <w:r>
        <w:rPr>
          <w:b w:val="0"/>
          <w:bCs w:val="0"/>
          <w:spacing w:val="-1"/>
        </w:rPr>
      </w:r>
    </w:p>
    <w:p>
      <w:pPr>
        <w:pStyle w:val="Heading3"/>
        <w:spacing w:line="240" w:lineRule="auto" w:before="6"/>
        <w:ind w:left="698" w:right="2760"/>
        <w:jc w:val="left"/>
      </w:pPr>
      <w:r>
        <w:rPr/>
        <w:t>折旧或摊销方法</w:t>
      </w:r>
    </w:p>
    <w:p>
      <w:pPr>
        <w:pStyle w:val="BodyText"/>
        <w:spacing w:line="272" w:lineRule="exact" w:before="32"/>
        <w:ind w:left="638" w:right="226"/>
        <w:jc w:val="left"/>
      </w:pPr>
      <w:r>
        <w:rPr/>
        <w:t>折旧或摊销方法</w:t>
      </w:r>
      <w:r>
        <w:rPr>
          <w:spacing w:val="-103"/>
        </w:rPr>
        <w:t> </w:t>
      </w:r>
      <w:r>
        <w:rPr>
          <w:spacing w:val="-103"/>
        </w:rPr>
      </w:r>
      <w:r>
        <w:rPr>
          <w:spacing w:val="-2"/>
        </w:rPr>
        <w:t>投资性房地产是指为赚取租金或资本增值，或两者兼有而持有的房地产，包括已出租的土地</w:t>
      </w:r>
    </w:p>
    <w:p>
      <w:pPr>
        <w:pStyle w:val="BodyText"/>
        <w:spacing w:line="272" w:lineRule="exact" w:before="1"/>
        <w:ind w:right="226"/>
        <w:jc w:val="left"/>
      </w:pPr>
      <w:r>
        <w:rPr>
          <w:spacing w:val="-2"/>
        </w:rPr>
        <w:t>使用权、持有并准备增值后转让的土地使用权、已出租的建筑物（含自行建造或开发活动完成后</w:t>
      </w:r>
      <w:r>
        <w:rPr>
          <w:spacing w:val="-25"/>
        </w:rPr>
        <w:t> </w:t>
      </w:r>
      <w:r>
        <w:rPr>
          <w:spacing w:val="-25"/>
        </w:rPr>
      </w:r>
      <w:r>
        <w:rPr/>
        <w:t>用于出租的建筑物以及正在建造或开发过程中将来用于出租的建筑物）。</w:t>
      </w:r>
    </w:p>
    <w:p>
      <w:pPr>
        <w:pStyle w:val="BodyText"/>
        <w:spacing w:line="272" w:lineRule="exact" w:before="1"/>
        <w:ind w:right="237" w:firstLine="419"/>
        <w:jc w:val="both"/>
      </w:pPr>
      <w:r>
        <w:rPr>
          <w:spacing w:val="-2"/>
        </w:rPr>
        <w:t>公司对现有投资性房地产采用成本模式计量。对按照成本模式计量的投资性房地产－出租用</w:t>
      </w:r>
      <w:r>
        <w:rPr>
          <w:w w:val="100"/>
        </w:rPr>
        <w:t> </w:t>
      </w:r>
      <w:r>
        <w:rPr>
          <w:spacing w:val="-2"/>
        </w:rPr>
        <w:t>建筑物采用与本公司固定资产相同的折旧政策，出租用土地使用权按与无形资产相同的摊销政策</w:t>
      </w:r>
    </w:p>
    <w:p>
      <w:pPr>
        <w:pStyle w:val="BodyText"/>
        <w:spacing w:line="249" w:lineRule="exact"/>
        <w:ind w:right="0"/>
        <w:jc w:val="both"/>
      </w:pPr>
      <w:r>
        <w:rPr/>
        <w:t>执行。</w:t>
      </w:r>
    </w:p>
    <w:p>
      <w:pPr>
        <w:spacing w:line="240" w:lineRule="auto" w:before="3"/>
        <w:rPr>
          <w:rFonts w:ascii="宋体" w:hAnsi="宋体" w:cs="宋体" w:eastAsia="宋体" w:hint="default"/>
          <w:sz w:val="25"/>
          <w:szCs w:val="25"/>
        </w:rPr>
      </w:pPr>
    </w:p>
    <w:p>
      <w:pPr>
        <w:pStyle w:val="Heading4"/>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8" w:right="226" w:hanging="420"/>
        <w:jc w:val="left"/>
      </w:pPr>
      <w:r>
        <w:rPr/>
        <w:t>√适用</w:t>
      </w:r>
      <w:r>
        <w:rPr>
          <w:spacing w:val="-2"/>
        </w:rPr>
        <w:t> </w:t>
      </w:r>
      <w:r>
        <w:rPr/>
        <w:t>□不适用</w:t>
      </w:r>
      <w:r>
        <w:rPr>
          <w:w w:val="100"/>
        </w:rPr>
        <w:t> </w:t>
      </w:r>
      <w:r>
        <w:rPr>
          <w:spacing w:val="-2"/>
        </w:rPr>
        <w:t>固定资产指为生产商品、提供劳务、出租或经营管理而持有，并且使用寿命超过一个会计年</w:t>
      </w:r>
    </w:p>
    <w:p>
      <w:pPr>
        <w:pStyle w:val="BodyText"/>
        <w:spacing w:line="271" w:lineRule="exact"/>
        <w:ind w:right="0"/>
        <w:jc w:val="both"/>
      </w:pPr>
      <w:r>
        <w:rPr/>
        <w:t>度的有形资产。固定资产在同时满足下列条件时予以确认：</w:t>
      </w:r>
    </w:p>
    <w:p>
      <w:pPr>
        <w:pStyle w:val="BodyText"/>
        <w:spacing w:line="272" w:lineRule="exact"/>
        <w:ind w:left="638" w:right="2760"/>
        <w:jc w:val="left"/>
      </w:pPr>
      <w:r>
        <w:rPr/>
        <w:t>①与该固定资产有关的经济利益很可能流入企业；</w:t>
      </w:r>
    </w:p>
    <w:p>
      <w:pPr>
        <w:pStyle w:val="BodyText"/>
        <w:spacing w:line="273" w:lineRule="exact"/>
        <w:ind w:left="638" w:right="2760"/>
        <w:jc w:val="left"/>
      </w:pPr>
      <w:r>
        <w:rPr/>
        <w:t>②该固定资产的成本能够可靠地计量。</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(2).</w:t>
      </w:r>
      <w:r>
        <w:rPr/>
        <w:t>折旧方法</w:t>
      </w:r>
      <w:r>
        <w:rPr>
          <w:b w:val="0"/>
          <w:bCs w:val="0"/>
        </w:rPr>
      </w:r>
    </w:p>
    <w:p>
      <w:pPr>
        <w:pStyle w:val="BodyText"/>
        <w:spacing w:line="240" w:lineRule="auto" w:before="59"/>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1.90%-4.75%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31.70%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19.00%-31.70%</w:t>
            </w:r>
          </w:p>
        </w:tc>
      </w:tr>
    </w:tbl>
    <w:p>
      <w:pPr>
        <w:pStyle w:val="BodyText"/>
        <w:spacing w:line="239" w:lineRule="exact"/>
        <w:ind w:right="0" w:firstLine="419"/>
        <w:jc w:val="left"/>
      </w:pPr>
      <w:r>
        <w:rPr/>
        <w:t>固定资产折旧采用年限平均法分类计提，根据固定资产类别、预计使用寿命和预计净残值率</w:t>
      </w:r>
    </w:p>
    <w:p>
      <w:pPr>
        <w:pStyle w:val="BodyText"/>
        <w:spacing w:line="240" w:lineRule="auto"/>
        <w:ind w:right="226"/>
        <w:jc w:val="left"/>
      </w:pPr>
      <w:r>
        <w:rPr>
          <w:spacing w:val="-2"/>
        </w:rPr>
        <w:t>确定折旧率。如固定资产各组成部分的使用寿命不同或者以不同方式为企业提供经济利益，则选</w:t>
      </w:r>
      <w:r>
        <w:rPr>
          <w:spacing w:val="-25"/>
        </w:rPr>
        <w:t> </w:t>
      </w:r>
      <w:r>
        <w:rPr>
          <w:spacing w:val="-25"/>
        </w:rPr>
      </w:r>
      <w:r>
        <w:rPr/>
        <w:t>择不同折旧率或折旧方法，分别计提折旧。各类固定资产折旧年限和年折旧率见上表。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left="638" w:right="657" w:hanging="420"/>
        <w:jc w:val="left"/>
      </w:pPr>
      <w:r>
        <w:rPr>
          <w:spacing w:val="-1"/>
        </w:rPr>
        <w:t>√适用</w:t>
        <w:tab/>
      </w:r>
      <w:r>
        <w:rPr>
          <w:spacing w:val="-2"/>
        </w:rPr>
        <w:t>□不适用</w:t>
      </w:r>
      <w:r>
        <w:rPr>
          <w:spacing w:val="-99"/>
        </w:rPr>
        <w:t> </w:t>
      </w:r>
      <w:r>
        <w:rPr>
          <w:spacing w:val="-99"/>
        </w:rPr>
      </w:r>
      <w:r>
        <w:rPr>
          <w:spacing w:val="-2"/>
        </w:rPr>
        <w:t>公司与租赁方所签订的租赁协议条款中规定了下列条件之一的，确认为融资租入资产：</w:t>
      </w:r>
    </w:p>
    <w:p>
      <w:pPr>
        <w:pStyle w:val="BodyText"/>
        <w:spacing w:line="271" w:lineRule="exact"/>
        <w:ind w:left="638" w:right="2760"/>
        <w:jc w:val="left"/>
      </w:pPr>
      <w:r>
        <w:rPr/>
        <w:t>①租赁期满后租赁资产的所有权归属于本公司；</w:t>
      </w:r>
    </w:p>
    <w:p>
      <w:pPr>
        <w:spacing w:after="0" w:line="271" w:lineRule="exact"/>
        <w:jc w:val="left"/>
        <w:sectPr>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pStyle w:val="BodyText"/>
        <w:spacing w:line="274" w:lineRule="exact" w:before="36"/>
        <w:ind w:left="538" w:right="0"/>
        <w:jc w:val="left"/>
      </w:pPr>
      <w:r>
        <w:rPr/>
        <w:t>②公司具有购买资产的选择权，购买价款远低于行使选择权时该资产的公允价值；</w:t>
      </w:r>
    </w:p>
    <w:p>
      <w:pPr>
        <w:pStyle w:val="BodyText"/>
        <w:spacing w:line="272" w:lineRule="exact"/>
        <w:ind w:left="538" w:right="0"/>
        <w:jc w:val="left"/>
      </w:pPr>
      <w:r>
        <w:rPr/>
        <w:t>③租赁期占所租赁资产使用寿命的大部分；</w:t>
      </w:r>
    </w:p>
    <w:p>
      <w:pPr>
        <w:pStyle w:val="BodyText"/>
        <w:spacing w:line="272" w:lineRule="exact"/>
        <w:ind w:left="538" w:right="0"/>
        <w:jc w:val="left"/>
      </w:pPr>
      <w:r>
        <w:rPr/>
        <w:t>④租赁开始日的最低租赁付款额现值，与该资产的公允价值不存在较大的差异。</w:t>
      </w:r>
    </w:p>
    <w:p>
      <w:pPr>
        <w:pStyle w:val="BodyText"/>
        <w:spacing w:line="272" w:lineRule="exact" w:before="27"/>
        <w:ind w:left="538" w:right="0"/>
        <w:jc w:val="left"/>
      </w:pPr>
      <w:r>
        <w:rPr/>
        <w:t>⑤租赁资产性质特殊，如果不作较大改造，只有本公司才能使用。</w:t>
      </w:r>
      <w:r>
        <w:rPr>
          <w:w w:val="100"/>
        </w:rPr>
        <w:t> </w:t>
      </w:r>
      <w:r>
        <w:rPr>
          <w:spacing w:val="-2"/>
        </w:rPr>
        <w:t>公司在承租开始日，将租赁资产公允价值与最低租赁付款额现值两者中较低者作为租入资产</w:t>
      </w:r>
    </w:p>
    <w:p>
      <w:pPr>
        <w:pStyle w:val="BodyText"/>
        <w:spacing w:line="249" w:lineRule="exact"/>
        <w:ind w:left="118" w:right="0"/>
        <w:jc w:val="both"/>
      </w:pPr>
      <w:r>
        <w:rPr/>
        <w:t>的入账价值，将最低租赁付款额作为长期应付款的入账价值，其差额作为未确认的融资费。</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60" w:val="left" w:leader="none"/>
        </w:tabs>
        <w:spacing w:line="240" w:lineRule="auto" w:before="56"/>
        <w:ind w:left="538" w:right="117" w:hanging="420"/>
        <w:jc w:val="left"/>
      </w:pPr>
      <w:r>
        <w:rPr>
          <w:spacing w:val="-1"/>
        </w:rPr>
        <w:t>√适用</w:t>
        <w:tab/>
      </w:r>
      <w:r>
        <w:rPr>
          <w:spacing w:val="-2"/>
        </w:rPr>
        <w:t>□不适用</w:t>
      </w:r>
      <w:r>
        <w:rPr>
          <w:spacing w:val="-99"/>
        </w:rPr>
        <w:t> </w:t>
      </w:r>
      <w:r>
        <w:rPr>
          <w:spacing w:val="-99"/>
        </w:rPr>
      </w:r>
      <w:r>
        <w:rPr>
          <w:spacing w:val="-2"/>
        </w:rPr>
        <w:t>在建工程项目按建造该项资产达到预定可使用状态前所发生的必要支出，作为固定资产的入</w:t>
      </w:r>
    </w:p>
    <w:p>
      <w:pPr>
        <w:pStyle w:val="BodyText"/>
        <w:spacing w:line="237" w:lineRule="auto"/>
        <w:ind w:left="118" w:right="117"/>
        <w:jc w:val="both"/>
      </w:pPr>
      <w:r>
        <w:rPr>
          <w:spacing w:val="-2"/>
        </w:rPr>
        <w:t>账价值。所建造的固定资产在工程已达到预定可使用状态，但尚未办理竣工决算的，自达到预定</w:t>
      </w:r>
      <w:r>
        <w:rPr>
          <w:spacing w:val="-25"/>
        </w:rPr>
        <w:t> </w:t>
      </w:r>
      <w:r>
        <w:rPr>
          <w:spacing w:val="-25"/>
        </w:rPr>
      </w:r>
      <w:r>
        <w:rPr>
          <w:spacing w:val="-2"/>
        </w:rPr>
        <w:t>可使用状态之日起，根据工程预算、造价或者工程实际成本等，按估计的价值转入固定资产，并</w:t>
      </w:r>
      <w:r>
        <w:rPr>
          <w:spacing w:val="-25"/>
        </w:rPr>
        <w:t> </w:t>
      </w:r>
      <w:r>
        <w:rPr>
          <w:spacing w:val="-25"/>
        </w:rPr>
      </w:r>
      <w:r>
        <w:rPr>
          <w:spacing w:val="-2"/>
        </w:rPr>
        <w:t>按本公司固定资产折旧政策计提固定资产的折旧，待办理竣工决算后，再按实际成本调整原来的</w:t>
      </w:r>
      <w:r>
        <w:rPr>
          <w:spacing w:val="-25"/>
        </w:rPr>
        <w:t> </w:t>
      </w:r>
      <w:r>
        <w:rPr>
          <w:spacing w:val="-25"/>
        </w:rPr>
      </w:r>
      <w:r>
        <w:rPr/>
        <w:t>暂估价值，但不调整原已计提的折旧额。</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4" w:lineRule="exact" w:before="56"/>
        <w:ind w:left="118" w:right="0"/>
        <w:jc w:val="both"/>
      </w:pPr>
      <w:r>
        <w:rPr/>
        <w:t>√适用</w:t>
      </w:r>
      <w:r>
        <w:rPr>
          <w:spacing w:val="104"/>
        </w:rPr>
        <w:t> </w:t>
      </w:r>
      <w:r>
        <w:rPr/>
        <w:t>□不适用</w:t>
      </w:r>
    </w:p>
    <w:p>
      <w:pPr>
        <w:pStyle w:val="BodyText"/>
        <w:spacing w:line="272" w:lineRule="exact" w:before="27"/>
        <w:ind w:left="538" w:right="0"/>
        <w:jc w:val="left"/>
      </w:pPr>
      <w:r>
        <w:rPr/>
        <w:t>（</w:t>
      </w:r>
      <w:r>
        <w:rPr>
          <w:rFonts w:ascii="宋体" w:hAnsi="宋体" w:cs="宋体" w:eastAsia="宋体" w:hint="default"/>
        </w:rPr>
        <w:t>1</w:t>
      </w:r>
      <w:r>
        <w:rPr/>
        <w:t>）借款费用资本化的确认原则</w:t>
      </w:r>
      <w:r>
        <w:rPr>
          <w:w w:val="100"/>
        </w:rPr>
        <w:t> </w:t>
      </w:r>
      <w:r>
        <w:rPr>
          <w:spacing w:val="-2"/>
        </w:rPr>
        <w:t>借款费用，包括借款利息、折价或者溢价的摊销、辅助费用以及因外币借款而发生的汇兑差</w:t>
      </w:r>
    </w:p>
    <w:p>
      <w:pPr>
        <w:pStyle w:val="BodyText"/>
        <w:spacing w:line="246" w:lineRule="exact"/>
        <w:ind w:left="118" w:right="0"/>
        <w:jc w:val="both"/>
      </w:pPr>
      <w:r>
        <w:rPr/>
        <w:t>额等。</w:t>
      </w:r>
    </w:p>
    <w:p>
      <w:pPr>
        <w:pStyle w:val="BodyText"/>
        <w:spacing w:line="272" w:lineRule="exact" w:before="27"/>
        <w:ind w:left="118" w:right="0" w:firstLine="419"/>
        <w:jc w:val="left"/>
      </w:pPr>
      <w:r>
        <w:rPr>
          <w:spacing w:val="-7"/>
          <w:w w:val="100"/>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p>
    <w:p>
      <w:pPr>
        <w:pStyle w:val="BodyText"/>
        <w:spacing w:line="272" w:lineRule="exact" w:before="1"/>
        <w:ind w:left="118" w:right="0" w:firstLine="419"/>
        <w:jc w:val="left"/>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7" w:lineRule="exact"/>
        <w:ind w:left="538" w:right="0"/>
        <w:jc w:val="left"/>
      </w:pPr>
      <w:r>
        <w:rPr/>
        <w:t>借款费用同时满足下列条件时开始资本化：</w:t>
      </w:r>
    </w:p>
    <w:p>
      <w:pPr>
        <w:pStyle w:val="BodyText"/>
        <w:spacing w:line="240" w:lineRule="auto"/>
        <w:ind w:left="118" w:right="0" w:firstLine="419"/>
        <w:jc w:val="left"/>
      </w:pPr>
      <w:r>
        <w:rPr>
          <w:spacing w:val="-2"/>
        </w:rPr>
        <w:t>①资产支出已经发生，资产支出包括为购建或者生产符合资本化条件的资产而以支付现金、</w:t>
      </w:r>
      <w:r>
        <w:rPr>
          <w:w w:val="100"/>
        </w:rPr>
        <w:t> </w:t>
      </w:r>
      <w:r>
        <w:rPr/>
        <w:t>转移非现金资产或者承担带息债务形式发生的支出；</w:t>
      </w:r>
    </w:p>
    <w:p>
      <w:pPr>
        <w:pStyle w:val="BodyText"/>
        <w:spacing w:line="271" w:lineRule="exact"/>
        <w:ind w:left="538" w:right="0"/>
        <w:jc w:val="left"/>
      </w:pPr>
      <w:r>
        <w:rPr/>
        <w:t>②借款费用已经发生；</w:t>
      </w:r>
    </w:p>
    <w:p>
      <w:pPr>
        <w:pStyle w:val="BodyText"/>
        <w:spacing w:line="274" w:lineRule="exact"/>
        <w:ind w:left="538" w:right="0"/>
        <w:jc w:val="left"/>
      </w:pPr>
      <w:r>
        <w:rPr/>
        <w:t>①为使资产达到预定可使用或者可销售状态所必要的购建或者生产活动已经开始。</w:t>
      </w:r>
    </w:p>
    <w:p>
      <w:pPr>
        <w:spacing w:line="240" w:lineRule="auto" w:before="10"/>
        <w:rPr>
          <w:rFonts w:ascii="宋体" w:hAnsi="宋体" w:cs="宋体" w:eastAsia="宋体" w:hint="default"/>
          <w:sz w:val="22"/>
          <w:szCs w:val="22"/>
        </w:rPr>
      </w:pPr>
    </w:p>
    <w:p>
      <w:pPr>
        <w:pStyle w:val="BodyText"/>
        <w:spacing w:line="272" w:lineRule="exact"/>
        <w:ind w:left="538" w:right="0"/>
        <w:jc w:val="left"/>
      </w:pPr>
      <w:r>
        <w:rPr/>
        <w:t>（</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资本化期间，指从借款费用开始资本化时点到停止资本化时点的期间，借款费用暂停资本化</w:t>
      </w:r>
    </w:p>
    <w:p>
      <w:pPr>
        <w:pStyle w:val="BodyText"/>
        <w:spacing w:line="272" w:lineRule="exact" w:before="1"/>
        <w:ind w:left="538" w:right="0" w:hanging="420"/>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7" w:lineRule="exact"/>
        <w:ind w:left="118" w:right="0"/>
        <w:jc w:val="both"/>
      </w:pPr>
      <w:r>
        <w:rPr/>
        <w:t>本化。</w:t>
      </w:r>
    </w:p>
    <w:p>
      <w:pPr>
        <w:pStyle w:val="BodyText"/>
        <w:spacing w:line="240" w:lineRule="auto"/>
        <w:ind w:left="118" w:right="0" w:firstLine="419"/>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274" w:lineRule="exact" w:before="22"/>
        <w:ind w:left="118" w:right="0" w:firstLine="419"/>
        <w:jc w:val="left"/>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240" w:lineRule="auto" w:before="7"/>
        <w:rPr>
          <w:rFonts w:ascii="宋体" w:hAnsi="宋体" w:cs="宋体" w:eastAsia="宋体" w:hint="default"/>
          <w:sz w:val="18"/>
          <w:szCs w:val="18"/>
        </w:rPr>
      </w:pPr>
    </w:p>
    <w:p>
      <w:pPr>
        <w:pStyle w:val="BodyText"/>
        <w:spacing w:line="240" w:lineRule="auto"/>
        <w:ind w:left="538" w:right="11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p>
    <w:p>
      <w:pPr>
        <w:pStyle w:val="BodyText"/>
        <w:spacing w:line="237" w:lineRule="auto"/>
        <w:ind w:left="118" w:right="117"/>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pStyle w:val="BodyText"/>
        <w:spacing w:line="272" w:lineRule="exact" w:before="26"/>
        <w:ind w:left="538" w:right="0"/>
        <w:jc w:val="left"/>
      </w:pPr>
      <w:r>
        <w:rPr/>
        <w:t>（</w:t>
      </w:r>
      <w:r>
        <w:rPr>
          <w:rFonts w:ascii="宋体" w:hAnsi="宋体" w:cs="宋体" w:eastAsia="宋体" w:hint="default"/>
        </w:rPr>
        <w:t>4</w:t>
      </w:r>
      <w:r>
        <w:rPr/>
        <w:t>）借款费用资本化金额的计算方法</w:t>
      </w:r>
      <w:r>
        <w:rPr>
          <w:w w:val="100"/>
        </w:rPr>
        <w:t> </w:t>
      </w:r>
      <w:r>
        <w:rPr>
          <w:spacing w:val="-2"/>
        </w:rPr>
        <w:t>对于为购建或者生产符合资本化条件的资产而借入的专门借款，以专门借款当期实际发生的</w:t>
      </w:r>
    </w:p>
    <w:p>
      <w:pPr>
        <w:pStyle w:val="BodyText"/>
        <w:spacing w:line="272" w:lineRule="exact" w:before="2"/>
        <w:ind w:left="118" w:right="117"/>
        <w:jc w:val="both"/>
      </w:pPr>
      <w:r>
        <w:rPr>
          <w:spacing w:val="-2"/>
        </w:rPr>
        <w:t>借款费用，减去尚未动用的借款资金存入银行取得的利息收入或进行暂时性投资取得的投资收益</w:t>
      </w:r>
      <w:r>
        <w:rPr>
          <w:spacing w:val="-25"/>
        </w:rPr>
        <w:t> </w:t>
      </w:r>
      <w:r>
        <w:rPr>
          <w:spacing w:val="-25"/>
        </w:rPr>
      </w:r>
      <w:r>
        <w:rPr/>
        <w:t>后的金额，来确定借款费用的资本化金额。</w:t>
      </w:r>
    </w:p>
    <w:p>
      <w:pPr>
        <w:spacing w:after="0" w:line="272" w:lineRule="exact"/>
        <w:jc w:val="both"/>
        <w:sectPr>
          <w:pgSz w:w="11910" w:h="16840"/>
          <w:pgMar w:header="946" w:footer="1248" w:top="1300" w:bottom="1440" w:left="1680" w:right="1160"/>
        </w:sectPr>
      </w:pPr>
    </w:p>
    <w:p>
      <w:pPr>
        <w:spacing w:line="240" w:lineRule="auto" w:before="2"/>
        <w:rPr>
          <w:rFonts w:ascii="宋体" w:hAnsi="宋体" w:cs="宋体" w:eastAsia="宋体" w:hint="default"/>
          <w:sz w:val="11"/>
          <w:szCs w:val="11"/>
        </w:rPr>
      </w:pPr>
    </w:p>
    <w:p>
      <w:pPr>
        <w:pStyle w:val="BodyText"/>
        <w:spacing w:line="237" w:lineRule="auto" w:before="38"/>
        <w:ind w:left="118" w:right="317" w:firstLine="419"/>
        <w:jc w:val="both"/>
      </w:pPr>
      <w:r>
        <w:rPr>
          <w:spacing w:val="-2"/>
        </w:rPr>
        <w:t>对于为购建或者生产符合资本化条件的资产而占用的一般借款，根据累计资产支出超过专门</w:t>
      </w:r>
      <w:r>
        <w:rPr>
          <w:w w:val="100"/>
        </w:rPr>
        <w:t> </w:t>
      </w:r>
      <w:r>
        <w:rPr>
          <w:spacing w:val="-2"/>
        </w:rPr>
        <w:t>借款部分的资产支出加权平均数（按每月月末加权平均）乘以所占用一般借款的资本化率，计算</w:t>
      </w:r>
      <w:r>
        <w:rPr>
          <w:spacing w:val="-25"/>
        </w:rPr>
        <w:t> </w:t>
      </w:r>
      <w:r>
        <w:rPr>
          <w:spacing w:val="-25"/>
        </w:rPr>
      </w:r>
      <w:r>
        <w:rPr/>
        <w:t>确定一般借款应予资本化的利息金额。资本化率根据一般借款加权平均利率计算确定。</w:t>
      </w:r>
    </w:p>
    <w:p>
      <w:pPr>
        <w:spacing w:line="240" w:lineRule="auto" w:before="3"/>
        <w:rPr>
          <w:rFonts w:ascii="宋体" w:hAnsi="宋体" w:cs="宋体" w:eastAsia="宋体" w:hint="default"/>
          <w:sz w:val="25"/>
          <w:szCs w:val="25"/>
        </w:rPr>
      </w:pPr>
    </w:p>
    <w:p>
      <w:pPr>
        <w:pStyle w:val="Heading4"/>
        <w:spacing w:line="240" w:lineRule="auto"/>
        <w:ind w:left="118" w:right="99"/>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60" w:val="left" w:leader="none"/>
        </w:tabs>
        <w:spacing w:line="240" w:lineRule="auto" w:before="58"/>
        <w:ind w:left="118" w:right="9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99"/>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60" w:val="left" w:leader="none"/>
        </w:tabs>
        <w:spacing w:line="240" w:lineRule="auto" w:before="56"/>
        <w:ind w:left="118" w:right="9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2" w:lineRule="auto"/>
        <w:ind w:left="118" w:right="575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4" w:lineRule="exact" w:before="10"/>
        <w:ind w:left="118" w:right="99"/>
        <w:jc w:val="left"/>
      </w:pPr>
      <w:r>
        <w:rPr/>
        <w:t>√适用</w:t>
      </w:r>
      <w:r>
        <w:rPr>
          <w:spacing w:val="-1"/>
        </w:rPr>
        <w:t> </w:t>
      </w:r>
      <w:r>
        <w:rPr/>
        <w:t>□不适用</w:t>
      </w:r>
    </w:p>
    <w:p>
      <w:pPr>
        <w:pStyle w:val="BodyText"/>
        <w:spacing w:line="272" w:lineRule="exact" w:before="27"/>
        <w:ind w:left="538" w:right="3954"/>
        <w:jc w:val="left"/>
      </w:pPr>
      <w:r>
        <w:rPr/>
        <w:t>①无形资产的计价方法</w:t>
      </w:r>
      <w:r>
        <w:rPr>
          <w:w w:val="100"/>
        </w:rPr>
        <w:t> </w:t>
      </w:r>
      <w:r>
        <w:rPr>
          <w:rFonts w:ascii="宋体" w:hAnsi="宋体" w:cs="宋体" w:eastAsia="宋体" w:hint="default"/>
          <w:spacing w:val="-2"/>
        </w:rPr>
        <w:t>a.</w:t>
      </w:r>
      <w:r>
        <w:rPr>
          <w:spacing w:val="-2"/>
        </w:rPr>
        <w:t>公司取得无形资产时按成本进行初始计量；</w:t>
      </w:r>
    </w:p>
    <w:p>
      <w:pPr>
        <w:pStyle w:val="BodyText"/>
        <w:spacing w:line="272" w:lineRule="exact" w:before="1"/>
        <w:ind w:left="118" w:right="99" w:firstLine="419"/>
        <w:jc w:val="left"/>
      </w:pPr>
      <w:r>
        <w:rPr>
          <w:spacing w:val="-2"/>
        </w:rPr>
        <w:t>外购无形资产的成本，包括购买价款、相关税费以及直接归属于使该项资产达到预定用途所</w:t>
      </w:r>
      <w:r>
        <w:rPr>
          <w:w w:val="100"/>
        </w:rPr>
        <w:t> </w:t>
      </w:r>
      <w:r>
        <w:rPr>
          <w:spacing w:val="-2"/>
        </w:rPr>
        <w:t>发生的其他支出。购买无形资产的价款超过正常信用条件延期支付，实质上具有融资性质的，无</w:t>
      </w:r>
    </w:p>
    <w:p>
      <w:pPr>
        <w:pStyle w:val="BodyText"/>
        <w:spacing w:line="272" w:lineRule="exact" w:before="1"/>
        <w:ind w:left="538" w:right="99" w:hanging="420"/>
        <w:jc w:val="left"/>
      </w:pPr>
      <w:r>
        <w:rPr/>
        <w:t>形资产的成本以购买价款的现值为基础确定。</w:t>
      </w:r>
      <w:r>
        <w:rPr>
          <w:w w:val="100"/>
        </w:rPr>
        <w:t> </w:t>
      </w:r>
      <w:r>
        <w:rPr>
          <w:spacing w:val="-4"/>
          <w:w w:val="100"/>
        </w:rPr>
        <w:t>债务重组取得债务人用以抵债的无形资产，以该无形资产的公允价值为基础确定其入账价值，</w:t>
      </w:r>
    </w:p>
    <w:p>
      <w:pPr>
        <w:pStyle w:val="BodyText"/>
        <w:spacing w:line="246" w:lineRule="exact"/>
        <w:ind w:left="118" w:right="99"/>
        <w:jc w:val="left"/>
      </w:pPr>
      <w:r>
        <w:rPr/>
        <w:t>并将重组债务的账面价值与该用以抵债的无形资产公允价值之间的差额，计入当期损益；</w:t>
      </w:r>
    </w:p>
    <w:p>
      <w:pPr>
        <w:pStyle w:val="BodyText"/>
        <w:spacing w:line="237" w:lineRule="auto" w:before="2"/>
        <w:ind w:left="118" w:right="99"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w w:val="100"/>
        </w:rPr>
        <w:t> </w:t>
      </w:r>
      <w:r>
        <w:rPr/>
        <w:t>据表明换入资产的公允价值更加可靠；不满足上述前提的非货币性资产交换，以换出资产的账面</w:t>
      </w:r>
      <w:r>
        <w:rPr>
          <w:w w:val="100"/>
        </w:rPr>
        <w:t> </w:t>
      </w:r>
      <w:r>
        <w:rPr/>
        <w:t>价值和应支付的相关税费作为换入无形资产的成本，不确认损益。</w:t>
      </w:r>
    </w:p>
    <w:p>
      <w:pPr>
        <w:pStyle w:val="BodyText"/>
        <w:spacing w:line="272" w:lineRule="exact" w:before="26"/>
        <w:ind w:left="538" w:right="3954"/>
        <w:jc w:val="left"/>
      </w:pPr>
      <w:r>
        <w:rPr>
          <w:rFonts w:ascii="宋体" w:hAnsi="宋体" w:cs="宋体" w:eastAsia="宋体" w:hint="default"/>
        </w:rPr>
        <w:t>b.</w:t>
      </w:r>
      <w:r>
        <w:rPr/>
        <w:t>后续计量</w:t>
      </w:r>
      <w:r>
        <w:rPr>
          <w:spacing w:val="-102"/>
        </w:rPr>
        <w:t> </w:t>
      </w:r>
      <w:r>
        <w:rPr>
          <w:spacing w:val="-102"/>
        </w:rPr>
      </w:r>
      <w:r>
        <w:rPr>
          <w:spacing w:val="-2"/>
        </w:rPr>
        <w:t>在取得无形资产时分析判断其使用寿命。</w:t>
      </w:r>
    </w:p>
    <w:p>
      <w:pPr>
        <w:pStyle w:val="BodyText"/>
        <w:spacing w:line="272" w:lineRule="exact" w:before="1"/>
        <w:ind w:left="118" w:right="99" w:firstLine="419"/>
        <w:jc w:val="left"/>
      </w:pPr>
      <w:r>
        <w:rPr>
          <w:spacing w:val="-2"/>
        </w:rPr>
        <w:t>对于使用寿命有限的无形资产，在为企业带来经济利益的期限内按直线法摊销；无法预见无</w:t>
      </w:r>
      <w:r>
        <w:rPr>
          <w:w w:val="100"/>
        </w:rPr>
        <w:t> </w:t>
      </w:r>
      <w:r>
        <w:rPr/>
        <w:t>形资产为企业带来经济利益期限的，视为使用寿命不确定的无形资产，不予摊销。</w:t>
      </w:r>
    </w:p>
    <w:p>
      <w:pPr>
        <w:pStyle w:val="BodyText"/>
        <w:spacing w:line="249" w:lineRule="exact"/>
        <w:ind w:left="538" w:right="99"/>
        <w:jc w:val="left"/>
      </w:pPr>
      <w:r>
        <w:rPr/>
        <w:t>②使用寿命有限的无形资产的使用寿命估计情况：</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02"/>
        <w:gridCol w:w="1831"/>
        <w:gridCol w:w="4513"/>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按照土地使用证可使用年限</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房屋使用权</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房屋使用合同或协议规定的使用年限</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工业产权及专有技术</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其他无形资产</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bl>
    <w:p>
      <w:pPr>
        <w:pStyle w:val="BodyText"/>
        <w:spacing w:line="240" w:lineRule="exact"/>
        <w:ind w:left="538" w:right="99"/>
        <w:jc w:val="left"/>
      </w:pPr>
      <w:r>
        <w:rPr/>
        <w:t>每期末，对使用寿命有限的无形资产的使用寿命及摊销方法进行复核。</w:t>
      </w:r>
    </w:p>
    <w:p>
      <w:pPr>
        <w:pStyle w:val="BodyText"/>
        <w:spacing w:line="272" w:lineRule="exact"/>
        <w:ind w:left="538" w:right="99"/>
        <w:jc w:val="left"/>
      </w:pPr>
      <w:r>
        <w:rPr/>
        <w:t>经复核，本年期末无形资产的使用寿命及摊销方法与以前估计未有不同。</w:t>
      </w:r>
    </w:p>
    <w:p>
      <w:pPr>
        <w:pStyle w:val="BodyText"/>
        <w:spacing w:line="272" w:lineRule="exact" w:before="27"/>
        <w:ind w:left="538" w:right="99" w:firstLine="4"/>
        <w:jc w:val="left"/>
      </w:pPr>
      <w:r>
        <w:rPr/>
        <w:t>③使用寿命不确定的无形资产的判断依据以及对其使用寿命进行复核的程序</w:t>
      </w:r>
      <w:r>
        <w:rPr>
          <w:w w:val="100"/>
        </w:rPr>
        <w:t> </w:t>
      </w:r>
      <w:r>
        <w:rPr>
          <w:spacing w:val="-2"/>
        </w:rPr>
        <w:t>于资产负债表日判断资产是否存在可能发生减值的迹象，存在减值迹象的，本公司将估计可</w:t>
      </w:r>
    </w:p>
    <w:p>
      <w:pPr>
        <w:pStyle w:val="BodyText"/>
        <w:spacing w:line="272" w:lineRule="exact" w:before="1"/>
        <w:ind w:left="118" w:right="317"/>
        <w:jc w:val="both"/>
      </w:pPr>
      <w:r>
        <w:rPr>
          <w:spacing w:val="-2"/>
        </w:rPr>
        <w:t>收回金额，进行减值测试。对因企业合并所形成的商誉、使用寿命不确定的无形资产和尚未达到</w:t>
      </w:r>
      <w:r>
        <w:rPr>
          <w:spacing w:val="-25"/>
        </w:rPr>
        <w:t> </w:t>
      </w:r>
      <w:r>
        <w:rPr>
          <w:spacing w:val="-25"/>
        </w:rPr>
      </w:r>
      <w:r>
        <w:rPr/>
        <w:t>可使用状态的无形资产无论是否存在减值迹象，每年都进行减值测试。</w:t>
      </w:r>
    </w:p>
    <w:p>
      <w:pPr>
        <w:pStyle w:val="BodyText"/>
        <w:spacing w:line="246" w:lineRule="exact"/>
        <w:ind w:left="118" w:right="99" w:firstLine="419"/>
        <w:jc w:val="left"/>
      </w:pPr>
      <w:r>
        <w:rPr/>
        <w:t>可收回金额根据资产的公允价值减去处置费用后的净额与资产预计未来现金流量的现值两者</w:t>
      </w:r>
    </w:p>
    <w:p>
      <w:pPr>
        <w:pStyle w:val="BodyText"/>
        <w:spacing w:line="237" w:lineRule="auto" w:before="2"/>
        <w:ind w:left="118" w:right="317"/>
        <w:jc w:val="both"/>
      </w:pPr>
      <w:r>
        <w:rPr>
          <w:spacing w:val="-2"/>
        </w:rPr>
        <w:t>之间较高者确定。本公司以单项资产为基础估计其可收回金额；难以对单项资产的可收回金额进</w:t>
      </w:r>
      <w:r>
        <w:rPr>
          <w:spacing w:val="-25"/>
        </w:rPr>
        <w:t> </w:t>
      </w:r>
      <w:r>
        <w:rPr>
          <w:spacing w:val="-25"/>
        </w:rPr>
      </w:r>
      <w:r>
        <w:rPr>
          <w:spacing w:val="-2"/>
        </w:rPr>
        <w:t>行估计的，以该资产所属的资产组为基础确定资产组的可收回金额。资产组的认定，以资产组产</w:t>
      </w:r>
      <w:r>
        <w:rPr>
          <w:spacing w:val="-25"/>
        </w:rPr>
        <w:t> </w:t>
      </w:r>
      <w:r>
        <w:rPr>
          <w:spacing w:val="-25"/>
        </w:rPr>
      </w:r>
      <w:r>
        <w:rPr/>
        <w:t>生的主要现金流入是否独立于其他资产或者资产组的现金流入为依据。</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6"/>
        <w:ind w:left="538" w:right="1563" w:hanging="420"/>
        <w:jc w:val="left"/>
      </w:pPr>
      <w:r>
        <w:rPr/>
        <w:t>√适用</w:t>
      </w:r>
      <w:r>
        <w:rPr>
          <w:spacing w:val="-2"/>
        </w:rPr>
        <w:t> </w:t>
      </w:r>
      <w:r>
        <w:rPr/>
        <w:t>□不适用</w:t>
      </w:r>
      <w:r>
        <w:rPr>
          <w:w w:val="100"/>
        </w:rPr>
        <w:t> </w:t>
      </w:r>
      <w:r>
        <w:rPr>
          <w:spacing w:val="-2"/>
        </w:rPr>
        <w:t>公司内部研究开发项目的支出分为研究阶段支出和开发阶段支出。</w:t>
      </w:r>
    </w:p>
    <w:p>
      <w:pPr>
        <w:spacing w:after="0" w:line="240" w:lineRule="auto"/>
        <w:jc w:val="left"/>
        <w:sectPr>
          <w:pgSz w:w="11910" w:h="16840"/>
          <w:pgMar w:header="946" w:footer="1248" w:top="1300" w:bottom="1440" w:left="1680" w:right="960"/>
        </w:sectPr>
      </w:pPr>
    </w:p>
    <w:p>
      <w:pPr>
        <w:spacing w:line="240" w:lineRule="auto" w:before="2"/>
        <w:rPr>
          <w:rFonts w:ascii="宋体" w:hAnsi="宋体" w:cs="宋体" w:eastAsia="宋体" w:hint="default"/>
          <w:sz w:val="11"/>
          <w:szCs w:val="11"/>
        </w:rPr>
      </w:pPr>
    </w:p>
    <w:p>
      <w:pPr>
        <w:pStyle w:val="BodyText"/>
        <w:spacing w:line="240" w:lineRule="auto" w:before="36"/>
        <w:ind w:left="118" w:right="206" w:firstLine="419"/>
        <w:jc w:val="left"/>
      </w:pPr>
      <w:r>
        <w:rPr>
          <w:spacing w:val="-2"/>
        </w:rPr>
        <w:t>研究阶段：为获取并理解新的科学或技术知识等而进行的独创性的有计划调查、研究活动的</w:t>
      </w:r>
      <w:r>
        <w:rPr>
          <w:w w:val="100"/>
        </w:rPr>
        <w:t> </w:t>
      </w:r>
      <w:r>
        <w:rPr/>
        <w:t>阶段。</w:t>
      </w:r>
    </w:p>
    <w:p>
      <w:pPr>
        <w:pStyle w:val="BodyText"/>
        <w:spacing w:line="274" w:lineRule="exact" w:before="22"/>
        <w:ind w:left="118" w:right="206" w:firstLine="419"/>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spacing w:line="240" w:lineRule="auto" w:before="11"/>
        <w:rPr>
          <w:rFonts w:ascii="宋体" w:hAnsi="宋体" w:cs="宋体" w:eastAsia="宋体" w:hint="default"/>
          <w:sz w:val="20"/>
          <w:szCs w:val="20"/>
        </w:rPr>
      </w:pPr>
    </w:p>
    <w:p>
      <w:pPr>
        <w:pStyle w:val="BodyText"/>
        <w:spacing w:line="272" w:lineRule="exact"/>
        <w:ind w:left="538" w:right="206"/>
        <w:jc w:val="left"/>
      </w:pPr>
      <w:r>
        <w:rPr/>
        <w:t>开发阶段支出符合资本化的具体标准</w:t>
      </w:r>
      <w:r>
        <w:rPr>
          <w:w w:val="100"/>
        </w:rPr>
        <w:t> </w:t>
      </w:r>
      <w:r>
        <w:rPr>
          <w:spacing w:val="-2"/>
        </w:rPr>
        <w:t>内部研究开发项目开发阶段的支出，同时满足下列条件时确认为无形资产：</w:t>
      </w:r>
    </w:p>
    <w:p>
      <w:pPr>
        <w:pStyle w:val="BodyText"/>
        <w:spacing w:line="247" w:lineRule="exact"/>
        <w:ind w:left="538" w:right="206"/>
        <w:jc w:val="left"/>
      </w:pPr>
      <w:r>
        <w:rPr/>
        <w:t>①完成该无形资产以使其能够使用或出售在技术上具有可行性；</w:t>
      </w:r>
    </w:p>
    <w:p>
      <w:pPr>
        <w:pStyle w:val="BodyText"/>
        <w:spacing w:line="272" w:lineRule="exact"/>
        <w:ind w:left="538" w:right="206"/>
        <w:jc w:val="left"/>
      </w:pPr>
      <w:r>
        <w:rPr/>
        <w:t>②具有完成该无形资产并使用或出售的意图；</w:t>
      </w:r>
    </w:p>
    <w:p>
      <w:pPr>
        <w:pStyle w:val="BodyText"/>
        <w:spacing w:line="272" w:lineRule="exact" w:before="27"/>
        <w:ind w:left="118" w:right="206" w:firstLine="419"/>
        <w:jc w:val="left"/>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2" w:lineRule="exact" w:before="1"/>
        <w:ind w:left="118" w:right="206" w:firstLine="419"/>
        <w:jc w:val="left"/>
      </w:pPr>
      <w:r>
        <w:rPr>
          <w:spacing w:val="-2"/>
        </w:rPr>
        <w:t>④有足够的技术、财务资源和其他资源支持，以完成该无形资产的开发，并有能力使用或出</w:t>
      </w:r>
      <w:r>
        <w:rPr>
          <w:w w:val="100"/>
        </w:rPr>
        <w:t> </w:t>
      </w:r>
      <w:r>
        <w:rPr/>
        <w:t>售该无形资产；</w:t>
      </w:r>
    </w:p>
    <w:p>
      <w:pPr>
        <w:pStyle w:val="BodyText"/>
        <w:spacing w:line="272" w:lineRule="exact" w:before="1"/>
        <w:ind w:left="538" w:right="206"/>
        <w:jc w:val="left"/>
      </w:pPr>
      <w:r>
        <w:rPr/>
        <w:t>⑤归属于该无形资产开发阶段的支出能够可靠地计量。</w:t>
      </w:r>
      <w:r>
        <w:rPr>
          <w:w w:val="100"/>
        </w:rPr>
        <w:t> </w:t>
      </w:r>
      <w:r>
        <w:rPr>
          <w:spacing w:val="-2"/>
        </w:rPr>
        <w:t>开发阶段的支出，若不满足上列条件的，于发生时计入当期损益。</w:t>
      </w:r>
    </w:p>
    <w:p>
      <w:pPr>
        <w:pStyle w:val="BodyText"/>
        <w:spacing w:line="249" w:lineRule="exact"/>
        <w:ind w:left="538" w:right="206"/>
        <w:jc w:val="left"/>
      </w:pPr>
      <w:r>
        <w:rPr/>
        <w:t>研究阶段的支出，在发生时计入当期损益。</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60" w:val="left" w:leader="none"/>
        </w:tabs>
        <w:spacing w:line="272" w:lineRule="exact" w:before="84"/>
        <w:ind w:left="538" w:right="217" w:hanging="420"/>
        <w:jc w:val="left"/>
      </w:pPr>
      <w:r>
        <w:rPr>
          <w:spacing w:val="-1"/>
        </w:rPr>
        <w:t>√适用</w:t>
        <w:tab/>
      </w:r>
      <w:r>
        <w:rPr>
          <w:spacing w:val="-2"/>
        </w:rPr>
        <w:t>□不适用</w:t>
      </w:r>
      <w:r>
        <w:rPr>
          <w:spacing w:val="-99"/>
        </w:rPr>
        <w:t> </w:t>
      </w:r>
      <w:r>
        <w:rPr>
          <w:spacing w:val="-99"/>
        </w:rPr>
      </w:r>
      <w:r>
        <w:rPr>
          <w:spacing w:val="-2"/>
        </w:rPr>
        <w:t>长期股权投资、采用成本模式计量的投资性房地产、固定资产、在建工程、使用寿命有限的</w:t>
      </w:r>
    </w:p>
    <w:p>
      <w:pPr>
        <w:pStyle w:val="BodyText"/>
        <w:spacing w:line="272" w:lineRule="exact" w:before="1"/>
        <w:ind w:left="118" w:right="206"/>
        <w:jc w:val="left"/>
      </w:pPr>
      <w:r>
        <w:rPr>
          <w:spacing w:val="-2"/>
        </w:rPr>
        <w:t>无形资产等长期资产，于资产负债表日存在减值迹象的，进行减值测试。减值测试结果表明资产</w:t>
      </w:r>
      <w:r>
        <w:rPr>
          <w:spacing w:val="-25"/>
        </w:rPr>
        <w:t> </w:t>
      </w:r>
      <w:r>
        <w:rPr>
          <w:spacing w:val="-25"/>
        </w:rPr>
      </w:r>
      <w:r>
        <w:rPr>
          <w:spacing w:val="-2"/>
        </w:rPr>
        <w:t>的可收回金额低于其账面价值的，按其差额计提减值准备并计入减值损失。可收回金额为资产的</w:t>
      </w:r>
    </w:p>
    <w:p>
      <w:pPr>
        <w:pStyle w:val="BodyText"/>
        <w:spacing w:line="272" w:lineRule="exact" w:before="1"/>
        <w:ind w:left="118" w:right="206"/>
        <w:jc w:val="left"/>
      </w:pPr>
      <w:r>
        <w:rPr>
          <w:spacing w:val="-2"/>
        </w:rPr>
        <w:t>公允价值减去处置费用后的净额与资产预计未来现金流量的现值两者之间的较高者。资产减值准</w:t>
      </w:r>
      <w:r>
        <w:rPr>
          <w:spacing w:val="-25"/>
        </w:rPr>
        <w:t> </w:t>
      </w:r>
      <w:r>
        <w:rPr>
          <w:spacing w:val="-25"/>
        </w:rPr>
      </w:r>
      <w:r>
        <w:rPr>
          <w:spacing w:val="-2"/>
        </w:rPr>
        <w:t>备按单项资产为基础计算并确认，如果难以对单项资产的可收回金额进行估计的，以该资产所属</w:t>
      </w:r>
    </w:p>
    <w:p>
      <w:pPr>
        <w:pStyle w:val="BodyText"/>
        <w:spacing w:line="272" w:lineRule="exact" w:before="2"/>
        <w:ind w:left="538" w:right="206" w:hanging="420"/>
        <w:jc w:val="left"/>
      </w:pPr>
      <w:r>
        <w:rPr/>
        <w:t>的资产组确定资产组的可收回金额。资产组是能够独立产生现金流入的最小资产组合。</w:t>
      </w:r>
      <w:r>
        <w:rPr>
          <w:w w:val="100"/>
        </w:rPr>
        <w:t> </w:t>
      </w:r>
      <w:r>
        <w:rPr/>
        <w:t>商誉和使用寿命不确定的无形资产至少在每年年度终了进行减值测试。</w:t>
      </w:r>
    </w:p>
    <w:p>
      <w:pPr>
        <w:pStyle w:val="BodyText"/>
        <w:spacing w:line="272" w:lineRule="exact" w:before="1"/>
        <w:ind w:left="118" w:right="206" w:firstLine="419"/>
        <w:jc w:val="left"/>
      </w:pPr>
      <w:r>
        <w:rPr>
          <w:spacing w:val="-2"/>
        </w:rPr>
        <w:t>本公司进行商誉减值测试，对于因企业合并形成的商誉的账面价值，自购买日起按照合理的</w:t>
      </w:r>
      <w:r>
        <w:rPr>
          <w:w w:val="100"/>
        </w:rPr>
        <w:t> </w:t>
      </w:r>
      <w:r>
        <w:rPr>
          <w:spacing w:val="-2"/>
        </w:rPr>
        <w:t>方法分摊至相关的资产组；难以分摊至相关的资产组的，将其分摊至相关的资产组组合。在将商</w:t>
      </w:r>
    </w:p>
    <w:p>
      <w:pPr>
        <w:pStyle w:val="BodyText"/>
        <w:spacing w:line="272" w:lineRule="exact" w:before="1"/>
        <w:ind w:left="118" w:right="206"/>
        <w:jc w:val="left"/>
      </w:pPr>
      <w:r>
        <w:rPr>
          <w:spacing w:val="-2"/>
        </w:rPr>
        <w:t>誉的账面价值分摊至相关的资产组或者资产组组合时，按照各资产组或者资产组组合的公允价值</w:t>
      </w:r>
      <w:r>
        <w:rPr>
          <w:spacing w:val="-25"/>
        </w:rPr>
        <w:t> </w:t>
      </w:r>
      <w:r>
        <w:rPr>
          <w:spacing w:val="-25"/>
        </w:rPr>
      </w:r>
      <w:r>
        <w:rPr>
          <w:spacing w:val="-2"/>
        </w:rPr>
        <w:t>占相关资产组或者资产组组合公允价值总额的比例进行分摊。公允价值难以可靠计量的，按照各</w:t>
      </w:r>
    </w:p>
    <w:p>
      <w:pPr>
        <w:pStyle w:val="BodyText"/>
        <w:spacing w:line="272" w:lineRule="exact" w:before="1"/>
        <w:ind w:left="0" w:right="217"/>
        <w:jc w:val="right"/>
      </w:pPr>
      <w:r>
        <w:rPr>
          <w:spacing w:val="-2"/>
        </w:rPr>
        <w:t>资产组或者资产组组合的账面价值占相关资产组或者资产组组合账面价值总额的比例进行分摊。</w:t>
      </w:r>
      <w:r>
        <w:rPr>
          <w:spacing w:val="-43"/>
        </w:rPr>
        <w:t> </w:t>
      </w:r>
      <w:r>
        <w:rPr>
          <w:spacing w:val="-43"/>
        </w:rPr>
      </w:r>
      <w:r>
        <w:rPr>
          <w:spacing w:val="-2"/>
        </w:rPr>
        <w:t>在对包含商誉的相关资产组或者资产组组合进行减值测试时，如与商誉相关的资产组或者资</w:t>
      </w:r>
    </w:p>
    <w:p>
      <w:pPr>
        <w:pStyle w:val="BodyText"/>
        <w:spacing w:line="272" w:lineRule="exact" w:before="1"/>
        <w:ind w:left="118" w:right="206"/>
        <w:jc w:val="left"/>
      </w:pPr>
      <w:r>
        <w:rPr>
          <w:spacing w:val="-2"/>
        </w:rPr>
        <w:t>产组组合存在减值迹象的，先对不包含商誉的资产组或者资产组组合进行减值测试，计算可收回</w:t>
      </w:r>
      <w:r>
        <w:rPr>
          <w:spacing w:val="-25"/>
        </w:rPr>
        <w:t> </w:t>
      </w:r>
      <w:r>
        <w:rPr>
          <w:spacing w:val="-25"/>
        </w:rPr>
      </w:r>
      <w:r>
        <w:rPr>
          <w:spacing w:val="-2"/>
        </w:rPr>
        <w:t>金额，并与相关账面价值相比较，确认相应的减值损失。再对包含商誉的资产组或者资产组组合</w:t>
      </w:r>
    </w:p>
    <w:p>
      <w:pPr>
        <w:pStyle w:val="BodyText"/>
        <w:spacing w:line="272" w:lineRule="exact" w:before="1"/>
        <w:ind w:left="118" w:right="206"/>
        <w:jc w:val="left"/>
      </w:pPr>
      <w:r>
        <w:rPr>
          <w:spacing w:val="-2"/>
        </w:rPr>
        <w:t>进行减值测试，比较这些相关资产组或者资产组组合的账面价值（包括所分摊的商誉的账面价值</w:t>
      </w:r>
      <w:r>
        <w:rPr>
          <w:spacing w:val="-25"/>
        </w:rPr>
        <w:t> </w:t>
      </w:r>
      <w:r>
        <w:rPr>
          <w:spacing w:val="-25"/>
        </w:rPr>
      </w:r>
      <w:r>
        <w:rPr>
          <w:spacing w:val="-2"/>
        </w:rPr>
        <w:t>部分）与其可收回金额，如相关资产组或者资产组组合的可收回金额低于其账面价值的，确认商</w:t>
      </w:r>
    </w:p>
    <w:p>
      <w:pPr>
        <w:pStyle w:val="BodyText"/>
        <w:spacing w:line="249" w:lineRule="exact"/>
        <w:ind w:left="118" w:right="206"/>
        <w:jc w:val="left"/>
      </w:pPr>
      <w:r>
        <w:rPr/>
        <w:t>誉的减值损失。上述资产减值损失一经确认，在以后会计期间不予转回。</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60" w:val="left" w:leader="none"/>
        </w:tabs>
        <w:spacing w:line="272" w:lineRule="exact" w:before="84"/>
        <w:ind w:left="538" w:right="217" w:hanging="420"/>
        <w:jc w:val="left"/>
      </w:pPr>
      <w:r>
        <w:rPr>
          <w:spacing w:val="-1"/>
        </w:rPr>
        <w:t>√适用</w:t>
        <w:tab/>
      </w:r>
      <w:r>
        <w:rPr>
          <w:spacing w:val="-2"/>
        </w:rPr>
        <w:t>□不适用</w:t>
      </w:r>
      <w:r>
        <w:rPr>
          <w:spacing w:val="-99"/>
        </w:rPr>
        <w:t> </w:t>
      </w:r>
      <w:r>
        <w:rPr>
          <w:spacing w:val="-99"/>
        </w:rPr>
      </w:r>
      <w:r>
        <w:rPr>
          <w:spacing w:val="-2"/>
        </w:rPr>
        <w:t>长期待摊费用为已经发生但应由本期和以后各期负担的分摊期限在一年以上的各项费用。长</w:t>
      </w:r>
    </w:p>
    <w:p>
      <w:pPr>
        <w:pStyle w:val="BodyText"/>
        <w:spacing w:line="272" w:lineRule="exact" w:before="1"/>
        <w:ind w:left="118" w:right="96"/>
        <w:jc w:val="left"/>
      </w:pPr>
      <w:r>
        <w:rPr/>
        <w:t>期待摊费用包括装修费、经营租入固定资产改良支出等已经支出但摊销期限在一年以上（不含一</w:t>
      </w:r>
      <w:r>
        <w:rPr>
          <w:w w:val="100"/>
        </w:rPr>
        <w:t> </w:t>
      </w:r>
      <w:r>
        <w:rPr/>
        <w:t>年）的各类费用，按预计受益期间分期平均摊销，并以实际支出减去累计摊销后的净额列示。如</w:t>
      </w:r>
    </w:p>
    <w:p>
      <w:pPr>
        <w:pStyle w:val="BodyText"/>
        <w:spacing w:line="249" w:lineRule="exact"/>
        <w:ind w:left="118" w:right="0"/>
        <w:jc w:val="left"/>
      </w:pPr>
      <w:r>
        <w:rPr>
          <w:w w:val="100"/>
        </w:rPr>
        <w:t>果长</w:t>
      </w:r>
      <w:r>
        <w:rPr>
          <w:spacing w:val="-3"/>
          <w:w w:val="100"/>
        </w:rPr>
        <w:t>期</w:t>
      </w:r>
      <w:r>
        <w:rPr>
          <w:w w:val="100"/>
        </w:rPr>
        <w:t>待</w:t>
      </w:r>
      <w:r>
        <w:rPr>
          <w:spacing w:val="-3"/>
          <w:w w:val="100"/>
        </w:rPr>
        <w:t>摊</w:t>
      </w:r>
      <w:r>
        <w:rPr>
          <w:w w:val="100"/>
        </w:rPr>
        <w:t>费</w:t>
      </w:r>
      <w:r>
        <w:rPr>
          <w:spacing w:val="-3"/>
          <w:w w:val="100"/>
        </w:rPr>
        <w:t>用</w:t>
      </w:r>
      <w:r>
        <w:rPr>
          <w:w w:val="100"/>
        </w:rPr>
        <w:t>不</w:t>
      </w:r>
      <w:r>
        <w:rPr>
          <w:spacing w:val="-3"/>
          <w:w w:val="100"/>
        </w:rPr>
        <w:t>能</w:t>
      </w:r>
      <w:r>
        <w:rPr>
          <w:w w:val="100"/>
        </w:rPr>
        <w:t>使</w:t>
      </w:r>
      <w:r>
        <w:rPr>
          <w:spacing w:val="-3"/>
          <w:w w:val="100"/>
        </w:rPr>
        <w:t>以</w:t>
      </w:r>
      <w:r>
        <w:rPr>
          <w:w w:val="100"/>
        </w:rPr>
        <w:t>后会</w:t>
      </w:r>
      <w:r>
        <w:rPr>
          <w:spacing w:val="-3"/>
          <w:w w:val="100"/>
        </w:rPr>
        <w:t>计</w:t>
      </w:r>
      <w:r>
        <w:rPr>
          <w:w w:val="100"/>
        </w:rPr>
        <w:t>期</w:t>
      </w:r>
      <w:r>
        <w:rPr>
          <w:spacing w:val="-3"/>
          <w:w w:val="100"/>
        </w:rPr>
        <w:t>间</w:t>
      </w:r>
      <w:r>
        <w:rPr>
          <w:w w:val="100"/>
        </w:rPr>
        <w:t>受</w:t>
      </w:r>
      <w:r>
        <w:rPr>
          <w:spacing w:val="-3"/>
          <w:w w:val="100"/>
        </w:rPr>
        <w:t>益的</w:t>
      </w:r>
      <w:r>
        <w:rPr>
          <w:spacing w:val="-92"/>
          <w:w w:val="100"/>
        </w:rPr>
        <w:t>，</w:t>
      </w:r>
      <w:r>
        <w:rPr>
          <w:spacing w:val="-3"/>
          <w:w w:val="100"/>
        </w:rPr>
        <w:t>将</w:t>
      </w:r>
      <w:r>
        <w:rPr>
          <w:w w:val="100"/>
        </w:rPr>
        <w:t>尚</w:t>
      </w:r>
      <w:r>
        <w:rPr>
          <w:spacing w:val="-3"/>
          <w:w w:val="100"/>
        </w:rPr>
        <w:t>未</w:t>
      </w:r>
      <w:r>
        <w:rPr>
          <w:w w:val="100"/>
        </w:rPr>
        <w:t>摊销</w:t>
      </w:r>
      <w:r>
        <w:rPr>
          <w:spacing w:val="-3"/>
          <w:w w:val="100"/>
        </w:rPr>
        <w:t>的</w:t>
      </w:r>
      <w:r>
        <w:rPr>
          <w:w w:val="100"/>
        </w:rPr>
        <w:t>该</w:t>
      </w:r>
      <w:r>
        <w:rPr>
          <w:spacing w:val="-3"/>
          <w:w w:val="100"/>
        </w:rPr>
        <w:t>项</w:t>
      </w:r>
      <w:r>
        <w:rPr>
          <w:w w:val="100"/>
        </w:rPr>
        <w:t>目</w:t>
      </w:r>
      <w:r>
        <w:rPr>
          <w:spacing w:val="-3"/>
          <w:w w:val="100"/>
        </w:rPr>
        <w:t>的</w:t>
      </w:r>
      <w:r>
        <w:rPr>
          <w:w w:val="100"/>
        </w:rPr>
        <w:t>摊</w:t>
      </w:r>
      <w:r>
        <w:rPr>
          <w:spacing w:val="-3"/>
          <w:w w:val="100"/>
        </w:rPr>
        <w:t>余</w:t>
      </w:r>
      <w:r>
        <w:rPr>
          <w:w w:val="100"/>
        </w:rPr>
        <w:t>价</w:t>
      </w:r>
      <w:r>
        <w:rPr>
          <w:spacing w:val="-3"/>
          <w:w w:val="100"/>
        </w:rPr>
        <w:t>值</w:t>
      </w:r>
      <w:r>
        <w:rPr>
          <w:w w:val="100"/>
        </w:rPr>
        <w:t>全部</w:t>
      </w:r>
      <w:r>
        <w:rPr>
          <w:spacing w:val="-3"/>
          <w:w w:val="100"/>
        </w:rPr>
        <w:t>转</w:t>
      </w:r>
      <w:r>
        <w:rPr>
          <w:w w:val="100"/>
        </w:rPr>
        <w:t>入</w:t>
      </w:r>
      <w:r>
        <w:rPr>
          <w:spacing w:val="-3"/>
          <w:w w:val="100"/>
        </w:rPr>
        <w:t>当期损益</w:t>
      </w:r>
      <w:r>
        <w:rPr>
          <w:w w:val="100"/>
        </w:rPr>
        <w:t>。</w:t>
      </w:r>
    </w:p>
    <w:p>
      <w:pPr>
        <w:spacing w:line="240" w:lineRule="auto" w:before="10"/>
        <w:rPr>
          <w:rFonts w:ascii="宋体" w:hAnsi="宋体" w:cs="宋体" w:eastAsia="宋体" w:hint="default"/>
          <w:sz w:val="22"/>
          <w:szCs w:val="22"/>
        </w:rPr>
      </w:pPr>
    </w:p>
    <w:p>
      <w:pPr>
        <w:pStyle w:val="BodyText"/>
        <w:spacing w:line="272" w:lineRule="exact"/>
        <w:ind w:left="538" w:right="5261"/>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247" w:lineRule="exact"/>
        <w:ind w:left="538" w:right="206"/>
        <w:jc w:val="left"/>
      </w:pPr>
      <w:r>
        <w:rPr/>
        <w:t>（</w:t>
      </w:r>
      <w:r>
        <w:rPr>
          <w:rFonts w:ascii="宋体" w:hAnsi="宋体" w:cs="宋体" w:eastAsia="宋体" w:hint="default"/>
        </w:rPr>
        <w:t>2</w:t>
      </w:r>
      <w:r>
        <w:rPr/>
        <w:t>）摊销年限</w:t>
      </w:r>
    </w:p>
    <w:p>
      <w:pPr>
        <w:pStyle w:val="BodyText"/>
        <w:spacing w:line="273" w:lineRule="exact"/>
        <w:ind w:left="538" w:right="206"/>
        <w:jc w:val="left"/>
      </w:pPr>
      <w:r>
        <w:rPr/>
        <w:t>①租入固定资产改良支出应当在租赁期限与预计可使用年限两者孰短的期限内平均摊销。</w:t>
      </w:r>
    </w:p>
    <w:p>
      <w:pPr>
        <w:spacing w:after="0" w:line="273" w:lineRule="exact"/>
        <w:jc w:val="left"/>
        <w:sectPr>
          <w:footerReference w:type="default" r:id="rId69"/>
          <w:pgSz w:w="11910" w:h="16840"/>
          <w:pgMar w:footer="1248" w:header="946" w:top="1300" w:bottom="1440" w:left="1680" w:right="1060"/>
        </w:sectPr>
      </w:pPr>
    </w:p>
    <w:p>
      <w:pPr>
        <w:spacing w:line="240" w:lineRule="auto" w:before="2"/>
        <w:rPr>
          <w:rFonts w:ascii="宋体" w:hAnsi="宋体" w:cs="宋体" w:eastAsia="宋体" w:hint="default"/>
          <w:sz w:val="11"/>
          <w:szCs w:val="11"/>
        </w:rPr>
      </w:pPr>
    </w:p>
    <w:p>
      <w:pPr>
        <w:pStyle w:val="BodyText"/>
        <w:spacing w:line="240" w:lineRule="auto" w:before="36"/>
        <w:ind w:left="538" w:right="206"/>
        <w:jc w:val="left"/>
      </w:pPr>
      <w:r>
        <w:rPr/>
        <w:t>②其他长期待摊费用应当在受益期内平均摊销。</w:t>
      </w:r>
    </w:p>
    <w:p>
      <w:pPr>
        <w:spacing w:line="240" w:lineRule="auto" w:before="3"/>
        <w:rPr>
          <w:rFonts w:ascii="宋体" w:hAnsi="宋体" w:cs="宋体" w:eastAsia="宋体" w:hint="default"/>
          <w:sz w:val="25"/>
          <w:szCs w:val="25"/>
        </w:rPr>
      </w:pPr>
    </w:p>
    <w:p>
      <w:pPr>
        <w:pStyle w:val="Heading4"/>
        <w:spacing w:line="290" w:lineRule="auto"/>
        <w:ind w:left="118"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60" w:val="left" w:leader="none"/>
        </w:tabs>
        <w:spacing w:line="240" w:lineRule="auto" w:before="12"/>
        <w:ind w:left="538" w:right="217" w:hanging="420"/>
        <w:jc w:val="left"/>
      </w:pPr>
      <w:r>
        <w:rPr>
          <w:spacing w:val="-1"/>
        </w:rPr>
        <w:t>√适用</w:t>
        <w:tab/>
      </w:r>
      <w:r>
        <w:rPr>
          <w:spacing w:val="-2"/>
        </w:rPr>
        <w:t>□不适用</w:t>
      </w:r>
      <w:r>
        <w:rPr>
          <w:spacing w:val="-99"/>
        </w:rPr>
        <w:t> </w:t>
      </w:r>
      <w:r>
        <w:rPr>
          <w:spacing w:val="-99"/>
        </w:rPr>
      </w:r>
      <w:r>
        <w:rPr>
          <w:spacing w:val="-2"/>
        </w:rPr>
        <w:t>本公司在职工为本公司提供服务的会计期间，将实际发生的短期薪酬确认为负债，并计入当</w:t>
      </w:r>
    </w:p>
    <w:p>
      <w:pPr>
        <w:pStyle w:val="BodyText"/>
        <w:spacing w:line="274" w:lineRule="exact" w:before="22"/>
        <w:ind w:left="538" w:right="96" w:hanging="420"/>
        <w:jc w:val="left"/>
      </w:pPr>
      <w:r>
        <w:rPr/>
        <w:t>期损益或相关资产成本。</w:t>
      </w:r>
      <w:r>
        <w:rPr>
          <w:w w:val="100"/>
        </w:rPr>
        <w:t> </w:t>
      </w:r>
      <w:r>
        <w:rPr>
          <w:spacing w:val="-4"/>
          <w:w w:val="100"/>
        </w:rPr>
        <w:t>本公司为职工缴纳的社会保险费和住房公积金，以及按规定提取的工会经费和职工教育经费，</w:t>
      </w:r>
    </w:p>
    <w:p>
      <w:pPr>
        <w:pStyle w:val="BodyText"/>
        <w:spacing w:line="245" w:lineRule="exact"/>
        <w:ind w:left="118" w:right="96"/>
        <w:jc w:val="left"/>
      </w:pPr>
      <w:r>
        <w:rPr/>
        <w:t>在职工为本公司提供服务的会计期间，根据规定的计提基础和计提比例计算确定相应的职工薪酬</w:t>
      </w:r>
    </w:p>
    <w:p>
      <w:pPr>
        <w:pStyle w:val="BodyText"/>
        <w:spacing w:line="272" w:lineRule="exact"/>
        <w:ind w:left="118" w:right="206"/>
        <w:jc w:val="left"/>
      </w:pPr>
      <w:r>
        <w:rPr/>
        <w:t>金额。</w:t>
      </w:r>
    </w:p>
    <w:p>
      <w:pPr>
        <w:pStyle w:val="BodyText"/>
        <w:spacing w:line="273" w:lineRule="exact"/>
        <w:ind w:left="538" w:right="206"/>
        <w:jc w:val="left"/>
      </w:pPr>
      <w:r>
        <w:rPr/>
        <w:t>职工福利费为非货币性福利的，按照公允价值计量。</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60" w:val="left" w:leader="none"/>
        </w:tabs>
        <w:spacing w:line="272" w:lineRule="exact" w:before="86"/>
        <w:ind w:left="538" w:right="217" w:hanging="420"/>
        <w:jc w:val="left"/>
      </w:pPr>
      <w:r>
        <w:rPr>
          <w:spacing w:val="-1"/>
        </w:rPr>
        <w:t>√适用</w:t>
        <w:tab/>
      </w:r>
      <w:r>
        <w:rPr>
          <w:spacing w:val="-2"/>
        </w:rPr>
        <w:t>□不适用</w:t>
      </w:r>
      <w:r>
        <w:rPr>
          <w:spacing w:val="-99"/>
        </w:rPr>
        <w:t> </w:t>
      </w:r>
      <w:r>
        <w:rPr>
          <w:spacing w:val="-99"/>
        </w:rPr>
      </w:r>
      <w:r>
        <w:rPr>
          <w:spacing w:val="-2"/>
        </w:rPr>
        <w:t>设定提存计划。本公司按当地政府的相关规定为职工缴纳基本养老保险和失业保险，在职工</w:t>
      </w:r>
    </w:p>
    <w:p>
      <w:pPr>
        <w:pStyle w:val="BodyText"/>
        <w:spacing w:line="272" w:lineRule="exact" w:before="1"/>
        <w:ind w:left="118" w:right="206"/>
        <w:jc w:val="left"/>
      </w:pPr>
      <w:r>
        <w:rPr>
          <w:spacing w:val="-2"/>
        </w:rPr>
        <w:t>为本公司提供服务的会计期间，按以当地规定的缴纳基数和比例计算应缴纳金额，确认为负债，</w:t>
      </w:r>
      <w:r>
        <w:rPr>
          <w:spacing w:val="-26"/>
        </w:rPr>
        <w:t> </w:t>
      </w:r>
      <w:r>
        <w:rPr>
          <w:spacing w:val="-26"/>
        </w:rPr>
      </w:r>
      <w:r>
        <w:rPr/>
        <w:t>并计入当期损益或相关资产成本。</w:t>
      </w:r>
    </w:p>
    <w:p>
      <w:pPr>
        <w:pStyle w:val="BodyText"/>
        <w:spacing w:line="272" w:lineRule="exact" w:before="1"/>
        <w:ind w:left="118" w:right="206" w:firstLine="419"/>
        <w:jc w:val="left"/>
      </w:pPr>
      <w:r>
        <w:rPr>
          <w:spacing w:val="-2"/>
        </w:rPr>
        <w:t>除基本养老保险外，本公司还依据国家企业年金制度的相关政策建立了企业年金计划。本公</w:t>
      </w:r>
      <w:r>
        <w:rPr>
          <w:w w:val="100"/>
        </w:rPr>
        <w:t> </w:t>
      </w:r>
      <w:r>
        <w:rPr>
          <w:spacing w:val="-2"/>
        </w:rPr>
        <w:t>司按职工工资总额的一定比例进行企业年金计划缴费，相应支出计入当期损益或相关资产成本。</w:t>
      </w:r>
    </w:p>
    <w:p>
      <w:pPr>
        <w:spacing w:line="240" w:lineRule="auto" w:before="4"/>
        <w:rPr>
          <w:rFonts w:ascii="宋体" w:hAnsi="宋体" w:cs="宋体" w:eastAsia="宋体" w:hint="default"/>
          <w:sz w:val="23"/>
          <w:szCs w:val="23"/>
        </w:rPr>
      </w:pPr>
    </w:p>
    <w:p>
      <w:pPr>
        <w:pStyle w:val="Heading4"/>
        <w:spacing w:line="240" w:lineRule="auto"/>
        <w:ind w:left="118" w:right="206"/>
        <w:jc w:val="left"/>
        <w:rPr>
          <w:b w:val="0"/>
          <w:bCs w:val="0"/>
        </w:rPr>
      </w:pPr>
      <w:r>
        <w:rPr>
          <w:rFonts w:ascii="宋体" w:hAnsi="宋体" w:cs="宋体" w:eastAsia="宋体" w:hint="default"/>
        </w:rPr>
        <w:t>(3)</w:t>
      </w:r>
      <w:r>
        <w:rPr/>
        <w:t>、辞退福利的会计处理方法</w:t>
      </w:r>
      <w:r>
        <w:rPr>
          <w:b w:val="0"/>
          <w:bCs w:val="0"/>
        </w:rPr>
      </w:r>
    </w:p>
    <w:p>
      <w:pPr>
        <w:pStyle w:val="BodyText"/>
        <w:tabs>
          <w:tab w:pos="960" w:val="left" w:leader="none"/>
        </w:tabs>
        <w:spacing w:line="240" w:lineRule="auto" w:before="56"/>
        <w:ind w:left="538" w:right="217" w:hanging="420"/>
        <w:jc w:val="left"/>
      </w:pPr>
      <w:r>
        <w:rPr>
          <w:spacing w:val="-1"/>
        </w:rPr>
        <w:t>√适用</w:t>
        <w:tab/>
      </w:r>
      <w:r>
        <w:rPr>
          <w:spacing w:val="-2"/>
        </w:rPr>
        <w:t>□不适用</w:t>
      </w:r>
      <w:r>
        <w:rPr>
          <w:spacing w:val="-99"/>
        </w:rPr>
        <w:t> </w:t>
      </w:r>
      <w:r>
        <w:rPr>
          <w:spacing w:val="-99"/>
        </w:rPr>
      </w:r>
      <w:r>
        <w:rPr>
          <w:spacing w:val="-2"/>
        </w:rPr>
        <w:t>本公司在不能单方面撤回因解除劳动关系计划或裁减建议所提供的辞退福利时，或确认与涉</w:t>
      </w:r>
    </w:p>
    <w:p>
      <w:pPr>
        <w:pStyle w:val="BodyText"/>
        <w:spacing w:line="274" w:lineRule="exact" w:before="22"/>
        <w:ind w:left="118" w:right="206"/>
        <w:jc w:val="left"/>
      </w:pPr>
      <w:r>
        <w:rPr>
          <w:spacing w:val="-2"/>
        </w:rPr>
        <w:t>及支付辞退福利的重组相关的成本或费用时（两者孰早），确认辞退福利产生的职工薪酬负债，</w:t>
      </w:r>
      <w:r>
        <w:rPr>
          <w:spacing w:val="-25"/>
        </w:rPr>
        <w:t> </w:t>
      </w:r>
      <w:r>
        <w:rPr>
          <w:spacing w:val="-25"/>
        </w:rPr>
      </w:r>
      <w:r>
        <w:rPr/>
        <w:t>并计入当期损益。</w:t>
      </w:r>
    </w:p>
    <w:p>
      <w:pPr>
        <w:spacing w:line="240" w:lineRule="auto" w:before="4"/>
        <w:rPr>
          <w:rFonts w:ascii="宋体" w:hAnsi="宋体" w:cs="宋体" w:eastAsia="宋体" w:hint="default"/>
          <w:sz w:val="23"/>
          <w:szCs w:val="23"/>
        </w:rPr>
      </w:pPr>
    </w:p>
    <w:p>
      <w:pPr>
        <w:pStyle w:val="Heading4"/>
        <w:spacing w:line="240" w:lineRule="auto"/>
        <w:ind w:left="118" w:right="206"/>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60" w:val="left" w:leader="none"/>
        </w:tabs>
        <w:spacing w:line="240" w:lineRule="auto" w:before="56"/>
        <w:ind w:left="118" w:right="20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18" w:right="206"/>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60" w:val="left" w:leader="none"/>
        </w:tabs>
        <w:spacing w:line="273" w:lineRule="exact" w:before="58"/>
        <w:ind w:left="118" w:right="206"/>
        <w:jc w:val="left"/>
      </w:pPr>
      <w:r>
        <w:rPr>
          <w:spacing w:val="-1"/>
        </w:rPr>
        <w:t>√适用</w:t>
        <w:tab/>
      </w:r>
      <w:r>
        <w:rPr>
          <w:spacing w:val="-2"/>
        </w:rPr>
        <w:t>□不适用</w:t>
      </w:r>
    </w:p>
    <w:p>
      <w:pPr>
        <w:pStyle w:val="BodyText"/>
        <w:spacing w:line="240" w:lineRule="auto"/>
        <w:ind w:left="538" w:right="206"/>
        <w:jc w:val="left"/>
      </w:pPr>
      <w:r>
        <w:rPr/>
        <w:t>（</w:t>
      </w:r>
      <w:r>
        <w:rPr>
          <w:rFonts w:ascii="宋体" w:hAnsi="宋体" w:cs="宋体" w:eastAsia="宋体" w:hint="default"/>
        </w:rPr>
        <w:t>1</w:t>
      </w:r>
      <w:r>
        <w:rPr/>
        <w:t>）预计负债的确认标准</w:t>
      </w:r>
      <w:r>
        <w:rPr>
          <w:w w:val="100"/>
        </w:rPr>
        <w:t> </w:t>
      </w:r>
      <w:r>
        <w:rPr>
          <w:spacing w:val="-2"/>
        </w:rPr>
        <w:t>与诉讼、债务担保、亏损合同、重组事项等或有事项相关的义务同时满足下列条件时，本公</w:t>
      </w:r>
    </w:p>
    <w:p>
      <w:pPr>
        <w:pStyle w:val="BodyText"/>
        <w:spacing w:line="271" w:lineRule="exact"/>
        <w:ind w:left="118" w:right="206"/>
        <w:jc w:val="left"/>
      </w:pPr>
      <w:r>
        <w:rPr/>
        <w:t>司确认为预计负债：</w:t>
      </w:r>
    </w:p>
    <w:p>
      <w:pPr>
        <w:pStyle w:val="BodyText"/>
        <w:spacing w:line="273" w:lineRule="exact"/>
        <w:ind w:left="538" w:right="206"/>
        <w:jc w:val="left"/>
      </w:pPr>
      <w:r>
        <w:rPr/>
        <w:t>①该义务是本公司承担的现时义务；</w:t>
      </w:r>
    </w:p>
    <w:p>
      <w:pPr>
        <w:pStyle w:val="BodyText"/>
        <w:spacing w:line="272" w:lineRule="exact"/>
        <w:ind w:left="538" w:right="206"/>
        <w:jc w:val="left"/>
      </w:pPr>
      <w:r>
        <w:rPr/>
        <w:t>②履行该义务很可能导致经济利益流出本公司；</w:t>
      </w:r>
    </w:p>
    <w:p>
      <w:pPr>
        <w:pStyle w:val="BodyText"/>
        <w:spacing w:line="274" w:lineRule="exact"/>
        <w:ind w:left="538" w:right="206"/>
        <w:jc w:val="left"/>
      </w:pPr>
      <w:r>
        <w:rPr/>
        <w:t>③该义务的金额能够可靠地计量。</w:t>
      </w:r>
    </w:p>
    <w:p>
      <w:pPr>
        <w:spacing w:line="240" w:lineRule="auto" w:before="10"/>
        <w:rPr>
          <w:rFonts w:ascii="宋体" w:hAnsi="宋体" w:cs="宋体" w:eastAsia="宋体" w:hint="default"/>
          <w:sz w:val="22"/>
          <w:szCs w:val="22"/>
        </w:rPr>
      </w:pPr>
    </w:p>
    <w:p>
      <w:pPr>
        <w:pStyle w:val="BodyText"/>
        <w:spacing w:line="272" w:lineRule="exact"/>
        <w:ind w:left="538" w:right="206"/>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272" w:lineRule="exact" w:before="1"/>
        <w:ind w:left="538" w:right="206" w:hanging="420"/>
        <w:jc w:val="left"/>
      </w:pPr>
      <w:r>
        <w:rPr/>
        <w:t>因素。对于货币时间价值影响重大的，通过对相关未来现金流出进行折现后确定最佳估计数。</w:t>
      </w:r>
      <w:r>
        <w:rPr>
          <w:w w:val="100"/>
        </w:rPr>
        <w:t> </w:t>
      </w:r>
      <w:r>
        <w:rPr/>
        <w:t>最佳估计数分别以下情况处理：</w:t>
      </w:r>
    </w:p>
    <w:p>
      <w:pPr>
        <w:pStyle w:val="BodyText"/>
        <w:spacing w:line="272" w:lineRule="exact" w:before="1"/>
        <w:ind w:left="118" w:right="206" w:firstLine="419"/>
        <w:jc w:val="left"/>
      </w:pPr>
      <w:r>
        <w:rPr>
          <w:spacing w:val="-2"/>
        </w:rPr>
        <w:t>所需支出存在一个连续范围（或区间），且该范围内各种结果发生的可能性相同的，则最佳</w:t>
      </w:r>
      <w:r>
        <w:rPr>
          <w:w w:val="100"/>
        </w:rPr>
        <w:t> </w:t>
      </w:r>
      <w:r>
        <w:rPr/>
        <w:t>估计数按照该范围的中间值即上下限金额的平均数确定。</w:t>
      </w:r>
    </w:p>
    <w:p>
      <w:pPr>
        <w:pStyle w:val="BodyText"/>
        <w:spacing w:line="272" w:lineRule="exact" w:before="2"/>
        <w:ind w:left="118" w:right="206" w:firstLine="419"/>
        <w:jc w:val="left"/>
      </w:pPr>
      <w:r>
        <w:rPr>
          <w:spacing w:val="-2"/>
        </w:rPr>
        <w:t>所需支出不存在一个连续范围（或区间），或虽然存在一个连续范围但该范围内各种结果发</w:t>
      </w:r>
      <w:r>
        <w:rPr>
          <w:w w:val="100"/>
        </w:rPr>
        <w:t> </w:t>
      </w:r>
      <w:r>
        <w:rPr>
          <w:spacing w:val="-2"/>
        </w:rPr>
        <w:t>生的可能性不相同的，如或有事项涉及单个项目的，则最佳估计数按照最可能发生金额确定；如</w:t>
      </w:r>
    </w:p>
    <w:p>
      <w:pPr>
        <w:pStyle w:val="BodyText"/>
        <w:spacing w:line="249" w:lineRule="exact"/>
        <w:ind w:left="118" w:right="206"/>
        <w:jc w:val="left"/>
      </w:pPr>
      <w:r>
        <w:rPr/>
        <w:t>或有事项涉及多个项目的，则最佳估计数按各种可能结果及相关概率计算确定。</w:t>
      </w:r>
    </w:p>
    <w:p>
      <w:pPr>
        <w:spacing w:after="0" w:line="249" w:lineRule="exact"/>
        <w:jc w:val="left"/>
        <w:sectPr>
          <w:footerReference w:type="default" r:id="rId70"/>
          <w:pgSz w:w="11910" w:h="16840"/>
          <w:pgMar w:footer="1248" w:header="946" w:top="1300" w:bottom="1440" w:left="1680" w:right="1060"/>
          <w:pgNumType w:start="101"/>
        </w:sectPr>
      </w:pPr>
    </w:p>
    <w:p>
      <w:pPr>
        <w:spacing w:line="240" w:lineRule="auto" w:before="2"/>
        <w:rPr>
          <w:rFonts w:ascii="宋体" w:hAnsi="宋体" w:cs="宋体" w:eastAsia="宋体" w:hint="default"/>
          <w:sz w:val="11"/>
          <w:szCs w:val="11"/>
        </w:rPr>
      </w:pPr>
    </w:p>
    <w:p>
      <w:pPr>
        <w:pStyle w:val="BodyText"/>
        <w:spacing w:line="240" w:lineRule="auto" w:before="36"/>
        <w:ind w:left="118" w:right="117" w:firstLine="419"/>
        <w:jc w:val="both"/>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p>
    <w:p>
      <w:pPr>
        <w:pStyle w:val="BodyText"/>
        <w:spacing w:line="237" w:lineRule="auto"/>
        <w:ind w:left="118" w:right="117" w:firstLine="419"/>
        <w:jc w:val="both"/>
      </w:pPr>
      <w:r>
        <w:rPr>
          <w:spacing w:val="-2"/>
        </w:rPr>
        <w:t>本公司预计负债主要是很可能发生的产品质量保证形成的负债。本公司依照以往的经验对保</w:t>
      </w:r>
      <w:r>
        <w:rPr>
          <w:w w:val="100"/>
        </w:rPr>
        <w:t> </w:t>
      </w:r>
      <w:r>
        <w:rPr>
          <w:spacing w:val="-2"/>
        </w:rPr>
        <w:t>质期间所发生的人工及差旅等成本和费用依营业收入的一定比例计算预计负债金额。产品质量保</w:t>
      </w:r>
      <w:r>
        <w:rPr>
          <w:spacing w:val="-25"/>
        </w:rPr>
        <w:t> </w:t>
      </w:r>
      <w:r>
        <w:rPr>
          <w:spacing w:val="-25"/>
        </w:rPr>
      </w:r>
      <w:r>
        <w:rPr/>
        <w:t>证的硬件部分在保质期间一般由原供货商负责。详见附注七、</w:t>
      </w:r>
      <w:r>
        <w:rPr>
          <w:rFonts w:ascii="宋体" w:hAnsi="宋体" w:cs="宋体" w:eastAsia="宋体" w:hint="default"/>
        </w:rPr>
        <w:t>50</w:t>
      </w:r>
      <w:r>
        <w:rPr/>
        <w:t>。</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60" w:val="left" w:leader="none"/>
        </w:tabs>
        <w:spacing w:line="272" w:lineRule="exact" w:before="86"/>
        <w:ind w:left="538" w:right="117" w:hanging="420"/>
        <w:jc w:val="left"/>
      </w:pPr>
      <w:r>
        <w:rPr>
          <w:spacing w:val="-1"/>
        </w:rPr>
        <w:t>√适用</w:t>
        <w:tab/>
      </w:r>
      <w:r>
        <w:rPr>
          <w:spacing w:val="-2"/>
        </w:rPr>
        <w:t>□不适用</w:t>
      </w:r>
      <w:r>
        <w:rPr>
          <w:spacing w:val="-99"/>
        </w:rPr>
        <w:t> </w:t>
      </w:r>
      <w:r>
        <w:rPr>
          <w:spacing w:val="-99"/>
        </w:rPr>
      </w:r>
      <w:r>
        <w:rPr>
          <w:spacing w:val="-2"/>
        </w:rPr>
        <w:t>本公司的股份支付是为了获取职工（或其他方）提供服务而授予权益工具或者承担以权益工</w:t>
      </w:r>
    </w:p>
    <w:p>
      <w:pPr>
        <w:pStyle w:val="BodyText"/>
        <w:spacing w:line="272" w:lineRule="exact" w:before="1"/>
        <w:ind w:left="118" w:right="117"/>
        <w:jc w:val="both"/>
      </w:pPr>
      <w:r>
        <w:rPr>
          <w:spacing w:val="-2"/>
        </w:rPr>
        <w:t>具为基础确定的负债的交易。本公司的股份支付分为以权益结算的股份支付和以现金结算的股份</w:t>
      </w:r>
      <w:r>
        <w:rPr>
          <w:spacing w:val="-25"/>
        </w:rPr>
        <w:t> </w:t>
      </w:r>
      <w:r>
        <w:rPr>
          <w:spacing w:val="-25"/>
        </w:rPr>
      </w:r>
      <w:r>
        <w:rPr/>
        <w:t>支付。</w:t>
      </w:r>
    </w:p>
    <w:p>
      <w:pPr>
        <w:pStyle w:val="BodyText"/>
        <w:spacing w:line="272" w:lineRule="exact" w:before="1"/>
        <w:ind w:left="538" w:right="0"/>
        <w:jc w:val="left"/>
      </w:pPr>
      <w:r>
        <w:rPr/>
        <w:t>（</w:t>
      </w:r>
      <w:r>
        <w:rPr>
          <w:rFonts w:ascii="宋体" w:hAnsi="宋体" w:cs="宋体" w:eastAsia="宋体" w:hint="default"/>
        </w:rPr>
        <w:t>1</w:t>
      </w:r>
      <w:r>
        <w:rPr/>
        <w:t>）以权益结算的股份支付及权益工具</w:t>
      </w:r>
      <w:r>
        <w:rPr>
          <w:w w:val="100"/>
        </w:rPr>
        <w:t> </w:t>
      </w:r>
      <w:r>
        <w:rPr>
          <w:spacing w:val="-2"/>
        </w:rPr>
        <w:t>以权益结算的股份支付换取职工提供服务的，以授予职工权益工具的公允价值计量。本公司</w:t>
      </w:r>
    </w:p>
    <w:p>
      <w:pPr>
        <w:pStyle w:val="BodyText"/>
        <w:spacing w:line="272" w:lineRule="exact" w:before="1"/>
        <w:ind w:left="118" w:right="117"/>
        <w:jc w:val="both"/>
      </w:pPr>
      <w:r>
        <w:rPr>
          <w:spacing w:val="-2"/>
        </w:rPr>
        <w:t>以限制性股票进行股份支付的，职工出资认购股票，股票在达到解锁条件并解锁前不得上市流通</w:t>
      </w:r>
      <w:r>
        <w:rPr>
          <w:spacing w:val="-25"/>
        </w:rPr>
        <w:t> </w:t>
      </w:r>
      <w:r>
        <w:rPr>
          <w:spacing w:val="-25"/>
        </w:rPr>
      </w:r>
      <w:r>
        <w:rPr>
          <w:spacing w:val="-2"/>
        </w:rPr>
        <w:t>或转让；如果最终股权激励计划规定的解锁条件未能达到，则本公司按照事先约定的价格回购股</w:t>
      </w:r>
    </w:p>
    <w:p>
      <w:pPr>
        <w:pStyle w:val="BodyText"/>
        <w:spacing w:line="272" w:lineRule="exact" w:before="1"/>
        <w:ind w:left="118" w:right="117"/>
        <w:jc w:val="both"/>
      </w:pPr>
      <w:r>
        <w:rPr>
          <w:spacing w:val="-2"/>
        </w:rPr>
        <w:t>票。本公司取得职工认购限制性股票支付的款项时，按照取得的认股款确认股本和资本公积，同</w:t>
      </w:r>
      <w:r>
        <w:rPr>
          <w:spacing w:val="-25"/>
        </w:rPr>
        <w:t> </w:t>
      </w:r>
      <w:r>
        <w:rPr>
          <w:spacing w:val="-25"/>
        </w:rPr>
      </w:r>
      <w:r>
        <w:rPr>
          <w:spacing w:val="-2"/>
        </w:rPr>
        <w:t>时就回购义务全额确认一项负债并确认库存股。在等待期内每个资产负债表日，本公司根据最新</w:t>
      </w:r>
    </w:p>
    <w:p>
      <w:pPr>
        <w:pStyle w:val="BodyText"/>
        <w:spacing w:line="272" w:lineRule="exact" w:before="1"/>
        <w:ind w:left="118" w:right="117"/>
        <w:jc w:val="both"/>
      </w:pPr>
      <w:r>
        <w:rPr>
          <w:spacing w:val="-2"/>
        </w:rPr>
        <w:t>取得的是否达到规定业绩条件等后续信息对可行权权益工具数量作出最佳估计，以此为基础，按</w:t>
      </w:r>
      <w:r>
        <w:rPr>
          <w:spacing w:val="-25"/>
        </w:rPr>
        <w:t> </w:t>
      </w:r>
      <w:r>
        <w:rPr>
          <w:spacing w:val="-25"/>
        </w:rPr>
      </w:r>
      <w:r>
        <w:rPr>
          <w:spacing w:val="-2"/>
        </w:rPr>
        <w:t>照授予日的公允价值，将当期取得的服务计入相关成本或费用，相应增加资本公积。在可行权日</w:t>
      </w:r>
      <w:r>
        <w:rPr>
          <w:spacing w:val="-25"/>
        </w:rPr>
        <w:t> </w:t>
      </w:r>
      <w:r>
        <w:rPr>
          <w:spacing w:val="-25"/>
        </w:rPr>
      </w:r>
      <w:r>
        <w:rPr>
          <w:spacing w:val="-2"/>
        </w:rPr>
        <w:t>之后不再对已确认的相关成本或费用和所有者权益总额进行调整。但授予后立即可行权的，在授</w:t>
      </w:r>
    </w:p>
    <w:p>
      <w:pPr>
        <w:pStyle w:val="BodyText"/>
        <w:spacing w:line="272" w:lineRule="exact" w:before="1"/>
        <w:ind w:left="538" w:right="0" w:hanging="420"/>
        <w:jc w:val="left"/>
      </w:pPr>
      <w:r>
        <w:rPr/>
        <w:t>予日按照公允价值计入相关成本或费用，相应增加资本公积。</w:t>
      </w:r>
      <w:r>
        <w:rPr>
          <w:w w:val="100"/>
        </w:rPr>
        <w:t> </w:t>
      </w:r>
      <w:r>
        <w:rPr>
          <w:spacing w:val="-2"/>
        </w:rPr>
        <w:t>对于最终未能行权的股份支付，不确认成本或费用，除非行权条件是市场条件或非可行权条</w:t>
      </w:r>
    </w:p>
    <w:p>
      <w:pPr>
        <w:pStyle w:val="BodyText"/>
        <w:spacing w:line="272" w:lineRule="exact" w:before="1"/>
        <w:ind w:left="118" w:right="117"/>
        <w:jc w:val="both"/>
      </w:pPr>
      <w:r>
        <w:rPr>
          <w:spacing w:val="-2"/>
        </w:rPr>
        <w:t>件，此时无论是否满足市场条件或非可行权条件，只要满足所有可行权条件中的非市场条件，即</w:t>
      </w:r>
      <w:r>
        <w:rPr>
          <w:spacing w:val="-26"/>
        </w:rPr>
        <w:t> </w:t>
      </w:r>
      <w:r>
        <w:rPr>
          <w:spacing w:val="-26"/>
        </w:rPr>
      </w:r>
      <w:r>
        <w:rPr/>
        <w:t>视为可行权。</w:t>
      </w:r>
    </w:p>
    <w:p>
      <w:pPr>
        <w:pStyle w:val="BodyText"/>
        <w:spacing w:line="272" w:lineRule="exact" w:before="2"/>
        <w:ind w:left="118" w:right="117" w:firstLine="419"/>
        <w:jc w:val="both"/>
      </w:pPr>
      <w:r>
        <w:rPr>
          <w:spacing w:val="-2"/>
        </w:rPr>
        <w:t>如果修改了以权益结算的股份支付的条款，至少按照未修改条款的情况确认取得的服务。此</w:t>
      </w:r>
      <w:r>
        <w:rPr>
          <w:w w:val="100"/>
        </w:rPr>
        <w:t> </w:t>
      </w:r>
      <w:r>
        <w:rPr>
          <w:spacing w:val="-2"/>
        </w:rPr>
        <w:t>外，任何增加所授予权益工具公允价值的修改，或在修改日对职工有利的变更，均确认取得服务</w:t>
      </w:r>
    </w:p>
    <w:p>
      <w:pPr>
        <w:pStyle w:val="BodyText"/>
        <w:spacing w:line="247" w:lineRule="exact"/>
        <w:ind w:left="118" w:right="0"/>
        <w:jc w:val="both"/>
      </w:pPr>
      <w:r>
        <w:rPr/>
        <w:t>的增加。</w:t>
      </w:r>
    </w:p>
    <w:p>
      <w:pPr>
        <w:pStyle w:val="BodyText"/>
        <w:spacing w:line="237" w:lineRule="auto"/>
        <w:ind w:left="118" w:right="117" w:firstLine="419"/>
        <w:jc w:val="both"/>
      </w:pPr>
      <w:r>
        <w:rPr>
          <w:spacing w:val="-2"/>
        </w:rPr>
        <w:t>如果取消了以权益结算的股份支付，则于取消日作为加速行权处理，立即确认尚未确认的金</w:t>
      </w:r>
      <w:r>
        <w:rPr>
          <w:w w:val="100"/>
        </w:rPr>
        <w:t> </w:t>
      </w:r>
      <w:r>
        <w:rPr>
          <w:spacing w:val="-2"/>
        </w:rPr>
        <w:t>额。职工或其他方能够选择满足非可行权条件但在等待期内未满足的，作为取消以权益结算的股</w:t>
      </w:r>
      <w:r>
        <w:rPr>
          <w:spacing w:val="-25"/>
        </w:rPr>
        <w:t> </w:t>
      </w:r>
      <w:r>
        <w:rPr>
          <w:spacing w:val="-25"/>
        </w:rPr>
      </w:r>
      <w:r>
        <w:rPr>
          <w:spacing w:val="-2"/>
        </w:rPr>
        <w:t>份支付处理。但是，如果授予新的权益工具，并在新权益工具授予日认定所授予的新权益工具是</w:t>
      </w:r>
      <w:r>
        <w:rPr>
          <w:spacing w:val="-25"/>
        </w:rPr>
        <w:t> </w:t>
      </w:r>
      <w:r>
        <w:rPr>
          <w:spacing w:val="-25"/>
        </w:rPr>
      </w:r>
      <w:r>
        <w:rPr>
          <w:spacing w:val="-2"/>
        </w:rPr>
        <w:t>用于替代被取消的权益工具的，则以与处理原权益工具条款和条件修改相同的方式，对所授予的</w:t>
      </w:r>
      <w:r>
        <w:rPr>
          <w:spacing w:val="-25"/>
        </w:rPr>
        <w:t> </w:t>
      </w:r>
      <w:r>
        <w:rPr>
          <w:spacing w:val="-25"/>
        </w:rPr>
      </w:r>
      <w:r>
        <w:rPr/>
        <w:t>替代权益工具进行处理。</w:t>
      </w:r>
    </w:p>
    <w:p>
      <w:pPr>
        <w:spacing w:line="240" w:lineRule="auto" w:before="9"/>
        <w:rPr>
          <w:rFonts w:ascii="宋体" w:hAnsi="宋体" w:cs="宋体" w:eastAsia="宋体" w:hint="default"/>
          <w:sz w:val="20"/>
          <w:szCs w:val="20"/>
        </w:rPr>
      </w:pPr>
    </w:p>
    <w:p>
      <w:pPr>
        <w:pStyle w:val="BodyText"/>
        <w:spacing w:line="240" w:lineRule="auto"/>
        <w:ind w:left="538" w:right="0"/>
        <w:jc w:val="left"/>
      </w:pPr>
      <w:r>
        <w:rPr/>
        <w:t>（</w:t>
      </w:r>
      <w:r>
        <w:rPr>
          <w:rFonts w:ascii="宋体" w:hAnsi="宋体" w:cs="宋体" w:eastAsia="宋体" w:hint="default"/>
        </w:rPr>
        <w:t>2</w:t>
      </w:r>
      <w:r>
        <w:rPr/>
        <w:t>）以现金结算的股份支付及权益工具</w:t>
      </w:r>
      <w:r>
        <w:rPr>
          <w:w w:val="100"/>
        </w:rPr>
        <w:t> </w:t>
      </w:r>
      <w:r>
        <w:rPr>
          <w:spacing w:val="-2"/>
        </w:rPr>
        <w:t>以现金结算的股份支付，按照本公司承担的以股份或其他权益工具为基础计算确定的负债的</w:t>
      </w:r>
    </w:p>
    <w:p>
      <w:pPr>
        <w:pStyle w:val="BodyText"/>
        <w:spacing w:line="237" w:lineRule="auto"/>
        <w:ind w:left="118" w:right="117"/>
        <w:jc w:val="both"/>
      </w:pPr>
      <w:r>
        <w:rPr>
          <w:spacing w:val="-2"/>
        </w:rPr>
        <w:t>公允价值计量。授予后立即可行权的，在授予日以承担负债的公允价值计入成本或费用，相应增</w:t>
      </w:r>
      <w:r>
        <w:rPr>
          <w:spacing w:val="-25"/>
        </w:rPr>
        <w:t> </w:t>
      </w:r>
      <w:r>
        <w:rPr>
          <w:spacing w:val="-25"/>
        </w:rPr>
      </w:r>
      <w:r>
        <w:rPr>
          <w:spacing w:val="-2"/>
        </w:rPr>
        <w:t>加负债；完成等待期内的服务或达到规定业绩条件才可行权的，在等待期内以对可行权情况的最</w:t>
      </w:r>
      <w:r>
        <w:rPr>
          <w:spacing w:val="-25"/>
        </w:rPr>
        <w:t> </w:t>
      </w:r>
      <w:r>
        <w:rPr>
          <w:spacing w:val="-25"/>
        </w:rPr>
      </w:r>
      <w:r>
        <w:rPr>
          <w:spacing w:val="-2"/>
        </w:rPr>
        <w:t>佳估计为基础，按照承担负债的公允价值，将当期取得的服务计入相关成本或费用，增加相应负</w:t>
      </w:r>
      <w:r>
        <w:rPr>
          <w:spacing w:val="-25"/>
        </w:rPr>
        <w:t> </w:t>
      </w:r>
      <w:r>
        <w:rPr>
          <w:spacing w:val="-25"/>
        </w:rPr>
      </w:r>
      <w:r>
        <w:rPr>
          <w:spacing w:val="-2"/>
        </w:rPr>
        <w:t>债。在相关负债结算前的每个资产负债表日以及结算日，对负债的公允价值重新计量，其变动计</w:t>
      </w:r>
      <w:r>
        <w:rPr>
          <w:spacing w:val="-25"/>
        </w:rPr>
        <w:t> </w:t>
      </w:r>
      <w:r>
        <w:rPr>
          <w:spacing w:val="-25"/>
        </w:rPr>
      </w:r>
      <w:r>
        <w:rPr/>
        <w:t>入当期损益。</w:t>
      </w:r>
    </w:p>
    <w:p>
      <w:pPr>
        <w:spacing w:line="240" w:lineRule="auto" w:before="3"/>
        <w:rPr>
          <w:rFonts w:ascii="宋体" w:hAnsi="宋体" w:cs="宋体" w:eastAsia="宋体" w:hint="default"/>
          <w:sz w:val="25"/>
          <w:szCs w:val="25"/>
        </w:rPr>
      </w:pPr>
    </w:p>
    <w:p>
      <w:pPr>
        <w:pStyle w:val="Heading4"/>
        <w:spacing w:line="240" w:lineRule="auto"/>
        <w:ind w:left="11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18" w:right="0"/>
        <w:jc w:val="both"/>
      </w:pPr>
      <w:r>
        <w:rPr/>
        <w:t>□适用</w:t>
      </w:r>
      <w:r>
        <w:rPr>
          <w:spacing w:val="104"/>
        </w:rPr>
        <w:t> </w:t>
      </w:r>
      <w:r>
        <w:rPr/>
        <w:t>√不适用</w:t>
      </w:r>
    </w:p>
    <w:p>
      <w:pPr>
        <w:spacing w:after="0" w:line="240" w:lineRule="auto"/>
        <w:jc w:val="both"/>
        <w:sectPr>
          <w:pgSz w:w="11910" w:h="16840"/>
          <w:pgMar w:header="946" w:footer="1248" w:top="1300" w:bottom="1440" w:left="1680" w:right="1160"/>
        </w:sectPr>
      </w:pPr>
    </w:p>
    <w:p>
      <w:pPr>
        <w:spacing w:line="240" w:lineRule="auto" w:before="2"/>
        <w:rPr>
          <w:rFonts w:ascii="宋体" w:hAnsi="宋体" w:cs="宋体" w:eastAsia="宋体" w:hint="default"/>
          <w:sz w:val="11"/>
          <w:szCs w:val="11"/>
        </w:rPr>
      </w:pPr>
    </w:p>
    <w:p>
      <w:pPr>
        <w:pStyle w:val="Heading4"/>
        <w:spacing w:line="240" w:lineRule="auto" w:before="36"/>
        <w:ind w:left="118"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60" w:val="left" w:leader="none"/>
        </w:tabs>
        <w:spacing w:line="273" w:lineRule="exact" w:before="58"/>
        <w:ind w:left="118" w:right="0"/>
        <w:jc w:val="left"/>
      </w:pPr>
      <w:r>
        <w:rPr>
          <w:spacing w:val="-1"/>
        </w:rPr>
        <w:t>√适用</w:t>
        <w:tab/>
      </w:r>
      <w:r>
        <w:rPr>
          <w:spacing w:val="-2"/>
        </w:rPr>
        <w:t>□不适用</w:t>
      </w:r>
    </w:p>
    <w:p>
      <w:pPr>
        <w:pStyle w:val="BodyText"/>
        <w:spacing w:line="272" w:lineRule="exact"/>
        <w:ind w:left="538" w:right="0"/>
        <w:jc w:val="left"/>
      </w:pPr>
      <w:r>
        <w:rPr/>
        <w:t>（</w:t>
      </w:r>
      <w:r>
        <w:rPr>
          <w:rFonts w:ascii="宋体" w:hAnsi="宋体" w:cs="宋体" w:eastAsia="宋体" w:hint="default"/>
        </w:rPr>
        <w:t>1</w:t>
      </w:r>
      <w:r>
        <w:rPr/>
        <w:t>）销售商品收入的确认一般原则：</w:t>
      </w:r>
    </w:p>
    <w:p>
      <w:pPr>
        <w:pStyle w:val="BodyText"/>
        <w:spacing w:line="272" w:lineRule="exact"/>
        <w:ind w:left="538" w:right="0"/>
        <w:jc w:val="left"/>
      </w:pPr>
      <w:r>
        <w:rPr/>
        <w:t>①本公司已将商品所有权上的主要风险和报酬转移给购货方；</w:t>
      </w:r>
    </w:p>
    <w:p>
      <w:pPr>
        <w:pStyle w:val="BodyText"/>
        <w:spacing w:line="240" w:lineRule="auto"/>
        <w:ind w:left="118" w:right="0" w:firstLine="419"/>
        <w:jc w:val="left"/>
      </w:pPr>
      <w:r>
        <w:rPr>
          <w:spacing w:val="-2"/>
        </w:rPr>
        <w:t>②本公司既没有保留通常与所有权相联系的继续管理权，也没有对已售出的商品实施有效控</w:t>
      </w:r>
      <w:r>
        <w:rPr>
          <w:w w:val="100"/>
        </w:rPr>
        <w:t> </w:t>
      </w:r>
      <w:r>
        <w:rPr/>
        <w:t>制；</w:t>
      </w:r>
    </w:p>
    <w:p>
      <w:pPr>
        <w:pStyle w:val="BodyText"/>
        <w:spacing w:line="271" w:lineRule="exact"/>
        <w:ind w:left="538" w:right="0"/>
        <w:jc w:val="left"/>
      </w:pPr>
      <w:r>
        <w:rPr/>
        <w:t>③收入的金额能够可靠地计量；</w:t>
      </w:r>
    </w:p>
    <w:p>
      <w:pPr>
        <w:pStyle w:val="BodyText"/>
        <w:spacing w:line="272" w:lineRule="exact"/>
        <w:ind w:left="538" w:right="0"/>
        <w:jc w:val="left"/>
      </w:pPr>
      <w:r>
        <w:rPr/>
        <w:t>④相关的经济利益很可能流入本公司；</w:t>
      </w:r>
    </w:p>
    <w:p>
      <w:pPr>
        <w:pStyle w:val="BodyText"/>
        <w:spacing w:line="273" w:lineRule="exact"/>
        <w:ind w:left="538" w:right="0"/>
        <w:jc w:val="left"/>
      </w:pPr>
      <w:r>
        <w:rPr/>
        <w:t>⑤相关的、已发生或将发生的成本能够可靠地计量。</w:t>
      </w:r>
    </w:p>
    <w:p>
      <w:pPr>
        <w:spacing w:line="240" w:lineRule="auto" w:before="8"/>
        <w:rPr>
          <w:rFonts w:ascii="宋体" w:hAnsi="宋体" w:cs="宋体" w:eastAsia="宋体" w:hint="default"/>
          <w:sz w:val="20"/>
          <w:szCs w:val="20"/>
        </w:rPr>
      </w:pPr>
    </w:p>
    <w:p>
      <w:pPr>
        <w:pStyle w:val="BodyText"/>
        <w:spacing w:line="240" w:lineRule="auto"/>
        <w:ind w:left="538" w:right="0"/>
        <w:jc w:val="left"/>
      </w:pPr>
      <w:r>
        <w:rPr/>
        <w:t>（</w:t>
      </w:r>
      <w:r>
        <w:rPr>
          <w:rFonts w:ascii="宋体" w:hAnsi="宋体" w:cs="宋体" w:eastAsia="宋体" w:hint="default"/>
        </w:rPr>
        <w:t>2</w:t>
      </w:r>
      <w:r>
        <w:rPr/>
        <w:t>）具体原则</w:t>
      </w:r>
      <w:r>
        <w:rPr>
          <w:w w:val="100"/>
        </w:rPr>
        <w:t> </w:t>
      </w:r>
      <w:r>
        <w:rPr>
          <w:spacing w:val="-7"/>
          <w:w w:val="100"/>
        </w:rPr>
        <w:t>本公司业务收入主要包括系统集成合同收入、产品合同销售收入、软件开发及其他劳务收入、</w:t>
      </w:r>
    </w:p>
    <w:p>
      <w:pPr>
        <w:pStyle w:val="BodyText"/>
        <w:spacing w:line="274" w:lineRule="exact" w:before="23"/>
        <w:ind w:left="118" w:right="0"/>
        <w:jc w:val="left"/>
      </w:pPr>
      <w:r>
        <w:rPr>
          <w:spacing w:val="-2"/>
        </w:rPr>
        <w:t>物业服务及租金收入、广告收入等。业务收入以扣除销售折扣后之净额列示。各项收入确认的基</w:t>
      </w:r>
      <w:r>
        <w:rPr>
          <w:spacing w:val="-25"/>
        </w:rPr>
        <w:t> </w:t>
      </w:r>
      <w:r>
        <w:rPr>
          <w:spacing w:val="-25"/>
        </w:rPr>
      </w:r>
      <w:r>
        <w:rPr/>
        <w:t>础如下：</w:t>
      </w:r>
    </w:p>
    <w:p>
      <w:pPr>
        <w:pStyle w:val="BodyText"/>
        <w:spacing w:line="245" w:lineRule="exact"/>
        <w:ind w:left="538" w:right="0"/>
        <w:jc w:val="left"/>
      </w:pPr>
      <w:r>
        <w:rPr/>
        <w:t>①系统集成合同收入</w:t>
      </w:r>
    </w:p>
    <w:p>
      <w:pPr>
        <w:pStyle w:val="BodyText"/>
        <w:spacing w:line="237" w:lineRule="auto" w:before="2"/>
        <w:ind w:left="118" w:right="117" w:firstLine="419"/>
        <w:jc w:val="both"/>
      </w:pPr>
      <w:r>
        <w:rPr>
          <w:spacing w:val="-2"/>
        </w:rPr>
        <w:t>本公司对于在建的系统集成开发项目按完工百分比法确认收入。当一系统集成开发项目合同</w:t>
      </w:r>
      <w:r>
        <w:rPr>
          <w:w w:val="100"/>
        </w:rPr>
        <w:t> </w:t>
      </w:r>
      <w:r>
        <w:rPr>
          <w:spacing w:val="-2"/>
        </w:rPr>
        <w:t>的最终结果能可靠地估计时，则根据完工百分比法在资产负债日确认该合同项目的收入与费用。</w:t>
      </w:r>
      <w:r>
        <w:rPr>
          <w:spacing w:val="-25"/>
        </w:rPr>
        <w:t> </w:t>
      </w:r>
      <w:r>
        <w:rPr>
          <w:spacing w:val="-25"/>
        </w:rPr>
      </w:r>
      <w:r>
        <w:rPr/>
        <w:t>完工进度依据已完成的合同工作量占合同预计总工作量的比例衡量。</w:t>
      </w:r>
    </w:p>
    <w:p>
      <w:pPr>
        <w:pStyle w:val="BodyText"/>
        <w:spacing w:line="272" w:lineRule="exact" w:before="24"/>
        <w:ind w:left="538" w:right="0"/>
        <w:jc w:val="left"/>
      </w:pPr>
      <w:r>
        <w:rPr/>
        <w:t>如果合同的最终结果不能可靠地估计，则区别下列情况处理：</w:t>
      </w:r>
      <w:r>
        <w:rPr>
          <w:w w:val="100"/>
        </w:rPr>
        <w:t> </w:t>
      </w:r>
      <w:r>
        <w:rPr>
          <w:rFonts w:ascii="宋体" w:hAnsi="宋体" w:cs="宋体" w:eastAsia="宋体" w:hint="default"/>
          <w:spacing w:val="-2"/>
        </w:rPr>
        <w:t>a.</w:t>
      </w:r>
      <w:r>
        <w:rPr>
          <w:spacing w:val="-2"/>
        </w:rPr>
        <w:t>合同成本能够收回的，合同销售收入根据能够收回的实际合同成本加以确认，合同成本则</w:t>
      </w:r>
    </w:p>
    <w:p>
      <w:pPr>
        <w:pStyle w:val="BodyText"/>
        <w:spacing w:line="272" w:lineRule="exact" w:before="1"/>
        <w:ind w:left="538" w:right="0" w:hanging="420"/>
        <w:jc w:val="left"/>
      </w:pPr>
      <w:r>
        <w:rPr/>
        <w:t>在其发生的当年度确认为费用；</w:t>
      </w:r>
      <w:r>
        <w:rPr>
          <w:w w:val="100"/>
        </w:rPr>
        <w:t> </w:t>
      </w:r>
      <w:r>
        <w:rPr>
          <w:rFonts w:ascii="宋体" w:hAnsi="宋体" w:cs="宋体" w:eastAsia="宋体" w:hint="default"/>
        </w:rPr>
        <w:t>b.</w:t>
      </w:r>
      <w:r>
        <w:rPr/>
        <w:t>合同成本不能收回的，则在发生时立即确认为当年度费用，不确认合同销售收入。</w:t>
      </w:r>
    </w:p>
    <w:p>
      <w:pPr>
        <w:pStyle w:val="BodyText"/>
        <w:spacing w:line="272" w:lineRule="exact" w:before="1"/>
        <w:ind w:left="118" w:right="0" w:firstLine="419"/>
        <w:jc w:val="left"/>
      </w:pPr>
      <w:r>
        <w:rPr>
          <w:spacing w:val="-2"/>
        </w:rPr>
        <w:t>在资产负债表日，按照合同总收入乘以完工进度扣除以前会计期间已累计已确认收入后的金</w:t>
      </w:r>
      <w:r>
        <w:rPr>
          <w:w w:val="100"/>
        </w:rPr>
        <w:t> </w:t>
      </w:r>
      <w:r>
        <w:rPr>
          <w:spacing w:val="-2"/>
        </w:rPr>
        <w:t>额，确认为当期合同收入；同时，按照合同预计总成本乘以完工进度或累计实际发生的合同成本</w:t>
      </w:r>
    </w:p>
    <w:p>
      <w:pPr>
        <w:pStyle w:val="BodyText"/>
        <w:spacing w:line="272" w:lineRule="exact" w:before="2"/>
        <w:ind w:left="118" w:right="0"/>
        <w:jc w:val="left"/>
      </w:pPr>
      <w:r>
        <w:rPr>
          <w:spacing w:val="-2"/>
        </w:rPr>
        <w:t>扣除以前会计期间累计已确认费用后的金额，确认为当期合同费用。合同预计总成本超过合同总</w:t>
      </w:r>
      <w:r>
        <w:rPr>
          <w:spacing w:val="-25"/>
        </w:rPr>
        <w:t> </w:t>
      </w:r>
      <w:r>
        <w:rPr>
          <w:spacing w:val="-25"/>
        </w:rPr>
      </w:r>
      <w:r>
        <w:rPr/>
        <w:t>收入的，将预计损失确认为当期费用。</w:t>
      </w:r>
    </w:p>
    <w:p>
      <w:pPr>
        <w:pStyle w:val="BodyText"/>
        <w:spacing w:line="272" w:lineRule="exact" w:before="1"/>
        <w:ind w:left="538" w:right="0"/>
        <w:jc w:val="left"/>
      </w:pPr>
      <w:r>
        <w:rPr/>
        <w:t>②产品合同销售收入</w:t>
      </w:r>
      <w:r>
        <w:rPr>
          <w:w w:val="100"/>
        </w:rPr>
        <w:t> </w:t>
      </w:r>
      <w:r>
        <w:rPr>
          <w:spacing w:val="-2"/>
        </w:rPr>
        <w:t>产品合同的销售收入在已将产品所有权上的主要风险和报酬转移给购货方，并且不再对该产</w:t>
      </w:r>
    </w:p>
    <w:p>
      <w:pPr>
        <w:pStyle w:val="BodyText"/>
        <w:spacing w:line="272" w:lineRule="exact" w:before="1"/>
        <w:ind w:left="118" w:right="0"/>
        <w:jc w:val="left"/>
      </w:pPr>
      <w:r>
        <w:rPr>
          <w:spacing w:val="-2"/>
        </w:rPr>
        <w:t>品实施继续管理和控制，与交易相关的经济利益能够流入本公司，相关的收入和成本能够可靠计</w:t>
      </w:r>
      <w:r>
        <w:rPr>
          <w:spacing w:val="-25"/>
        </w:rPr>
        <w:t> </w:t>
      </w:r>
      <w:r>
        <w:rPr>
          <w:spacing w:val="-25"/>
        </w:rPr>
      </w:r>
      <w:r>
        <w:rPr/>
        <w:t>量时确认销售收入的实现。</w:t>
      </w:r>
    </w:p>
    <w:p>
      <w:pPr>
        <w:pStyle w:val="BodyText"/>
        <w:spacing w:line="272" w:lineRule="exact" w:before="1"/>
        <w:ind w:left="538" w:right="0"/>
        <w:jc w:val="left"/>
      </w:pPr>
      <w:r>
        <w:rPr/>
        <w:t>③劳务收入</w:t>
      </w:r>
      <w:r>
        <w:rPr>
          <w:spacing w:val="-102"/>
        </w:rPr>
        <w:t> </w:t>
      </w:r>
      <w:r>
        <w:rPr>
          <w:spacing w:val="-102"/>
        </w:rPr>
      </w:r>
      <w:r>
        <w:rPr>
          <w:spacing w:val="-2"/>
        </w:rPr>
        <w:t>劳务收入包括为客户订制软件、软件维护、软件升级、培训及网页制作等劳务收入。</w:t>
      </w:r>
    </w:p>
    <w:p>
      <w:pPr>
        <w:pStyle w:val="BodyText"/>
        <w:spacing w:line="272" w:lineRule="exact" w:before="1"/>
        <w:ind w:left="538" w:right="0"/>
        <w:jc w:val="left"/>
      </w:pPr>
      <w:r>
        <w:rPr/>
        <w:t>在同一会计年度内开始并完成的劳务，在完成劳务时确认收入。</w:t>
      </w:r>
      <w:r>
        <w:rPr>
          <w:w w:val="100"/>
        </w:rPr>
        <w:t> </w:t>
      </w:r>
      <w:r>
        <w:rPr>
          <w:spacing w:val="-2"/>
        </w:rPr>
        <w:t>如劳务的开始和完成分属不同的会计年度，在提供劳务交易的结果能够可靠估计的情况下，</w:t>
      </w:r>
    </w:p>
    <w:p>
      <w:pPr>
        <w:pStyle w:val="BodyText"/>
        <w:spacing w:line="272" w:lineRule="exact" w:before="1"/>
        <w:ind w:left="538" w:right="0" w:hanging="420"/>
        <w:jc w:val="left"/>
      </w:pPr>
      <w:r>
        <w:rPr/>
        <w:t>在资产负债表日按完工百分比法确认相关的劳务收入。</w:t>
      </w:r>
      <w:r>
        <w:rPr>
          <w:w w:val="100"/>
        </w:rPr>
        <w:t> </w:t>
      </w:r>
      <w:r>
        <w:rPr>
          <w:spacing w:val="-2"/>
        </w:rPr>
        <w:t>本公司为客户订制软件的劳务，其开始和完成通常分属不同的会计年度，且提供劳务结果能</w:t>
      </w:r>
    </w:p>
    <w:p>
      <w:pPr>
        <w:pStyle w:val="BodyText"/>
        <w:spacing w:line="272" w:lineRule="exact" w:before="2"/>
        <w:ind w:left="118" w:right="0"/>
        <w:jc w:val="left"/>
      </w:pPr>
      <w:r>
        <w:rPr>
          <w:spacing w:val="-2"/>
        </w:rPr>
        <w:t>够可靠估计，因此在资产负债表日，采用完工百分比法确认劳务收入。完工进度依据已完成的合</w:t>
      </w:r>
      <w:r>
        <w:rPr>
          <w:spacing w:val="-25"/>
        </w:rPr>
        <w:t> </w:t>
      </w:r>
      <w:r>
        <w:rPr>
          <w:spacing w:val="-25"/>
        </w:rPr>
      </w:r>
      <w:r>
        <w:rPr/>
        <w:t>同工作量占合同预计总工作量的比例衡量。</w:t>
      </w:r>
    </w:p>
    <w:p>
      <w:pPr>
        <w:pStyle w:val="BodyText"/>
        <w:spacing w:line="272" w:lineRule="exact" w:before="1"/>
        <w:ind w:left="538" w:right="3524"/>
        <w:jc w:val="left"/>
      </w:pPr>
      <w:r>
        <w:rPr/>
        <w:t>④物业服务及租赁收入</w:t>
      </w:r>
      <w:r>
        <w:rPr>
          <w:w w:val="100"/>
        </w:rPr>
        <w:t> </w:t>
      </w:r>
      <w:r>
        <w:rPr>
          <w:spacing w:val="-2"/>
        </w:rPr>
        <w:t>物业服务及租赁收入采用直接法在租赁期内确认。</w:t>
      </w:r>
    </w:p>
    <w:p>
      <w:pPr>
        <w:pStyle w:val="BodyText"/>
        <w:spacing w:line="246" w:lineRule="exact"/>
        <w:ind w:left="538" w:right="0"/>
        <w:jc w:val="left"/>
      </w:pPr>
      <w:r>
        <w:rPr/>
        <w:t>⑤广告收入</w:t>
      </w:r>
    </w:p>
    <w:p>
      <w:pPr>
        <w:pStyle w:val="BodyText"/>
        <w:spacing w:line="272" w:lineRule="exact" w:before="27"/>
        <w:ind w:left="118" w:right="0" w:firstLine="419"/>
        <w:jc w:val="left"/>
      </w:pPr>
      <w:r>
        <w:rPr>
          <w:spacing w:val="-2"/>
        </w:rPr>
        <w:t>广告收入包括广告媒介代理收入和广告制作收入，广告媒介代理收入于广告播出时确认，广</w:t>
      </w:r>
      <w:r>
        <w:rPr>
          <w:w w:val="100"/>
        </w:rPr>
        <w:t> </w:t>
      </w:r>
      <w:r>
        <w:rPr/>
        <w:t>告制作收入按照进度确认。</w:t>
      </w:r>
    </w:p>
    <w:p>
      <w:pPr>
        <w:spacing w:line="240" w:lineRule="auto" w:before="4"/>
        <w:rPr>
          <w:rFonts w:ascii="宋体" w:hAnsi="宋体" w:cs="宋体" w:eastAsia="宋体" w:hint="default"/>
          <w:sz w:val="23"/>
          <w:szCs w:val="23"/>
        </w:rPr>
      </w:pPr>
    </w:p>
    <w:p>
      <w:pPr>
        <w:pStyle w:val="Heading4"/>
        <w:spacing w:line="240" w:lineRule="auto"/>
        <w:ind w:left="118" w:right="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37" w:lineRule="auto" w:before="61"/>
        <w:ind w:left="118" w:right="108" w:firstLine="419"/>
        <w:jc w:val="both"/>
      </w:pPr>
      <w:r>
        <w:rPr>
          <w:spacing w:val="-7"/>
          <w:w w:val="100"/>
        </w:rPr>
        <w:t>政府补助在能够满足其所附条件并且能够收到时，才能予以确认。政府补助为货币性资产的，</w:t>
      </w:r>
      <w:r>
        <w:rPr>
          <w:w w:val="100"/>
        </w:rPr>
        <w:t> </w:t>
      </w:r>
      <w:r>
        <w:rPr>
          <w:spacing w:val="-2"/>
        </w:rPr>
        <w:t>按照收到或应收的金额计量。政府补助为非货币性资产的，按照公允价值计量；公允价值不能可</w:t>
      </w:r>
      <w:r>
        <w:rPr>
          <w:spacing w:val="-25"/>
        </w:rPr>
        <w:t> </w:t>
      </w:r>
      <w:r>
        <w:rPr>
          <w:spacing w:val="-25"/>
        </w:rPr>
      </w:r>
      <w:r>
        <w:rPr/>
        <w:t>靠取得的，按照名义金额计量。</w:t>
      </w:r>
    </w:p>
    <w:p>
      <w:pPr>
        <w:spacing w:after="0" w:line="237" w:lineRule="auto"/>
        <w:jc w:val="both"/>
        <w:sectPr>
          <w:pgSz w:w="11910" w:h="16840"/>
          <w:pgMar w:header="946" w:footer="1248" w:top="1300" w:bottom="1440" w:left="1680" w:right="1160"/>
        </w:sectPr>
      </w:pPr>
    </w:p>
    <w:p>
      <w:pPr>
        <w:pStyle w:val="BodyText"/>
        <w:tabs>
          <w:tab w:pos="960" w:val="left" w:leader="none"/>
        </w:tabs>
        <w:spacing w:line="272" w:lineRule="exact" w:before="86"/>
        <w:ind w:left="538" w:right="117" w:hanging="420"/>
        <w:jc w:val="left"/>
      </w:pPr>
      <w:r>
        <w:rPr>
          <w:spacing w:val="-1"/>
        </w:rPr>
        <w:t>√适用</w:t>
        <w:tab/>
      </w:r>
      <w:r>
        <w:rPr>
          <w:spacing w:val="-2"/>
        </w:rPr>
        <w:t>□不适用</w:t>
      </w:r>
      <w:r>
        <w:rPr>
          <w:spacing w:val="-99"/>
        </w:rPr>
        <w:t> </w:t>
      </w:r>
      <w:r>
        <w:rPr>
          <w:spacing w:val="-99"/>
        </w:rPr>
      </w:r>
      <w:r>
        <w:rPr>
          <w:spacing w:val="-2"/>
        </w:rPr>
        <w:t>本公司取得的、用于购建或以其他方式形成长期资产的政府补助，作为与资产相关的政府补</w:t>
      </w:r>
    </w:p>
    <w:p>
      <w:pPr>
        <w:pStyle w:val="BodyText"/>
        <w:spacing w:line="247" w:lineRule="exact"/>
        <w:ind w:left="118" w:right="0"/>
        <w:jc w:val="left"/>
      </w:pPr>
      <w:r>
        <w:rPr/>
        <w:t>助。</w:t>
      </w:r>
    </w:p>
    <w:p>
      <w:pPr>
        <w:pStyle w:val="BodyText"/>
        <w:spacing w:line="237" w:lineRule="auto"/>
        <w:ind w:left="118" w:right="117" w:firstLine="419"/>
        <w:jc w:val="right"/>
      </w:pPr>
      <w:r>
        <w:rPr>
          <w:spacing w:val="-2"/>
        </w:rPr>
        <w:t>与资产相关的政府补助，本公司的会计处理方法为：确认为递延收益，并在相关资产使用寿</w:t>
      </w:r>
      <w:r>
        <w:rPr>
          <w:w w:val="100"/>
        </w:rPr>
        <w:t> </w:t>
      </w:r>
      <w:r>
        <w:rPr>
          <w:spacing w:val="-2"/>
        </w:rPr>
        <w:t>命内按照合理、系统的方法分期计入损益。按照名义金额计量的政府补助，直接计入当期损益。</w:t>
      </w:r>
      <w:r>
        <w:rPr>
          <w:spacing w:val="-43"/>
        </w:rPr>
        <w:t> </w:t>
      </w:r>
      <w:r>
        <w:rPr>
          <w:spacing w:val="-43"/>
        </w:rPr>
      </w:r>
      <w:r>
        <w:rPr>
          <w:spacing w:val="-2"/>
        </w:rPr>
        <w:t>相关资产在使用寿命结束前被出售、转让、报废或发生毁损的，公司将尚未分配的相关递延</w:t>
      </w:r>
    </w:p>
    <w:p>
      <w:pPr>
        <w:pStyle w:val="BodyText"/>
        <w:spacing w:line="274" w:lineRule="exact"/>
        <w:ind w:left="118" w:right="0"/>
        <w:jc w:val="left"/>
      </w:pPr>
      <w:r>
        <w:rPr/>
        <w:t>收益余额转入资产处置当期的损益。</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60" w:val="left" w:leader="none"/>
        </w:tabs>
        <w:spacing w:line="237" w:lineRule="auto" w:before="59"/>
        <w:ind w:left="538" w:right="958" w:hanging="420"/>
        <w:jc w:val="left"/>
      </w:pPr>
      <w:r>
        <w:rPr>
          <w:spacing w:val="-1"/>
        </w:rPr>
        <w:t>√适用</w:t>
        <w:tab/>
      </w:r>
      <w:r>
        <w:rPr>
          <w:spacing w:val="-2"/>
        </w:rPr>
        <w:t>□不适用</w:t>
      </w:r>
      <w:r>
        <w:rPr>
          <w:spacing w:val="-99"/>
        </w:rPr>
        <w:t> </w:t>
      </w:r>
      <w:r>
        <w:rPr>
          <w:spacing w:val="-99"/>
        </w:rPr>
      </w:r>
      <w:r>
        <w:rPr>
          <w:spacing w:val="-2"/>
        </w:rPr>
        <w:t>本公司将除与资产相关的政府补助之外的政府补助，作为与收益相关的政府补助。</w:t>
      </w:r>
      <w:r>
        <w:rPr>
          <w:w w:val="100"/>
        </w:rPr>
        <w:t> </w:t>
      </w:r>
      <w:r>
        <w:rPr/>
        <w:t>与收益相关的政府补助，公司分情况按照以下规定进行会计处理：</w:t>
      </w:r>
    </w:p>
    <w:p>
      <w:pPr>
        <w:pStyle w:val="BodyText"/>
        <w:spacing w:line="272" w:lineRule="exact" w:before="26"/>
        <w:ind w:left="118" w:right="117" w:firstLine="419"/>
        <w:jc w:val="both"/>
      </w:pPr>
      <w:r>
        <w:rPr>
          <w:spacing w:val="-2"/>
        </w:rPr>
        <w:t>①用于补偿公司以后期间的相关成本费用或损失的，确认为递延收益，并在确认相关成本费</w:t>
      </w:r>
      <w:r>
        <w:rPr>
          <w:w w:val="100"/>
        </w:rPr>
        <w:t> </w:t>
      </w:r>
      <w:r>
        <w:rPr/>
        <w:t>用或损失的期间，计入当期损益；</w:t>
      </w:r>
    </w:p>
    <w:p>
      <w:pPr>
        <w:pStyle w:val="BodyText"/>
        <w:spacing w:line="272" w:lineRule="exact" w:before="1"/>
        <w:ind w:left="538" w:right="0"/>
        <w:jc w:val="left"/>
      </w:pPr>
      <w:r>
        <w:rPr/>
        <w:t>②用于补偿公司已发生的相关成本费用或损失的，直接计入当期损益。</w:t>
      </w:r>
      <w:r>
        <w:rPr>
          <w:w w:val="100"/>
        </w:rPr>
        <w:t> </w:t>
      </w:r>
      <w:r>
        <w:rPr>
          <w:spacing w:val="-2"/>
        </w:rPr>
        <w:t>与公司日常活动相关的政府补助，公司按照经济业务实质，计入其他收益。与公司日常活动</w:t>
      </w:r>
    </w:p>
    <w:p>
      <w:pPr>
        <w:pStyle w:val="BodyText"/>
        <w:spacing w:line="272" w:lineRule="exact" w:before="1"/>
        <w:ind w:left="538" w:right="0" w:hanging="420"/>
        <w:jc w:val="left"/>
      </w:pPr>
      <w:r>
        <w:rPr/>
        <w:t>无关的政府补助，计入营业外收支。</w:t>
      </w:r>
      <w:r>
        <w:rPr>
          <w:w w:val="100"/>
        </w:rPr>
        <w:t> </w:t>
      </w:r>
      <w:r>
        <w:rPr>
          <w:spacing w:val="-2"/>
        </w:rPr>
        <w:t>对于同时包含与资产相关部分和与收益相关部分的政府补助，公司区分不同部分分别进行会</w:t>
      </w:r>
    </w:p>
    <w:p>
      <w:pPr>
        <w:pStyle w:val="BodyText"/>
        <w:spacing w:line="246" w:lineRule="exact"/>
        <w:ind w:left="118" w:right="0"/>
        <w:jc w:val="left"/>
      </w:pPr>
      <w:r>
        <w:rPr/>
        <w:t>计处理；难以区分的，则整体归类为与收益相关的政府补助。</w:t>
      </w:r>
    </w:p>
    <w:p>
      <w:pPr>
        <w:pStyle w:val="BodyText"/>
        <w:spacing w:line="237" w:lineRule="auto" w:before="2"/>
        <w:ind w:left="118" w:right="117" w:firstLine="419"/>
        <w:jc w:val="both"/>
      </w:pPr>
      <w:r>
        <w:rPr>
          <w:spacing w:val="-2"/>
        </w:rPr>
        <w:t>公司取得政策性优惠贷款贴息的，区分财政将贴息资金拨付给贷款银行和财政将贴息资金直</w:t>
      </w:r>
      <w:r>
        <w:rPr>
          <w:w w:val="100"/>
        </w:rPr>
        <w:t> </w:t>
      </w:r>
      <w:r>
        <w:rPr>
          <w:spacing w:val="-2"/>
        </w:rPr>
        <w:t>接拨付给公司两种情况，分别进行会计处理：</w:t>
      </w:r>
      <w:r>
        <w:rPr>
          <w:rFonts w:ascii="宋体" w:hAnsi="宋体" w:cs="宋体" w:eastAsia="宋体" w:hint="default"/>
          <w:spacing w:val="-2"/>
        </w:rPr>
        <w:t>a.</w:t>
      </w:r>
      <w:r>
        <w:rPr>
          <w:spacing w:val="-2"/>
        </w:rPr>
        <w:t>财政将贴息资金拨付给贷款银行，由贷款银行以</w:t>
      </w:r>
      <w:r>
        <w:rPr>
          <w:spacing w:val="-23"/>
        </w:rPr>
        <w:t> </w:t>
      </w:r>
      <w:r>
        <w:rPr>
          <w:spacing w:val="-23"/>
        </w:rPr>
      </w:r>
      <w:r>
        <w:rPr>
          <w:spacing w:val="-2"/>
        </w:rPr>
        <w:t>政策性优惠利率向公司提供贷款的，公司以实际收到的借款金额作为借款的入账价值，按照借款</w:t>
      </w:r>
      <w:r>
        <w:rPr>
          <w:spacing w:val="-25"/>
        </w:rPr>
        <w:t> </w:t>
      </w:r>
      <w:r>
        <w:rPr>
          <w:spacing w:val="-25"/>
        </w:rPr>
      </w:r>
      <w:r>
        <w:rPr>
          <w:spacing w:val="-2"/>
        </w:rPr>
        <w:t>本金和该政策性优惠利率计算相关借款费用。</w:t>
      </w:r>
      <w:r>
        <w:rPr>
          <w:rFonts w:ascii="宋体" w:hAnsi="宋体" w:cs="宋体" w:eastAsia="宋体" w:hint="default"/>
          <w:spacing w:val="-2"/>
        </w:rPr>
        <w:t>b.</w:t>
      </w:r>
      <w:r>
        <w:rPr>
          <w:spacing w:val="-2"/>
        </w:rPr>
        <w:t>财政将贴息资金直接拨付给公司，公司将对应的</w:t>
      </w:r>
      <w:r>
        <w:rPr>
          <w:spacing w:val="-23"/>
        </w:rPr>
        <w:t> </w:t>
      </w:r>
      <w:r>
        <w:rPr>
          <w:spacing w:val="-23"/>
        </w:rPr>
      </w:r>
      <w:r>
        <w:rPr/>
        <w:t>贴息冲减相关借款费用。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30. </w:t>
      </w:r>
      <w:r>
        <w:rPr/>
        <w:t>递延所得税资产</w:t>
      </w:r>
      <w:r>
        <w:rPr>
          <w:rFonts w:ascii="宋体" w:hAnsi="宋体" w:cs="宋体" w:eastAsia="宋体" w:hint="default"/>
        </w:rPr>
        <w:t>/</w:t>
      </w:r>
      <w:r>
        <w:rPr/>
        <w:t>递延所得税负债</w:t>
      </w:r>
      <w:r>
        <w:rPr>
          <w:b w:val="0"/>
          <w:bCs w:val="0"/>
        </w:rPr>
      </w:r>
    </w:p>
    <w:p>
      <w:pPr>
        <w:pStyle w:val="BodyText"/>
        <w:tabs>
          <w:tab w:pos="960" w:val="left" w:leader="none"/>
        </w:tabs>
        <w:spacing w:line="240" w:lineRule="auto" w:before="56"/>
        <w:ind w:left="538" w:right="117" w:hanging="420"/>
        <w:jc w:val="left"/>
      </w:pPr>
      <w:r>
        <w:rPr>
          <w:spacing w:val="-1"/>
        </w:rPr>
        <w:t>√适用</w:t>
        <w:tab/>
      </w:r>
      <w:r>
        <w:rPr>
          <w:spacing w:val="-2"/>
        </w:rPr>
        <w:t>□不适用</w:t>
      </w:r>
      <w:r>
        <w:rPr>
          <w:spacing w:val="-99"/>
        </w:rPr>
        <w:t> </w:t>
      </w:r>
      <w:r>
        <w:rPr>
          <w:spacing w:val="-99"/>
        </w:rPr>
      </w:r>
      <w:r>
        <w:rPr>
          <w:spacing w:val="-2"/>
        </w:rPr>
        <w:t>对于可抵扣暂时性差异确认递延所得税资产，以未来期间很可能取得的用来抵扣可抵扣暂时</w:t>
      </w:r>
    </w:p>
    <w:p>
      <w:pPr>
        <w:pStyle w:val="BodyText"/>
        <w:spacing w:line="274" w:lineRule="exact" w:before="22"/>
        <w:ind w:left="118" w:right="0"/>
        <w:jc w:val="left"/>
      </w:pPr>
      <w:r>
        <w:rPr>
          <w:spacing w:val="-2"/>
        </w:rPr>
        <w:t>性差异的应纳税所得额为限。对于能够结转以后年度的可抵扣亏损和税款抵减，以很可能获得用</w:t>
      </w:r>
      <w:r>
        <w:rPr>
          <w:spacing w:val="-25"/>
        </w:rPr>
        <w:t> </w:t>
      </w:r>
      <w:r>
        <w:rPr>
          <w:spacing w:val="-25"/>
        </w:rPr>
      </w:r>
      <w:r>
        <w:rPr/>
        <w:t>来抵扣可抵扣亏损和税款抵减的未来应纳税所得额为限，确认相应的递延所得税资产。</w:t>
      </w:r>
    </w:p>
    <w:p>
      <w:pPr>
        <w:pStyle w:val="BodyText"/>
        <w:spacing w:line="245" w:lineRule="exact"/>
        <w:ind w:left="538" w:right="0"/>
        <w:jc w:val="left"/>
      </w:pPr>
      <w:r>
        <w:rPr/>
        <w:t>对于应纳税暂时性差异，除特殊情况外，确认递延所得税负债。</w:t>
      </w:r>
    </w:p>
    <w:p>
      <w:pPr>
        <w:pStyle w:val="BodyText"/>
        <w:spacing w:line="272" w:lineRule="exact" w:before="27"/>
        <w:ind w:left="118" w:right="117" w:firstLine="419"/>
        <w:jc w:val="both"/>
      </w:pPr>
      <w:r>
        <w:rPr>
          <w:spacing w:val="-2"/>
        </w:rPr>
        <w:t>不确认递延所得税资产或递延所得税负债的特殊情况包括：商誉的初始确认；除企业合并以</w:t>
      </w:r>
      <w:r>
        <w:rPr>
          <w:w w:val="100"/>
        </w:rPr>
        <w:t> </w:t>
      </w:r>
      <w:r>
        <w:rPr/>
        <w:t>外的发生时既不影响会计利润也不影响应纳税所得额（或可抵扣亏损）的其他交易或事项。</w:t>
      </w:r>
    </w:p>
    <w:p>
      <w:pPr>
        <w:pStyle w:val="BodyText"/>
        <w:spacing w:line="272" w:lineRule="exact" w:before="1"/>
        <w:ind w:left="118" w:right="117" w:firstLine="419"/>
        <w:jc w:val="both"/>
      </w:pPr>
      <w:r>
        <w:rPr>
          <w:spacing w:val="-2"/>
        </w:rPr>
        <w:t>当拥有以净额结算的法定权利，且意图以净额结算或取得资产、清偿负债同时进行时，当期</w:t>
      </w:r>
      <w:r>
        <w:rPr>
          <w:w w:val="100"/>
        </w:rPr>
        <w:t> </w:t>
      </w:r>
      <w:r>
        <w:rPr/>
        <w:t>所得税资产及当期所得税负债以抵销后的净额列报。</w:t>
      </w:r>
    </w:p>
    <w:p>
      <w:pPr>
        <w:pStyle w:val="BodyText"/>
        <w:spacing w:line="272" w:lineRule="exact" w:before="1"/>
        <w:ind w:left="118" w:right="11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p>
    <w:p>
      <w:pPr>
        <w:pStyle w:val="BodyText"/>
        <w:spacing w:line="272" w:lineRule="exact" w:before="1"/>
        <w:ind w:left="118" w:right="117"/>
        <w:jc w:val="both"/>
      </w:pP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额结算当期所得税资产和负债或是同时取得资产、清偿负债时，递延所得税资产及递延所得税负</w:t>
      </w:r>
      <w:r>
        <w:rPr>
          <w:spacing w:val="-25"/>
        </w:rPr>
        <w:t> </w:t>
      </w:r>
      <w:r>
        <w:rPr>
          <w:spacing w:val="-25"/>
        </w:rPr>
      </w:r>
      <w:r>
        <w:rPr/>
        <w:t>债以抵销后的净额列报。</w:t>
      </w:r>
    </w:p>
    <w:p>
      <w:pPr>
        <w:spacing w:line="240" w:lineRule="auto" w:before="4"/>
        <w:rPr>
          <w:rFonts w:ascii="宋体" w:hAnsi="宋体" w:cs="宋体" w:eastAsia="宋体" w:hint="default"/>
          <w:sz w:val="23"/>
          <w:szCs w:val="23"/>
        </w:rPr>
      </w:pPr>
    </w:p>
    <w:p>
      <w:pPr>
        <w:pStyle w:val="Heading4"/>
        <w:spacing w:line="290" w:lineRule="auto"/>
        <w:ind w:left="118" w:right="60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60" w:val="left" w:leader="none"/>
        </w:tabs>
        <w:spacing w:line="274" w:lineRule="exact" w:before="12"/>
        <w:ind w:left="118" w:right="0"/>
        <w:jc w:val="left"/>
      </w:pPr>
      <w:r>
        <w:rPr>
          <w:spacing w:val="-1"/>
        </w:rPr>
        <w:t>√适用</w:t>
        <w:tab/>
      </w:r>
      <w:r>
        <w:rPr>
          <w:spacing w:val="-2"/>
        </w:rPr>
        <w:t>□不适用</w:t>
      </w:r>
    </w:p>
    <w:p>
      <w:pPr>
        <w:pStyle w:val="BodyText"/>
        <w:spacing w:line="272" w:lineRule="exact" w:before="27"/>
        <w:ind w:left="118" w:right="117" w:firstLine="419"/>
        <w:jc w:val="both"/>
      </w:pPr>
      <w:r>
        <w:rPr>
          <w:spacing w:val="-2"/>
        </w:rPr>
        <w:t>①公司租入资产所支付的租赁费，在不扣除免租期的整个租赁期内，按直线法进行分摊，计</w:t>
      </w:r>
      <w:r>
        <w:rPr>
          <w:w w:val="100"/>
        </w:rPr>
        <w:t> </w:t>
      </w:r>
      <w:r>
        <w:rPr/>
        <w:t>入当期费用。公司支付的与租赁交易相关的初始直接费用，计入当期费用。</w:t>
      </w:r>
    </w:p>
    <w:p>
      <w:pPr>
        <w:pStyle w:val="BodyText"/>
        <w:spacing w:line="272" w:lineRule="exact" w:before="1"/>
        <w:ind w:left="118" w:right="117" w:firstLine="419"/>
        <w:jc w:val="both"/>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spacing w:after="0" w:line="272" w:lineRule="exact"/>
        <w:jc w:val="both"/>
        <w:sectPr>
          <w:headerReference w:type="default" r:id="rId71"/>
          <w:pgSz w:w="11910" w:h="16840"/>
          <w:pgMar w:header="946" w:footer="1248" w:top="1760" w:bottom="1440" w:left="1680" w:right="1160"/>
        </w:sectPr>
      </w:pPr>
    </w:p>
    <w:p>
      <w:pPr>
        <w:spacing w:line="240" w:lineRule="auto" w:before="2"/>
        <w:rPr>
          <w:rFonts w:ascii="宋体" w:hAnsi="宋体" w:cs="宋体" w:eastAsia="宋体" w:hint="default"/>
          <w:sz w:val="11"/>
          <w:szCs w:val="11"/>
        </w:rPr>
      </w:pPr>
    </w:p>
    <w:p>
      <w:pPr>
        <w:pStyle w:val="BodyText"/>
        <w:spacing w:line="237" w:lineRule="auto" w:before="38"/>
        <w:ind w:left="118" w:right="117" w:firstLine="419"/>
        <w:jc w:val="both"/>
      </w:pPr>
      <w:r>
        <w:rPr>
          <w:spacing w:val="-2"/>
        </w:rPr>
        <w:t>②公司出租资产所收取的租赁费，在不扣除免租期的整个租赁期内，按直线法进行分摊，确</w:t>
      </w:r>
      <w:r>
        <w:rPr>
          <w:w w:val="100"/>
        </w:rPr>
        <w:t> </w:t>
      </w:r>
      <w:r>
        <w:rPr>
          <w:spacing w:val="-2"/>
        </w:rPr>
        <w:t>认为租赁收入。公司支付的与租赁交易相关的初始直接费用，计入当期费用；如金额较大的，则</w:t>
      </w:r>
      <w:r>
        <w:rPr>
          <w:spacing w:val="-25"/>
        </w:rPr>
        <w:t> </w:t>
      </w:r>
      <w:r>
        <w:rPr>
          <w:spacing w:val="-25"/>
        </w:rPr>
      </w:r>
      <w:r>
        <w:rPr/>
        <w:t>予以资本化，在整个租赁期间内按照与租赁收入确认相同的基础分期计入当期收益。</w:t>
      </w:r>
    </w:p>
    <w:p>
      <w:pPr>
        <w:pStyle w:val="BodyText"/>
        <w:spacing w:line="272" w:lineRule="exact" w:before="26"/>
        <w:ind w:left="118" w:right="117" w:firstLine="419"/>
        <w:jc w:val="both"/>
      </w:pPr>
      <w:r>
        <w:rPr>
          <w:spacing w:val="-2"/>
        </w:rPr>
        <w:t>公司承担了应由承租方承担的与租赁相关的费用时，公司将该部分费用从租金收入总额中扣</w:t>
      </w:r>
      <w:r>
        <w:rPr>
          <w:w w:val="100"/>
        </w:rPr>
        <w:t> </w:t>
      </w:r>
      <w:r>
        <w:rPr/>
        <w:t>除，按扣除后的租金费用在租赁期内分配。</w:t>
      </w:r>
    </w:p>
    <w:p>
      <w:pPr>
        <w:pStyle w:val="Heading4"/>
        <w:spacing w:line="240" w:lineRule="auto" w:before="34"/>
        <w:ind w:left="118"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60" w:val="left" w:leader="none"/>
        </w:tabs>
        <w:spacing w:line="274" w:lineRule="exact" w:before="56"/>
        <w:ind w:left="118" w:right="0"/>
        <w:jc w:val="left"/>
      </w:pPr>
      <w:r>
        <w:rPr>
          <w:spacing w:val="-1"/>
        </w:rPr>
        <w:t>√适用</w:t>
        <w:tab/>
      </w:r>
      <w:r>
        <w:rPr>
          <w:spacing w:val="-2"/>
        </w:rPr>
        <w:t>□不适用</w:t>
      </w:r>
    </w:p>
    <w:p>
      <w:pPr>
        <w:pStyle w:val="BodyText"/>
        <w:spacing w:line="237" w:lineRule="auto" w:before="2"/>
        <w:ind w:left="118" w:right="117" w:firstLine="419"/>
        <w:jc w:val="both"/>
      </w:pPr>
      <w:r>
        <w:rPr>
          <w:spacing w:val="-2"/>
        </w:rPr>
        <w:t>①融资租入资产：公司在承租开始日，将租赁资产公允价值与最低租赁付款额现值两者中较</w:t>
      </w:r>
      <w:r>
        <w:rPr>
          <w:w w:val="100"/>
        </w:rPr>
        <w:t> </w:t>
      </w:r>
      <w:r>
        <w:rPr>
          <w:spacing w:val="-2"/>
        </w:rPr>
        <w:t>低者作为租入资产的入账价值，将最低租赁付款额作为长期应付款的入账价值，其差额作为未确</w:t>
      </w:r>
      <w:r>
        <w:rPr>
          <w:spacing w:val="-25"/>
        </w:rPr>
        <w:t> </w:t>
      </w:r>
      <w:r>
        <w:rPr>
          <w:spacing w:val="-25"/>
        </w:rPr>
      </w:r>
      <w:r>
        <w:rPr>
          <w:spacing w:val="-2"/>
        </w:rPr>
        <w:t>认的融资费用。公司采用实际利率法对未确认的融资费用，在资产租赁期间内摊销，计入财务费</w:t>
      </w:r>
      <w:r>
        <w:rPr>
          <w:spacing w:val="-25"/>
        </w:rPr>
        <w:t> </w:t>
      </w:r>
      <w:r>
        <w:rPr>
          <w:spacing w:val="-25"/>
        </w:rPr>
      </w:r>
      <w:r>
        <w:rPr/>
        <w:t>用。公司发生的初始直接费用，计入租入资产价值。</w:t>
      </w:r>
    </w:p>
    <w:p>
      <w:pPr>
        <w:pStyle w:val="BodyText"/>
        <w:spacing w:line="237" w:lineRule="auto" w:before="1"/>
        <w:ind w:left="118" w:right="117" w:firstLine="419"/>
        <w:jc w:val="both"/>
      </w:pPr>
      <w:r>
        <w:rPr>
          <w:spacing w:val="-2"/>
        </w:rPr>
        <w:t>②融资租出资产：公司在租赁开始日，将应收融资租赁款，未担保余值之和与其现值的差额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after="0" w:line="240" w:lineRule="auto"/>
        <w:jc w:val="left"/>
        <w:sectPr>
          <w:headerReference w:type="default" r:id="rId72"/>
          <w:pgSz w:w="11910" w:h="16840"/>
          <w:pgMar w:header="946" w:footer="1248" w:top="1300" w:bottom="1440" w:left="1680" w:right="1160"/>
        </w:sectPr>
      </w:pPr>
    </w:p>
    <w:p>
      <w:pPr>
        <w:spacing w:line="240" w:lineRule="auto" w:before="2"/>
        <w:rPr>
          <w:rFonts w:ascii="宋体" w:hAnsi="宋体" w:cs="宋体" w:eastAsia="宋体" w:hint="default"/>
          <w:sz w:val="11"/>
          <w:szCs w:val="11"/>
        </w:rPr>
      </w:pPr>
    </w:p>
    <w:p>
      <w:pPr>
        <w:pStyle w:val="Heading4"/>
        <w:spacing w:line="290" w:lineRule="auto" w:before="36"/>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276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078"/>
        <w:gridCol w:w="1275"/>
        <w:gridCol w:w="3697"/>
      </w:tblGrid>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w:t>
            </w:r>
          </w:p>
        </w:tc>
      </w:tr>
      <w:tr>
        <w:trPr>
          <w:trHeight w:val="491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法定变更</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根据财政部《企业会计准则第</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号——政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府补助》（</w:t>
            </w:r>
            <w:r>
              <w:rPr>
                <w:rFonts w:ascii="宋体" w:hAnsi="宋体" w:cs="宋体" w:eastAsia="宋体" w:hint="default"/>
                <w:sz w:val="21"/>
                <w:szCs w:val="21"/>
              </w:rPr>
              <w:t>2017</w:t>
            </w:r>
            <w:r>
              <w:rPr>
                <w:rFonts w:ascii="宋体" w:hAnsi="宋体" w:cs="宋体" w:eastAsia="宋体" w:hint="default"/>
                <w:spacing w:val="-25"/>
                <w:sz w:val="21"/>
                <w:szCs w:val="21"/>
              </w:rPr>
              <w:t> </w:t>
            </w:r>
            <w:r>
              <w:rPr>
                <w:rFonts w:ascii="宋体" w:hAnsi="宋体" w:cs="宋体" w:eastAsia="宋体" w:hint="default"/>
                <w:sz w:val="21"/>
                <w:szCs w:val="21"/>
              </w:rPr>
              <w:t>年修订）（财会</w:t>
            </w:r>
            <w:r>
              <w:rPr>
                <w:rFonts w:ascii="宋体" w:hAnsi="宋体" w:cs="宋体" w:eastAsia="宋体" w:hint="default"/>
                <w:sz w:val="21"/>
                <w:szCs w:val="21"/>
              </w:rPr>
              <w:t>[2017]15</w:t>
            </w:r>
            <w:r>
              <w:rPr>
                <w:rFonts w:ascii="宋体" w:hAnsi="宋体" w:cs="宋体" w:eastAsia="宋体" w:hint="default"/>
                <w:w w:val="100"/>
                <w:sz w:val="21"/>
                <w:szCs w:val="21"/>
              </w:rPr>
              <w:t> </w:t>
            </w:r>
            <w:r>
              <w:rPr>
                <w:rFonts w:ascii="宋体" w:hAnsi="宋体" w:cs="宋体" w:eastAsia="宋体" w:hint="default"/>
                <w:spacing w:val="2"/>
                <w:sz w:val="21"/>
                <w:szCs w:val="21"/>
              </w:rPr>
              <w:t>号）（以下简称“新政府补助准则”）的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规定和要求，自</w:t>
            </w:r>
            <w:r>
              <w:rPr>
                <w:rFonts w:ascii="宋体" w:hAnsi="宋体" w:cs="宋体" w:eastAsia="宋体" w:hint="default"/>
                <w:spacing w:val="-40"/>
                <w:sz w:val="21"/>
                <w:szCs w:val="21"/>
              </w:rPr>
              <w:t>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日起，公</w:t>
            </w:r>
            <w:r>
              <w:rPr>
                <w:rFonts w:ascii="宋体" w:hAnsi="宋体" w:cs="宋体" w:eastAsia="宋体" w:hint="default"/>
                <w:w w:val="100"/>
                <w:sz w:val="21"/>
                <w:szCs w:val="21"/>
              </w:rPr>
              <w:t> </w:t>
            </w:r>
            <w:r>
              <w:rPr>
                <w:rFonts w:ascii="宋体" w:hAnsi="宋体" w:cs="宋体" w:eastAsia="宋体" w:hint="default"/>
                <w:spacing w:val="2"/>
                <w:sz w:val="21"/>
                <w:szCs w:val="21"/>
              </w:rPr>
              <w:t>司将与企业日常活动相关的政府补助按照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经济业务实质，计入其他收益；与企业日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常活动无关的政府补助，计入营业外收支；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公司取得政策性优惠贷款贴息的，财政将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贴息资金直接拨付给公司，公司将对应的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4"/>
                <w:sz w:val="21"/>
                <w:szCs w:val="21"/>
              </w:rPr>
              <w:t>贴息冲减相关借款费用。公司在“</w:t>
            </w:r>
            <w:r>
              <w:rPr>
                <w:rFonts w:ascii="宋体" w:hAnsi="宋体" w:cs="宋体" w:eastAsia="宋体" w:hint="default"/>
                <w:spacing w:val="-80"/>
                <w:sz w:val="21"/>
                <w:szCs w:val="21"/>
              </w:rPr>
              <w:t> </w:t>
            </w:r>
            <w:r>
              <w:rPr>
                <w:rFonts w:ascii="宋体" w:hAnsi="宋体" w:cs="宋体" w:eastAsia="宋体" w:hint="default"/>
                <w:spacing w:val="15"/>
                <w:sz w:val="21"/>
                <w:szCs w:val="21"/>
              </w:rPr>
              <w:t>利润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4"/>
                <w:sz w:val="21"/>
                <w:szCs w:val="21"/>
              </w:rPr>
              <w:t>表”中“营业利润”项目之上单独列报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“其他收益”项目，反映应计入其他收益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的政府补助。公司对</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日存在</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的政府补助采用未来适用法处理，对</w:t>
            </w:r>
            <w:r>
              <w:rPr>
                <w:rFonts w:ascii="宋体" w:hAnsi="宋体" w:cs="宋体" w:eastAsia="宋体" w:hint="default"/>
                <w:spacing w:val="-27"/>
                <w:sz w:val="21"/>
                <w:szCs w:val="21"/>
              </w:rPr>
              <w:t> </w:t>
            </w:r>
            <w:r>
              <w:rPr>
                <w:rFonts w:ascii="宋体" w:hAnsi="宋体" w:cs="宋体" w:eastAsia="宋体" w:hint="default"/>
                <w:sz w:val="21"/>
                <w:szCs w:val="21"/>
              </w:rPr>
              <w:t>2017</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日至新政府补助准则施行日之间</w:t>
            </w:r>
            <w:r>
              <w:rPr>
                <w:rFonts w:ascii="宋体" w:hAnsi="宋体" w:cs="宋体" w:eastAsia="宋体" w:hint="default"/>
                <w:w w:val="100"/>
                <w:sz w:val="21"/>
                <w:szCs w:val="21"/>
              </w:rPr>
              <w:t> </w:t>
            </w:r>
            <w:r>
              <w:rPr>
                <w:rFonts w:ascii="宋体" w:hAnsi="宋体" w:cs="宋体" w:eastAsia="宋体" w:hint="default"/>
                <w:spacing w:val="2"/>
                <w:sz w:val="21"/>
                <w:szCs w:val="21"/>
              </w:rPr>
              <w:t>新增的政府补助根据新政府补助准则进行</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调整。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67"/>
              <w:ind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8</w:t>
            </w:r>
          </w:p>
          <w:p>
            <w:pPr>
              <w:pStyle w:val="TableParagraph"/>
              <w:spacing w:line="237" w:lineRule="auto" w:before="2"/>
              <w:ind w:left="105" w:right="103"/>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日召</w:t>
            </w:r>
            <w:r>
              <w:rPr>
                <w:rFonts w:ascii="宋体" w:hAnsi="宋体" w:cs="宋体" w:eastAsia="宋体" w:hint="default"/>
                <w:w w:val="100"/>
                <w:sz w:val="21"/>
                <w:szCs w:val="21"/>
              </w:rPr>
              <w:t> </w:t>
            </w:r>
            <w:r>
              <w:rPr>
                <w:rFonts w:ascii="宋体" w:hAnsi="宋体" w:cs="宋体" w:eastAsia="宋体" w:hint="default"/>
                <w:sz w:val="21"/>
                <w:szCs w:val="21"/>
              </w:rPr>
              <w:t>开的八届六</w:t>
            </w:r>
            <w:r>
              <w:rPr>
                <w:rFonts w:ascii="宋体" w:hAnsi="宋体" w:cs="宋体" w:eastAsia="宋体" w:hint="default"/>
                <w:w w:val="100"/>
                <w:sz w:val="21"/>
                <w:szCs w:val="21"/>
              </w:rPr>
              <w:t> </w:t>
            </w:r>
            <w:r>
              <w:rPr>
                <w:rFonts w:ascii="宋体" w:hAnsi="宋体" w:cs="宋体" w:eastAsia="宋体" w:hint="default"/>
                <w:sz w:val="21"/>
                <w:szCs w:val="21"/>
              </w:rPr>
              <w:t>次董事会审</w:t>
            </w:r>
            <w:r>
              <w:rPr>
                <w:rFonts w:ascii="宋体" w:hAnsi="宋体" w:cs="宋体" w:eastAsia="宋体" w:hint="default"/>
                <w:w w:val="100"/>
                <w:sz w:val="21"/>
                <w:szCs w:val="21"/>
              </w:rPr>
              <w:t> </w:t>
            </w:r>
            <w:r>
              <w:rPr>
                <w:rFonts w:ascii="宋体" w:hAnsi="宋体" w:cs="宋体" w:eastAsia="宋体" w:hint="default"/>
                <w:sz w:val="21"/>
                <w:szCs w:val="21"/>
              </w:rPr>
              <w:t>议通过</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1-12</w:t>
            </w:r>
            <w:r>
              <w:rPr>
                <w:rFonts w:ascii="宋体" w:hAnsi="宋体" w:cs="宋体" w:eastAsia="宋体" w:hint="default"/>
                <w:spacing w:val="-77"/>
                <w:sz w:val="21"/>
                <w:szCs w:val="21"/>
              </w:rPr>
              <w:t> </w:t>
            </w:r>
            <w:r>
              <w:rPr>
                <w:rFonts w:ascii="宋体" w:hAnsi="宋体" w:cs="宋体" w:eastAsia="宋体" w:hint="default"/>
                <w:sz w:val="21"/>
                <w:szCs w:val="21"/>
              </w:rPr>
              <w:t>月由“营业外收入”</w:t>
            </w:r>
            <w:r>
              <w:rPr>
                <w:rFonts w:ascii="宋体" w:hAnsi="宋体" w:cs="宋体" w:eastAsia="宋体" w:hint="default"/>
                <w:w w:val="100"/>
                <w:sz w:val="21"/>
                <w:szCs w:val="21"/>
              </w:rPr>
              <w:t> </w:t>
            </w:r>
            <w:r>
              <w:rPr>
                <w:rFonts w:ascii="宋体" w:hAnsi="宋体" w:cs="宋体" w:eastAsia="宋体" w:hint="default"/>
                <w:spacing w:val="4"/>
                <w:sz w:val="21"/>
                <w:szCs w:val="21"/>
              </w:rPr>
              <w:t>调整至“其他收益”的政府补助金额</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w w:val="100"/>
                <w:sz w:val="21"/>
                <w:szCs w:val="21"/>
              </w:rPr>
              <w:t>为</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107,786,923</w:t>
            </w:r>
            <w:r>
              <w:rPr>
                <w:rFonts w:ascii="宋体" w:hAnsi="宋体" w:cs="宋体" w:eastAsia="宋体" w:hint="default"/>
                <w:spacing w:val="-50"/>
                <w:w w:val="100"/>
                <w:sz w:val="21"/>
                <w:szCs w:val="21"/>
              </w:rPr>
              <w:t> </w:t>
            </w:r>
            <w:r>
              <w:rPr>
                <w:rFonts w:ascii="宋体" w:hAnsi="宋体" w:cs="宋体" w:eastAsia="宋体" w:hint="default"/>
                <w:spacing w:val="-11"/>
                <w:w w:val="100"/>
                <w:sz w:val="21"/>
                <w:szCs w:val="21"/>
              </w:rPr>
              <w:t>元；由“营业外收入”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5"/>
                <w:sz w:val="21"/>
                <w:szCs w:val="21"/>
              </w:rPr>
              <w:t>调整至“</w:t>
            </w:r>
            <w:r>
              <w:rPr>
                <w:rFonts w:ascii="宋体" w:hAnsi="宋体" w:cs="宋体" w:eastAsia="宋体" w:hint="default"/>
                <w:spacing w:val="-69"/>
                <w:sz w:val="21"/>
                <w:szCs w:val="21"/>
              </w:rPr>
              <w:t> </w:t>
            </w:r>
            <w:r>
              <w:rPr>
                <w:rFonts w:ascii="宋体" w:hAnsi="宋体" w:cs="宋体" w:eastAsia="宋体" w:hint="default"/>
                <w:spacing w:val="16"/>
                <w:sz w:val="21"/>
                <w:szCs w:val="21"/>
              </w:rPr>
              <w:t>财务费用”</w:t>
            </w:r>
            <w:r>
              <w:rPr>
                <w:rFonts w:ascii="宋体" w:hAnsi="宋体" w:cs="宋体" w:eastAsia="宋体" w:hint="default"/>
                <w:spacing w:val="-73"/>
                <w:sz w:val="21"/>
                <w:szCs w:val="21"/>
              </w:rPr>
              <w:t> </w:t>
            </w:r>
            <w:r>
              <w:rPr>
                <w:rFonts w:ascii="宋体" w:hAnsi="宋体" w:cs="宋体" w:eastAsia="宋体" w:hint="default"/>
                <w:spacing w:val="17"/>
                <w:sz w:val="21"/>
                <w:szCs w:val="21"/>
              </w:rPr>
              <w:t>的贷款贴息为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558,900</w:t>
            </w:r>
            <w:r>
              <w:rPr>
                <w:rFonts w:ascii="宋体" w:hAnsi="宋体" w:cs="宋体" w:eastAsia="宋体" w:hint="default"/>
                <w:spacing w:val="-33"/>
                <w:sz w:val="21"/>
                <w:szCs w:val="21"/>
              </w:rPr>
              <w:t> </w:t>
            </w:r>
            <w:r>
              <w:rPr>
                <w:rFonts w:ascii="宋体" w:hAnsi="宋体" w:cs="宋体" w:eastAsia="宋体" w:hint="default"/>
                <w:spacing w:val="-5"/>
                <w:sz w:val="21"/>
                <w:szCs w:val="21"/>
              </w:rPr>
              <w:t>元。本次会计政策变更仅对财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务报表列报进行调整，对公司当期损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益、总资产、净资产均无影响，且不涉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及对以前年度损益的调整。</w:t>
            </w:r>
          </w:p>
        </w:tc>
      </w:tr>
      <w:tr>
        <w:trPr>
          <w:trHeight w:val="191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法定变更</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3"/>
                <w:sz w:val="21"/>
                <w:szCs w:val="21"/>
              </w:rPr>
              <w:t>根据财政部《企业会计准则第</w:t>
            </w:r>
            <w:r>
              <w:rPr>
                <w:rFonts w:ascii="宋体" w:hAnsi="宋体" w:cs="宋体" w:eastAsia="宋体" w:hint="default"/>
                <w:spacing w:val="-50"/>
                <w:sz w:val="21"/>
                <w:szCs w:val="21"/>
              </w:rPr>
              <w:t> </w:t>
            </w:r>
            <w:r>
              <w:rPr>
                <w:rFonts w:ascii="宋体" w:hAnsi="宋体" w:cs="宋体" w:eastAsia="宋体" w:hint="default"/>
                <w:sz w:val="21"/>
                <w:szCs w:val="21"/>
              </w:rPr>
              <w:t>42</w:t>
            </w:r>
            <w:r>
              <w:rPr>
                <w:rFonts w:ascii="宋体" w:hAnsi="宋体" w:cs="宋体" w:eastAsia="宋体" w:hint="default"/>
                <w:spacing w:val="-51"/>
                <w:sz w:val="21"/>
                <w:szCs w:val="21"/>
              </w:rPr>
              <w:t> </w:t>
            </w:r>
            <w:r>
              <w:rPr>
                <w:rFonts w:ascii="宋体" w:hAnsi="宋体" w:cs="宋体" w:eastAsia="宋体" w:hint="default"/>
                <w:sz w:val="21"/>
                <w:szCs w:val="21"/>
              </w:rPr>
              <w:t>号——持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有待售的非流动资产、处置组和终止经营》</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（财会</w:t>
            </w:r>
            <w:r>
              <w:rPr>
                <w:rFonts w:ascii="宋体" w:hAnsi="宋体" w:cs="宋体" w:eastAsia="宋体" w:hint="default"/>
                <w:sz w:val="21"/>
                <w:szCs w:val="21"/>
              </w:rPr>
              <w:t>[2017]13</w:t>
            </w:r>
            <w:r>
              <w:rPr>
                <w:rFonts w:ascii="宋体" w:hAnsi="宋体" w:cs="宋体" w:eastAsia="宋体" w:hint="default"/>
                <w:spacing w:val="-26"/>
                <w:sz w:val="21"/>
                <w:szCs w:val="21"/>
              </w:rPr>
              <w:t> </w:t>
            </w:r>
            <w:r>
              <w:rPr>
                <w:rFonts w:ascii="宋体" w:hAnsi="宋体" w:cs="宋体" w:eastAsia="宋体" w:hint="default"/>
                <w:sz w:val="21"/>
                <w:szCs w:val="21"/>
              </w:rPr>
              <w:t>号）的规定和要求，企业</w:t>
            </w:r>
            <w:r>
              <w:rPr>
                <w:rFonts w:ascii="宋体" w:hAnsi="宋体" w:cs="宋体" w:eastAsia="宋体" w:hint="default"/>
                <w:w w:val="100"/>
                <w:sz w:val="21"/>
                <w:szCs w:val="21"/>
              </w:rPr>
              <w:t> </w:t>
            </w:r>
            <w:r>
              <w:rPr>
                <w:rFonts w:ascii="宋体" w:hAnsi="宋体" w:cs="宋体" w:eastAsia="宋体" w:hint="default"/>
                <w:spacing w:val="2"/>
                <w:sz w:val="21"/>
                <w:szCs w:val="21"/>
              </w:rPr>
              <w:t>会计准则对持有待售的非流动资产或处置</w:t>
            </w:r>
          </w:p>
          <w:p>
            <w:pPr>
              <w:pStyle w:val="TableParagraph"/>
              <w:spacing w:line="272" w:lineRule="exact" w:before="1"/>
              <w:ind w:left="103" w:right="105"/>
              <w:jc w:val="left"/>
              <w:rPr>
                <w:rFonts w:ascii="宋体" w:hAnsi="宋体" w:cs="宋体" w:eastAsia="宋体" w:hint="default"/>
                <w:sz w:val="21"/>
                <w:szCs w:val="21"/>
              </w:rPr>
            </w:pPr>
            <w:r>
              <w:rPr>
                <w:rFonts w:ascii="宋体" w:hAnsi="宋体" w:cs="宋体" w:eastAsia="宋体" w:hint="default"/>
                <w:spacing w:val="2"/>
                <w:sz w:val="21"/>
                <w:szCs w:val="21"/>
              </w:rPr>
              <w:t>组的分类、计量和列报进行了规范，公司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采用未来适用法处理。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8</w:t>
            </w: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日召</w:t>
            </w:r>
            <w:r>
              <w:rPr>
                <w:rFonts w:ascii="宋体" w:hAnsi="宋体" w:cs="宋体" w:eastAsia="宋体" w:hint="default"/>
                <w:w w:val="100"/>
                <w:sz w:val="21"/>
                <w:szCs w:val="21"/>
              </w:rPr>
              <w:t> </w:t>
            </w:r>
            <w:r>
              <w:rPr>
                <w:rFonts w:ascii="宋体" w:hAnsi="宋体" w:cs="宋体" w:eastAsia="宋体" w:hint="default"/>
                <w:sz w:val="21"/>
                <w:szCs w:val="21"/>
              </w:rPr>
              <w:t>开的八届六</w:t>
            </w:r>
            <w:r>
              <w:rPr>
                <w:rFonts w:ascii="宋体" w:hAnsi="宋体" w:cs="宋体" w:eastAsia="宋体" w:hint="default"/>
                <w:w w:val="100"/>
                <w:sz w:val="21"/>
                <w:szCs w:val="21"/>
              </w:rPr>
              <w:t> </w:t>
            </w:r>
            <w:r>
              <w:rPr>
                <w:rFonts w:ascii="宋体" w:hAnsi="宋体" w:cs="宋体" w:eastAsia="宋体" w:hint="default"/>
                <w:sz w:val="21"/>
                <w:szCs w:val="21"/>
              </w:rPr>
              <w:t>次董事会审</w:t>
            </w:r>
            <w:r>
              <w:rPr>
                <w:rFonts w:ascii="宋体" w:hAnsi="宋体" w:cs="宋体" w:eastAsia="宋体" w:hint="default"/>
                <w:w w:val="100"/>
                <w:sz w:val="21"/>
                <w:szCs w:val="21"/>
              </w:rPr>
              <w:t> </w:t>
            </w:r>
            <w:r>
              <w:rPr>
                <w:rFonts w:ascii="宋体" w:hAnsi="宋体" w:cs="宋体" w:eastAsia="宋体" w:hint="default"/>
                <w:sz w:val="21"/>
                <w:szCs w:val="21"/>
              </w:rPr>
              <w:t>议通过</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2"/>
              <w:jc w:val="both"/>
              <w:rPr>
                <w:rFonts w:ascii="宋体" w:hAnsi="宋体" w:cs="宋体" w:eastAsia="宋体" w:hint="default"/>
                <w:sz w:val="21"/>
                <w:szCs w:val="21"/>
              </w:rPr>
            </w:pPr>
            <w:r>
              <w:rPr>
                <w:rFonts w:ascii="宋体" w:hAnsi="宋体" w:cs="宋体" w:eastAsia="宋体" w:hint="default"/>
                <w:spacing w:val="5"/>
                <w:sz w:val="21"/>
                <w:szCs w:val="21"/>
              </w:rPr>
              <w:t>公司对持有待售的非流动资产或处置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组的分类、计量和列报进行了规范，对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于准则实施日存在的持有待售的非流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动资产、处置组，公司采用未来适用法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w w:val="100"/>
                <w:sz w:val="21"/>
                <w:szCs w:val="21"/>
              </w:rPr>
              <w:t>处理。该会计政策的变更对公司财务报</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表无重大影响。</w:t>
            </w:r>
          </w:p>
        </w:tc>
      </w:tr>
      <w:tr>
        <w:trPr>
          <w:trHeight w:val="246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根据财政部《关于修订印发一般企业财务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报表格式的通知》（财会〔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pacing w:val="-24"/>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3"/>
                <w:sz w:val="21"/>
                <w:szCs w:val="21"/>
              </w:rPr>
              <w:t>的规定和要求，公司在利润表中新增</w:t>
            </w:r>
            <w:r>
              <w:rPr>
                <w:rFonts w:ascii="宋体" w:hAnsi="宋体" w:cs="宋体" w:eastAsia="宋体" w:hint="default"/>
                <w:spacing w:val="22"/>
                <w:sz w:val="21"/>
                <w:szCs w:val="21"/>
              </w:rPr>
              <w:t> </w:t>
            </w:r>
            <w:r>
              <w:rPr>
                <w:rFonts w:ascii="宋体" w:hAnsi="宋体" w:cs="宋体" w:eastAsia="宋体" w:hint="default"/>
                <w:sz w:val="21"/>
                <w:szCs w:val="21"/>
              </w:rPr>
              <w:t>“资</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pacing w:val="19"/>
                <w:sz w:val="21"/>
                <w:szCs w:val="21"/>
              </w:rPr>
              <w:t>产处置收益”</w:t>
            </w:r>
            <w:r>
              <w:rPr>
                <w:rFonts w:ascii="宋体" w:hAnsi="宋体" w:cs="宋体" w:eastAsia="宋体" w:hint="default"/>
                <w:spacing w:val="-79"/>
                <w:sz w:val="21"/>
                <w:szCs w:val="21"/>
              </w:rPr>
              <w:t> </w:t>
            </w:r>
            <w:r>
              <w:rPr>
                <w:rFonts w:ascii="宋体" w:hAnsi="宋体" w:cs="宋体" w:eastAsia="宋体" w:hint="default"/>
                <w:spacing w:val="14"/>
                <w:sz w:val="21"/>
                <w:szCs w:val="21"/>
              </w:rPr>
              <w:t>项目，</w:t>
            </w:r>
            <w:r>
              <w:rPr>
                <w:rFonts w:ascii="宋体" w:hAnsi="宋体" w:cs="宋体" w:eastAsia="宋体" w:hint="default"/>
                <w:spacing w:val="-80"/>
                <w:sz w:val="21"/>
                <w:szCs w:val="21"/>
              </w:rPr>
              <w:t> </w:t>
            </w:r>
            <w:r>
              <w:rPr>
                <w:rFonts w:ascii="宋体" w:hAnsi="宋体" w:cs="宋体" w:eastAsia="宋体" w:hint="default"/>
                <w:spacing w:val="10"/>
                <w:sz w:val="21"/>
                <w:szCs w:val="21"/>
              </w:rPr>
              <w:t>原在</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7"/>
                <w:sz w:val="21"/>
                <w:szCs w:val="21"/>
              </w:rPr>
              <w:t>营业外收</w:t>
            </w:r>
            <w:r>
              <w:rPr>
                <w:rFonts w:ascii="宋体" w:hAnsi="宋体" w:cs="宋体" w:eastAsia="宋体" w:hint="default"/>
                <w:spacing w:val="-95"/>
                <w:sz w:val="21"/>
                <w:szCs w:val="21"/>
              </w:rPr>
              <w:t> </w:t>
            </w:r>
            <w:r>
              <w:rPr>
                <w:rFonts w:ascii="宋体" w:hAnsi="宋体" w:cs="宋体" w:eastAsia="宋体" w:hint="default"/>
                <w:spacing w:val="2"/>
                <w:sz w:val="21"/>
                <w:szCs w:val="21"/>
              </w:rPr>
              <w:t>入”、“营业外支出”列报的部分非流动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资产处置损益改为在“资产处置收益”项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目列报，并对上年同期比较数据进行调整。</w:t>
            </w:r>
          </w:p>
        </w:tc>
        <w:tc>
          <w:tcPr>
            <w:tcW w:w="1275" w:type="dxa"/>
            <w:tcBorders>
              <w:top w:val="single" w:sz="4" w:space="0" w:color="000000"/>
              <w:left w:val="single" w:sz="4" w:space="0" w:color="000000"/>
              <w:bottom w:val="single" w:sz="4" w:space="0" w:color="000000"/>
              <w:right w:val="single" w:sz="4" w:space="0" w:color="000000"/>
            </w:tcBorders>
          </w:tcPr>
          <w:p>
            <w:pP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公司 </w:t>
            </w: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pacing w:val="7"/>
                <w:sz w:val="21"/>
                <w:szCs w:val="21"/>
              </w:rPr>
              <w:t>月由“营业外收</w:t>
            </w:r>
          </w:p>
          <w:p>
            <w:pPr>
              <w:pStyle w:val="TableParagraph"/>
              <w:spacing w:line="240"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入”、“营业外支出”调整至“资产处</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置收益”的金额为</w:t>
            </w:r>
            <w:r>
              <w:rPr>
                <w:rFonts w:ascii="宋体" w:hAnsi="宋体" w:cs="宋体" w:eastAsia="宋体" w:hint="default"/>
                <w:spacing w:val="-45"/>
                <w:sz w:val="21"/>
                <w:szCs w:val="21"/>
              </w:rPr>
              <w:t> </w:t>
            </w:r>
            <w:r>
              <w:rPr>
                <w:rFonts w:ascii="宋体" w:hAnsi="宋体" w:cs="宋体" w:eastAsia="宋体" w:hint="default"/>
                <w:sz w:val="21"/>
                <w:szCs w:val="21"/>
              </w:rPr>
              <w:t>17,471,255</w:t>
            </w:r>
            <w:r>
              <w:rPr>
                <w:rFonts w:ascii="宋体" w:hAnsi="宋体" w:cs="宋体" w:eastAsia="宋体" w:hint="default"/>
                <w:spacing w:val="-46"/>
                <w:sz w:val="21"/>
                <w:szCs w:val="21"/>
              </w:rPr>
              <w:t> </w:t>
            </w:r>
            <w:r>
              <w:rPr>
                <w:rFonts w:ascii="宋体" w:hAnsi="宋体" w:cs="宋体" w:eastAsia="宋体" w:hint="default"/>
                <w:sz w:val="21"/>
                <w:szCs w:val="21"/>
              </w:rPr>
              <w:t>元；调</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z w:val="21"/>
                <w:szCs w:val="21"/>
              </w:rPr>
              <w:t>整比较数据</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年利润表由“营业外</w:t>
            </w:r>
            <w:r>
              <w:rPr>
                <w:rFonts w:ascii="宋体" w:hAnsi="宋体" w:cs="宋体" w:eastAsia="宋体" w:hint="default"/>
                <w:w w:val="100"/>
                <w:sz w:val="21"/>
                <w:szCs w:val="21"/>
              </w:rPr>
              <w:t> </w:t>
            </w:r>
            <w:r>
              <w:rPr>
                <w:rFonts w:ascii="宋体" w:hAnsi="宋体" w:cs="宋体" w:eastAsia="宋体" w:hint="default"/>
                <w:spacing w:val="-7"/>
                <w:w w:val="100"/>
                <w:sz w:val="21"/>
                <w:szCs w:val="21"/>
              </w:rPr>
              <w:t>收入”、“营业外支出”调整至“资产</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w w:val="100"/>
                <w:sz w:val="21"/>
                <w:szCs w:val="21"/>
              </w:rPr>
              <w:t>处置收益”的金额为</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2,165,999</w:t>
            </w:r>
            <w:r>
              <w:rPr>
                <w:rFonts w:ascii="宋体" w:hAnsi="宋体" w:cs="宋体" w:eastAsia="宋体" w:hint="default"/>
                <w:spacing w:val="-53"/>
                <w:w w:val="100"/>
                <w:sz w:val="21"/>
                <w:szCs w:val="21"/>
              </w:rPr>
              <w:t> </w:t>
            </w:r>
            <w:r>
              <w:rPr>
                <w:rFonts w:ascii="宋体" w:hAnsi="宋体" w:cs="宋体" w:eastAsia="宋体" w:hint="default"/>
                <w:spacing w:val="-31"/>
                <w:w w:val="100"/>
                <w:sz w:val="21"/>
                <w:szCs w:val="21"/>
              </w:rPr>
              <w:t>元。本</w:t>
            </w:r>
            <w:r>
              <w:rPr>
                <w:rFonts w:ascii="宋体" w:hAnsi="宋体" w:cs="宋体" w:eastAsia="宋体" w:hint="default"/>
                <w:w w:val="100"/>
                <w:sz w:val="21"/>
                <w:szCs w:val="21"/>
              </w:rPr>
              <w:t> </w:t>
            </w:r>
            <w:r>
              <w:rPr>
                <w:rFonts w:ascii="宋体" w:hAnsi="宋体" w:cs="宋体" w:eastAsia="宋体" w:hint="default"/>
                <w:spacing w:val="5"/>
                <w:sz w:val="21"/>
                <w:szCs w:val="21"/>
              </w:rPr>
              <w:t>次会计政策变更仅对财务报表列报进</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行调整，对合并及公司净利润和股东权</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益无影响。</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after="0" w:line="240" w:lineRule="auto"/>
        <w:jc w:val="left"/>
        <w:sectPr>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pStyle w:val="Heading4"/>
        <w:spacing w:line="240" w:lineRule="auto" w:before="36"/>
        <w:ind w:right="2760"/>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right="276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4395"/>
        <w:gridCol w:w="2703"/>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3"/>
                <w:sz w:val="21"/>
                <w:szCs w:val="21"/>
              </w:rPr>
              <w:t>为基础计算销项税额，在扣除当期允许抵扣的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进项税额后，差额部分为应交增值税</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39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9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25%</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出租房产按租金收入计缴；自有房产按固定资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产原值计缴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bl>
    <w:p>
      <w:pPr>
        <w:spacing w:line="240" w:lineRule="auto" w:before="7"/>
        <w:rPr>
          <w:rFonts w:ascii="宋体" w:hAnsi="宋体" w:cs="宋体" w:eastAsia="宋体" w:hint="default"/>
          <w:sz w:val="15"/>
          <w:szCs w:val="15"/>
        </w:rPr>
      </w:pPr>
    </w:p>
    <w:p>
      <w:pPr>
        <w:pStyle w:val="BodyText"/>
        <w:spacing w:line="237" w:lineRule="auto" w:before="38"/>
        <w:ind w:right="227" w:firstLine="419"/>
        <w:jc w:val="both"/>
      </w:pPr>
      <w:r>
        <w:rPr>
          <w:spacing w:val="-2"/>
        </w:rPr>
        <w:t>城市维护建设税、教育费附加和地方教育费：根据《关于统一地方教育附加政策有关问题的</w:t>
      </w:r>
      <w:r>
        <w:rPr>
          <w:w w:val="100"/>
        </w:rPr>
        <w:t> </w:t>
      </w:r>
      <w:r>
        <w:rPr/>
        <w:t>通知》（财综</w:t>
      </w:r>
      <w:r>
        <w:rPr>
          <w:spacing w:val="-1"/>
        </w:rPr>
        <w:t> </w:t>
      </w:r>
      <w:r>
        <w:rPr>
          <w:rFonts w:ascii="宋体" w:hAnsi="宋体" w:cs="宋体" w:eastAsia="宋体" w:hint="default"/>
        </w:rPr>
        <w:t>[2010]</w:t>
      </w:r>
      <w:r>
        <w:rPr>
          <w:rFonts w:ascii="宋体" w:hAnsi="宋体" w:cs="宋体" w:eastAsia="宋体" w:hint="default"/>
          <w:spacing w:val="-1"/>
        </w:rPr>
        <w:t> </w:t>
      </w:r>
      <w:r>
        <w:rPr>
          <w:rFonts w:ascii="宋体" w:hAnsi="宋体" w:cs="宋体" w:eastAsia="宋体" w:hint="default"/>
        </w:rPr>
        <w:t>98</w:t>
      </w:r>
      <w:r>
        <w:rPr>
          <w:rFonts w:ascii="宋体" w:hAnsi="宋体" w:cs="宋体" w:eastAsia="宋体" w:hint="default"/>
          <w:spacing w:val="-56"/>
        </w:rPr>
        <w:t> </w:t>
      </w:r>
      <w:r>
        <w:rPr/>
        <w:t>号），本公司自</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日起，按应交增值税、消费税和营业税</w:t>
      </w:r>
      <w:r>
        <w:rPr>
          <w:w w:val="100"/>
        </w:rPr>
        <w:t> </w:t>
      </w:r>
      <w:r>
        <w:rPr/>
        <w:t>总和的</w:t>
      </w:r>
      <w:r>
        <w:rPr>
          <w:spacing w:val="-18"/>
        </w:rPr>
        <w:t> </w:t>
      </w:r>
      <w:r>
        <w:rPr>
          <w:rFonts w:ascii="宋体" w:hAnsi="宋体" w:cs="宋体" w:eastAsia="宋体" w:hint="default"/>
          <w:spacing w:val="-6"/>
        </w:rPr>
        <w:t>7%</w:t>
      </w:r>
      <w:r>
        <w:rPr>
          <w:spacing w:val="-6"/>
        </w:rPr>
        <w:t>、</w:t>
      </w:r>
      <w:r>
        <w:rPr>
          <w:rFonts w:ascii="宋体" w:hAnsi="宋体" w:cs="宋体" w:eastAsia="宋体" w:hint="default"/>
          <w:spacing w:val="-6"/>
        </w:rPr>
        <w:t>3%</w:t>
      </w:r>
      <w:r>
        <w:rPr>
          <w:spacing w:val="-6"/>
        </w:rPr>
        <w:t>和</w:t>
      </w:r>
      <w:r>
        <w:rPr>
          <w:spacing w:val="-22"/>
        </w:rPr>
        <w:t> </w:t>
      </w:r>
      <w:r>
        <w:rPr>
          <w:rFonts w:ascii="宋体" w:hAnsi="宋体" w:cs="宋体" w:eastAsia="宋体" w:hint="default"/>
          <w:spacing w:val="-4"/>
        </w:rPr>
        <w:t>2%</w:t>
      </w:r>
      <w:r>
        <w:rPr>
          <w:spacing w:val="-4"/>
        </w:rPr>
        <w:t>分别缴纳城市维护建设税、教育费附加和地方教育费附加。除境外子公司外的</w:t>
      </w:r>
      <w:r>
        <w:rPr>
          <w:spacing w:val="-92"/>
        </w:rPr>
        <w:t> </w:t>
      </w:r>
      <w:r>
        <w:rPr>
          <w:spacing w:val="-92"/>
        </w:rPr>
      </w:r>
      <w:r>
        <w:rPr/>
        <w:t>其他子公司按实际缴纳流转税额的</w:t>
      </w:r>
      <w:r>
        <w:rPr>
          <w:spacing w:val="-31"/>
        </w:rPr>
        <w:t> </w:t>
      </w:r>
      <w:r>
        <w:rPr>
          <w:rFonts w:ascii="宋体" w:hAnsi="宋体" w:cs="宋体" w:eastAsia="宋体" w:hint="default"/>
          <w:spacing w:val="-7"/>
        </w:rPr>
        <w:t>1%</w:t>
      </w:r>
      <w:r>
        <w:rPr>
          <w:spacing w:val="-7"/>
        </w:rPr>
        <w:t>－</w:t>
      </w:r>
      <w:r>
        <w:rPr>
          <w:rFonts w:ascii="宋体" w:hAnsi="宋体" w:cs="宋体" w:eastAsia="宋体" w:hint="default"/>
          <w:spacing w:val="-7"/>
        </w:rPr>
        <w:t>7%</w:t>
      </w:r>
      <w:r>
        <w:rPr>
          <w:spacing w:val="-7"/>
        </w:rPr>
        <w:t>、</w:t>
      </w:r>
      <w:r>
        <w:rPr>
          <w:rFonts w:ascii="宋体" w:hAnsi="宋体" w:cs="宋体" w:eastAsia="宋体" w:hint="default"/>
          <w:spacing w:val="-7"/>
        </w:rPr>
        <w:t>3%</w:t>
      </w:r>
      <w:r>
        <w:rPr>
          <w:spacing w:val="-7"/>
        </w:rPr>
        <w:t>及</w:t>
      </w:r>
      <w:r>
        <w:rPr>
          <w:spacing w:val="-34"/>
        </w:rPr>
        <w:t> </w:t>
      </w:r>
      <w:r>
        <w:rPr>
          <w:rFonts w:ascii="宋体" w:hAnsi="宋体" w:cs="宋体" w:eastAsia="宋体" w:hint="default"/>
          <w:spacing w:val="-4"/>
        </w:rPr>
        <w:t>2%</w:t>
      </w:r>
      <w:r>
        <w:rPr>
          <w:spacing w:val="-4"/>
        </w:rPr>
        <w:t>分别计缴城市维护建设税、教育费附加及地方</w:t>
      </w:r>
      <w:r>
        <w:rPr>
          <w:spacing w:val="-97"/>
        </w:rPr>
        <w:t> </w:t>
      </w:r>
      <w:r>
        <w:rPr>
          <w:spacing w:val="-97"/>
        </w:rPr>
      </w:r>
      <w:r>
        <w:rPr/>
        <w:t>教育费附加。</w:t>
      </w:r>
    </w:p>
    <w:p>
      <w:pPr>
        <w:spacing w:line="240" w:lineRule="auto" w:before="9"/>
        <w:rPr>
          <w:rFonts w:ascii="宋体" w:hAnsi="宋体" w:cs="宋体" w:eastAsia="宋体" w:hint="default"/>
          <w:sz w:val="20"/>
          <w:szCs w:val="20"/>
        </w:rPr>
      </w:pPr>
    </w:p>
    <w:p>
      <w:pPr>
        <w:pStyle w:val="BodyText"/>
        <w:spacing w:line="273" w:lineRule="exact"/>
        <w:ind w:right="2760"/>
        <w:jc w:val="left"/>
      </w:pPr>
      <w:r>
        <w:rPr/>
        <w:t>存在不同企业所得税税率纳税主体的，披露情况说明</w:t>
      </w:r>
    </w:p>
    <w:p>
      <w:pPr>
        <w:pStyle w:val="BodyText"/>
        <w:spacing w:line="273" w:lineRule="exact"/>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4" w:hRule="exact"/>
        </w:trPr>
        <w:tc>
          <w:tcPr>
            <w:tcW w:w="492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10</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15</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0</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北京兰瑞科创信息技术有限公司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20</w:t>
            </w:r>
          </w:p>
        </w:tc>
      </w:tr>
      <w:tr>
        <w:trPr>
          <w:trHeight w:val="286"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20</w:t>
            </w:r>
          </w:p>
        </w:tc>
      </w:tr>
      <w:tr>
        <w:trPr>
          <w:trHeight w:val="288" w:hRule="exact"/>
        </w:trPr>
        <w:tc>
          <w:tcPr>
            <w:tcW w:w="49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上海东软时代数码技术有限公司</w:t>
            </w:r>
          </w:p>
        </w:tc>
        <w:tc>
          <w:tcPr>
            <w:tcW w:w="41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20</w:t>
            </w:r>
          </w:p>
        </w:tc>
      </w:tr>
      <w:tr>
        <w:trPr>
          <w:trHeight w:val="286" w:hRule="exact"/>
        </w:trPr>
        <w:tc>
          <w:tcPr>
            <w:tcW w:w="492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p>
        </w:tc>
        <w:tc>
          <w:tcPr>
            <w:tcW w:w="412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r>
    </w:tbl>
    <w:p>
      <w:pPr>
        <w:pStyle w:val="BodyText"/>
        <w:spacing w:line="239" w:lineRule="exact"/>
        <w:ind w:left="638" w:right="226"/>
        <w:jc w:val="left"/>
      </w:pPr>
      <w:r>
        <w:rPr>
          <w:spacing w:val="-2"/>
        </w:rPr>
        <w:t>注：本公司之其他境内子公司依据《中华人民共和国企业所得税法》的规定，按</w:t>
      </w:r>
      <w:r>
        <w:rPr>
          <w:spacing w:val="25"/>
        </w:rPr>
        <w:t> </w:t>
      </w:r>
      <w:r>
        <w:rPr>
          <w:rFonts w:ascii="宋体" w:hAnsi="宋体" w:cs="宋体" w:eastAsia="宋体" w:hint="default"/>
          <w:spacing w:val="-2"/>
        </w:rPr>
        <w:t>25%</w:t>
      </w:r>
      <w:r>
        <w:rPr>
          <w:spacing w:val="-2"/>
        </w:rPr>
        <w:t>的税率</w:t>
      </w:r>
    </w:p>
    <w:p>
      <w:pPr>
        <w:pStyle w:val="BodyText"/>
        <w:spacing w:line="273" w:lineRule="exact"/>
        <w:ind w:right="2760"/>
        <w:jc w:val="left"/>
      </w:pPr>
      <w:r>
        <w:rPr/>
        <w:t>缴纳企业所得税。</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760"/>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73" w:lineRule="exact" w:before="58"/>
        <w:ind w:right="2760"/>
        <w:jc w:val="left"/>
      </w:pPr>
      <w:r>
        <w:rPr>
          <w:spacing w:val="-1"/>
        </w:rPr>
        <w:t>√适用</w:t>
        <w:tab/>
      </w:r>
      <w:r>
        <w:rPr>
          <w:spacing w:val="-2"/>
        </w:rPr>
        <w:t>□不适用</w:t>
      </w:r>
    </w:p>
    <w:p>
      <w:pPr>
        <w:pStyle w:val="BodyText"/>
        <w:spacing w:line="273" w:lineRule="exact"/>
        <w:ind w:left="638" w:right="2760"/>
        <w:jc w:val="left"/>
      </w:pPr>
      <w:r>
        <w:rPr/>
        <w:t>（</w:t>
      </w:r>
      <w:r>
        <w:rPr>
          <w:rFonts w:ascii="宋体" w:hAnsi="宋体" w:cs="宋体" w:eastAsia="宋体" w:hint="default"/>
        </w:rPr>
        <w:t>1</w:t>
      </w:r>
      <w:r>
        <w:rPr/>
        <w:t>）增值税：</w:t>
      </w:r>
    </w:p>
    <w:p>
      <w:pPr>
        <w:spacing w:after="0" w:line="273" w:lineRule="exact"/>
        <w:jc w:val="left"/>
        <w:sectPr>
          <w:headerReference w:type="default" r:id="rId73"/>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pStyle w:val="BodyText"/>
        <w:spacing w:line="274" w:lineRule="exact" w:before="36"/>
        <w:ind w:left="638" w:right="226"/>
        <w:jc w:val="left"/>
      </w:pPr>
      <w:r>
        <w:rPr/>
        <w:t>①根据国发 </w:t>
      </w:r>
      <w:r>
        <w:rPr>
          <w:rFonts w:ascii="宋体" w:hAnsi="宋体" w:cs="宋体" w:eastAsia="宋体" w:hint="default"/>
        </w:rPr>
        <w:t>[2011] 4</w:t>
      </w:r>
      <w:r>
        <w:rPr>
          <w:rFonts w:ascii="宋体" w:hAnsi="宋体" w:cs="宋体" w:eastAsia="宋体" w:hint="default"/>
          <w:spacing w:val="-55"/>
        </w:rPr>
        <w:t> </w:t>
      </w:r>
      <w:r>
        <w:rPr/>
        <w:t>号文《国务院关于印发进一步鼓励软件产业和集成电路产业发展若干</w:t>
      </w:r>
    </w:p>
    <w:p>
      <w:pPr>
        <w:pStyle w:val="BodyText"/>
        <w:spacing w:line="237" w:lineRule="auto" w:before="2"/>
        <w:ind w:right="228"/>
        <w:jc w:val="both"/>
      </w:pPr>
      <w:r>
        <w:rPr/>
        <w:t>政策的通知》及国发财税 </w:t>
      </w:r>
      <w:r>
        <w:rPr>
          <w:rFonts w:ascii="宋体" w:hAnsi="宋体" w:cs="宋体" w:eastAsia="宋体" w:hint="default"/>
        </w:rPr>
        <w:t>[2011] 100</w:t>
      </w:r>
      <w:r>
        <w:rPr>
          <w:rFonts w:ascii="宋体" w:hAnsi="宋体" w:cs="宋体" w:eastAsia="宋体" w:hint="default"/>
          <w:spacing w:val="-61"/>
        </w:rPr>
        <w:t> </w:t>
      </w:r>
      <w:r>
        <w:rPr/>
        <w:t>号文《财政部国家税务总局关于软件产品增值税政策的通</w:t>
      </w:r>
      <w:r>
        <w:rPr>
          <w:w w:val="100"/>
        </w:rPr>
        <w:t> </w:t>
      </w:r>
      <w:r>
        <w:rPr>
          <w:spacing w:val="-2"/>
        </w:rPr>
        <w:t>知》的规定，继续实施软件增值税优惠政策，即对增值税一般纳税人销售其自行开发生产的软件</w:t>
      </w:r>
      <w:r>
        <w:rPr>
          <w:spacing w:val="-25"/>
        </w:rPr>
        <w:t> </w:t>
      </w:r>
      <w:r>
        <w:rPr>
          <w:spacing w:val="-25"/>
        </w:rPr>
      </w:r>
      <w:r>
        <w:rPr/>
        <w:t>产品，按</w:t>
      </w:r>
      <w:r>
        <w:rPr>
          <w:spacing w:val="-57"/>
        </w:rPr>
        <w:t> </w:t>
      </w:r>
      <w:r>
        <w:rPr>
          <w:rFonts w:ascii="宋体" w:hAnsi="宋体" w:cs="宋体" w:eastAsia="宋体" w:hint="default"/>
        </w:rPr>
        <w:t>17%</w:t>
      </w:r>
      <w:r>
        <w:rPr/>
        <w:t>的法定税率征收增值税后，对其增值税实际税负超过</w:t>
      </w:r>
      <w:r>
        <w:rPr>
          <w:spacing w:val="-57"/>
        </w:rPr>
        <w:t> </w:t>
      </w:r>
      <w:r>
        <w:rPr>
          <w:rFonts w:ascii="宋体" w:hAnsi="宋体" w:cs="宋体" w:eastAsia="宋体" w:hint="default"/>
        </w:rPr>
        <w:t>3%</w:t>
      </w:r>
      <w:r>
        <w:rPr/>
        <w:t>的部分实行即征即退政策。</w:t>
      </w:r>
      <w:r>
        <w:rPr>
          <w:w w:val="100"/>
        </w:rPr>
        <w:t> </w:t>
      </w:r>
      <w:r>
        <w:rPr/>
        <w:t>根据财税</w:t>
      </w:r>
      <w:r>
        <w:rPr>
          <w:spacing w:val="-1"/>
        </w:rPr>
        <w:t> </w:t>
      </w:r>
      <w:r>
        <w:rPr>
          <w:rFonts w:ascii="宋体" w:hAnsi="宋体" w:cs="宋体" w:eastAsia="宋体" w:hint="default"/>
        </w:rPr>
        <w:t>[2016]</w:t>
      </w:r>
      <w:r>
        <w:rPr>
          <w:rFonts w:ascii="宋体" w:hAnsi="宋体" w:cs="宋体" w:eastAsia="宋体" w:hint="default"/>
          <w:spacing w:val="-42"/>
        </w:rPr>
        <w:t> </w:t>
      </w:r>
      <w:r>
        <w:rPr>
          <w:rFonts w:ascii="宋体" w:hAnsi="宋体" w:cs="宋体" w:eastAsia="宋体" w:hint="default"/>
        </w:rPr>
        <w:t>36</w:t>
      </w:r>
      <w:r>
        <w:rPr>
          <w:rFonts w:ascii="宋体" w:hAnsi="宋体" w:cs="宋体" w:eastAsia="宋体" w:hint="default"/>
          <w:spacing w:val="-56"/>
        </w:rPr>
        <w:t> </w:t>
      </w:r>
      <w:r>
        <w:rPr/>
        <w:t>号《财政部</w:t>
      </w:r>
      <w:r>
        <w:rPr>
          <w:spacing w:val="-3"/>
        </w:rPr>
        <w:t> </w:t>
      </w:r>
      <w:r>
        <w:rPr/>
        <w:t>国家税务总局</w:t>
      </w:r>
      <w:r>
        <w:rPr>
          <w:spacing w:val="-1"/>
        </w:rPr>
        <w:t> </w:t>
      </w:r>
      <w:r>
        <w:rPr/>
        <w:t>关于全面推开营业税改征增值税试点的通知》规</w:t>
      </w:r>
      <w:r>
        <w:rPr>
          <w:w w:val="100"/>
        </w:rPr>
        <w:t> </w:t>
      </w:r>
      <w:r>
        <w:rPr/>
        <w:t>定，纳税人提供技术转让、技术开发和与之相关的技术咨询、技术服务免征增值税。</w:t>
      </w:r>
    </w:p>
    <w:p>
      <w:pPr>
        <w:pStyle w:val="BodyText"/>
        <w:spacing w:line="274" w:lineRule="exact" w:before="22"/>
        <w:ind w:right="230" w:firstLine="419"/>
        <w:jc w:val="both"/>
      </w:pPr>
      <w:r>
        <w:rPr>
          <w:spacing w:val="-2"/>
        </w:rPr>
        <w:t>②本公司之子公司杭州东软软件有限公司、东软集团（芜湖）有限公司、东软集团（郑州）</w:t>
      </w:r>
      <w:r>
        <w:rPr>
          <w:w w:val="100"/>
        </w:rPr>
        <w:t> </w:t>
      </w:r>
      <w:r>
        <w:rPr/>
        <w:t>有限公司、北京兰瑞科创信息技术有限公司根据财税 </w:t>
      </w:r>
      <w:r>
        <w:rPr>
          <w:rFonts w:ascii="宋体" w:hAnsi="宋体" w:cs="宋体" w:eastAsia="宋体" w:hint="default"/>
        </w:rPr>
        <w:t>[2013]</w:t>
      </w:r>
      <w:r>
        <w:rPr>
          <w:rFonts w:ascii="宋体" w:hAnsi="宋体" w:cs="宋体" w:eastAsia="宋体" w:hint="default"/>
          <w:spacing w:val="-41"/>
        </w:rPr>
        <w:t> </w:t>
      </w:r>
      <w:r>
        <w:rPr>
          <w:rFonts w:ascii="宋体" w:hAnsi="宋体" w:cs="宋体" w:eastAsia="宋体" w:hint="default"/>
        </w:rPr>
        <w:t>52</w:t>
      </w:r>
      <w:r>
        <w:rPr>
          <w:rFonts w:ascii="宋体" w:hAnsi="宋体" w:cs="宋体" w:eastAsia="宋体" w:hint="default"/>
          <w:spacing w:val="-53"/>
        </w:rPr>
        <w:t> </w:t>
      </w:r>
      <w:r>
        <w:rPr/>
        <w:t>号《财政部</w:t>
      </w:r>
      <w:r>
        <w:rPr>
          <w:spacing w:val="-2"/>
        </w:rPr>
        <w:t> </w:t>
      </w:r>
      <w:r>
        <w:rPr/>
        <w:t>国家税务总局</w:t>
      </w:r>
      <w:r>
        <w:rPr>
          <w:spacing w:val="-2"/>
        </w:rPr>
        <w:t> </w:t>
      </w:r>
      <w:r>
        <w:rPr>
          <w:spacing w:val="-3"/>
        </w:rPr>
        <w:t>关于</w:t>
      </w:r>
      <w:r>
        <w:rPr/>
      </w:r>
    </w:p>
    <w:p>
      <w:pPr>
        <w:pStyle w:val="BodyText"/>
        <w:spacing w:line="245" w:lineRule="exact"/>
        <w:ind w:right="0"/>
        <w:jc w:val="both"/>
      </w:pPr>
      <w:r>
        <w:rPr>
          <w:spacing w:val="-4"/>
        </w:rPr>
        <w:t>暂免征收部分小微企业增值税和营业税的通知》的规定，自</w:t>
      </w:r>
      <w:r>
        <w:rPr>
          <w:spacing w:val="-43"/>
        </w:rPr>
        <w:t> </w:t>
      </w:r>
      <w:r>
        <w:rPr>
          <w:rFonts w:ascii="宋体" w:hAnsi="宋体" w:cs="宋体" w:eastAsia="宋体" w:hint="default"/>
        </w:rPr>
        <w:t>2013</w:t>
      </w:r>
      <w:r>
        <w:rPr>
          <w:rFonts w:ascii="宋体" w:hAnsi="宋体" w:cs="宋体" w:eastAsia="宋体" w:hint="default"/>
          <w:spacing w:val="-46"/>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5"/>
        </w:rPr>
        <w:t>日起，对增值税小规模</w:t>
      </w:r>
    </w:p>
    <w:p>
      <w:pPr>
        <w:pStyle w:val="BodyText"/>
        <w:spacing w:line="237" w:lineRule="auto" w:before="2"/>
        <w:ind w:right="226"/>
        <w:jc w:val="left"/>
      </w:pPr>
      <w:r>
        <w:rPr/>
        <w:t>纳税人中月销售额不超过</w:t>
      </w:r>
      <w:r>
        <w:rPr>
          <w:spacing w:val="-56"/>
        </w:rPr>
        <w:t> </w:t>
      </w:r>
      <w:r>
        <w:rPr>
          <w:rFonts w:ascii="宋体" w:hAnsi="宋体" w:cs="宋体" w:eastAsia="宋体" w:hint="default"/>
        </w:rPr>
        <w:t>2</w:t>
      </w:r>
      <w:r>
        <w:rPr>
          <w:rFonts w:ascii="宋体" w:hAnsi="宋体" w:cs="宋体" w:eastAsia="宋体" w:hint="default"/>
          <w:spacing w:val="-54"/>
        </w:rPr>
        <w:t> </w:t>
      </w:r>
      <w:r>
        <w:rPr/>
        <w:t>万元的企业或非企业性单位，暂免征收增值税。根据财税</w:t>
      </w:r>
      <w:r>
        <w:rPr>
          <w:rFonts w:ascii="宋体" w:hAnsi="宋体" w:cs="宋体" w:eastAsia="宋体" w:hint="default"/>
        </w:rPr>
        <w:t>[2014]</w:t>
      </w:r>
      <w:r>
        <w:rPr>
          <w:rFonts w:ascii="宋体" w:hAnsi="宋体" w:cs="宋体" w:eastAsia="宋体" w:hint="default"/>
          <w:spacing w:val="-3"/>
        </w:rPr>
        <w:t> </w:t>
      </w:r>
      <w:r>
        <w:rPr>
          <w:rFonts w:ascii="宋体" w:hAnsi="宋体" w:cs="宋体" w:eastAsia="宋体" w:hint="default"/>
        </w:rPr>
        <w:t>71</w:t>
      </w:r>
      <w:r>
        <w:rPr>
          <w:rFonts w:ascii="宋体" w:hAnsi="宋体" w:cs="宋体" w:eastAsia="宋体" w:hint="default"/>
          <w:w w:val="100"/>
        </w:rPr>
        <w:t> </w:t>
      </w:r>
      <w:r>
        <w:rPr>
          <w:spacing w:val="-2"/>
        </w:rPr>
        <w:t>号《关于进一步支持小微企业增值税和营业税政策的通知》，为进一步加大对小微企业的税收支</w:t>
      </w:r>
      <w:r>
        <w:rPr>
          <w:spacing w:val="-25"/>
        </w:rPr>
        <w:t> </w:t>
      </w:r>
      <w:r>
        <w:rPr>
          <w:spacing w:val="-25"/>
        </w:rPr>
      </w:r>
      <w:r>
        <w:rPr>
          <w:spacing w:val="-6"/>
        </w:rPr>
        <w:t>持力度，经国务院批准，自</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日起至</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5"/>
        </w:rPr>
        <w:t>日，对月销售额</w:t>
      </w:r>
      <w:r>
        <w:rPr>
          <w:spacing w:val="-49"/>
        </w:rPr>
        <w:t> </w:t>
      </w:r>
      <w:r>
        <w:rPr>
          <w:rFonts w:ascii="宋体" w:hAnsi="宋体" w:cs="宋体" w:eastAsia="宋体" w:hint="default"/>
        </w:rPr>
        <w:t>2</w:t>
      </w:r>
      <w:r>
        <w:rPr>
          <w:rFonts w:ascii="宋体" w:hAnsi="宋体" w:cs="宋体" w:eastAsia="宋体" w:hint="default"/>
          <w:spacing w:val="-50"/>
        </w:rPr>
        <w:t> </w:t>
      </w:r>
      <w:r>
        <w:rPr>
          <w:spacing w:val="-7"/>
        </w:rPr>
        <w:t>万元（含本</w:t>
      </w:r>
    </w:p>
    <w:p>
      <w:pPr>
        <w:pStyle w:val="BodyText"/>
        <w:spacing w:line="237" w:lineRule="auto"/>
        <w:ind w:right="237"/>
        <w:jc w:val="both"/>
      </w:pPr>
      <w:r>
        <w:rPr/>
        <w:t>数，下同）至</w:t>
      </w:r>
      <w:r>
        <w:rPr>
          <w:spacing w:val="-54"/>
        </w:rPr>
        <w:t> </w:t>
      </w:r>
      <w:r>
        <w:rPr>
          <w:rFonts w:ascii="宋体" w:hAnsi="宋体" w:cs="宋体" w:eastAsia="宋体" w:hint="default"/>
        </w:rPr>
        <w:t>3</w:t>
      </w:r>
      <w:r>
        <w:rPr>
          <w:rFonts w:ascii="宋体" w:hAnsi="宋体" w:cs="宋体" w:eastAsia="宋体" w:hint="default"/>
          <w:spacing w:val="-56"/>
        </w:rPr>
        <w:t> </w:t>
      </w:r>
      <w:r>
        <w:rPr/>
        <w:t>万元的增值税小规模纳税人，免征增值税。根据国家税务总局公告</w:t>
      </w:r>
      <w:r>
        <w:rPr>
          <w:spacing w:val="-53"/>
        </w:rPr>
        <w:t> </w:t>
      </w:r>
      <w:r>
        <w:rPr>
          <w:rFonts w:ascii="宋体" w:hAnsi="宋体" w:cs="宋体" w:eastAsia="宋体" w:hint="default"/>
        </w:rPr>
        <w:t>2014</w:t>
      </w:r>
      <w:r>
        <w:rPr>
          <w:rFonts w:ascii="宋体" w:hAnsi="宋体" w:cs="宋体" w:eastAsia="宋体" w:hint="default"/>
          <w:spacing w:val="-54"/>
        </w:rPr>
        <w:t> </w:t>
      </w:r>
      <w:r>
        <w:rPr/>
        <w:t>年第</w:t>
      </w:r>
      <w:r>
        <w:rPr>
          <w:spacing w:val="-54"/>
        </w:rPr>
        <w:t> </w:t>
      </w:r>
      <w:r>
        <w:rPr>
          <w:rFonts w:ascii="宋体" w:hAnsi="宋体" w:cs="宋体" w:eastAsia="宋体" w:hint="default"/>
        </w:rPr>
        <w:t>57</w:t>
      </w:r>
      <w:r>
        <w:rPr>
          <w:rFonts w:ascii="宋体" w:hAnsi="宋体" w:cs="宋体" w:eastAsia="宋体" w:hint="default"/>
          <w:w w:val="100"/>
        </w:rPr>
        <w:t> </w:t>
      </w:r>
      <w:r>
        <w:rPr>
          <w:spacing w:val="-2"/>
        </w:rPr>
        <w:t>号《国家税务总局关于小微企业免征增值税和营业税有关问题的公告》规定，月销售额或营业额</w:t>
      </w:r>
      <w:r>
        <w:rPr>
          <w:spacing w:val="-25"/>
        </w:rPr>
        <w:t> </w:t>
      </w:r>
      <w:r>
        <w:rPr>
          <w:spacing w:val="-25"/>
        </w:rPr>
      </w:r>
      <w:r>
        <w:rPr/>
        <w:t>不超过</w:t>
      </w:r>
      <w:r>
        <w:rPr>
          <w:spacing w:val="-53"/>
        </w:rPr>
        <w:t> </w:t>
      </w:r>
      <w:r>
        <w:rPr>
          <w:rFonts w:ascii="宋体" w:hAnsi="宋体" w:cs="宋体" w:eastAsia="宋体" w:hint="default"/>
        </w:rPr>
        <w:t>3</w:t>
      </w:r>
      <w:r>
        <w:rPr>
          <w:rFonts w:ascii="宋体" w:hAnsi="宋体" w:cs="宋体" w:eastAsia="宋体" w:hint="default"/>
          <w:spacing w:val="-53"/>
        </w:rPr>
        <w:t> </w:t>
      </w:r>
      <w:r>
        <w:rPr/>
        <w:t>万元（含</w:t>
      </w:r>
      <w:r>
        <w:rPr>
          <w:spacing w:val="-53"/>
        </w:rPr>
        <w:t> </w:t>
      </w:r>
      <w:r>
        <w:rPr>
          <w:rFonts w:ascii="宋体" w:hAnsi="宋体" w:cs="宋体" w:eastAsia="宋体" w:hint="default"/>
        </w:rPr>
        <w:t>3</w:t>
      </w:r>
      <w:r>
        <w:rPr>
          <w:rFonts w:ascii="宋体" w:hAnsi="宋体" w:cs="宋体" w:eastAsia="宋体" w:hint="default"/>
          <w:spacing w:val="-55"/>
        </w:rPr>
        <w:t> </w:t>
      </w:r>
      <w:r>
        <w:rPr/>
        <w:t>万元，下同）的，按照上述文件规定免征增值税或营业税。其中，以</w:t>
      </w:r>
      <w:r>
        <w:rPr>
          <w:spacing w:val="-52"/>
        </w:rPr>
        <w:t> </w:t>
      </w:r>
      <w:r>
        <w:rPr>
          <w:rFonts w:ascii="宋体" w:hAnsi="宋体" w:cs="宋体" w:eastAsia="宋体" w:hint="default"/>
        </w:rPr>
        <w:t>1</w:t>
      </w:r>
      <w:r>
        <w:rPr>
          <w:rFonts w:ascii="宋体" w:hAnsi="宋体" w:cs="宋体" w:eastAsia="宋体" w:hint="default"/>
          <w:spacing w:val="-55"/>
        </w:rPr>
        <w:t> </w:t>
      </w:r>
      <w:r>
        <w:rPr/>
        <w:t>个季</w:t>
      </w:r>
    </w:p>
    <w:p>
      <w:pPr>
        <w:pStyle w:val="BodyText"/>
        <w:spacing w:line="237" w:lineRule="auto" w:before="1"/>
        <w:ind w:right="228"/>
        <w:jc w:val="both"/>
      </w:pPr>
      <w:r>
        <w:rPr/>
        <w:t>度为纳税期限的增值税小规模纳税人和营业税纳税人，季度销售额或营业额不超过</w:t>
      </w:r>
      <w:r>
        <w:rPr>
          <w:spacing w:val="-54"/>
        </w:rPr>
        <w:t> </w:t>
      </w:r>
      <w:r>
        <w:rPr>
          <w:rFonts w:ascii="宋体" w:hAnsi="宋体" w:cs="宋体" w:eastAsia="宋体" w:hint="default"/>
        </w:rPr>
        <w:t>9</w:t>
      </w:r>
      <w:r>
        <w:rPr>
          <w:rFonts w:ascii="宋体" w:hAnsi="宋体" w:cs="宋体" w:eastAsia="宋体" w:hint="default"/>
          <w:spacing w:val="-55"/>
        </w:rPr>
        <w:t> </w:t>
      </w:r>
      <w:r>
        <w:rPr/>
        <w:t>万元的，按</w:t>
      </w:r>
      <w:r>
        <w:rPr>
          <w:w w:val="100"/>
        </w:rPr>
        <w:t> </w:t>
      </w:r>
      <w:r>
        <w:rPr/>
        <w:t>照上述文件规定免征增值税或营业税。根据财税〔</w:t>
      </w:r>
      <w:r>
        <w:rPr>
          <w:rFonts w:ascii="宋体" w:hAnsi="宋体" w:cs="宋体" w:eastAsia="宋体" w:hint="default"/>
        </w:rPr>
        <w:t>2015</w:t>
      </w:r>
      <w:r>
        <w:rPr/>
        <w:t>〕</w:t>
      </w:r>
      <w:r>
        <w:rPr>
          <w:rFonts w:ascii="宋体" w:hAnsi="宋体" w:cs="宋体" w:eastAsia="宋体" w:hint="default"/>
        </w:rPr>
        <w:t>96 </w:t>
      </w:r>
      <w:r>
        <w:rPr/>
        <w:t>号《财政部</w:t>
      </w:r>
      <w:r>
        <w:rPr>
          <w:spacing w:val="-61"/>
        </w:rPr>
        <w:t> </w:t>
      </w:r>
      <w:r>
        <w:rPr/>
        <w:t>国家税务总局关于进一</w:t>
      </w:r>
      <w:r>
        <w:rPr>
          <w:w w:val="100"/>
        </w:rPr>
        <w:t> </w:t>
      </w:r>
      <w:r>
        <w:rPr>
          <w:spacing w:val="-2"/>
        </w:rPr>
        <w:t>步支持小微企业增值税和营业税政策的通知》，为继续支持小微企业发展、推动创业就业，经国</w:t>
      </w:r>
      <w:r>
        <w:rPr>
          <w:spacing w:val="-25"/>
        </w:rPr>
        <w:t> </w:t>
      </w:r>
      <w:r>
        <w:rPr>
          <w:spacing w:val="-25"/>
        </w:rPr>
      </w:r>
      <w:r>
        <w:rPr>
          <w:spacing w:val="-7"/>
        </w:rPr>
        <w:t>务院批准，《财政部</w:t>
      </w:r>
      <w:r>
        <w:rPr>
          <w:spacing w:val="62"/>
        </w:rPr>
        <w:t> </w:t>
      </w:r>
      <w:r>
        <w:rPr>
          <w:spacing w:val="-3"/>
        </w:rPr>
        <w:t>国家税务总局关于进一步支持小微企业增值税和营业税政策的通知》（财税</w:t>
      </w:r>
    </w:p>
    <w:p>
      <w:pPr>
        <w:pStyle w:val="BodyText"/>
        <w:spacing w:line="271" w:lineRule="exact"/>
        <w:ind w:right="0"/>
        <w:jc w:val="both"/>
      </w:pPr>
      <w:r>
        <w:rPr/>
        <w:t>〔</w:t>
      </w:r>
      <w:r>
        <w:rPr>
          <w:rFonts w:ascii="宋体" w:hAnsi="宋体" w:cs="宋体" w:eastAsia="宋体" w:hint="default"/>
        </w:rPr>
        <w:t>2014</w:t>
      </w:r>
      <w:r>
        <w:rPr/>
        <w:t>〕</w:t>
      </w:r>
      <w:r>
        <w:rPr>
          <w:rFonts w:ascii="宋体" w:hAnsi="宋体" w:cs="宋体" w:eastAsia="宋体" w:hint="default"/>
        </w:rPr>
        <w:t>71</w:t>
      </w:r>
      <w:r>
        <w:rPr>
          <w:rFonts w:ascii="宋体" w:hAnsi="宋体" w:cs="宋体" w:eastAsia="宋体" w:hint="default"/>
          <w:spacing w:val="-54"/>
        </w:rPr>
        <w:t> </w:t>
      </w:r>
      <w:r>
        <w:rPr/>
        <w:t>号）规定的增值税和营业税政策继续执行至</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3"/>
        </w:rPr>
        <w:t>日。</w:t>
      </w:r>
      <w:r>
        <w:rPr/>
      </w:r>
    </w:p>
    <w:p>
      <w:pPr>
        <w:pStyle w:val="BodyText"/>
        <w:spacing w:line="272" w:lineRule="exact"/>
        <w:ind w:left="638" w:right="2760"/>
        <w:jc w:val="left"/>
      </w:pPr>
      <w:r>
        <w:rPr/>
        <w:t>（</w:t>
      </w:r>
      <w:r>
        <w:rPr>
          <w:rFonts w:ascii="宋体" w:hAnsi="宋体" w:cs="宋体" w:eastAsia="宋体" w:hint="default"/>
        </w:rPr>
        <w:t>2</w:t>
      </w:r>
      <w:r>
        <w:rPr/>
        <w:t>）企业所得税：</w:t>
      </w:r>
    </w:p>
    <w:p>
      <w:pPr>
        <w:pStyle w:val="BodyText"/>
        <w:spacing w:line="240" w:lineRule="auto"/>
        <w:ind w:right="228" w:firstLine="419"/>
        <w:jc w:val="both"/>
      </w:pPr>
      <w:r>
        <w:rPr/>
        <w:t>①</w:t>
      </w:r>
      <w:r>
        <w:rPr>
          <w:rFonts w:ascii="宋体" w:hAnsi="宋体" w:cs="宋体" w:eastAsia="宋体" w:hint="default"/>
        </w:rPr>
        <w:t>2017</w:t>
      </w:r>
      <w:r>
        <w:rPr>
          <w:rFonts w:ascii="宋体" w:hAnsi="宋体" w:cs="宋体" w:eastAsia="宋体" w:hint="default"/>
          <w:spacing w:val="-8"/>
        </w:rPr>
        <w:t> </w:t>
      </w:r>
      <w:r>
        <w:rPr>
          <w:spacing w:val="-3"/>
        </w:rPr>
        <w:t>年本公司根据《关于软件和集成电路产业企业所得税优惠政策有关问题的通知》（财</w:t>
      </w:r>
      <w:r>
        <w:rPr>
          <w:w w:val="100"/>
        </w:rPr>
        <w:t> </w:t>
      </w:r>
      <w:r>
        <w:rPr/>
        <w:t>税〔</w:t>
      </w:r>
      <w:r>
        <w:rPr>
          <w:rFonts w:ascii="宋体" w:hAnsi="宋体" w:cs="宋体" w:eastAsia="宋体" w:hint="default"/>
        </w:rPr>
        <w:t>2016</w:t>
      </w:r>
      <w:r>
        <w:rPr/>
        <w:t>〕</w:t>
      </w:r>
      <w:r>
        <w:rPr>
          <w:rFonts w:ascii="宋体" w:hAnsi="宋体" w:cs="宋体" w:eastAsia="宋体" w:hint="default"/>
        </w:rPr>
        <w:t>49</w:t>
      </w:r>
      <w:r>
        <w:rPr>
          <w:rFonts w:ascii="宋体" w:hAnsi="宋体" w:cs="宋体" w:eastAsia="宋体" w:hint="default"/>
          <w:spacing w:val="-58"/>
        </w:rPr>
        <w:t> </w:t>
      </w:r>
      <w:r>
        <w:rPr/>
        <w:t>号）的规定，按</w:t>
      </w:r>
      <w:r>
        <w:rPr>
          <w:spacing w:val="-55"/>
        </w:rPr>
        <w:t> </w:t>
      </w:r>
      <w:r>
        <w:rPr>
          <w:rFonts w:ascii="宋体" w:hAnsi="宋体" w:cs="宋体" w:eastAsia="宋体" w:hint="default"/>
        </w:rPr>
        <w:t>10%</w:t>
      </w:r>
      <w:r>
        <w:rPr/>
        <w:t>的税率缴纳企业所得税。</w:t>
      </w:r>
    </w:p>
    <w:p>
      <w:pPr>
        <w:pStyle w:val="BodyText"/>
        <w:spacing w:line="237" w:lineRule="auto"/>
        <w:ind w:right="237" w:firstLine="419"/>
        <w:jc w:val="both"/>
      </w:pPr>
      <w:r>
        <w:rPr>
          <w:spacing w:val="-2"/>
        </w:rPr>
        <w:t>②本公司之子公司东软集团（大连）有限公司、东软集团（北京）有限公司、沈阳东软系统</w:t>
      </w:r>
      <w:r>
        <w:rPr>
          <w:w w:val="100"/>
        </w:rPr>
        <w:t> </w:t>
      </w:r>
      <w:r>
        <w:rPr>
          <w:spacing w:val="-2"/>
        </w:rPr>
        <w:t>集成技术有限公司、东软集团重庆有限公司、东软集团（广州）有限公司、西安东软系统集成有</w:t>
      </w:r>
      <w:r>
        <w:rPr>
          <w:spacing w:val="-25"/>
        </w:rPr>
        <w:t> </w:t>
      </w:r>
      <w:r>
        <w:rPr>
          <w:spacing w:val="-25"/>
        </w:rPr>
      </w:r>
      <w:r>
        <w:rPr>
          <w:spacing w:val="-2"/>
        </w:rPr>
        <w:t>限公司、河北东软软件有限公司、山东东软系统集成有限公司、东软集团（上海）有限公司、北</w:t>
      </w:r>
      <w:r>
        <w:rPr>
          <w:spacing w:val="-25"/>
        </w:rPr>
        <w:t> </w:t>
      </w:r>
      <w:r>
        <w:rPr>
          <w:spacing w:val="-25"/>
        </w:rPr>
      </w:r>
      <w:r>
        <w:rPr>
          <w:spacing w:val="-2"/>
        </w:rPr>
        <w:t>京利博赛社保信息技术有限公司、东软云科技有限公司作为高新技术企业，根据《中华人民共和</w:t>
      </w:r>
      <w:r>
        <w:rPr>
          <w:spacing w:val="-25"/>
        </w:rPr>
        <w:t> </w:t>
      </w:r>
      <w:r>
        <w:rPr>
          <w:spacing w:val="-25"/>
        </w:rPr>
      </w:r>
      <w:r>
        <w:rPr/>
        <w:t>国企业所得税法》（中华人民共和国主席令</w:t>
      </w:r>
      <w:r>
        <w:rPr>
          <w:spacing w:val="-54"/>
        </w:rPr>
        <w:t> </w:t>
      </w:r>
      <w:r>
        <w:rPr>
          <w:rFonts w:ascii="宋体" w:hAnsi="宋体" w:cs="宋体" w:eastAsia="宋体" w:hint="default"/>
        </w:rPr>
        <w:t>2007</w:t>
      </w:r>
      <w:r>
        <w:rPr>
          <w:rFonts w:ascii="宋体" w:hAnsi="宋体" w:cs="宋体" w:eastAsia="宋体" w:hint="default"/>
          <w:spacing w:val="-56"/>
        </w:rPr>
        <w:t> </w:t>
      </w:r>
      <w:r>
        <w:rPr/>
        <w:t>年第</w:t>
      </w:r>
      <w:r>
        <w:rPr>
          <w:spacing w:val="-53"/>
        </w:rPr>
        <w:t> </w:t>
      </w:r>
      <w:r>
        <w:rPr>
          <w:rFonts w:ascii="宋体" w:hAnsi="宋体" w:cs="宋体" w:eastAsia="宋体" w:hint="default"/>
        </w:rPr>
        <w:t>63</w:t>
      </w:r>
      <w:r>
        <w:rPr>
          <w:rFonts w:ascii="宋体" w:hAnsi="宋体" w:cs="宋体" w:eastAsia="宋体" w:hint="default"/>
          <w:spacing w:val="-56"/>
        </w:rPr>
        <w:t> </w:t>
      </w:r>
      <w:r>
        <w:rPr/>
        <w:t>号）的规定，按</w:t>
      </w:r>
      <w:r>
        <w:rPr>
          <w:spacing w:val="-54"/>
        </w:rPr>
        <w:t> </w:t>
      </w:r>
      <w:r>
        <w:rPr>
          <w:rFonts w:ascii="宋体" w:hAnsi="宋体" w:cs="宋体" w:eastAsia="宋体" w:hint="default"/>
        </w:rPr>
        <w:t>15%</w:t>
      </w:r>
      <w:r>
        <w:rPr/>
        <w:t>的税率缴纳企业所</w:t>
      </w:r>
      <w:r>
        <w:rPr>
          <w:w w:val="100"/>
        </w:rPr>
        <w:t> </w:t>
      </w:r>
      <w:r>
        <w:rPr/>
        <w:t>得税。</w:t>
      </w:r>
    </w:p>
    <w:p>
      <w:pPr>
        <w:pStyle w:val="BodyText"/>
        <w:spacing w:line="237" w:lineRule="auto"/>
        <w:ind w:right="232" w:firstLine="419"/>
        <w:jc w:val="both"/>
      </w:pPr>
      <w:r>
        <w:rPr/>
        <w:t>③本公司之子公司东软集团（宜昌）有限公司依据国务院（财税 </w:t>
      </w:r>
      <w:r>
        <w:rPr>
          <w:rFonts w:ascii="宋体" w:hAnsi="宋体" w:cs="宋体" w:eastAsia="宋体" w:hint="default"/>
        </w:rPr>
        <w:t>[2008] 1</w:t>
      </w:r>
      <w:r>
        <w:rPr>
          <w:rFonts w:ascii="宋体" w:hAnsi="宋体" w:cs="宋体" w:eastAsia="宋体" w:hint="default"/>
          <w:spacing w:val="-57"/>
        </w:rPr>
        <w:t> </w:t>
      </w:r>
      <w:r>
        <w:rPr/>
        <w:t>号）《关于企业</w:t>
      </w:r>
      <w:r>
        <w:rPr>
          <w:w w:val="100"/>
        </w:rPr>
        <w:t> </w:t>
      </w:r>
      <w:r>
        <w:rPr>
          <w:spacing w:val="-2"/>
        </w:rPr>
        <w:t>所得税若干优惠政策的通知》的规定，自获利年度起，第一年和第二年免征企业所得税，第三年</w:t>
      </w:r>
      <w:r>
        <w:rPr>
          <w:spacing w:val="-25"/>
        </w:rPr>
        <w:t> </w:t>
      </w:r>
      <w:r>
        <w:rPr>
          <w:spacing w:val="-25"/>
        </w:rPr>
      </w:r>
      <w:r>
        <w:rPr>
          <w:spacing w:val="-11"/>
        </w:rPr>
        <w:t>到第五年减半征收企业所得税。经税务机关认定，东软集团（宜昌）有限公司 </w:t>
      </w:r>
      <w:r>
        <w:rPr>
          <w:rFonts w:ascii="宋体" w:hAnsi="宋体" w:cs="宋体" w:eastAsia="宋体" w:hint="default"/>
        </w:rPr>
        <w:t>2017</w:t>
      </w:r>
      <w:r>
        <w:rPr>
          <w:rFonts w:ascii="宋体" w:hAnsi="宋体" w:cs="宋体" w:eastAsia="宋体" w:hint="default"/>
          <w:spacing w:val="-17"/>
        </w:rPr>
        <w:t> </w:t>
      </w:r>
      <w:r>
        <w:rPr>
          <w:spacing w:val="-3"/>
        </w:rPr>
        <w:t>年度为免税期。</w:t>
      </w:r>
      <w:r>
        <w:rPr/>
      </w:r>
    </w:p>
    <w:p>
      <w:pPr>
        <w:pStyle w:val="BodyText"/>
        <w:spacing w:line="272" w:lineRule="exact" w:before="26"/>
        <w:ind w:right="237" w:firstLine="419"/>
        <w:jc w:val="both"/>
      </w:pPr>
      <w:r>
        <w:rPr>
          <w:spacing w:val="-2"/>
        </w:rPr>
        <w:t>④本公司之子公司北京兰瑞科创信息技术有限公司、杭州东软软件有限公司、上海东软时代</w:t>
      </w:r>
      <w:r>
        <w:rPr>
          <w:w w:val="100"/>
        </w:rPr>
        <w:t> </w:t>
      </w:r>
      <w:r>
        <w:rPr/>
        <w:t>数码技术有限公司根据财税 </w:t>
      </w:r>
      <w:r>
        <w:rPr>
          <w:rFonts w:ascii="宋体" w:hAnsi="宋体" w:cs="宋体" w:eastAsia="宋体" w:hint="default"/>
        </w:rPr>
        <w:t>[2017] 43 </w:t>
      </w:r>
      <w:r>
        <w:rPr/>
        <w:t>号《财政部</w:t>
      </w:r>
      <w:r>
        <w:rPr>
          <w:spacing w:val="-62"/>
        </w:rPr>
        <w:t> </w:t>
      </w:r>
      <w:r>
        <w:rPr/>
        <w:t>国家税务总局关于扩大小型微利企业所得税</w:t>
      </w:r>
    </w:p>
    <w:p>
      <w:pPr>
        <w:pStyle w:val="BodyText"/>
        <w:spacing w:line="247" w:lineRule="exact"/>
        <w:ind w:right="0"/>
        <w:jc w:val="both"/>
      </w:pPr>
      <w:r>
        <w:rPr/>
        <w:t>优惠政策范围的通知》的规定</w:t>
      </w:r>
      <w:r>
        <w:rPr>
          <w:rFonts w:ascii="宋体" w:hAnsi="宋体" w:cs="宋体" w:eastAsia="宋体" w:hint="default"/>
        </w:rPr>
        <w:t>,</w:t>
      </w:r>
      <w:r>
        <w:rPr>
          <w:rFonts w:ascii="宋体" w:hAnsi="宋体" w:cs="宋体" w:eastAsia="宋体" w:hint="default"/>
          <w:spacing w:val="-1"/>
        </w:rPr>
        <w:t> </w:t>
      </w:r>
      <w:r>
        <w:rPr/>
        <w:t>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日，将小型微利企业的年</w:t>
      </w:r>
    </w:p>
    <w:p>
      <w:pPr>
        <w:pStyle w:val="BodyText"/>
        <w:spacing w:line="240" w:lineRule="auto"/>
        <w:ind w:right="244"/>
        <w:jc w:val="both"/>
      </w:pPr>
      <w:r>
        <w:rPr/>
        <w:t>应纳税所得额上限由</w:t>
      </w:r>
      <w:r>
        <w:rPr>
          <w:spacing w:val="-54"/>
        </w:rPr>
        <w:t> </w:t>
      </w:r>
      <w:r>
        <w:rPr>
          <w:rFonts w:ascii="宋体" w:hAnsi="宋体" w:cs="宋体" w:eastAsia="宋体" w:hint="default"/>
        </w:rPr>
        <w:t>30</w:t>
      </w:r>
      <w:r>
        <w:rPr>
          <w:rFonts w:ascii="宋体" w:hAnsi="宋体" w:cs="宋体" w:eastAsia="宋体" w:hint="default"/>
          <w:spacing w:val="-55"/>
        </w:rPr>
        <w:t> </w:t>
      </w:r>
      <w:r>
        <w:rPr/>
        <w:t>万元提高至</w:t>
      </w:r>
      <w:r>
        <w:rPr>
          <w:spacing w:val="-54"/>
        </w:rPr>
        <w:t> </w:t>
      </w:r>
      <w:r>
        <w:rPr>
          <w:rFonts w:ascii="宋体" w:hAnsi="宋体" w:cs="宋体" w:eastAsia="宋体" w:hint="default"/>
        </w:rPr>
        <w:t>50</w:t>
      </w:r>
      <w:r>
        <w:rPr>
          <w:rFonts w:ascii="宋体" w:hAnsi="宋体" w:cs="宋体" w:eastAsia="宋体" w:hint="default"/>
          <w:spacing w:val="-54"/>
        </w:rPr>
        <w:t> </w:t>
      </w:r>
      <w:r>
        <w:rPr/>
        <w:t>万元，对年应纳税所得额低于</w:t>
      </w:r>
      <w:r>
        <w:rPr>
          <w:spacing w:val="-54"/>
        </w:rPr>
        <w:t> </w:t>
      </w:r>
      <w:r>
        <w:rPr>
          <w:rFonts w:ascii="宋体" w:hAnsi="宋体" w:cs="宋体" w:eastAsia="宋体" w:hint="default"/>
        </w:rPr>
        <w:t>50</w:t>
      </w:r>
      <w:r>
        <w:rPr>
          <w:rFonts w:ascii="宋体" w:hAnsi="宋体" w:cs="宋体" w:eastAsia="宋体" w:hint="default"/>
          <w:spacing w:val="-56"/>
        </w:rPr>
        <w:t> </w:t>
      </w:r>
      <w:r>
        <w:rPr/>
        <w:t>万元（含</w:t>
      </w:r>
      <w:r>
        <w:rPr>
          <w:spacing w:val="-53"/>
        </w:rPr>
        <w:t> </w:t>
      </w:r>
      <w:r>
        <w:rPr>
          <w:rFonts w:ascii="宋体" w:hAnsi="宋体" w:cs="宋体" w:eastAsia="宋体" w:hint="default"/>
        </w:rPr>
        <w:t>50</w:t>
      </w:r>
      <w:r>
        <w:rPr>
          <w:rFonts w:ascii="宋体" w:hAnsi="宋体" w:cs="宋体" w:eastAsia="宋体" w:hint="default"/>
          <w:spacing w:val="-56"/>
        </w:rPr>
        <w:t> </w:t>
      </w:r>
      <w:r>
        <w:rPr/>
        <w:t>万元）的小</w:t>
      </w:r>
      <w:r>
        <w:rPr>
          <w:w w:val="100"/>
        </w:rPr>
        <w:t> </w:t>
      </w:r>
      <w:r>
        <w:rPr/>
        <w:t>型微利企业，其所得减按</w:t>
      </w:r>
      <w:r>
        <w:rPr>
          <w:spacing w:val="-57"/>
        </w:rPr>
        <w:t> </w:t>
      </w:r>
      <w:r>
        <w:rPr>
          <w:rFonts w:ascii="宋体" w:hAnsi="宋体" w:cs="宋体" w:eastAsia="宋体" w:hint="default"/>
        </w:rPr>
        <w:t>50%</w:t>
      </w:r>
      <w:r>
        <w:rPr/>
        <w:t>计入应纳税所得额，按</w:t>
      </w:r>
      <w:r>
        <w:rPr>
          <w:spacing w:val="-55"/>
        </w:rPr>
        <w:t> </w:t>
      </w:r>
      <w:r>
        <w:rPr>
          <w:rFonts w:ascii="宋体" w:hAnsi="宋体" w:cs="宋体" w:eastAsia="宋体" w:hint="default"/>
        </w:rPr>
        <w:t>20%</w:t>
      </w:r>
      <w:r>
        <w:rPr/>
        <w:t>的税率缴纳企业所得税。</w:t>
      </w:r>
    </w:p>
    <w:p>
      <w:pPr>
        <w:pStyle w:val="BodyText"/>
        <w:spacing w:line="237" w:lineRule="auto"/>
        <w:ind w:right="227" w:firstLine="419"/>
        <w:jc w:val="both"/>
      </w:pPr>
      <w:r>
        <w:rPr>
          <w:spacing w:val="-2"/>
        </w:rPr>
        <w:t>⑤本公司之子公司东软西藏软件有限公司根据西藏自治区人民政府《关于我区企业所得税税</w:t>
      </w:r>
      <w:r>
        <w:rPr>
          <w:w w:val="100"/>
        </w:rPr>
        <w:t> </w:t>
      </w:r>
      <w:r>
        <w:rPr>
          <w:spacing w:val="-6"/>
        </w:rPr>
        <w:t>率问题的通知》（藏政发</w:t>
      </w:r>
      <w:r>
        <w:rPr>
          <w:rFonts w:ascii="宋体" w:hAnsi="宋体" w:cs="宋体" w:eastAsia="宋体" w:hint="default"/>
          <w:spacing w:val="-6"/>
        </w:rPr>
        <w:t>[2011]14</w:t>
      </w:r>
      <w:r>
        <w:rPr>
          <w:rFonts w:ascii="宋体" w:hAnsi="宋体" w:cs="宋体" w:eastAsia="宋体" w:hint="default"/>
          <w:spacing w:val="-37"/>
        </w:rPr>
        <w:t> </w:t>
      </w:r>
      <w:r>
        <w:rPr>
          <w:spacing w:val="-8"/>
        </w:rPr>
        <w:t>号）文件规定，对设在西藏地区的各类企业，在</w:t>
      </w:r>
      <w:r>
        <w:rPr>
          <w:spacing w:val="-36"/>
        </w:rPr>
        <w:t> </w:t>
      </w:r>
      <w:r>
        <w:rPr>
          <w:rFonts w:ascii="宋体" w:hAnsi="宋体" w:cs="宋体" w:eastAsia="宋体" w:hint="default"/>
        </w:rPr>
        <w:t>2011</w:t>
      </w:r>
      <w:r>
        <w:rPr>
          <w:rFonts w:ascii="宋体" w:hAnsi="宋体" w:cs="宋体" w:eastAsia="宋体" w:hint="default"/>
          <w:spacing w:val="-37"/>
        </w:rPr>
        <w:t> </w:t>
      </w:r>
      <w:r>
        <w:rPr/>
        <w:t>年至</w:t>
      </w:r>
      <w:r>
        <w:rPr>
          <w:spacing w:val="-37"/>
        </w:rPr>
        <w:t> </w:t>
      </w:r>
      <w:r>
        <w:rPr>
          <w:rFonts w:ascii="宋体" w:hAnsi="宋体" w:cs="宋体" w:eastAsia="宋体" w:hint="default"/>
        </w:rPr>
        <w:t>2020</w:t>
      </w:r>
      <w:r>
        <w:rPr>
          <w:rFonts w:ascii="宋体" w:hAnsi="宋体" w:cs="宋体" w:eastAsia="宋体" w:hint="default"/>
          <w:spacing w:val="-98"/>
        </w:rPr>
        <w:t> </w:t>
      </w:r>
      <w:r>
        <w:rPr>
          <w:rFonts w:ascii="宋体" w:hAnsi="宋体" w:cs="宋体" w:eastAsia="宋体" w:hint="default"/>
          <w:spacing w:val="-98"/>
        </w:rPr>
      </w:r>
      <w:r>
        <w:rPr/>
        <w:t>年期间，继续按</w:t>
      </w:r>
      <w:r>
        <w:rPr>
          <w:spacing w:val="-55"/>
        </w:rPr>
        <w:t> </w:t>
      </w:r>
      <w:r>
        <w:rPr>
          <w:rFonts w:ascii="宋体" w:hAnsi="宋体" w:cs="宋体" w:eastAsia="宋体" w:hint="default"/>
        </w:rPr>
        <w:t>15%</w:t>
      </w:r>
      <w:r>
        <w:rPr/>
        <w:t>的税率征收企业所得税。根据西藏自治区人民政府《西藏自治区企业所得税</w:t>
      </w:r>
      <w:r>
        <w:rPr>
          <w:w w:val="100"/>
        </w:rPr>
        <w:t> </w:t>
      </w:r>
      <w:r>
        <w:rPr>
          <w:spacing w:val="-3"/>
        </w:rPr>
        <w:t>政策实施办法》（藏政发</w:t>
      </w:r>
      <w:r>
        <w:rPr>
          <w:rFonts w:ascii="宋体" w:hAnsi="宋体" w:cs="宋体" w:eastAsia="宋体" w:hint="default"/>
          <w:spacing w:val="-3"/>
        </w:rPr>
        <w:t>[2014]51</w:t>
      </w:r>
      <w:r>
        <w:rPr>
          <w:rFonts w:ascii="宋体" w:hAnsi="宋体" w:cs="宋体" w:eastAsia="宋体" w:hint="default"/>
          <w:spacing w:val="-49"/>
        </w:rPr>
        <w:t> </w:t>
      </w:r>
      <w:r>
        <w:rPr>
          <w:spacing w:val="-5"/>
        </w:rPr>
        <w:t>号）文件规定，自</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w:t>
      </w:r>
      <w:r>
        <w:rPr>
          <w:rFonts w:ascii="宋体" w:hAnsi="宋体" w:cs="宋体" w:eastAsia="宋体" w:hint="default"/>
          <w:spacing w:val="-49"/>
        </w:rPr>
        <w:t> </w:t>
      </w:r>
      <w:r>
        <w:rPr/>
        <w:t>日起至</w:t>
      </w:r>
      <w:r>
        <w:rPr>
          <w:spacing w:val="-51"/>
        </w:rPr>
        <w:t> </w:t>
      </w:r>
      <w:r>
        <w:rPr>
          <w:rFonts w:ascii="宋体" w:hAnsi="宋体" w:cs="宋体" w:eastAsia="宋体" w:hint="default"/>
        </w:rPr>
        <w:t>2017</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t>日暂</w:t>
      </w:r>
      <w:r>
        <w:rPr>
          <w:spacing w:val="-103"/>
        </w:rPr>
        <w:t> </w:t>
      </w:r>
      <w:r>
        <w:rPr/>
        <w:t>免征收自治区企业应缴纳的企业所得税中属于地方分享的部分（</w:t>
      </w:r>
      <w:r>
        <w:rPr>
          <w:rFonts w:ascii="宋体" w:hAnsi="宋体" w:cs="宋体" w:eastAsia="宋体" w:hint="default"/>
        </w:rPr>
        <w:t>6%</w:t>
      </w:r>
      <w:r>
        <w:rPr/>
        <w:t>）。</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tabs>
          <w:tab w:pos="1060" w:val="left" w:leader="none"/>
        </w:tabs>
        <w:spacing w:line="280" w:lineRule="auto" w:before="56"/>
        <w:ind w:left="218" w:right="6745"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境外子公司税种和税率：</w:t>
      </w:r>
      <w:r>
        <w:rPr>
          <w:rFonts w:ascii="宋体" w:hAnsi="宋体" w:cs="宋体" w:eastAsia="宋体" w:hint="default"/>
          <w:sz w:val="21"/>
          <w:szCs w:val="21"/>
        </w:rPr>
      </w:r>
    </w:p>
    <w:p>
      <w:pPr>
        <w:pStyle w:val="Heading4"/>
        <w:spacing w:line="240" w:lineRule="auto" w:before="8"/>
        <w:ind w:right="0"/>
        <w:jc w:val="both"/>
        <w:rPr>
          <w:b w:val="0"/>
          <w:bCs w:val="0"/>
        </w:rPr>
      </w:pPr>
      <w:r>
        <w:rPr/>
        <w:t>（</w:t>
      </w:r>
      <w:r>
        <w:rPr>
          <w:rFonts w:ascii="宋体" w:hAnsi="宋体" w:cs="宋体" w:eastAsia="宋体" w:hint="default"/>
        </w:rPr>
        <w:t>1</w:t>
      </w:r>
      <w:r>
        <w:rPr/>
        <w:t>）本公司在香港设立的子公司主要税种和税率如下：</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691"/>
        <w:gridCol w:w="4789"/>
        <w:gridCol w:w="1570"/>
      </w:tblGrid>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sz w:val="21"/>
              </w:rPr>
              <w:t>16.5%</w:t>
            </w:r>
          </w:p>
        </w:tc>
      </w:tr>
    </w:tbl>
    <w:p>
      <w:pPr>
        <w:spacing w:after="0" w:line="241" w:lineRule="exact"/>
        <w:jc w:val="left"/>
        <w:rPr>
          <w:rFonts w:ascii="宋体" w:hAnsi="宋体" w:cs="宋体" w:eastAsia="宋体" w:hint="default"/>
          <w:sz w:val="21"/>
          <w:szCs w:val="21"/>
        </w:rPr>
        <w:sectPr>
          <w:pgSz w:w="11910" w:h="16840"/>
          <w:pgMar w:header="946" w:footer="1248" w:top="1300" w:bottom="144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4"/>
        <w:spacing w:line="240" w:lineRule="auto" w:before="36"/>
        <w:ind w:right="2760"/>
        <w:jc w:val="left"/>
        <w:rPr>
          <w:b w:val="0"/>
          <w:bCs w:val="0"/>
        </w:rPr>
      </w:pPr>
      <w:r>
        <w:rPr/>
        <w:t>（</w:t>
      </w:r>
      <w:r>
        <w:rPr>
          <w:rFonts w:ascii="宋体" w:hAnsi="宋体" w:cs="宋体" w:eastAsia="宋体" w:hint="default"/>
        </w:rPr>
        <w:t>2</w:t>
      </w:r>
      <w:r>
        <w:rPr/>
        <w:t>）本公司在日本设立的子公司主要税种和税率如下：</w:t>
      </w:r>
      <w:r>
        <w:rPr>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4770"/>
        <w:gridCol w:w="1570"/>
      </w:tblGrid>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24.95%</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事业税（所得比例）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事业税（附加值比例）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按年度相应的人件费和房租的合计支出额计征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事业税（资本比例）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按注册资本金额计征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0.21%</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按实际缴纳的所得税额计征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21.3%</w:t>
            </w:r>
          </w:p>
        </w:tc>
      </w:tr>
      <w:tr>
        <w:trPr>
          <w:trHeight w:val="828"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按税法规定计算的销售货物和应税劳务收入为基</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5"/>
                <w:sz w:val="21"/>
                <w:szCs w:val="21"/>
              </w:rPr>
              <w:t>础计算销项税额，在扣除当期允许抵扣的进项税额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后，差额部分为应交消费税</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w:t>
            </w:r>
          </w:p>
        </w:tc>
      </w:tr>
    </w:tbl>
    <w:p>
      <w:pPr>
        <w:spacing w:line="240" w:lineRule="auto" w:before="7"/>
        <w:rPr>
          <w:rFonts w:ascii="宋体" w:hAnsi="宋体" w:cs="宋体" w:eastAsia="宋体" w:hint="default"/>
          <w:b/>
          <w:bCs/>
          <w:sz w:val="20"/>
          <w:szCs w:val="20"/>
        </w:rPr>
      </w:pPr>
    </w:p>
    <w:p>
      <w:pPr>
        <w:pStyle w:val="Heading4"/>
        <w:spacing w:line="297" w:lineRule="auto" w:before="36"/>
        <w:ind w:left="755" w:right="228" w:hanging="538"/>
        <w:jc w:val="left"/>
        <w:rPr>
          <w:b w:val="0"/>
          <w:bCs w:val="0"/>
        </w:rPr>
      </w:pPr>
      <w:r>
        <w:rPr>
          <w:spacing w:val="-6"/>
        </w:rPr>
        <w:t>（</w:t>
      </w:r>
      <w:r>
        <w:rPr>
          <w:rFonts w:ascii="宋体" w:hAnsi="宋体" w:cs="宋体" w:eastAsia="宋体" w:hint="default"/>
          <w:spacing w:val="-6"/>
        </w:rPr>
        <w:t>3</w:t>
      </w:r>
      <w:r>
        <w:rPr>
          <w:spacing w:val="-6"/>
        </w:rPr>
        <w:t>）本公司在欧洲设立的子公司东软（欧洲）有限公司、</w:t>
      </w:r>
      <w:r>
        <w:rPr>
          <w:rFonts w:ascii="宋体" w:hAnsi="宋体" w:cs="宋体" w:eastAsia="宋体" w:hint="default"/>
          <w:spacing w:val="-6"/>
        </w:rPr>
        <w:t>Neusoft</w:t>
      </w:r>
      <w:r>
        <w:rPr>
          <w:rFonts w:ascii="宋体" w:hAnsi="宋体" w:cs="宋体" w:eastAsia="宋体" w:hint="default"/>
          <w:spacing w:val="-42"/>
        </w:rPr>
        <w:t> </w:t>
      </w:r>
      <w:r>
        <w:rPr>
          <w:rFonts w:ascii="宋体" w:hAnsi="宋体" w:cs="宋体" w:eastAsia="宋体" w:hint="default"/>
        </w:rPr>
        <w:t>Mobile</w:t>
      </w:r>
      <w:r>
        <w:rPr>
          <w:rFonts w:ascii="宋体" w:hAnsi="宋体" w:cs="宋体" w:eastAsia="宋体" w:hint="default"/>
          <w:spacing w:val="-42"/>
        </w:rPr>
        <w:t> </w:t>
      </w:r>
      <w:r>
        <w:rPr>
          <w:rFonts w:ascii="宋体" w:hAnsi="宋体" w:cs="宋体" w:eastAsia="宋体" w:hint="default"/>
        </w:rPr>
        <w:t>Solutions</w:t>
      </w:r>
      <w:r>
        <w:rPr>
          <w:rFonts w:ascii="宋体" w:hAnsi="宋体" w:cs="宋体" w:eastAsia="宋体" w:hint="default"/>
          <w:spacing w:val="-42"/>
        </w:rPr>
        <w:t> </w:t>
      </w:r>
      <w:r>
        <w:rPr>
          <w:rFonts w:ascii="宋体" w:hAnsi="宋体" w:cs="宋体" w:eastAsia="宋体" w:hint="default"/>
          <w:spacing w:val="-4"/>
        </w:rPr>
        <w:t>Oy</w:t>
      </w:r>
      <w:r>
        <w:rPr>
          <w:spacing w:val="-4"/>
        </w:rPr>
        <w:t>、</w:t>
      </w:r>
      <w:r>
        <w:rPr>
          <w:rFonts w:ascii="宋体" w:hAnsi="宋体" w:cs="宋体" w:eastAsia="宋体" w:hint="default"/>
          <w:spacing w:val="-4"/>
        </w:rPr>
        <w:t>Neusoft</w:t>
      </w:r>
      <w:r>
        <w:rPr>
          <w:rFonts w:ascii="宋体" w:hAnsi="宋体" w:cs="宋体" w:eastAsia="宋体" w:hint="default"/>
          <w:spacing w:val="-103"/>
        </w:rPr>
        <w:t> </w:t>
      </w:r>
      <w:r>
        <w:rPr>
          <w:rFonts w:ascii="宋体" w:hAnsi="宋体" w:cs="宋体" w:eastAsia="宋体" w:hint="default"/>
        </w:rPr>
        <w:t>EDC</w:t>
      </w:r>
      <w:r>
        <w:rPr>
          <w:rFonts w:ascii="宋体" w:hAnsi="宋体" w:cs="宋体" w:eastAsia="宋体" w:hint="default"/>
          <w:spacing w:val="-2"/>
        </w:rPr>
        <w:t> </w:t>
      </w:r>
      <w:r>
        <w:rPr>
          <w:rFonts w:ascii="宋体" w:hAnsi="宋体" w:cs="宋体" w:eastAsia="宋体" w:hint="default"/>
        </w:rPr>
        <w:t>SRL</w:t>
      </w:r>
      <w:r>
        <w:rPr/>
        <w:t>、</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 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5"/>
        </w:rPr>
        <w:t> </w:t>
      </w:r>
      <w:r>
        <w:rPr/>
        <w:t>和</w:t>
      </w:r>
      <w:r>
        <w:rPr>
          <w:spacing w:val="-55"/>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4"/>
        </w:rPr>
        <w:t> </w:t>
      </w:r>
      <w:r>
        <w:rPr/>
        <w:t>主要税种和税率如下：</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2804"/>
        <w:gridCol w:w="4676"/>
        <w:gridCol w:w="1570"/>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VAT</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础计算销项税额，在扣除当期允许抵扣的进项税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额后，差额部分为应交增值税</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8%-24%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sz w:val="21"/>
              </w:rPr>
              <w:t>Corporate Income</w:t>
            </w:r>
            <w:r>
              <w:rPr>
                <w:rFonts w:ascii="宋体"/>
                <w:spacing w:val="-1"/>
                <w:sz w:val="21"/>
              </w:rPr>
              <w:t> </w:t>
            </w:r>
            <w:r>
              <w:rPr>
                <w:rFonts w:ascii="宋体"/>
                <w:sz w:val="21"/>
              </w:rPr>
              <w:t>Tax</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21"/>
                <w:szCs w:val="21"/>
              </w:rPr>
            </w:pPr>
            <w:r>
              <w:rPr>
                <w:rFonts w:ascii="宋体"/>
                <w:sz w:val="21"/>
              </w:rPr>
              <w:t>16%-32.975%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sz w:val="21"/>
              </w:rPr>
              <w:t>Capital/Dividend</w:t>
            </w:r>
            <w:r>
              <w:rPr>
                <w:rFonts w:ascii="宋体"/>
                <w:spacing w:val="-1"/>
                <w:sz w:val="21"/>
              </w:rPr>
              <w:t> </w:t>
            </w:r>
            <w:r>
              <w:rPr>
                <w:rFonts w:ascii="宋体"/>
                <w:sz w:val="21"/>
              </w:rPr>
              <w:t>Tax</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股息红利所得</w:t>
            </w:r>
            <w:r>
              <w:rPr>
                <w:rFonts w:ascii="宋体" w:hAnsi="宋体" w:cs="宋体" w:eastAsia="宋体" w:hint="default"/>
                <w:sz w:val="21"/>
                <w:szCs w:val="21"/>
              </w:rPr>
              <w:t>/</w:t>
            </w:r>
            <w:r>
              <w:rPr>
                <w:rFonts w:ascii="宋体" w:hAnsi="宋体" w:cs="宋体" w:eastAsia="宋体" w:hint="default"/>
                <w:sz w:val="21"/>
                <w:szCs w:val="21"/>
              </w:rPr>
              <w:t>资本收益所得</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sz w:val="21"/>
              </w:rPr>
              <w:t>0.05%-34%</w:t>
            </w:r>
          </w:p>
        </w:tc>
      </w:tr>
    </w:tbl>
    <w:p>
      <w:pPr>
        <w:spacing w:line="240" w:lineRule="auto" w:before="11"/>
        <w:rPr>
          <w:rFonts w:ascii="宋体" w:hAnsi="宋体" w:cs="宋体" w:eastAsia="宋体" w:hint="default"/>
          <w:b/>
          <w:bCs/>
          <w:sz w:val="17"/>
          <w:szCs w:val="17"/>
        </w:rPr>
      </w:pPr>
    </w:p>
    <w:p>
      <w:pPr>
        <w:pStyle w:val="Heading4"/>
        <w:spacing w:line="240" w:lineRule="auto" w:before="36"/>
        <w:ind w:right="2760"/>
        <w:jc w:val="left"/>
        <w:rPr>
          <w:b w:val="0"/>
          <w:bCs w:val="0"/>
        </w:rPr>
      </w:pPr>
      <w:r>
        <w:rPr/>
        <w:t>（</w:t>
      </w:r>
      <w:r>
        <w:rPr>
          <w:rFonts w:ascii="宋体" w:hAnsi="宋体" w:cs="宋体" w:eastAsia="宋体" w:hint="default"/>
        </w:rPr>
        <w:t>4</w:t>
      </w:r>
      <w:r>
        <w:rPr/>
        <w:t>）本公司在美国设立的子公司主要税种和税率如下：</w:t>
      </w:r>
      <w:r>
        <w:rPr>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885"/>
        <w:gridCol w:w="4595"/>
        <w:gridCol w:w="1570"/>
      </w:tblGrid>
      <w:tr>
        <w:trPr>
          <w:trHeight w:val="284"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Corporate Income</w:t>
            </w:r>
            <w:r>
              <w:rPr>
                <w:rFonts w:ascii="宋体"/>
                <w:spacing w:val="-1"/>
                <w:sz w:val="21"/>
              </w:rPr>
              <w:t> </w:t>
            </w:r>
            <w:r>
              <w:rPr>
                <w:rFonts w:ascii="宋体"/>
                <w:sz w:val="21"/>
              </w:rPr>
              <w:t>Tax</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15%-35%</w:t>
            </w:r>
          </w:p>
        </w:tc>
      </w:tr>
      <w:tr>
        <w:trPr>
          <w:trHeight w:val="283"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Sales and Use</w:t>
            </w:r>
            <w:r>
              <w:rPr>
                <w:rFonts w:ascii="宋体"/>
                <w:spacing w:val="2"/>
                <w:sz w:val="21"/>
              </w:rPr>
              <w:t> </w:t>
            </w:r>
            <w:r>
              <w:rPr>
                <w:rFonts w:ascii="宋体"/>
                <w:sz w:val="21"/>
              </w:rPr>
              <w:t>tax</w:t>
            </w:r>
          </w:p>
        </w:tc>
        <w:tc>
          <w:tcPr>
            <w:tcW w:w="45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按年度应税技术服务收入计征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w:t>
            </w:r>
            <w:r>
              <w:rPr>
                <w:rFonts w:ascii="宋体"/>
                <w:spacing w:val="3"/>
                <w:sz w:val="21"/>
              </w:rPr>
              <w:t> </w:t>
            </w:r>
            <w:r>
              <w:rPr>
                <w:rFonts w:ascii="宋体"/>
                <w:sz w:val="21"/>
              </w:rPr>
              <w:t>%-9%</w:t>
            </w:r>
          </w:p>
        </w:tc>
      </w:tr>
    </w:tbl>
    <w:p>
      <w:pPr>
        <w:pStyle w:val="BodyText"/>
        <w:spacing w:line="241" w:lineRule="exact"/>
        <w:ind w:left="638" w:right="2760"/>
        <w:jc w:val="left"/>
      </w:pPr>
      <w:r>
        <w:rPr/>
        <w:t>注：美国各州及州内市税率不同。</w:t>
      </w:r>
    </w:p>
    <w:p>
      <w:pPr>
        <w:spacing w:after="0" w:line="241" w:lineRule="exact"/>
        <w:jc w:val="left"/>
        <w:sectPr>
          <w:pgSz w:w="11910" w:h="16840"/>
          <w:pgMar w:header="946" w:footer="1248" w:top="1300" w:bottom="144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74"/>
          <w:pgSz w:w="11910" w:h="16840"/>
          <w:pgMar w:footer="1248" w:header="946" w:top="1300" w:bottom="1440" w:left="1540" w:right="1040"/>
        </w:sectPr>
      </w:pPr>
    </w:p>
    <w:p>
      <w:pPr>
        <w:pStyle w:val="Heading4"/>
        <w:spacing w:line="290" w:lineRule="auto" w:before="36"/>
        <w:ind w:left="258" w:right="-6"/>
        <w:jc w:val="left"/>
        <w:rPr>
          <w:b w:val="0"/>
          <w:bCs w:val="0"/>
        </w:rPr>
      </w:pPr>
      <w:r>
        <w:rPr>
          <w:spacing w:val="-1"/>
        </w:rPr>
        <w:t>七、合并财务报表项目注释</w:t>
      </w:r>
      <w:r>
        <w:rPr>
          <w:spacing w:val="-94"/>
        </w:rPr>
        <w:t> </w:t>
      </w:r>
      <w:r>
        <w:rPr>
          <w:spacing w:val="-94"/>
        </w:rPr>
      </w:r>
      <w:r>
        <w:rPr>
          <w:rFonts w:ascii="宋体" w:hAnsi="宋体" w:cs="宋体" w:eastAsia="宋体" w:hint="default"/>
        </w:rPr>
        <w:t>1</w:t>
      </w:r>
      <w:r>
        <w:rPr/>
        <w:t>、</w:t>
      </w:r>
      <w:r>
        <w:rPr>
          <w:spacing w:val="-2"/>
        </w:rPr>
        <w:t> </w:t>
      </w:r>
      <w:r>
        <w:rPr/>
        <w:t>货币资金</w:t>
      </w:r>
      <w:r>
        <w:rPr>
          <w:b w:val="0"/>
          <w:bCs w:val="0"/>
        </w:rPr>
      </w:r>
    </w:p>
    <w:p>
      <w:pPr>
        <w:pStyle w:val="BodyText"/>
        <w:tabs>
          <w:tab w:pos="1100" w:val="left" w:leader="none"/>
        </w:tabs>
        <w:spacing w:line="240" w:lineRule="auto" w:before="12"/>
        <w:ind w:left="258" w:right="-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2791" w:space="3731"/>
            <w:col w:w="2808"/>
          </w:cols>
        </w:sectPr>
      </w:pPr>
    </w:p>
    <w:p>
      <w:pPr>
        <w:spacing w:line="240" w:lineRule="auto" w:before="4"/>
        <w:rPr>
          <w:rFonts w:ascii="宋体" w:hAnsi="宋体" w:cs="宋体" w:eastAsia="宋体" w:hint="default"/>
          <w:sz w:val="2"/>
          <w:szCs w:val="2"/>
        </w:rPr>
      </w:pPr>
    </w:p>
    <w:tbl>
      <w:tblPr>
        <w:tblW w:w="0" w:type="auto"/>
        <w:jc w:val="left"/>
        <w:tblInd w:w="169" w:type="dxa"/>
        <w:tblLayout w:type="fixed"/>
        <w:tblCellMar>
          <w:top w:w="0" w:type="dxa"/>
          <w:left w:w="0" w:type="dxa"/>
          <w:bottom w:w="0" w:type="dxa"/>
          <w:right w:w="0" w:type="dxa"/>
        </w:tblCellMar>
        <w:tblLook w:val="01E0"/>
      </w:tblPr>
      <w:tblGrid>
        <w:gridCol w:w="3469"/>
        <w:gridCol w:w="2885"/>
        <w:gridCol w:w="2650"/>
      </w:tblGrid>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z w:val="21"/>
              </w:rPr>
              <w:t>42,413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116,648</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2,247,235,815</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2,821,451,147</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59,324,517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14,807,356</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2,306,602,745</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2,836,375,151</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167,608,973</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205,493,259</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40" w:right="1040"/>
        </w:sectPr>
      </w:pPr>
    </w:p>
    <w:p>
      <w:pPr>
        <w:pStyle w:val="BodyText"/>
        <w:spacing w:line="272" w:lineRule="exact" w:before="64"/>
        <w:ind w:left="258" w:right="0"/>
        <w:jc w:val="left"/>
      </w:pPr>
      <w:r>
        <w:rPr/>
        <w:t>其他说明</w:t>
      </w:r>
      <w:r>
        <w:rPr>
          <w:w w:val="100"/>
        </w:rPr>
        <w:t> </w:t>
      </w:r>
      <w:r>
        <w:rPr>
          <w:spacing w:val="-2"/>
        </w:rPr>
        <w:t>其中受限制的货币资金明细如下：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3413" w:space="1943"/>
            <w:col w:w="3974"/>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509"/>
        <w:gridCol w:w="2837"/>
        <w:gridCol w:w="2703"/>
      </w:tblGrid>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38,695,713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610,900</w:t>
            </w: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18,510,719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14,112,168</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57,206,432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14,723,068</w:t>
            </w:r>
          </w:p>
        </w:tc>
      </w:tr>
    </w:tbl>
    <w:p>
      <w:pPr>
        <w:pStyle w:val="BodyText"/>
        <w:spacing w:line="239" w:lineRule="exact"/>
        <w:ind w:left="678" w:right="0"/>
        <w:jc w:val="left"/>
      </w:pPr>
      <w:r>
        <w:rPr>
          <w:rFonts w:ascii="宋体" w:hAnsi="宋体" w:cs="宋体" w:eastAsia="宋体" w:hint="default"/>
        </w:rPr>
        <w:t>1</w:t>
      </w:r>
      <w:r>
        <w:rPr/>
        <w:t>、期末货币资金中存放在境外的款项余额折合人民币为</w:t>
      </w:r>
      <w:r>
        <w:rPr>
          <w:spacing w:val="-55"/>
        </w:rPr>
        <w:t> </w:t>
      </w:r>
      <w:r>
        <w:rPr>
          <w:rFonts w:ascii="宋体" w:hAnsi="宋体" w:cs="宋体" w:eastAsia="宋体" w:hint="default"/>
        </w:rPr>
        <w:t>167,608,973</w:t>
      </w:r>
      <w:r>
        <w:rPr>
          <w:rFonts w:ascii="宋体" w:hAnsi="宋体" w:cs="宋体" w:eastAsia="宋体" w:hint="default"/>
          <w:spacing w:val="-55"/>
        </w:rPr>
        <w:t> </w:t>
      </w:r>
      <w:r>
        <w:rPr>
          <w:spacing w:val="-3"/>
        </w:rPr>
        <w:t>元；</w:t>
      </w:r>
      <w:r>
        <w:rPr/>
      </w:r>
    </w:p>
    <w:p>
      <w:pPr>
        <w:pStyle w:val="BodyText"/>
        <w:spacing w:line="272" w:lineRule="exact"/>
        <w:ind w:left="678" w:right="0"/>
        <w:jc w:val="left"/>
      </w:pPr>
      <w:r>
        <w:rPr>
          <w:rFonts w:ascii="宋体" w:hAnsi="宋体" w:cs="宋体" w:eastAsia="宋体" w:hint="default"/>
        </w:rPr>
        <w:t>2</w:t>
      </w:r>
      <w:r>
        <w:rPr/>
        <w:t>、期末其他货币资金中</w:t>
      </w:r>
      <w:r>
        <w:rPr>
          <w:spacing w:val="-56"/>
        </w:rPr>
        <w:t> </w:t>
      </w:r>
      <w:r>
        <w:rPr>
          <w:rFonts w:ascii="宋体" w:hAnsi="宋体" w:cs="宋体" w:eastAsia="宋体" w:hint="default"/>
        </w:rPr>
        <w:t>18,510,719</w:t>
      </w:r>
      <w:r>
        <w:rPr>
          <w:rFonts w:ascii="宋体" w:hAnsi="宋体" w:cs="宋体" w:eastAsia="宋体" w:hint="default"/>
          <w:spacing w:val="-56"/>
        </w:rPr>
        <w:t> </w:t>
      </w:r>
      <w:r>
        <w:rPr/>
        <w:t>元为本公司及子公司存放在银行的履约保证金；</w:t>
      </w:r>
    </w:p>
    <w:p>
      <w:pPr>
        <w:pStyle w:val="BodyText"/>
        <w:spacing w:line="272" w:lineRule="exact" w:before="27"/>
        <w:ind w:left="258" w:right="0"/>
        <w:jc w:val="left"/>
      </w:pPr>
      <w:r>
        <w:rPr>
          <w:rFonts w:ascii="宋体" w:hAnsi="宋体" w:cs="宋体" w:eastAsia="宋体" w:hint="default"/>
        </w:rPr>
        <w:t>38,695,713 </w:t>
      </w:r>
      <w:r>
        <w:rPr>
          <w:spacing w:val="-3"/>
        </w:rPr>
        <w:t>元为本公司之子公司存放在银行的银行承兑汇票保证金。上述两项在编制现金流量表</w:t>
      </w:r>
      <w:r>
        <w:rPr>
          <w:spacing w:val="-95"/>
        </w:rPr>
        <w:t> </w:t>
      </w:r>
      <w:r>
        <w:rPr>
          <w:spacing w:val="-95"/>
        </w:rPr>
      </w:r>
      <w:r>
        <w:rPr/>
        <w:t>时不作为现金及现金等价物。</w:t>
      </w:r>
    </w:p>
    <w:p>
      <w:pPr>
        <w:spacing w:line="240" w:lineRule="auto" w:before="5"/>
        <w:rPr>
          <w:rFonts w:ascii="宋体" w:hAnsi="宋体" w:cs="宋体" w:eastAsia="宋体" w:hint="default"/>
          <w:sz w:val="23"/>
          <w:szCs w:val="23"/>
        </w:rPr>
      </w:pPr>
    </w:p>
    <w:p>
      <w:pPr>
        <w:pStyle w:val="Heading4"/>
        <w:spacing w:line="240" w:lineRule="auto"/>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40" w:right="1040"/>
        </w:sectPr>
      </w:pPr>
    </w:p>
    <w:p>
      <w:pPr>
        <w:pStyle w:val="Heading4"/>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2476" w:space="4046"/>
            <w:col w:w="280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47,733,582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50,005,664</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4,375,800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spacing w:val="-1"/>
                <w:sz w:val="21"/>
              </w:rPr>
              <w:t>632,575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52,109,382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50,638,239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40" w:right="1040"/>
        </w:sectPr>
      </w:pPr>
    </w:p>
    <w:p>
      <w:pPr>
        <w:pStyle w:val="Heading4"/>
        <w:spacing w:line="240" w:lineRule="auto" w:before="36"/>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t>□适用</w:t>
      </w:r>
      <w:r>
        <w:rPr>
          <w:spacing w:val="-1"/>
        </w:rPr>
        <w:t> </w:t>
      </w:r>
      <w:r>
        <w:rPr/>
        <w:t>√不适用</w:t>
      </w:r>
    </w:p>
    <w:p>
      <w:pPr>
        <w:pStyle w:val="Heading4"/>
        <w:spacing w:line="240" w:lineRule="auto" w:before="56"/>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580" w:bottom="280" w:left="1540" w:right="1040"/>
          <w:cols w:num="2" w:equalWidth="0">
            <w:col w:w="6691" w:space="40"/>
            <w:col w:w="259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43"/>
        <w:gridCol w:w="3120"/>
        <w:gridCol w:w="2986"/>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75,611,367</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20"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75,611,367</w:t>
            </w:r>
          </w:p>
        </w:tc>
        <w:tc>
          <w:tcPr>
            <w:tcW w:w="29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4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before="36"/>
        <w:ind w:left="11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left="118" w:right="0"/>
        <w:jc w:val="left"/>
      </w:pPr>
      <w:r>
        <w:rPr/>
        <w:t>其他说明</w:t>
      </w:r>
    </w:p>
    <w:p>
      <w:pPr>
        <w:pStyle w:val="BodyText"/>
        <w:spacing w:line="274" w:lineRule="exact"/>
        <w:ind w:left="118" w:right="0"/>
        <w:jc w:val="left"/>
      </w:pPr>
      <w:r>
        <w:rPr/>
        <w:t>□适用</w:t>
      </w:r>
      <w:r>
        <w:rPr>
          <w:spacing w:val="-1"/>
        </w:rPr>
        <w:t> </w:t>
      </w:r>
      <w:r>
        <w:rPr/>
        <w:t>√不适用</w:t>
      </w:r>
    </w:p>
    <w:p>
      <w:pPr>
        <w:spacing w:after="0" w:line="274" w:lineRule="exact"/>
        <w:jc w:val="left"/>
        <w:sectPr>
          <w:footerReference w:type="default" r:id="rId75"/>
          <w:pgSz w:w="11910" w:h="16840"/>
          <w:pgMar w:footer="1248" w:header="946" w:top="1300" w:bottom="1440" w:left="1680" w:right="1160"/>
        </w:sectPr>
      </w:pPr>
    </w:p>
    <w:p>
      <w:pPr>
        <w:spacing w:line="240" w:lineRule="auto" w:before="1"/>
        <w:rPr>
          <w:rFonts w:ascii="宋体" w:hAnsi="宋体" w:cs="宋体" w:eastAsia="宋体" w:hint="default"/>
          <w:sz w:val="6"/>
          <w:szCs w:val="6"/>
        </w:rPr>
      </w:pPr>
    </w:p>
    <w:p>
      <w:pPr>
        <w:spacing w:line="360" w:lineRule="exact"/>
        <w:ind w:left="622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76"/>
          <w:footerReference w:type="default" r:id="rId77"/>
          <w:pgSz w:w="16840" w:h="11910" w:orient="landscape"/>
          <w:pgMar w:header="0" w:footer="0" w:top="860" w:bottom="280" w:left="1220" w:right="1300"/>
        </w:sectPr>
      </w:pPr>
    </w:p>
    <w:p>
      <w:pPr>
        <w:pStyle w:val="Heading4"/>
        <w:spacing w:line="290" w:lineRule="auto" w:before="36"/>
        <w:ind w:left="220" w:right="-18"/>
        <w:jc w:val="left"/>
        <w:rPr>
          <w:b w:val="0"/>
          <w:bCs w:val="0"/>
        </w:rPr>
      </w:pPr>
      <w:r>
        <w:rPr>
          <w:rFonts w:ascii="宋体" w:hAnsi="宋体" w:cs="宋体" w:eastAsia="宋体" w:hint="default"/>
        </w:rPr>
        <w:t>5</w:t>
      </w:r>
      <w:r>
        <w:rPr/>
        <w:t>、</w:t>
      </w:r>
      <w:r>
        <w:rPr>
          <w:spacing w:val="-3"/>
        </w:rPr>
        <w:t> </w:t>
      </w: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51" w:val="left" w:leader="none"/>
        </w:tabs>
        <w:spacing w:line="240" w:lineRule="auto"/>
        <w:ind w:left="0" w:right="323"/>
        <w:jc w:val="right"/>
      </w:pPr>
      <w:r>
        <w:rPr>
          <w:spacing w:val="-1"/>
        </w:rPr>
        <w:t>单位：元</w:t>
        <w:tab/>
      </w:r>
      <w:r>
        <w:rPr>
          <w:spacing w:val="-2"/>
        </w:rPr>
        <w:t>币种：人民币</w:t>
      </w:r>
    </w:p>
    <w:p>
      <w:pPr>
        <w:spacing w:after="0" w:line="240" w:lineRule="auto"/>
        <w:jc w:val="right"/>
        <w:sectPr>
          <w:type w:val="continuous"/>
          <w:pgSz w:w="16840" w:h="11910" w:orient="landscape"/>
          <w:pgMar w:top="1580" w:bottom="280" w:left="1220" w:right="1300"/>
          <w:cols w:num="2" w:equalWidth="0">
            <w:col w:w="2333" w:space="3667"/>
            <w:col w:w="8320"/>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15"/>
        <w:gridCol w:w="1429"/>
        <w:gridCol w:w="710"/>
        <w:gridCol w:w="1274"/>
        <w:gridCol w:w="833"/>
        <w:gridCol w:w="1426"/>
        <w:gridCol w:w="1428"/>
        <w:gridCol w:w="709"/>
        <w:gridCol w:w="1277"/>
        <w:gridCol w:w="710"/>
        <w:gridCol w:w="1426"/>
      </w:tblGrid>
      <w:tr>
        <w:trPr>
          <w:trHeight w:val="283" w:hRule="exact"/>
        </w:trPr>
        <w:tc>
          <w:tcPr>
            <w:tcW w:w="271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6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15" w:type="dxa"/>
            <w:vMerge/>
            <w:tcBorders>
              <w:left w:val="single" w:sz="4" w:space="0" w:color="000000"/>
              <w:right w:val="single" w:sz="4" w:space="0" w:color="000000"/>
            </w:tcBorders>
          </w:tcPr>
          <w:p>
            <w:pPr/>
          </w:p>
        </w:tc>
        <w:tc>
          <w:tcPr>
            <w:tcW w:w="2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2715"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9" w:right="0"/>
              <w:jc w:val="left"/>
              <w:rPr>
                <w:rFonts w:ascii="宋体" w:hAnsi="宋体" w:cs="宋体" w:eastAsia="宋体" w:hint="default"/>
                <w:sz w:val="21"/>
                <w:szCs w:val="21"/>
              </w:rPr>
            </w:pPr>
            <w:r>
              <w:rPr>
                <w:rFonts w:ascii="宋体"/>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hanging="5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2"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55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381,486,861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z w:val="21"/>
              </w:rPr>
              <w:t>21.24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23,145,968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6.07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358,340,893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391,874,956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1" w:right="0"/>
              <w:jc w:val="center"/>
              <w:rPr>
                <w:rFonts w:ascii="宋体" w:hAnsi="宋体" w:cs="宋体" w:eastAsia="宋体" w:hint="default"/>
                <w:sz w:val="21"/>
                <w:szCs w:val="21"/>
              </w:rPr>
            </w:pPr>
            <w:r>
              <w:rPr>
                <w:rFonts w:ascii="宋体"/>
                <w:sz w:val="21"/>
              </w:rPr>
              <w:t>25.36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46,205,048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z w:val="21"/>
              </w:rPr>
              <w:t>11.79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345,669,908</w:t>
            </w:r>
          </w:p>
        </w:tc>
      </w:tr>
      <w:tr>
        <w:trPr>
          <w:trHeight w:val="55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1,200,500,059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66.85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35,472,338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2.95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1,165,027,721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876,118,942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 w:right="0"/>
              <w:jc w:val="center"/>
              <w:rPr>
                <w:rFonts w:ascii="宋体" w:hAnsi="宋体" w:cs="宋体" w:eastAsia="宋体" w:hint="default"/>
                <w:sz w:val="21"/>
                <w:szCs w:val="21"/>
              </w:rPr>
            </w:pPr>
            <w:r>
              <w:rPr>
                <w:rFonts w:ascii="宋体"/>
                <w:sz w:val="21"/>
              </w:rPr>
              <w:t>56.70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19,156,273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2.19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856,962,669</w:t>
            </w:r>
          </w:p>
        </w:tc>
      </w:tr>
      <w:tr>
        <w:trPr>
          <w:trHeight w:val="55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213,903,034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11.91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81,134,699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37.93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132,768,335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277,135,258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 w:right="0"/>
              <w:jc w:val="center"/>
              <w:rPr>
                <w:rFonts w:ascii="宋体" w:hAnsi="宋体" w:cs="宋体" w:eastAsia="宋体" w:hint="default"/>
                <w:sz w:val="21"/>
                <w:szCs w:val="21"/>
              </w:rPr>
            </w:pPr>
            <w:r>
              <w:rPr>
                <w:rFonts w:ascii="宋体"/>
                <w:sz w:val="21"/>
              </w:rPr>
              <w:t>17.94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75,585,504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27.27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201,549,754</w:t>
            </w:r>
          </w:p>
        </w:tc>
      </w:tr>
      <w:tr>
        <w:trPr>
          <w:trHeight w:val="28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1,795,889,954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139,753,005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1,656,136,949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1,545,129,156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140,946,825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1,404,182,331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6840" w:h="11910" w:orient="landscape"/>
          <w:pgMar w:top="1580" w:bottom="280" w:left="1220" w:right="1300"/>
        </w:sectPr>
      </w:pPr>
    </w:p>
    <w:p>
      <w:pPr>
        <w:pStyle w:val="BodyText"/>
        <w:spacing w:line="273" w:lineRule="exact" w:before="36"/>
        <w:ind w:left="220" w:right="0"/>
        <w:jc w:val="left"/>
      </w:pPr>
      <w:r>
        <w:rPr>
          <w:spacing w:val="-2"/>
        </w:rPr>
        <w:t>期末单项金额重大并单项计提坏帐准备的应收账款</w:t>
      </w:r>
    </w:p>
    <w:p>
      <w:pPr>
        <w:pStyle w:val="BodyText"/>
        <w:spacing w:line="273" w:lineRule="exact"/>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4846" w:space="6717"/>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40"/>
        <w:gridCol w:w="2977"/>
        <w:gridCol w:w="2976"/>
        <w:gridCol w:w="1563"/>
        <w:gridCol w:w="3634"/>
      </w:tblGrid>
      <w:tr>
        <w:trPr>
          <w:trHeight w:val="283" w:hRule="exact"/>
        </w:trPr>
        <w:tc>
          <w:tcPr>
            <w:tcW w:w="2940"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111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940"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163,007,033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8,796,362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5.40</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4"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135,861,191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6,124,921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4.51</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95%</w:t>
            </w:r>
            <w:r>
              <w:rPr>
                <w:rFonts w:ascii="宋体" w:hAnsi="宋体" w:cs="宋体" w:eastAsia="宋体" w:hint="default"/>
                <w:sz w:val="21"/>
                <w:szCs w:val="21"/>
              </w:rPr>
              <w:t>以上</w:t>
            </w:r>
          </w:p>
        </w:tc>
      </w:tr>
      <w:tr>
        <w:trPr>
          <w:trHeight w:val="281"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66,503,169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4,382,626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6.59</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16,115,468</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3,842,059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23.84</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75%</w:t>
            </w:r>
            <w:r>
              <w:rPr>
                <w:rFonts w:ascii="宋体" w:hAnsi="宋体" w:cs="宋体" w:eastAsia="宋体" w:hint="default"/>
                <w:sz w:val="21"/>
                <w:szCs w:val="21"/>
              </w:rPr>
              <w:t>以上</w:t>
            </w:r>
          </w:p>
        </w:tc>
      </w:tr>
      <w:tr>
        <w:trPr>
          <w:trHeight w:val="28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381,486,861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23,145,968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112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8"/>
          <w:pgSz w:w="11910" w:h="16840"/>
          <w:pgMar w:footer="1248" w:header="0" w:top="1300" w:bottom="1440" w:left="1580" w:right="1040"/>
          <w:pgNumType w:start="113"/>
        </w:sectPr>
      </w:pPr>
    </w:p>
    <w:p>
      <w:pPr>
        <w:spacing w:line="240" w:lineRule="auto" w:before="4"/>
        <w:rPr>
          <w:rFonts w:ascii="Calibri" w:hAnsi="Calibri" w:cs="Calibri" w:eastAsia="Calibri" w:hint="default"/>
          <w:b/>
          <w:bCs/>
          <w:sz w:val="17"/>
          <w:szCs w:val="17"/>
        </w:rPr>
      </w:pPr>
    </w:p>
    <w:p>
      <w:pPr>
        <w:pStyle w:val="BodyText"/>
        <w:spacing w:line="273" w:lineRule="exact"/>
        <w:ind w:right="0"/>
        <w:jc w:val="left"/>
      </w:pPr>
      <w:r>
        <w:rPr>
          <w:spacing w:val="-2"/>
        </w:rPr>
        <w:t>组合中，按账龄分析法计提坏账准备的应收账款：</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1,003,502,626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10,035,026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1,003,502,626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10,035,026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154,343,274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3,086,865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9,751,202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487,560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12,266,744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1,226,674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20,636,213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20,636,213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1,200,500,059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35,472,338</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确定该组合依据的说明：</w:t>
      </w:r>
    </w:p>
    <w:p>
      <w:pPr>
        <w:pStyle w:val="BodyText"/>
        <w:spacing w:line="274" w:lineRule="exact"/>
        <w:ind w:left="638" w:right="2760"/>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年以上的数据为</w:t>
      </w:r>
      <w:r>
        <w:rPr>
          <w:spacing w:val="-51"/>
        </w:rPr>
        <w:t> </w:t>
      </w:r>
      <w:r>
        <w:rPr>
          <w:rFonts w:ascii="宋体" w:hAnsi="宋体" w:cs="宋体" w:eastAsia="宋体" w:hint="default"/>
        </w:rPr>
        <w:t>3</w:t>
      </w:r>
      <w:r>
        <w:rPr>
          <w:rFonts w:ascii="宋体" w:hAnsi="宋体" w:cs="宋体" w:eastAsia="宋体" w:hint="default"/>
          <w:spacing w:val="-54"/>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8"/>
        <w:rPr>
          <w:rFonts w:ascii="宋体" w:hAnsi="宋体" w:cs="宋体" w:eastAsia="宋体" w:hint="default"/>
          <w:sz w:val="20"/>
          <w:szCs w:val="20"/>
        </w:rPr>
      </w:pPr>
    </w:p>
    <w:p>
      <w:pPr>
        <w:pStyle w:val="BodyText"/>
        <w:spacing w:line="273" w:lineRule="exact"/>
        <w:ind w:right="2760"/>
        <w:jc w:val="left"/>
      </w:pPr>
      <w:r>
        <w:rPr/>
        <w:t>组合中，采用余额百分比法计提坏账准备的应收账款：</w:t>
      </w:r>
    </w:p>
    <w:p>
      <w:pPr>
        <w:pStyle w:val="BodyText"/>
        <w:spacing w:line="273" w:lineRule="exact"/>
        <w:ind w:right="276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2760"/>
        <w:jc w:val="left"/>
      </w:pPr>
      <w:r>
        <w:rPr/>
        <w:t>组合中，采用其他方法计提坏账准备的应收账款：</w:t>
      </w:r>
    </w:p>
    <w:p>
      <w:pPr>
        <w:pStyle w:val="BodyText"/>
        <w:tabs>
          <w:tab w:pos="1060" w:val="left" w:leader="none"/>
        </w:tabs>
        <w:spacing w:line="274" w:lineRule="exact"/>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638" w:right="226"/>
        <w:jc w:val="left"/>
      </w:pPr>
      <w:r>
        <w:rPr/>
        <w:t>本期计提坏账准备金额</w:t>
      </w:r>
      <w:r>
        <w:rPr>
          <w:spacing w:val="-54"/>
        </w:rPr>
        <w:t> </w:t>
      </w:r>
      <w:r>
        <w:rPr>
          <w:rFonts w:ascii="宋体" w:hAnsi="宋体" w:cs="宋体" w:eastAsia="宋体" w:hint="default"/>
        </w:rPr>
        <w:t>20,292,166</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11,332,813</w:t>
      </w:r>
      <w:r>
        <w:rPr>
          <w:rFonts w:ascii="宋体" w:hAnsi="宋体" w:cs="宋体" w:eastAsia="宋体" w:hint="default"/>
          <w:spacing w:val="-57"/>
        </w:rPr>
        <w:t> </w:t>
      </w:r>
      <w:r>
        <w:rPr/>
        <w:t>元。</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其中本期坏账准备收回或转回金额重要的：</w:t>
      </w:r>
    </w:p>
    <w:p>
      <w:pPr>
        <w:pStyle w:val="BodyText"/>
        <w:spacing w:line="274" w:lineRule="exact"/>
        <w:ind w:right="276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4"/>
        <w:jc w:val="left"/>
        <w:rPr>
          <w:b w:val="0"/>
          <w:bCs w:val="0"/>
        </w:rPr>
      </w:pPr>
      <w:r>
        <w:rPr>
          <w:rFonts w:ascii="宋体" w:hAnsi="宋体" w:cs="宋体" w:eastAsia="宋体" w:hint="default"/>
          <w:spacing w:val="-1"/>
        </w:rPr>
        <w:t>(3).</w:t>
      </w:r>
      <w:r>
        <w:rPr>
          <w:spacing w:val="-1"/>
        </w:rPr>
        <w:t>本期实际核销的应收账款情况</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382" w:space="3139"/>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711,720</w:t>
            </w:r>
          </w:p>
        </w:tc>
      </w:tr>
    </w:tbl>
    <w:p>
      <w:pPr>
        <w:spacing w:line="240" w:lineRule="auto" w:before="7"/>
        <w:rPr>
          <w:rFonts w:ascii="宋体" w:hAnsi="宋体" w:cs="宋体" w:eastAsia="宋体" w:hint="default"/>
          <w:sz w:val="15"/>
          <w:szCs w:val="15"/>
        </w:rPr>
      </w:pPr>
    </w:p>
    <w:p>
      <w:pPr>
        <w:pStyle w:val="BodyText"/>
        <w:spacing w:line="273" w:lineRule="exact" w:before="36"/>
        <w:ind w:right="2760"/>
        <w:jc w:val="left"/>
      </w:pPr>
      <w:r>
        <w:rPr/>
        <w:t>其中重要的应收账款核销情况</w:t>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应收账款核销说明：</w:t>
      </w:r>
    </w:p>
    <w:p>
      <w:pPr>
        <w:pStyle w:val="BodyText"/>
        <w:spacing w:line="274" w:lineRule="exact"/>
        <w:ind w:right="2760"/>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248" w:top="1300" w:bottom="1440" w:left="1580" w:right="1040"/>
        </w:sectPr>
      </w:pPr>
    </w:p>
    <w:p>
      <w:pPr>
        <w:pStyle w:val="Heading4"/>
        <w:spacing w:line="240" w:lineRule="auto" w:before="36"/>
        <w:ind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6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280" w:space="1241"/>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3"/>
        <w:gridCol w:w="1634"/>
        <w:gridCol w:w="3392"/>
        <w:gridCol w:w="1510"/>
      </w:tblGrid>
      <w:tr>
        <w:trPr>
          <w:trHeight w:val="281" w:hRule="exact"/>
        </w:trPr>
        <w:tc>
          <w:tcPr>
            <w:tcW w:w="2513" w:type="dxa"/>
            <w:vMerge w:val="restart"/>
            <w:tcBorders>
              <w:top w:val="single" w:sz="4" w:space="0" w:color="000000"/>
              <w:left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13" w:type="dxa"/>
            <w:vMerge/>
            <w:tcBorders>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占应收账款合计数的比例</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应收账款前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名汇总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479,074,224</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26.68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sz w:val="21"/>
              </w:rPr>
              <w:t>43,951,233</w:t>
            </w:r>
          </w:p>
        </w:tc>
      </w:tr>
    </w:tbl>
    <w:p>
      <w:pPr>
        <w:spacing w:line="240" w:lineRule="auto" w:before="12"/>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4"/>
        <w:spacing w:line="240" w:lineRule="auto"/>
        <w:ind w:right="276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57"/>
        <w:ind w:right="2760"/>
        <w:jc w:val="left"/>
      </w:pPr>
      <w:r>
        <w:rPr>
          <w:spacing w:val="-1"/>
        </w:rPr>
        <w:t>□适用</w:t>
        <w:tab/>
      </w:r>
      <w:r>
        <w:rPr>
          <w:spacing w:val="-2"/>
        </w:rPr>
        <w:t>√不适用</w:t>
      </w:r>
    </w:p>
    <w:p>
      <w:pPr>
        <w:spacing w:line="240" w:lineRule="auto" w:before="6"/>
        <w:rPr>
          <w:rFonts w:ascii="宋体" w:hAnsi="宋体" w:cs="宋体" w:eastAsia="宋体" w:hint="default"/>
          <w:sz w:val="18"/>
          <w:szCs w:val="18"/>
        </w:rPr>
      </w:pPr>
    </w:p>
    <w:p>
      <w:pPr>
        <w:pStyle w:val="BodyText"/>
        <w:spacing w:line="273" w:lineRule="exact"/>
        <w:ind w:right="2760"/>
        <w:jc w:val="left"/>
      </w:pPr>
      <w:r>
        <w:rPr/>
        <w:t>其他说明：</w:t>
      </w:r>
    </w:p>
    <w:p>
      <w:pPr>
        <w:pStyle w:val="BodyText"/>
        <w:tabs>
          <w:tab w:pos="1060" w:val="left" w:leader="none"/>
        </w:tabs>
        <w:spacing w:line="273" w:lineRule="exact"/>
        <w:ind w:right="276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预付款项按账龄列示</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47" w:space="3874"/>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53,932,731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78.88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46,093,226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87.12</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10,921,348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15.97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3,666,786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6.93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2,429,676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3.55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2,278,955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4.31</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1,092,822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870,467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1.64</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68,376,577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52,909,434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2" w:lineRule="exact" w:before="27"/>
        <w:ind w:right="0" w:firstLine="419"/>
        <w:jc w:val="left"/>
      </w:pPr>
      <w:r>
        <w:rPr>
          <w:spacing w:val="-2"/>
          <w:w w:val="100"/>
        </w:rPr>
        <w:t>账龄超过一年且金额重大的预付款项为</w:t>
      </w:r>
      <w:r>
        <w:rPr>
          <w:spacing w:val="-45"/>
          <w:w w:val="100"/>
        </w:rPr>
        <w:t> </w:t>
      </w:r>
      <w:r>
        <w:rPr>
          <w:rFonts w:ascii="宋体" w:hAnsi="宋体" w:cs="宋体" w:eastAsia="宋体" w:hint="default"/>
          <w:spacing w:val="-1"/>
          <w:w w:val="100"/>
        </w:rPr>
        <w:t>11,022,726</w:t>
      </w:r>
      <w:r>
        <w:rPr>
          <w:rFonts w:ascii="宋体" w:hAnsi="宋体" w:cs="宋体" w:eastAsia="宋体" w:hint="default"/>
          <w:spacing w:val="-47"/>
          <w:w w:val="100"/>
        </w:rPr>
        <w:t> </w:t>
      </w:r>
      <w:r>
        <w:rPr>
          <w:spacing w:val="-12"/>
          <w:w w:val="100"/>
        </w:rPr>
        <w:t>元，主要为预付货款，根据协议执行进度，</w:t>
      </w:r>
      <w:r>
        <w:rPr>
          <w:w w:val="100"/>
        </w:rPr>
        <w:t> </w:t>
      </w:r>
      <w:r>
        <w:rPr/>
        <w:t>相关款项尚未结算。</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3"/>
        </w:rPr>
        <w:t> </w:t>
      </w:r>
      <w:r>
        <w:rPr/>
        <w:t>按预付对象归集的期末余额前五名的预付款情况：</w:t>
      </w:r>
      <w:r>
        <w:rPr>
          <w:b w:val="0"/>
          <w:bCs w:val="0"/>
        </w:rPr>
      </w:r>
    </w:p>
    <w:p>
      <w:pPr>
        <w:pStyle w:val="BodyText"/>
        <w:tabs>
          <w:tab w:pos="1060" w:val="left" w:leader="none"/>
        </w:tabs>
        <w:spacing w:line="240" w:lineRule="auto" w:before="56"/>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99" w:val="left" w:leader="none"/>
        </w:tabs>
        <w:spacing w:line="240" w:lineRule="auto"/>
        <w:ind w:left="147"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386" w:space="40"/>
            <w:col w:w="386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3"/>
        <w:gridCol w:w="2604"/>
        <w:gridCol w:w="3553"/>
      </w:tblGrid>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占预付款项期末余额的比例（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名汇总</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sz w:val="21"/>
              </w:rPr>
              <w:t>25,353,410</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37.08</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tabs>
          <w:tab w:pos="1060" w:val="left" w:leader="none"/>
        </w:tabs>
        <w:spacing w:line="274" w:lineRule="exact"/>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6"/>
        <w:ind w:right="2760"/>
        <w:jc w:val="left"/>
        <w:rPr>
          <w:b w:val="0"/>
          <w:bCs w:val="0"/>
        </w:rPr>
      </w:pPr>
      <w:r>
        <w:rPr>
          <w:rFonts w:ascii="宋体" w:hAnsi="宋体" w:cs="宋体" w:eastAsia="宋体" w:hint="default"/>
        </w:rPr>
        <w:t>(1). </w:t>
      </w:r>
      <w:r>
        <w:rPr/>
        <w:t>应收利息分类</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 </w:t>
      </w:r>
      <w:r>
        <w:rPr/>
        <w:t>重要逾期利息</w:t>
      </w:r>
      <w:r>
        <w:rPr>
          <w:b w:val="0"/>
          <w:bCs w:val="0"/>
        </w:rPr>
      </w:r>
    </w:p>
    <w:p>
      <w:pPr>
        <w:pStyle w:val="BodyText"/>
        <w:spacing w:line="240" w:lineRule="auto" w:before="56"/>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3" w:lineRule="exact"/>
        <w:ind w:left="118" w:right="0"/>
        <w:jc w:val="left"/>
      </w:pPr>
      <w:r>
        <w:rPr/>
        <w:t>其他说明：</w:t>
      </w:r>
    </w:p>
    <w:p>
      <w:pPr>
        <w:pStyle w:val="BodyText"/>
        <w:tabs>
          <w:tab w:pos="960" w:val="left" w:leader="none"/>
        </w:tabs>
        <w:spacing w:line="273" w:lineRule="exact"/>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18" w:right="752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(2). </w:t>
      </w:r>
      <w:r>
        <w:rPr/>
        <w:t>重要的账龄超过 </w:t>
      </w:r>
      <w:r>
        <w:rPr>
          <w:rFonts w:ascii="宋体" w:hAnsi="宋体" w:cs="宋体" w:eastAsia="宋体" w:hint="default"/>
        </w:rPr>
        <w:t>1</w:t>
      </w:r>
      <w:r>
        <w:rPr>
          <w:rFonts w:ascii="宋体" w:hAnsi="宋体" w:cs="宋体" w:eastAsia="宋体" w:hint="default"/>
          <w:spacing w:val="-76"/>
        </w:rPr>
        <w:t> </w:t>
      </w:r>
      <w:r>
        <w:rPr/>
        <w:t>年的应收股利：</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118" w:right="0"/>
        <w:jc w:val="left"/>
      </w:pPr>
      <w:r>
        <w:rPr/>
        <w:t>其他说明：</w:t>
      </w:r>
    </w:p>
    <w:p>
      <w:pPr>
        <w:pStyle w:val="BodyText"/>
        <w:spacing w:line="273" w:lineRule="exact"/>
        <w:ind w:left="118" w:right="0"/>
        <w:jc w:val="left"/>
      </w:pPr>
      <w:r>
        <w:rPr/>
        <w:t>□适用</w:t>
      </w:r>
      <w:r>
        <w:rPr>
          <w:spacing w:val="-1"/>
        </w:rPr>
        <w:t> </w:t>
      </w:r>
      <w:r>
        <w:rPr/>
        <w:t>√不适用</w:t>
      </w:r>
    </w:p>
    <w:p>
      <w:pPr>
        <w:spacing w:after="0" w:line="273" w:lineRule="exact"/>
        <w:jc w:val="left"/>
        <w:sectPr>
          <w:pgSz w:w="11910" w:h="16840"/>
          <w:pgMar w:header="0" w:footer="1248" w:top="1300" w:bottom="1440" w:left="1680" w:right="1160"/>
        </w:sectPr>
      </w:pPr>
    </w:p>
    <w:p>
      <w:pPr>
        <w:spacing w:line="240" w:lineRule="auto" w:before="1"/>
        <w:rPr>
          <w:rFonts w:ascii="宋体" w:hAnsi="宋体" w:cs="宋体" w:eastAsia="宋体" w:hint="default"/>
          <w:sz w:val="6"/>
          <w:szCs w:val="6"/>
        </w:rPr>
      </w:pPr>
    </w:p>
    <w:p>
      <w:pPr>
        <w:spacing w:line="360" w:lineRule="exact"/>
        <w:ind w:left="614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79"/>
          <w:footerReference w:type="default" r:id="rId80"/>
          <w:pgSz w:w="16840" w:h="11910" w:orient="landscape"/>
          <w:pgMar w:header="0" w:footer="0" w:top="860" w:bottom="280" w:left="1300" w:right="1380"/>
        </w:sectPr>
      </w:pPr>
    </w:p>
    <w:p>
      <w:pPr>
        <w:pStyle w:val="Heading4"/>
        <w:spacing w:line="290" w:lineRule="auto" w:before="36"/>
        <w:ind w:left="140" w:right="-17"/>
        <w:jc w:val="left"/>
        <w:rPr>
          <w:b w:val="0"/>
          <w:bCs w:val="0"/>
        </w:rPr>
      </w:pPr>
      <w:r>
        <w:rPr>
          <w:rFonts w:ascii="宋体" w:hAnsi="宋体" w:cs="宋体" w:eastAsia="宋体" w:hint="default"/>
        </w:rPr>
        <w:t>9</w:t>
      </w:r>
      <w:r>
        <w:rPr/>
        <w:t>、</w:t>
      </w:r>
      <w:r>
        <w:rPr>
          <w:spacing w:val="-3"/>
        </w:rPr>
        <w:t> </w:t>
      </w: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2"/>
        <w:ind w:left="14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51" w:val="left" w:leader="none"/>
        </w:tabs>
        <w:spacing w:line="240" w:lineRule="auto"/>
        <w:ind w:left="0" w:right="259"/>
        <w:jc w:val="right"/>
      </w:pPr>
      <w:r>
        <w:rPr>
          <w:spacing w:val="-1"/>
        </w:rPr>
        <w:t>单位：元</w:t>
        <w:tab/>
      </w:r>
      <w:r>
        <w:rPr>
          <w:spacing w:val="-2"/>
        </w:rPr>
        <w:t>币种：人民币</w:t>
      </w:r>
    </w:p>
    <w:p>
      <w:pPr>
        <w:spacing w:after="0" w:line="240" w:lineRule="auto"/>
        <w:jc w:val="right"/>
        <w:sectPr>
          <w:type w:val="continuous"/>
          <w:pgSz w:w="16840" w:h="11910" w:orient="landscape"/>
          <w:pgMar w:top="1580" w:bottom="280" w:left="1300" w:right="1380"/>
          <w:cols w:num="2" w:equalWidth="0">
            <w:col w:w="2464" w:space="3536"/>
            <w:col w:w="816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93"/>
        <w:gridCol w:w="1700"/>
        <w:gridCol w:w="708"/>
        <w:gridCol w:w="1136"/>
        <w:gridCol w:w="710"/>
        <w:gridCol w:w="1277"/>
        <w:gridCol w:w="1275"/>
        <w:gridCol w:w="708"/>
        <w:gridCol w:w="1135"/>
        <w:gridCol w:w="708"/>
        <w:gridCol w:w="1287"/>
      </w:tblGrid>
      <w:tr>
        <w:trPr>
          <w:trHeight w:val="293" w:hRule="exact"/>
        </w:trPr>
        <w:tc>
          <w:tcPr>
            <w:tcW w:w="32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5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293" w:type="dxa"/>
            <w:vMerge/>
            <w:tcBorders>
              <w:left w:val="single" w:sz="4" w:space="0" w:color="000000"/>
              <w:right w:val="single" w:sz="4" w:space="0" w:color="000000"/>
            </w:tcBorders>
          </w:tcPr>
          <w:p>
            <w:pP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8"/>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08"/>
              <w:ind w:left="429" w:right="42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3293"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1" w:right="0"/>
              <w:jc w:val="left"/>
              <w:rPr>
                <w:rFonts w:ascii="宋体" w:hAnsi="宋体" w:cs="宋体" w:eastAsia="宋体" w:hint="default"/>
                <w:sz w:val="21"/>
                <w:szCs w:val="21"/>
              </w:rPr>
            </w:pPr>
            <w:r>
              <w:rPr>
                <w:rFonts w:ascii="宋体"/>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1" w:right="0"/>
              <w:jc w:val="left"/>
              <w:rPr>
                <w:rFonts w:ascii="宋体" w:hAnsi="宋体" w:cs="宋体" w:eastAsia="宋体" w:hint="default"/>
                <w:sz w:val="21"/>
                <w:szCs w:val="21"/>
              </w:rPr>
            </w:pPr>
            <w:r>
              <w:rPr>
                <w:rFonts w:ascii="宋体"/>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87" w:type="dxa"/>
            <w:vMerge/>
            <w:tcBorders>
              <w:left w:val="single" w:sz="4" w:space="0" w:color="000000"/>
              <w:bottom w:val="single" w:sz="4" w:space="0" w:color="000000"/>
              <w:right w:val="single" w:sz="4" w:space="0" w:color="000000"/>
            </w:tcBorders>
          </w:tcPr>
          <w:p>
            <w:pP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212,845,677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96.39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10,367,076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202,478,601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196,682,310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96.03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8,512,104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4.33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188,170,206</w:t>
            </w:r>
          </w:p>
        </w:tc>
      </w:tr>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7,962,100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3,152,856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4,809,244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8,127,044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3,117,847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38.36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5,009,197</w:t>
            </w:r>
          </w:p>
        </w:tc>
      </w:tr>
      <w:tr>
        <w:trPr>
          <w:trHeight w:val="28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220,807,777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13,519,932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207,287,845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204,809,354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11,629,951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193,179,403</w:t>
            </w:r>
          </w:p>
        </w:tc>
      </w:tr>
    </w:tbl>
    <w:p>
      <w:pPr>
        <w:spacing w:line="240" w:lineRule="auto" w:before="7"/>
        <w:rPr>
          <w:rFonts w:ascii="宋体" w:hAnsi="宋体" w:cs="宋体" w:eastAsia="宋体" w:hint="default"/>
          <w:sz w:val="15"/>
          <w:szCs w:val="15"/>
        </w:rPr>
      </w:pPr>
    </w:p>
    <w:p>
      <w:pPr>
        <w:pStyle w:val="BodyText"/>
        <w:spacing w:line="273" w:lineRule="exact" w:before="36"/>
        <w:ind w:left="140" w:right="3316"/>
        <w:jc w:val="left"/>
      </w:pPr>
      <w:r>
        <w:rPr/>
        <w:t>期末单项金额重大并单项计提坏帐准备的其他应收款</w:t>
      </w:r>
    </w:p>
    <w:p>
      <w:pPr>
        <w:pStyle w:val="BodyText"/>
        <w:spacing w:line="273" w:lineRule="exact"/>
        <w:ind w:left="140" w:right="3316"/>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580" w:bottom="280" w:left="1300" w:right="138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116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380"/>
          <w:cols w:num="2" w:equalWidth="0">
            <w:col w:w="3818" w:space="9360"/>
            <w:col w:w="982"/>
          </w:cols>
        </w:sectPr>
      </w:pPr>
    </w:p>
    <w:p>
      <w:pPr>
        <w:spacing w:line="240" w:lineRule="auto" w:before="12"/>
        <w:rPr>
          <w:rFonts w:ascii="Calibri" w:hAnsi="Calibri" w:cs="Calibri" w:eastAsia="Calibri" w:hint="default"/>
          <w:b/>
          <w:bCs/>
          <w:sz w:val="11"/>
          <w:szCs w:val="11"/>
        </w:rPr>
      </w:pPr>
    </w:p>
    <w:p>
      <w:pPr>
        <w:spacing w:after="0" w:line="240" w:lineRule="auto"/>
        <w:rPr>
          <w:rFonts w:ascii="Calibri" w:hAnsi="Calibri" w:cs="Calibri" w:eastAsia="Calibri" w:hint="default"/>
          <w:sz w:val="11"/>
          <w:szCs w:val="11"/>
        </w:rPr>
        <w:sectPr>
          <w:footerReference w:type="default" r:id="rId81"/>
          <w:pgSz w:w="11910" w:h="16840"/>
          <w:pgMar w:footer="1248" w:header="0" w:top="1300" w:bottom="1440" w:left="1580" w:right="1040"/>
          <w:pgNumType w:start="117"/>
        </w:sectPr>
      </w:pPr>
    </w:p>
    <w:p>
      <w:pPr>
        <w:pStyle w:val="BodyText"/>
        <w:spacing w:line="274" w:lineRule="exact" w:before="36"/>
        <w:ind w:right="0"/>
        <w:jc w:val="left"/>
      </w:pPr>
      <w:r>
        <w:rPr>
          <w:spacing w:val="-2"/>
        </w:rPr>
        <w:t>组合中，按账龄分析法计提坏账准备的其他应收款：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139,690,265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1,396,903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139,690,265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1,396,903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30,695,147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613,903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17,523,338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876,167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19,396,471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1,939,647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5,540,456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5,540,456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212,845,677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10,367,076</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760"/>
        <w:jc w:val="left"/>
      </w:pPr>
      <w:r>
        <w:rPr/>
        <w:t>确定该组合依据的说明：</w:t>
      </w:r>
    </w:p>
    <w:p>
      <w:pPr>
        <w:pStyle w:val="BodyText"/>
        <w:spacing w:line="273" w:lineRule="exact"/>
        <w:ind w:left="638" w:right="2760"/>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年以上为</w:t>
      </w:r>
      <w:r>
        <w:rPr>
          <w:spacing w:val="-52"/>
        </w:rPr>
        <w:t> </w:t>
      </w:r>
      <w:r>
        <w:rPr>
          <w:rFonts w:ascii="宋体" w:hAnsi="宋体" w:cs="宋体" w:eastAsia="宋体" w:hint="default"/>
        </w:rPr>
        <w:t>3</w:t>
      </w:r>
      <w:r>
        <w:rPr>
          <w:rFonts w:ascii="宋体" w:hAnsi="宋体" w:cs="宋体" w:eastAsia="宋体" w:hint="default"/>
          <w:spacing w:val="-53"/>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8"/>
        <w:rPr>
          <w:rFonts w:ascii="宋体" w:hAnsi="宋体" w:cs="宋体" w:eastAsia="宋体" w:hint="default"/>
          <w:sz w:val="20"/>
          <w:szCs w:val="20"/>
        </w:rPr>
      </w:pPr>
    </w:p>
    <w:p>
      <w:pPr>
        <w:pStyle w:val="BodyText"/>
        <w:spacing w:line="274" w:lineRule="exact"/>
        <w:ind w:right="2760"/>
        <w:jc w:val="left"/>
      </w:pPr>
      <w:r>
        <w:rPr/>
        <w:t>组合中，采用余额百分比法计提坏账准备的其他应收款：</w:t>
      </w:r>
    </w:p>
    <w:p>
      <w:pPr>
        <w:pStyle w:val="BodyText"/>
        <w:spacing w:line="274" w:lineRule="exact"/>
        <w:ind w:right="276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2760"/>
        <w:jc w:val="left"/>
      </w:pPr>
      <w:r>
        <w:rPr/>
        <w:t>组合中，采用其他方法计提坏账准备的其他应收款：</w:t>
      </w:r>
    </w:p>
    <w:p>
      <w:pPr>
        <w:pStyle w:val="BodyText"/>
        <w:spacing w:line="273"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638" w:right="226"/>
        <w:jc w:val="left"/>
      </w:pPr>
      <w:r>
        <w:rPr/>
        <w:t>本期计提坏账准备金额</w:t>
      </w:r>
      <w:r>
        <w:rPr>
          <w:spacing w:val="-55"/>
        </w:rPr>
        <w:t> </w:t>
      </w:r>
      <w:r>
        <w:rPr>
          <w:rFonts w:ascii="宋体" w:hAnsi="宋体" w:cs="宋体" w:eastAsia="宋体" w:hint="default"/>
        </w:rPr>
        <w:t>2,392,335</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456,557</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3" w:lineRule="exact"/>
        <w:ind w:right="2760"/>
        <w:jc w:val="left"/>
      </w:pPr>
      <w:r>
        <w:rPr/>
        <w:t>其中本期坏账准备转回或收回金额重要的：</w:t>
      </w:r>
    </w:p>
    <w:p>
      <w:pPr>
        <w:pStyle w:val="BodyText"/>
        <w:spacing w:line="273"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w:t>
      </w:r>
      <w:r>
        <w:rPr/>
        <w:t>本期实际核销的其他应收款情况</w:t>
      </w:r>
      <w:r>
        <w:rPr>
          <w:b w:val="0"/>
          <w:bCs w:val="0"/>
        </w:rPr>
      </w:r>
    </w:p>
    <w:p>
      <w:pPr>
        <w:pStyle w:val="BodyText"/>
        <w:spacing w:line="240" w:lineRule="auto" w:before="56"/>
        <w:ind w:right="4900"/>
        <w:jc w:val="left"/>
      </w:pPr>
      <w:r>
        <w:rPr/>
        <w:t>□适用</w:t>
      </w:r>
      <w:r>
        <w:rPr>
          <w:spacing w:val="-2"/>
        </w:rPr>
        <w:t> </w:t>
      </w:r>
      <w:r>
        <w:rPr/>
        <w:t>√不适用</w:t>
      </w:r>
      <w:r>
        <w:rPr>
          <w:w w:val="100"/>
        </w:rPr>
        <w:t> </w:t>
      </w:r>
      <w:r>
        <w:rPr>
          <w:spacing w:val="-2"/>
        </w:rPr>
        <w:t>其中重要的其他应收款核销情况：</w:t>
      </w:r>
    </w:p>
    <w:p>
      <w:pPr>
        <w:pStyle w:val="BodyText"/>
        <w:spacing w:line="274" w:lineRule="exact" w:before="23"/>
        <w:ind w:right="6307"/>
        <w:jc w:val="left"/>
      </w:pPr>
      <w:r>
        <w:rPr/>
        <w:t>□适用</w:t>
      </w:r>
      <w:r>
        <w:rPr>
          <w:spacing w:val="-2"/>
        </w:rPr>
        <w:t> </w:t>
      </w:r>
      <w:r>
        <w:rPr/>
        <w:t>√不适用</w:t>
      </w:r>
      <w:r>
        <w:rPr>
          <w:w w:val="100"/>
        </w:rPr>
        <w:t> </w:t>
      </w:r>
      <w:r>
        <w:rPr>
          <w:spacing w:val="-2"/>
        </w:rPr>
        <w:t>其他应收款核销说明：</w:t>
      </w:r>
    </w:p>
    <w:p>
      <w:pPr>
        <w:pStyle w:val="BodyText"/>
        <w:spacing w:line="246"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3"/>
        <w:jc w:val="left"/>
        <w:rPr>
          <w:b w:val="0"/>
          <w:bCs w:val="0"/>
        </w:rPr>
      </w:pPr>
      <w:r>
        <w:rPr>
          <w:rFonts w:ascii="宋体" w:hAnsi="宋体" w:cs="宋体" w:eastAsia="宋体" w:hint="default"/>
          <w:spacing w:val="-1"/>
        </w:rPr>
        <w:t>(4).</w:t>
      </w:r>
      <w:r>
        <w:rPr>
          <w:spacing w:val="-1"/>
        </w:rPr>
        <w:t>其他应收款按款项性质分类情况</w:t>
      </w:r>
      <w:r>
        <w:rPr>
          <w:b w:val="0"/>
          <w:bCs w:val="0"/>
          <w:spacing w:val="-1"/>
        </w:rPr>
      </w:r>
    </w:p>
    <w:p>
      <w:pPr>
        <w:pStyle w:val="BodyText"/>
        <w:spacing w:line="240" w:lineRule="auto" w:before="58"/>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93" w:space="29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25,195,137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44,781,912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23,297,363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7,307,665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166,552,396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140,891,018</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5,762,881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11,828,759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220,807,777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204,809,354</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48" w:top="1300" w:bottom="1440" w:left="1580" w:right="1040"/>
        </w:sectPr>
      </w:pPr>
    </w:p>
    <w:p>
      <w:pPr>
        <w:pStyle w:val="Heading4"/>
        <w:spacing w:line="240" w:lineRule="auto" w:before="36"/>
        <w:ind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489" w:space="103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44"/>
        <w:gridCol w:w="1426"/>
        <w:gridCol w:w="1572"/>
        <w:gridCol w:w="1286"/>
        <w:gridCol w:w="1409"/>
        <w:gridCol w:w="1058"/>
      </w:tblGrid>
      <w:tr>
        <w:trPr>
          <w:trHeight w:val="82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19" w:right="6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项目筹备金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6.88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152,000</w:t>
            </w:r>
          </w:p>
        </w:tc>
      </w:tr>
      <w:tr>
        <w:trPr>
          <w:trHeight w:val="28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13,235,546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5.99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132,355</w:t>
            </w:r>
          </w:p>
        </w:tc>
      </w:tr>
      <w:tr>
        <w:trPr>
          <w:trHeight w:val="283"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8,985,500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129,048</w:t>
            </w:r>
          </w:p>
        </w:tc>
      </w:tr>
      <w:tr>
        <w:trPr>
          <w:trHeight w:val="28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166,500</w:t>
            </w:r>
          </w:p>
        </w:tc>
      </w:tr>
      <w:tr>
        <w:trPr>
          <w:trHeight w:val="28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2,450,000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1.11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24,500</w:t>
            </w:r>
          </w:p>
        </w:tc>
      </w:tr>
      <w:tr>
        <w:trPr>
          <w:trHeight w:val="283"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43,201,046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19.56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604,403</w:t>
            </w:r>
          </w:p>
        </w:tc>
      </w:tr>
    </w:tbl>
    <w:p>
      <w:pPr>
        <w:spacing w:line="240" w:lineRule="auto" w:before="12"/>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060" w:val="left" w:leader="none"/>
        </w:tabs>
        <w:spacing w:line="240" w:lineRule="auto" w:before="56"/>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060" w:val="left" w:leader="none"/>
        </w:tabs>
        <w:spacing w:line="272" w:lineRule="exact" w:before="86"/>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9" w:lineRule="exact"/>
        <w:ind w:right="276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10</w:t>
      </w:r>
      <w:r>
        <w:rPr/>
        <w:t>、存货</w:t>
      </w:r>
      <w:r>
        <w:rPr>
          <w:b w:val="0"/>
          <w:bCs w:val="0"/>
        </w:rPr>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存货分类</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10"/>
        <w:gridCol w:w="1441"/>
        <w:gridCol w:w="1123"/>
        <w:gridCol w:w="1433"/>
        <w:gridCol w:w="1435"/>
        <w:gridCol w:w="1124"/>
        <w:gridCol w:w="1430"/>
      </w:tblGrid>
      <w:tr>
        <w:trPr>
          <w:trHeight w:val="281"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07"/>
              <w:ind w:left="23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10"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139,780,717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10,013,171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129,767,546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111,024,927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7,615,587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103,409,340</w:t>
            </w:r>
          </w:p>
        </w:tc>
      </w:tr>
      <w:tr>
        <w:trPr>
          <w:trHeight w:val="281"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1,038,919,463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75,919,367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963,000,096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974,508,357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73,688,179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900,820,178</w:t>
            </w:r>
          </w:p>
        </w:tc>
      </w:tr>
      <w:tr>
        <w:trPr>
          <w:trHeight w:val="284"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12,689,246</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12,689,246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58,668,671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155,260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58,513,411</w:t>
            </w:r>
          </w:p>
        </w:tc>
      </w:tr>
      <w:tr>
        <w:trPr>
          <w:trHeight w:val="283"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1,191,389,426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85,932,538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1,105,456,888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1,144,201,955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81,459,026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1,062,742,929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tabs>
          <w:tab w:pos="849" w:val="left" w:leader="none"/>
        </w:tabs>
        <w:spacing w:line="240" w:lineRule="auto" w:before="36"/>
        <w:ind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4"/>
        <w:gridCol w:w="1419"/>
        <w:gridCol w:w="1277"/>
        <w:gridCol w:w="852"/>
        <w:gridCol w:w="1419"/>
        <w:gridCol w:w="1424"/>
        <w:gridCol w:w="1555"/>
      </w:tblGrid>
      <w:tr>
        <w:trPr>
          <w:trHeight w:val="281" w:hRule="exact"/>
        </w:trPr>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119"/>
              <w:ind w:left="3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19"/>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19"/>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10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5"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5" w:type="dxa"/>
            <w:vMerge/>
            <w:tcBorders>
              <w:left w:val="single" w:sz="4" w:space="0" w:color="000000"/>
              <w:bottom w:val="single" w:sz="4" w:space="0" w:color="000000"/>
              <w:right w:val="single" w:sz="4" w:space="0" w:color="000000"/>
            </w:tcBorders>
          </w:tcPr>
          <w:p>
            <w:pPr/>
          </w:p>
        </w:tc>
      </w:tr>
      <w:tr>
        <w:trPr>
          <w:trHeight w:val="281"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7,615,587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3,567,306</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1,169,722</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10,013,171</w:t>
            </w:r>
          </w:p>
        </w:tc>
      </w:tr>
      <w:tr>
        <w:trPr>
          <w:trHeight w:val="283"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73,688,179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center"/>
              <w:rPr>
                <w:rFonts w:ascii="宋体" w:hAnsi="宋体" w:cs="宋体" w:eastAsia="宋体" w:hint="default"/>
                <w:sz w:val="21"/>
                <w:szCs w:val="21"/>
              </w:rPr>
            </w:pPr>
            <w:r>
              <w:rPr>
                <w:rFonts w:ascii="宋体"/>
                <w:sz w:val="21"/>
              </w:rPr>
              <w:t>5,612,313</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3,381,125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75,919,367</w:t>
            </w:r>
          </w:p>
        </w:tc>
      </w:tr>
      <w:tr>
        <w:trPr>
          <w:trHeight w:val="283"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155,260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155,260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81,459,026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9,179,619</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1,324,982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3,381,125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85,932,538</w:t>
            </w:r>
          </w:p>
        </w:tc>
      </w:tr>
    </w:tbl>
    <w:p>
      <w:pPr>
        <w:pStyle w:val="BodyText"/>
        <w:spacing w:line="241" w:lineRule="exact"/>
        <w:ind w:left="638" w:right="2760"/>
        <w:jc w:val="left"/>
      </w:pPr>
      <w:r>
        <w:rPr/>
        <w:t>注：其他主要为合并范围变化影响所致。</w:t>
      </w:r>
    </w:p>
    <w:p>
      <w:pPr>
        <w:spacing w:after="0" w:line="241" w:lineRule="exact"/>
        <w:jc w:val="left"/>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pStyle w:val="Heading4"/>
        <w:tabs>
          <w:tab w:pos="849" w:val="left" w:leader="none"/>
        </w:tabs>
        <w:spacing w:line="240" w:lineRule="auto" w:before="36"/>
        <w:ind w:right="276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ind w:right="276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tabs>
          <w:tab w:pos="1060" w:val="left" w:leader="none"/>
        </w:tabs>
        <w:spacing w:line="271" w:lineRule="exact"/>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17"/>
          <w:szCs w:val="17"/>
        </w:rPr>
      </w:pPr>
    </w:p>
    <w:p>
      <w:pPr>
        <w:pStyle w:val="Heading4"/>
        <w:spacing w:line="240" w:lineRule="auto"/>
        <w:ind w:right="276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229"/>
        <w:gridCol w:w="2868"/>
        <w:gridCol w:w="2794"/>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5"/>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620,725,370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800,288,466</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预交税费</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30,480,047</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29,527,816</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1,806,571</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1,821,829</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待摊房产税</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189,422</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191,866</w:t>
            </w: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2,140,372</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3,359,592</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655,341,782</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835,189,569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
        </w:rPr>
        <w:t> </w:t>
      </w:r>
      <w:r>
        <w:rPr/>
        <w:t>可供出售金融资产情况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56" w:space="366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70"/>
        <w:gridCol w:w="1145"/>
        <w:gridCol w:w="1130"/>
        <w:gridCol w:w="1112"/>
        <w:gridCol w:w="1111"/>
        <w:gridCol w:w="1114"/>
        <w:gridCol w:w="1114"/>
      </w:tblGrid>
      <w:tr>
        <w:trPr>
          <w:trHeight w:val="283" w:hRule="exact"/>
        </w:trPr>
        <w:tc>
          <w:tcPr>
            <w:tcW w:w="21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170"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63,182,936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24,937,106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38,245,830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31,990,446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26,137,106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5,853,340</w:t>
            </w:r>
          </w:p>
        </w:tc>
      </w:tr>
      <w:tr>
        <w:trPr>
          <w:trHeight w:val="28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34,192,490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34,192,490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28,990,446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24,937,106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4,053,340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31,990,446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26,137,106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5,853,340</w:t>
            </w:r>
          </w:p>
        </w:tc>
      </w:tr>
      <w:tr>
        <w:trPr>
          <w:trHeight w:val="28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63,182,936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24,937,106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38,245,830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31,990,446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26,137,106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5,853,340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2"/>
        </w:rPr>
        <w:t> </w:t>
      </w:r>
      <w:r>
        <w:rPr/>
        <w:t>期末按公允价值计量的可供出售金融资产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543" w:space="197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1560"/>
        <w:gridCol w:w="1983"/>
        <w:gridCol w:w="1286"/>
      </w:tblGrid>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34,762,373</w:t>
            </w:r>
          </w:p>
        </w:tc>
        <w:tc>
          <w:tcPr>
            <w:tcW w:w="198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34,762,373</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34,192,490</w:t>
            </w:r>
          </w:p>
        </w:tc>
        <w:tc>
          <w:tcPr>
            <w:tcW w:w="198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34,192,490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-569,883</w:t>
            </w:r>
          </w:p>
        </w:tc>
        <w:tc>
          <w:tcPr>
            <w:tcW w:w="198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-569,883</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
        <w:rPr>
          <w:rFonts w:ascii="宋体" w:hAnsi="宋体" w:cs="宋体" w:eastAsia="宋体" w:hint="default"/>
          <w:sz w:val="6"/>
          <w:szCs w:val="6"/>
        </w:rPr>
      </w:pPr>
    </w:p>
    <w:p>
      <w:pPr>
        <w:spacing w:line="360" w:lineRule="exact"/>
        <w:ind w:left="622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82"/>
          <w:footerReference w:type="default" r:id="rId83"/>
          <w:pgSz w:w="16840" w:h="11910" w:orient="landscape"/>
          <w:pgMar w:header="0" w:footer="0" w:top="860" w:bottom="280" w:left="1220" w:right="1300"/>
        </w:sectPr>
      </w:pPr>
    </w:p>
    <w:p>
      <w:pPr>
        <w:pStyle w:val="Heading4"/>
        <w:spacing w:line="240" w:lineRule="auto" w:before="36"/>
        <w:ind w:left="220" w:right="0"/>
        <w:jc w:val="left"/>
        <w:rPr>
          <w:b w:val="0"/>
          <w:bCs w:val="0"/>
        </w:rPr>
      </w:pPr>
      <w:r>
        <w:rPr>
          <w:rFonts w:ascii="宋体" w:hAnsi="宋体" w:cs="宋体" w:eastAsia="宋体" w:hint="default"/>
        </w:rPr>
        <w:t>(3).</w:t>
      </w:r>
      <w:r>
        <w:rPr>
          <w:rFonts w:ascii="宋体" w:hAnsi="宋体" w:cs="宋体" w:eastAsia="宋体" w:hint="default"/>
          <w:spacing w:val="-1"/>
        </w:rPr>
        <w:t> </w:t>
      </w:r>
      <w:r>
        <w:rPr/>
        <w:t>期末按成本计量的可供出售金融资产</w:t>
      </w:r>
      <w:r>
        <w:rPr>
          <w:b w:val="0"/>
          <w:bCs w:val="0"/>
        </w:rPr>
      </w:r>
    </w:p>
    <w:p>
      <w:pPr>
        <w:pStyle w:val="BodyText"/>
        <w:spacing w:line="240" w:lineRule="auto" w:before="56"/>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9054" w:space="2508"/>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56"/>
        <w:gridCol w:w="1441"/>
        <w:gridCol w:w="766"/>
        <w:gridCol w:w="1397"/>
        <w:gridCol w:w="1296"/>
        <w:gridCol w:w="1418"/>
        <w:gridCol w:w="850"/>
        <w:gridCol w:w="1421"/>
        <w:gridCol w:w="1416"/>
        <w:gridCol w:w="994"/>
        <w:gridCol w:w="936"/>
      </w:tblGrid>
      <w:tr>
        <w:trPr>
          <w:trHeight w:val="718"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756" w:right="755"/>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8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1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0"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94" w:type="dxa"/>
            <w:vMerge w:val="restart"/>
            <w:tcBorders>
              <w:top w:val="single" w:sz="4" w:space="0" w:color="000000"/>
              <w:left w:val="single" w:sz="4" w:space="0" w:color="000000"/>
              <w:right w:val="single" w:sz="4" w:space="0" w:color="000000"/>
            </w:tcBorders>
          </w:tcPr>
          <w:p>
            <w:pPr>
              <w:pStyle w:val="TableParagraph"/>
              <w:spacing w:line="237" w:lineRule="auto" w:before="81"/>
              <w:ind w:left="175" w:right="173"/>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148" w:right="14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605" w:hRule="exact"/>
        </w:trPr>
        <w:tc>
          <w:tcPr>
            <w:tcW w:w="2156"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65" w:right="16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484" w:right="479"/>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11" w:right="20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494" w:right="494"/>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99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w:t>
            </w:r>
          </w:p>
        </w:tc>
        <w:tc>
          <w:tcPr>
            <w:tcW w:w="76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天津神舟通用数据技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w:t>
            </w:r>
          </w:p>
        </w:tc>
        <w:tc>
          <w:tcPr>
            <w:tcW w:w="76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17,241</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Appconomy, Inc.</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24,937,106</w:t>
            </w:r>
          </w:p>
        </w:tc>
        <w:tc>
          <w:tcPr>
            <w:tcW w:w="76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24,937,106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24,937,106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24,937,106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0.00</w:t>
            </w:r>
          </w:p>
        </w:tc>
      </w:tr>
      <w:tr>
        <w:trPr>
          <w:trHeight w:val="5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Computer Science</w:t>
            </w:r>
          </w:p>
          <w:p>
            <w:pPr>
              <w:pStyle w:val="TableParagraph"/>
              <w:spacing w:line="274" w:lineRule="exact"/>
              <w:ind w:left="103" w:right="0"/>
              <w:jc w:val="left"/>
              <w:rPr>
                <w:rFonts w:ascii="宋体" w:hAnsi="宋体" w:cs="宋体" w:eastAsia="宋体" w:hint="default"/>
                <w:sz w:val="21"/>
                <w:szCs w:val="21"/>
              </w:rPr>
            </w:pPr>
            <w:r>
              <w:rPr>
                <w:rFonts w:ascii="宋体"/>
                <w:sz w:val="21"/>
              </w:rPr>
              <w:t>Institute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1,053,340</w:t>
            </w:r>
          </w:p>
        </w:tc>
        <w:tc>
          <w:tcPr>
            <w:tcW w:w="76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1,053,340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8.30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0.00</w:t>
            </w:r>
          </w:p>
        </w:tc>
      </w:tr>
      <w:tr>
        <w:trPr>
          <w:trHeight w:val="290"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31,990,446</w:t>
            </w:r>
          </w:p>
        </w:tc>
        <w:tc>
          <w:tcPr>
            <w:tcW w:w="76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28,990,446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26,137,106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24,937,106</w:t>
            </w:r>
          </w:p>
        </w:tc>
        <w:tc>
          <w:tcPr>
            <w:tcW w:w="99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17,241</w:t>
            </w:r>
          </w:p>
        </w:tc>
      </w:tr>
    </w:tbl>
    <w:p>
      <w:pPr>
        <w:spacing w:line="240" w:lineRule="auto" w:before="5"/>
        <w:rPr>
          <w:rFonts w:ascii="宋体" w:hAnsi="宋体" w:cs="宋体" w:eastAsia="宋体" w:hint="default"/>
          <w:sz w:val="15"/>
          <w:szCs w:val="15"/>
        </w:rPr>
      </w:pPr>
    </w:p>
    <w:p>
      <w:pPr>
        <w:pStyle w:val="BodyText"/>
        <w:spacing w:line="240" w:lineRule="auto" w:before="36"/>
        <w:ind w:left="640" w:right="0"/>
        <w:jc w:val="left"/>
      </w:pPr>
      <w:r>
        <w:rPr>
          <w:spacing w:val="-2"/>
        </w:rPr>
        <w:t>说明：本集团上述投资单位，均为未上市的公司，在活跃市场无公开报价，其公允价值无法可靠计量，截止本报告日无处置上述资产的意图。</w:t>
      </w:r>
      <w:r>
        <w:rPr>
          <w:spacing w:val="12"/>
        </w:rPr>
        <w:t> </w:t>
      </w:r>
      <w:r>
        <w:rPr>
          <w:spacing w:val="12"/>
        </w:rPr>
      </w:r>
      <w:r>
        <w:rPr/>
        <w:t>注：详见附注十六、</w:t>
      </w:r>
      <w:r>
        <w:rPr>
          <w:rFonts w:ascii="宋体" w:hAnsi="宋体" w:cs="宋体" w:eastAsia="宋体" w:hint="default"/>
        </w:rPr>
        <w:t>8</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580" w:bottom="280" w:left="1220" w:right="1300"/>
        </w:sectPr>
      </w:pPr>
    </w:p>
    <w:p>
      <w:pPr>
        <w:pStyle w:val="Heading4"/>
        <w:spacing w:line="240" w:lineRule="auto" w:before="36"/>
        <w:ind w:left="220" w:right="-19"/>
        <w:jc w:val="left"/>
        <w:rPr>
          <w:b w:val="0"/>
          <w:bCs w:val="0"/>
        </w:rPr>
      </w:pPr>
      <w:r>
        <w:rPr>
          <w:rFonts w:ascii="宋体" w:hAnsi="宋体" w:cs="宋体" w:eastAsia="宋体" w:hint="default"/>
        </w:rPr>
        <w:t>(4). </w:t>
      </w:r>
      <w:r>
        <w:rPr/>
        <w:t>报告期内可供出售金融资产减值的变动情况</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4757" w:space="6806"/>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795"/>
        <w:gridCol w:w="2902"/>
        <w:gridCol w:w="2905"/>
        <w:gridCol w:w="2489"/>
      </w:tblGrid>
      <w:tr>
        <w:trPr>
          <w:trHeight w:val="283"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1"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26,137,106</w:t>
            </w: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26,137,106</w:t>
            </w:r>
          </w:p>
        </w:tc>
      </w:tr>
      <w:tr>
        <w:trPr>
          <w:trHeight w:val="284"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902" w:type="dxa"/>
            <w:tcBorders>
              <w:top w:val="single" w:sz="4" w:space="0" w:color="000000"/>
              <w:left w:val="single" w:sz="4" w:space="0" w:color="000000"/>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902" w:type="dxa"/>
            <w:tcBorders>
              <w:top w:val="single" w:sz="4" w:space="0" w:color="000000"/>
              <w:left w:val="single" w:sz="4" w:space="0" w:color="000000"/>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w:t>
            </w: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w:t>
            </w:r>
          </w:p>
        </w:tc>
      </w:tr>
      <w:tr>
        <w:trPr>
          <w:trHeight w:val="281"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24,937,106</w:t>
            </w:r>
          </w:p>
        </w:tc>
        <w:tc>
          <w:tcPr>
            <w:tcW w:w="2905"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24,937,106</w:t>
            </w:r>
          </w:p>
        </w:tc>
      </w:tr>
    </w:tbl>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120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pStyle w:val="Heading4"/>
        <w:spacing w:line="240" w:lineRule="auto" w:before="36"/>
        <w:ind w:right="226"/>
        <w:jc w:val="left"/>
        <w:rPr>
          <w:b w:val="0"/>
          <w:bCs w:val="0"/>
        </w:rPr>
      </w:pPr>
      <w:r>
        <w:rPr>
          <w:rFonts w:ascii="宋体" w:hAnsi="宋体" w:cs="宋体" w:eastAsia="宋体" w:hint="default"/>
        </w:rPr>
        <w:t>(5).</w:t>
      </w:r>
      <w:r>
        <w:rPr>
          <w:rFonts w:ascii="宋体" w:hAnsi="宋体" w:cs="宋体" w:eastAsia="宋体" w:hint="default"/>
          <w:spacing w:val="-6"/>
        </w:rPr>
        <w:t> </w:t>
      </w:r>
      <w:r>
        <w:rPr/>
        <w:t>可供出售权益工具期末公允价值严重下跌或非暂时性下跌但未计提减值准备的相关说明：</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9" w:lineRule="exact"/>
        <w:ind w:right="276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Heading4"/>
        <w:spacing w:line="273" w:lineRule="exact"/>
        <w:ind w:right="2760"/>
        <w:jc w:val="left"/>
        <w:rPr>
          <w:b w:val="0"/>
          <w:bCs w:val="0"/>
        </w:rPr>
      </w:pPr>
      <w:r>
        <w:rPr>
          <w:rFonts w:ascii="宋体" w:hAnsi="宋体" w:cs="宋体" w:eastAsia="宋体" w:hint="default"/>
        </w:rPr>
        <w:t>(2).</w:t>
      </w:r>
      <w:r>
        <w:rPr/>
        <w:t>期末重要的持有至到期投资：</w:t>
      </w:r>
      <w:r>
        <w:rPr>
          <w:b w:val="0"/>
          <w:bCs w:val="0"/>
        </w:rPr>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4"/>
        <w:spacing w:line="274" w:lineRule="exact"/>
        <w:ind w:right="2760"/>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060" w:val="left" w:leader="none"/>
        </w:tabs>
        <w:spacing w:line="274" w:lineRule="exact"/>
        <w:ind w:right="276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其他说明：</w:t>
      </w:r>
    </w:p>
    <w:p>
      <w:pPr>
        <w:pStyle w:val="BodyText"/>
        <w:spacing w:line="273"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84"/>
          <w:footerReference w:type="default" r:id="rId85"/>
          <w:pgSz w:w="11910" w:h="16840"/>
          <w:pgMar w:header="946" w:footer="0" w:top="1300" w:bottom="280" w:left="1580" w:right="1040"/>
        </w:sectPr>
      </w:pPr>
    </w:p>
    <w:p>
      <w:pPr>
        <w:pStyle w:val="Heading4"/>
        <w:spacing w:line="240" w:lineRule="auto" w:before="36"/>
        <w:ind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9"/>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2"/>
        <w:gridCol w:w="1028"/>
        <w:gridCol w:w="1001"/>
        <w:gridCol w:w="1006"/>
        <w:gridCol w:w="1008"/>
        <w:gridCol w:w="1001"/>
        <w:gridCol w:w="1021"/>
        <w:gridCol w:w="924"/>
      </w:tblGrid>
      <w:tr>
        <w:trPr>
          <w:trHeight w:val="283" w:hRule="exact"/>
        </w:trPr>
        <w:tc>
          <w:tcPr>
            <w:tcW w:w="2062" w:type="dxa"/>
            <w:vMerge w:val="restart"/>
            <w:tcBorders>
              <w:top w:val="single" w:sz="4" w:space="0" w:color="000000"/>
              <w:left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24"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区间</w:t>
            </w:r>
          </w:p>
        </w:tc>
      </w:tr>
      <w:tr>
        <w:trPr>
          <w:trHeight w:val="288" w:hRule="exact"/>
        </w:trPr>
        <w:tc>
          <w:tcPr>
            <w:tcW w:w="2062" w:type="dxa"/>
            <w:vMerge/>
            <w:tcBorders>
              <w:left w:val="single" w:sz="4" w:space="0" w:color="000000"/>
              <w:bottom w:val="single" w:sz="6" w:space="0" w:color="000000"/>
              <w:right w:val="single" w:sz="4" w:space="0" w:color="000000"/>
            </w:tcBorders>
          </w:tcPr>
          <w:p>
            <w:pPr/>
          </w:p>
        </w:tc>
        <w:tc>
          <w:tcPr>
            <w:tcW w:w="102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81"/>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924" w:type="dxa"/>
            <w:vMerge/>
            <w:tcBorders>
              <w:left w:val="single" w:sz="4" w:space="0" w:color="000000"/>
              <w:bottom w:val="single" w:sz="6" w:space="0" w:color="000000"/>
              <w:right w:val="single" w:sz="4" w:space="0" w:color="000000"/>
            </w:tcBorders>
          </w:tcPr>
          <w:p>
            <w:pPr/>
          </w:p>
        </w:tc>
      </w:tr>
      <w:tr>
        <w:trPr>
          <w:trHeight w:val="288"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4,336,757</w:t>
            </w:r>
          </w:p>
        </w:tc>
        <w:tc>
          <w:tcPr>
            <w:tcW w:w="100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4,336,757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2,804,161</w:t>
            </w:r>
          </w:p>
        </w:tc>
        <w:tc>
          <w:tcPr>
            <w:tcW w:w="1001"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2,804,161</w:t>
            </w:r>
          </w:p>
        </w:tc>
        <w:tc>
          <w:tcPr>
            <w:tcW w:w="92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4,336,757</w:t>
            </w:r>
          </w:p>
        </w:tc>
        <w:tc>
          <w:tcPr>
            <w:tcW w:w="100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4,336,757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2,804,161</w:t>
            </w:r>
          </w:p>
        </w:tc>
        <w:tc>
          <w:tcPr>
            <w:tcW w:w="1001"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2,804,161</w:t>
            </w:r>
          </w:p>
        </w:tc>
        <w:tc>
          <w:tcPr>
            <w:tcW w:w="92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060" w:val="left" w:leader="none"/>
        </w:tabs>
        <w:spacing w:line="240" w:lineRule="auto" w:before="57"/>
        <w:ind w:right="276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580" w:right="1040"/>
        </w:sectPr>
      </w:pPr>
    </w:p>
    <w:p>
      <w:pPr>
        <w:spacing w:line="240" w:lineRule="auto" w:before="3"/>
        <w:rPr>
          <w:rFonts w:ascii="宋体" w:hAnsi="宋体" w:cs="宋体" w:eastAsia="宋体" w:hint="default"/>
          <w:sz w:val="19"/>
          <w:szCs w:val="19"/>
        </w:rPr>
      </w:pPr>
    </w:p>
    <w:p>
      <w:pPr>
        <w:pStyle w:val="BodyText"/>
        <w:spacing w:line="240" w:lineRule="auto"/>
        <w:ind w:right="-14"/>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18" w:right="0" w:firstLine="0"/>
        <w:jc w:val="left"/>
        <w:rPr>
          <w:rFonts w:ascii="Calibri" w:hAnsi="Calibri" w:cs="Calibri" w:eastAsia="Calibri" w:hint="default"/>
          <w:sz w:val="18"/>
          <w:szCs w:val="18"/>
        </w:rPr>
      </w:pPr>
      <w:r>
        <w:rPr/>
        <w:br w:type="column"/>
      </w:r>
      <w:r>
        <w:rPr>
          <w:rFonts w:ascii="Calibri"/>
          <w:b/>
          <w:sz w:val="18"/>
        </w:rPr>
        <w:t>121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580" w:right="1040"/>
          <w:cols w:num="2" w:equalWidth="0">
            <w:col w:w="3896" w:space="4241"/>
            <w:col w:w="1153"/>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86"/>
          <w:footerReference w:type="default" r:id="rId87"/>
          <w:pgSz w:w="16840" w:h="11910" w:orient="landscape"/>
          <w:pgMar w:header="946" w:footer="1248" w:top="1300" w:bottom="1440" w:left="700" w:right="700"/>
          <w:pgNumType w:start="122"/>
        </w:sectPr>
      </w:pPr>
    </w:p>
    <w:p>
      <w:pPr>
        <w:pStyle w:val="Heading4"/>
        <w:spacing w:line="240" w:lineRule="auto" w:before="36"/>
        <w:ind w:left="152"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152"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r>
      <w:r>
        <w:rPr>
          <w:spacing w:val="-2"/>
        </w:rPr>
        <w:t>币种：人民币</w:t>
      </w:r>
    </w:p>
    <w:p>
      <w:pPr>
        <w:spacing w:after="0" w:line="240" w:lineRule="auto"/>
        <w:jc w:val="left"/>
        <w:sectPr>
          <w:type w:val="continuous"/>
          <w:pgSz w:w="16840" w:h="11910" w:orient="landscape"/>
          <w:pgMar w:top="1580" w:bottom="280" w:left="700" w:right="700"/>
          <w:cols w:num="2" w:equalWidth="0">
            <w:col w:w="1924" w:space="10904"/>
            <w:col w:w="2612"/>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518"/>
        <w:gridCol w:w="1226"/>
        <w:gridCol w:w="958"/>
        <w:gridCol w:w="593"/>
        <w:gridCol w:w="1694"/>
        <w:gridCol w:w="1344"/>
        <w:gridCol w:w="1104"/>
        <w:gridCol w:w="1421"/>
        <w:gridCol w:w="826"/>
        <w:gridCol w:w="1229"/>
        <w:gridCol w:w="1227"/>
        <w:gridCol w:w="1054"/>
      </w:tblGrid>
      <w:tr>
        <w:trPr>
          <w:trHeight w:val="245"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0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26" w:type="dxa"/>
            <w:vMerge w:val="restart"/>
            <w:tcBorders>
              <w:top w:val="single" w:sz="4" w:space="0" w:color="000000"/>
              <w:left w:val="single" w:sz="4" w:space="0" w:color="000000"/>
              <w:right w:val="single" w:sz="4" w:space="0" w:color="000000"/>
            </w:tcBorders>
          </w:tcPr>
          <w:p>
            <w:pPr>
              <w:pStyle w:val="TableParagraph"/>
              <w:spacing w:line="232" w:lineRule="exact" w:before="117"/>
              <w:ind w:left="427" w:right="42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27" w:type="dxa"/>
            <w:vMerge w:val="restart"/>
            <w:tcBorders>
              <w:top w:val="single" w:sz="4" w:space="0" w:color="000000"/>
              <w:left w:val="single" w:sz="4" w:space="0" w:color="000000"/>
              <w:right w:val="single" w:sz="4" w:space="0" w:color="000000"/>
            </w:tcBorders>
          </w:tcPr>
          <w:p>
            <w:pPr>
              <w:pStyle w:val="TableParagraph"/>
              <w:spacing w:line="232" w:lineRule="exact" w:before="117"/>
              <w:ind w:left="427" w:right="42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054" w:type="dxa"/>
            <w:vMerge w:val="restart"/>
            <w:tcBorders>
              <w:top w:val="single" w:sz="4" w:space="0" w:color="000000"/>
              <w:left w:val="single" w:sz="4" w:space="0" w:color="000000"/>
              <w:right w:val="single" w:sz="4" w:space="0" w:color="000000"/>
            </w:tcBorders>
          </w:tcPr>
          <w:p>
            <w:pPr>
              <w:pStyle w:val="TableParagraph"/>
              <w:spacing w:line="232" w:lineRule="exact" w:before="117"/>
              <w:ind w:left="249" w:right="72"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75" w:hRule="exact"/>
        </w:trPr>
        <w:tc>
          <w:tcPr>
            <w:tcW w:w="2518"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权益法下确认的投资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损益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其他综合收益调</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宣告发放现金股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利或利润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准备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227"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45" w:hRule="exact"/>
        </w:trPr>
        <w:tc>
          <w:tcPr>
            <w:tcW w:w="151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吉林省政坤农民工信息服务有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8,000,000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-2,455,164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5,544,836</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8,000,000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-2,455,164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5,544,836</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9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诺基亚东软通信技术有限公司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76,547,879</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7,909,021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84,456,900</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11,907,168</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-851,411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447,761</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11,503,518</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日电东软信息技术有限公司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8,890,721</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-2,106,155</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6,784,566</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沈阳东软系统集成工程有限公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28,084,251</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6,763,131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pacing w:val="-1"/>
                <w:sz w:val="18"/>
              </w:rPr>
              <w:t>97,666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34,945,048</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邯郸云计算中心有限公司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10,790,092</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520,312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11,310,404</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90,617,166</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-9,495,301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-4,445,989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5,787,082</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82,462,958</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沈阳东软医疗系统有限公司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1,112,566,405</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19,461,311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984,835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79,716,849</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34,070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1,212,763,470</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东软熙康控股有限公司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436,716,830</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-63,533,027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-15,439,794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110,299,724</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-30,889,221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437,154,512</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睿驰达新能源汽车运营服务邯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郸有限公司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17,261,537</w:t>
            </w: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-1,710,572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15,550,965</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汉朗网络信息科技（北京）有限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7,500,000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-807,061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327,869</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7,020,808</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天津天任大数据科技有限公司</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2,700,000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289,614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2,989,614</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东软（澄迈）置业有限公司（注</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-534,347</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46,256,500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45,722,153</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北京东软望海科技有限公司（注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1,008,740,298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1,008,740,298</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1,793,382,049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10,200,000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-44,094,485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-18,900,948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196,579,285</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1,024,239,313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2,961,405,214</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1,793,382,049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18,200,000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-46,549,649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-18,900,948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196,579,285</w:t>
            </w:r>
          </w:p>
        </w:tc>
        <w:tc>
          <w:tcPr>
            <w:tcW w:w="14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1,024,239,313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2,966,950,050</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7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74" w:lineRule="exact"/>
        <w:ind w:left="112" w:right="0"/>
        <w:jc w:val="left"/>
      </w:pPr>
      <w:r>
        <w:rPr/>
        <w:t>其他说明</w:t>
      </w:r>
    </w:p>
    <w:p>
      <w:pPr>
        <w:pStyle w:val="BodyText"/>
        <w:spacing w:line="272" w:lineRule="exact" w:before="27"/>
        <w:ind w:left="112" w:right="0" w:firstLine="420"/>
        <w:jc w:val="left"/>
      </w:pPr>
      <w:r>
        <w:rPr/>
        <w:t>注</w:t>
      </w:r>
      <w:r>
        <w:rPr>
          <w:spacing w:val="-53"/>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月，本公司出资参股设立吉林省政坤农民工信息服务有限公司，注册资本</w:t>
      </w:r>
      <w:r>
        <w:rPr>
          <w:spacing w:val="-53"/>
        </w:rPr>
        <w:t> </w:t>
      </w:r>
      <w:r>
        <w:rPr>
          <w:rFonts w:ascii="宋体" w:hAnsi="宋体" w:cs="宋体" w:eastAsia="宋体" w:hint="default"/>
        </w:rPr>
        <w:t>3,000</w:t>
      </w:r>
      <w:r>
        <w:rPr>
          <w:rFonts w:ascii="宋体" w:hAnsi="宋体" w:cs="宋体" w:eastAsia="宋体" w:hint="default"/>
          <w:spacing w:val="-55"/>
        </w:rPr>
        <w:t> </w:t>
      </w:r>
      <w:r>
        <w:rPr/>
        <w:t>万元，持股比例</w:t>
      </w:r>
      <w:r>
        <w:rPr>
          <w:spacing w:val="-52"/>
        </w:rPr>
        <w:t> </w:t>
      </w:r>
      <w:r>
        <w:rPr>
          <w:rFonts w:ascii="宋体" w:hAnsi="宋体" w:cs="宋体" w:eastAsia="宋体" w:hint="default"/>
        </w:rPr>
        <w:t>50%</w:t>
      </w:r>
      <w:r>
        <w:rPr/>
        <w:t>，报告期内实际出资</w:t>
      </w:r>
      <w:r>
        <w:rPr>
          <w:spacing w:val="-53"/>
        </w:rPr>
        <w:t> </w:t>
      </w:r>
      <w:r>
        <w:rPr>
          <w:rFonts w:ascii="宋体" w:hAnsi="宋体" w:cs="宋体" w:eastAsia="宋体" w:hint="default"/>
        </w:rPr>
        <w:t>800</w:t>
      </w:r>
      <w:r>
        <w:rPr>
          <w:rFonts w:ascii="宋体" w:hAnsi="宋体" w:cs="宋体" w:eastAsia="宋体" w:hint="default"/>
          <w:spacing w:val="-55"/>
        </w:rPr>
        <w:t> </w:t>
      </w:r>
      <w:r>
        <w:rPr/>
        <w:t>万元，自</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w w:val="100"/>
        </w:rPr>
        <w:t> </w:t>
      </w:r>
      <w:r>
        <w:rPr/>
        <w:t>月起将其作为合营公司权益法核算；</w:t>
      </w:r>
    </w:p>
    <w:p>
      <w:pPr>
        <w:pStyle w:val="BodyText"/>
        <w:spacing w:line="247" w:lineRule="exact"/>
        <w:ind w:left="532" w:right="0"/>
        <w:jc w:val="left"/>
      </w:pPr>
      <w:r>
        <w:rPr/>
        <w:t>注</w:t>
      </w:r>
      <w:r>
        <w:rPr>
          <w:spacing w:val="-54"/>
        </w:rPr>
        <w:t> </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月，本公司出资</w:t>
      </w:r>
      <w:r>
        <w:rPr>
          <w:spacing w:val="-54"/>
        </w:rPr>
        <w:t> </w:t>
      </w:r>
      <w:r>
        <w:rPr>
          <w:rFonts w:ascii="宋体" w:hAnsi="宋体" w:cs="宋体" w:eastAsia="宋体" w:hint="default"/>
        </w:rPr>
        <w:t>1,500</w:t>
      </w:r>
      <w:r>
        <w:rPr>
          <w:rFonts w:ascii="宋体" w:hAnsi="宋体" w:cs="宋体" w:eastAsia="宋体" w:hint="default"/>
          <w:spacing w:val="-54"/>
        </w:rPr>
        <w:t> </w:t>
      </w:r>
      <w:r>
        <w:rPr/>
        <w:t>万元认购汉朗网络信息科技（北京）有限公司（以下简称“汉朗”）新增发行的注册资本</w:t>
      </w:r>
      <w:r>
        <w:rPr>
          <w:spacing w:val="-53"/>
        </w:rPr>
        <w:t> </w:t>
      </w:r>
      <w:r>
        <w:rPr>
          <w:rFonts w:ascii="宋体" w:hAnsi="宋体" w:cs="宋体" w:eastAsia="宋体" w:hint="default"/>
        </w:rPr>
        <w:t>1,020,833</w:t>
      </w:r>
      <w:r>
        <w:rPr>
          <w:rFonts w:ascii="宋体" w:hAnsi="宋体" w:cs="宋体" w:eastAsia="宋体" w:hint="default"/>
          <w:spacing w:val="-54"/>
        </w:rPr>
        <w:t> </w:t>
      </w:r>
      <w:r>
        <w:rPr/>
        <w:t>元，占汉朗注册资本</w:t>
      </w:r>
    </w:p>
    <w:p>
      <w:pPr>
        <w:pStyle w:val="BodyText"/>
        <w:spacing w:line="240" w:lineRule="auto"/>
        <w:ind w:left="112" w:right="0"/>
        <w:jc w:val="left"/>
      </w:pPr>
      <w:r>
        <w:rPr/>
        <w:t>的</w:t>
      </w:r>
      <w:r>
        <w:rPr>
          <w:spacing w:val="-55"/>
        </w:rPr>
        <w:t> </w:t>
      </w:r>
      <w:r>
        <w:rPr>
          <w:rFonts w:ascii="宋体" w:hAnsi="宋体" w:cs="宋体" w:eastAsia="宋体" w:hint="default"/>
        </w:rPr>
        <w:t>6.83%</w:t>
      </w:r>
      <w:r>
        <w:rPr/>
        <w:t>，报告期内实际出资</w:t>
      </w:r>
      <w:r>
        <w:rPr>
          <w:spacing w:val="-55"/>
        </w:rPr>
        <w:t> </w:t>
      </w:r>
      <w:r>
        <w:rPr>
          <w:rFonts w:ascii="宋体" w:hAnsi="宋体" w:cs="宋体" w:eastAsia="宋体" w:hint="default"/>
        </w:rPr>
        <w:t>750</w:t>
      </w:r>
      <w:r>
        <w:rPr>
          <w:rFonts w:ascii="宋体" w:hAnsi="宋体" w:cs="宋体" w:eastAsia="宋体" w:hint="default"/>
          <w:spacing w:val="-55"/>
        </w:rPr>
        <w:t> </w:t>
      </w:r>
      <w:r>
        <w:rPr/>
        <w:t>万元，自</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4</w:t>
      </w:r>
      <w:r>
        <w:rPr>
          <w:rFonts w:ascii="宋体" w:hAnsi="宋体" w:cs="宋体" w:eastAsia="宋体" w:hint="default"/>
          <w:spacing w:val="-55"/>
        </w:rPr>
        <w:t> </w:t>
      </w:r>
      <w:r>
        <w:rPr/>
        <w:t>月起将其作为联营公司权益法核算；本公司对其持股比例虽在</w:t>
      </w:r>
      <w:r>
        <w:rPr>
          <w:spacing w:val="-55"/>
        </w:rPr>
        <w:t> </w:t>
      </w:r>
      <w:r>
        <w:rPr>
          <w:rFonts w:ascii="宋体" w:hAnsi="宋体" w:cs="宋体" w:eastAsia="宋体" w:hint="default"/>
        </w:rPr>
        <w:t>20%</w:t>
      </w:r>
      <w:r>
        <w:rPr/>
        <w:t>以下，但是本公司派出董事在董事会中占有重</w:t>
      </w:r>
      <w:r>
        <w:rPr>
          <w:w w:val="100"/>
        </w:rPr>
        <w:t> </w:t>
      </w:r>
      <w:r>
        <w:rPr/>
        <w:t>要席位，对其拥有重大影响。</w:t>
      </w:r>
    </w:p>
    <w:p>
      <w:pPr>
        <w:pStyle w:val="BodyText"/>
        <w:spacing w:line="274" w:lineRule="exact" w:before="23"/>
        <w:ind w:left="112" w:right="0" w:firstLine="420"/>
        <w:jc w:val="left"/>
      </w:pPr>
      <w:r>
        <w:rPr/>
        <w:t>注</w:t>
      </w:r>
      <w:r>
        <w:rPr>
          <w:spacing w:val="-54"/>
        </w:rPr>
        <w:t> </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月，本公司出资参股设立天津天任大数据科技有限公司，注册资本</w:t>
      </w:r>
      <w:r>
        <w:rPr>
          <w:spacing w:val="-54"/>
        </w:rPr>
        <w:t> </w:t>
      </w:r>
      <w:r>
        <w:rPr>
          <w:rFonts w:ascii="宋体" w:hAnsi="宋体" w:cs="宋体" w:eastAsia="宋体" w:hint="default"/>
        </w:rPr>
        <w:t>600</w:t>
      </w:r>
      <w:r>
        <w:rPr>
          <w:rFonts w:ascii="宋体" w:hAnsi="宋体" w:cs="宋体" w:eastAsia="宋体" w:hint="default"/>
          <w:spacing w:val="-56"/>
        </w:rPr>
        <w:t> </w:t>
      </w:r>
      <w:r>
        <w:rPr>
          <w:spacing w:val="-3"/>
        </w:rPr>
        <w:t>万元，持股比例</w:t>
      </w:r>
      <w:r>
        <w:rPr>
          <w:spacing w:val="-54"/>
        </w:rPr>
        <w:t> </w:t>
      </w:r>
      <w:r>
        <w:rPr>
          <w:rFonts w:ascii="宋体" w:hAnsi="宋体" w:cs="宋体" w:eastAsia="宋体" w:hint="default"/>
        </w:rPr>
        <w:t>45%</w:t>
      </w:r>
      <w:r>
        <w:rPr/>
        <w:t>，报告期内实际出资</w:t>
      </w:r>
      <w:r>
        <w:rPr>
          <w:spacing w:val="-53"/>
        </w:rPr>
        <w:t> </w:t>
      </w:r>
      <w:r>
        <w:rPr>
          <w:rFonts w:ascii="宋体" w:hAnsi="宋体" w:cs="宋体" w:eastAsia="宋体" w:hint="default"/>
        </w:rPr>
        <w:t>270</w:t>
      </w:r>
      <w:r>
        <w:rPr>
          <w:rFonts w:ascii="宋体" w:hAnsi="宋体" w:cs="宋体" w:eastAsia="宋体" w:hint="default"/>
          <w:spacing w:val="-56"/>
        </w:rPr>
        <w:t> </w:t>
      </w:r>
      <w:r>
        <w:rPr>
          <w:spacing w:val="-3"/>
        </w:rPr>
        <w:t>万元，自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月起将其</w:t>
      </w:r>
      <w:r>
        <w:rPr>
          <w:w w:val="100"/>
        </w:rPr>
        <w:t> </w:t>
      </w:r>
      <w:r>
        <w:rPr/>
        <w:t>作为联营公司权益法核算；</w:t>
      </w:r>
    </w:p>
    <w:p>
      <w:pPr>
        <w:pStyle w:val="BodyText"/>
        <w:spacing w:line="245" w:lineRule="exact"/>
        <w:ind w:left="532" w:right="0"/>
        <w:jc w:val="left"/>
      </w:pPr>
      <w:r>
        <w:rPr/>
        <w:t>注</w:t>
      </w:r>
      <w:r>
        <w:rPr>
          <w:spacing w:val="-55"/>
        </w:rPr>
        <w:t> </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月，大连熙康云舍发展有限公司（以下简称“大连云舍”）对本公司原间接全资子公司东软（澄迈）置业有限公司（以下简称“东软澄迈”）增</w:t>
      </w:r>
    </w:p>
    <w:p>
      <w:pPr>
        <w:pStyle w:val="BodyText"/>
        <w:spacing w:line="272" w:lineRule="exact"/>
        <w:ind w:left="112" w:right="0"/>
        <w:jc w:val="left"/>
      </w:pPr>
      <w:r>
        <w:rPr/>
        <w:t>资，取得东软澄迈</w:t>
      </w:r>
      <w:r>
        <w:rPr>
          <w:spacing w:val="-55"/>
        </w:rPr>
        <w:t> </w:t>
      </w:r>
      <w:r>
        <w:rPr>
          <w:rFonts w:ascii="宋体" w:hAnsi="宋体" w:cs="宋体" w:eastAsia="宋体" w:hint="default"/>
        </w:rPr>
        <w:t>51%</w:t>
      </w:r>
      <w:r>
        <w:rPr/>
        <w:t>的股权，本集团对东软澄迈的持股比例变更为</w:t>
      </w:r>
      <w:r>
        <w:rPr>
          <w:spacing w:val="-55"/>
        </w:rPr>
        <w:t> </w:t>
      </w:r>
      <w:r>
        <w:rPr>
          <w:rFonts w:ascii="宋体" w:hAnsi="宋体" w:cs="宋体" w:eastAsia="宋体" w:hint="default"/>
        </w:rPr>
        <w:t>49%</w:t>
      </w:r>
      <w:r>
        <w:rPr/>
        <w:t>，自</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月起作为联营公司权益法核算。</w:t>
      </w:r>
    </w:p>
    <w:p>
      <w:pPr>
        <w:pStyle w:val="BodyText"/>
        <w:spacing w:line="272" w:lineRule="exact" w:before="26"/>
        <w:ind w:left="112" w:right="0" w:firstLine="420"/>
        <w:jc w:val="left"/>
      </w:pPr>
      <w:r>
        <w:rPr/>
        <w:t>注</w:t>
      </w:r>
      <w:r>
        <w:rPr>
          <w:spacing w:val="-56"/>
        </w:rPr>
        <w:t> </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月，本公司原控股子公司北京东软望海科技有限公司（以下简称“东软望海”）引进投资者，使本公司持股比例下降至</w:t>
      </w:r>
      <w:r>
        <w:rPr>
          <w:spacing w:val="-56"/>
        </w:rPr>
        <w:t> </w:t>
      </w:r>
      <w:r>
        <w:rPr>
          <w:rFonts w:ascii="宋体" w:hAnsi="宋体" w:cs="宋体" w:eastAsia="宋体" w:hint="default"/>
        </w:rPr>
        <w:t>34.79%</w:t>
      </w:r>
      <w:r>
        <w:rPr/>
        <w:t>，对其丧失控制</w:t>
      </w:r>
      <w:r>
        <w:rPr>
          <w:w w:val="100"/>
        </w:rPr>
        <w:t> </w:t>
      </w:r>
      <w:r>
        <w:rPr/>
        <w:t>权，不再将其纳入合并财务报表范围，自</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月末起将其作为联营公司权益法核算。</w:t>
      </w:r>
    </w:p>
    <w:p>
      <w:pPr>
        <w:spacing w:after="0" w:line="272" w:lineRule="exact"/>
        <w:jc w:val="left"/>
        <w:sectPr>
          <w:pgSz w:w="16840" w:h="11910" w:orient="landscape"/>
          <w:pgMar w:header="946" w:footer="1248" w:top="1300" w:bottom="1440" w:left="740" w:right="7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88"/>
          <w:footerReference w:type="default" r:id="rId89"/>
          <w:pgSz w:w="11910" w:h="16840"/>
          <w:pgMar w:header="946" w:footer="1248" w:top="1300" w:bottom="1440" w:left="1580" w:right="1040"/>
          <w:pgNumType w:start="124"/>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71" w:lineRule="exact"/>
        <w:ind w:right="-18"/>
        <w:jc w:val="left"/>
        <w:rPr>
          <w:b w:val="0"/>
          <w:bCs w:val="0"/>
        </w:rPr>
      </w:pPr>
      <w:r>
        <w:rPr>
          <w:rFonts w:ascii="宋体" w:hAnsi="宋体" w:cs="宋体" w:eastAsia="宋体" w:hint="default"/>
        </w:rPr>
        <w:t>(1).</w:t>
      </w:r>
      <w:r>
        <w:rPr>
          <w:rFonts w:ascii="宋体" w:hAnsi="宋体" w:cs="宋体" w:eastAsia="宋体" w:hint="default"/>
          <w:spacing w:val="-3"/>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910" w:space="261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582"/>
        <w:gridCol w:w="1580"/>
        <w:gridCol w:w="1376"/>
        <w:gridCol w:w="1709"/>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624,642,196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64,034,336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688,676,532</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238,102,517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134,361,709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372,464,226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56,368,000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56,368,000</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181,734,517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134,361,709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316,096,226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63,645,826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63,645,826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50,078,820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50,078,820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1,374,861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1,374,861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）重分类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12,192,145</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
              <w:jc w:val="right"/>
              <w:rPr>
                <w:rFonts w:ascii="宋体" w:hAnsi="宋体" w:cs="宋体" w:eastAsia="宋体" w:hint="default"/>
                <w:sz w:val="21"/>
                <w:szCs w:val="21"/>
              </w:rPr>
            </w:pPr>
            <w:r>
              <w:rPr>
                <w:rFonts w:ascii="宋体"/>
                <w:spacing w:val="-1"/>
                <w:sz w:val="21"/>
              </w:rPr>
              <w:t>12,192,145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799,098,887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198,396,045</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997,494,932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81,206,266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6,862,760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88,069,026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26,758,228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16,131,129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42,889,357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23,773,410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2,854,186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26,627,596</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2,984,818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13,276,943</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16,261,761</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26,852,533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26,852,533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15,509,572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15,509,572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283,733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283,733</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）重分类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11,059,228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11,059,228</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81,111,961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22,993,889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104,105,850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717,986,926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175,402,156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893,389,082</w:t>
            </w:r>
          </w:p>
        </w:tc>
      </w:tr>
      <w:tr>
        <w:trPr>
          <w:trHeight w:val="30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543,435,930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57,171,576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600,607,506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2"/>
        </w:rPr>
        <w:t> </w:t>
      </w:r>
      <w:r>
        <w:rPr/>
        <w:t>未办妥产权证书的投资性房地产情况：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332" w:space="2189"/>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2268"/>
        <w:gridCol w:w="4405"/>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9"/>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3" w:right="0"/>
              <w:jc w:val="left"/>
              <w:rPr>
                <w:rFonts w:ascii="Times New Roman" w:hAnsi="Times New Roman" w:cs="Times New Roman" w:eastAsia="Times New Roman" w:hint="default"/>
                <w:sz w:val="21"/>
                <w:szCs w:val="21"/>
              </w:rPr>
            </w:pPr>
            <w:r>
              <w:rPr>
                <w:rFonts w:ascii="Times New Roman"/>
                <w:sz w:val="21"/>
              </w:rPr>
              <w:t>135,586,533</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待相关手续齐备后可取得产权证书</w:t>
            </w:r>
          </w:p>
        </w:tc>
      </w:tr>
    </w:tbl>
    <w:p>
      <w:pPr>
        <w:pStyle w:val="BodyText"/>
        <w:spacing w:line="239" w:lineRule="exact"/>
        <w:ind w:left="167" w:right="2760"/>
        <w:jc w:val="left"/>
      </w:pPr>
      <w:r>
        <w:rPr/>
        <w:t>其他说明</w:t>
      </w:r>
    </w:p>
    <w:p>
      <w:pPr>
        <w:pStyle w:val="BodyText"/>
        <w:spacing w:line="273" w:lineRule="exact"/>
        <w:ind w:left="167" w:right="2760"/>
        <w:jc w:val="left"/>
      </w:pPr>
      <w:r>
        <w:rPr/>
        <w:t>√适用 □不适用</w:t>
      </w:r>
    </w:p>
    <w:p>
      <w:pPr>
        <w:pStyle w:val="BodyText"/>
        <w:spacing w:line="274" w:lineRule="exact"/>
        <w:ind w:left="638" w:right="226"/>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日，投资性房地产抵押担保情况参见附注七、</w:t>
      </w:r>
      <w:r>
        <w:rPr>
          <w:rFonts w:ascii="宋体" w:hAnsi="宋体" w:cs="宋体" w:eastAsia="宋体" w:hint="default"/>
        </w:rPr>
        <w:t>78</w:t>
      </w:r>
      <w:r>
        <w:rPr/>
        <w:t>。</w:t>
      </w:r>
    </w:p>
    <w:p>
      <w:pPr>
        <w:spacing w:after="0" w:line="274" w:lineRule="exact"/>
        <w:jc w:val="left"/>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6" w:footer="1248" w:top="1300" w:bottom="1440" w:left="1660" w:right="1120"/>
        </w:sectPr>
      </w:pPr>
    </w:p>
    <w:p>
      <w:pPr>
        <w:pStyle w:val="Heading4"/>
        <w:spacing w:line="240" w:lineRule="auto" w:before="36"/>
        <w:ind w:left="13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8"/>
        <w:ind w:left="138" w:right="-19"/>
        <w:jc w:val="left"/>
        <w:rPr>
          <w:b w:val="0"/>
          <w:bCs w:val="0"/>
        </w:rPr>
      </w:pPr>
      <w:r>
        <w:rPr>
          <w:rFonts w:ascii="宋体" w:hAnsi="宋体" w:cs="宋体" w:eastAsia="宋体" w:hint="default"/>
        </w:rPr>
        <w:t>(1). </w:t>
      </w:r>
      <w:r>
        <w:rPr/>
        <w:t>固定资产情况</w:t>
      </w:r>
      <w:r>
        <w:rPr>
          <w:b w:val="0"/>
          <w:bCs w:val="0"/>
        </w:rPr>
      </w:r>
    </w:p>
    <w:p>
      <w:pPr>
        <w:pStyle w:val="BodyText"/>
        <w:spacing w:line="240" w:lineRule="auto" w:before="56"/>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1934" w:space="458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2"/>
        <w:gridCol w:w="1284"/>
        <w:gridCol w:w="1282"/>
        <w:gridCol w:w="1282"/>
        <w:gridCol w:w="1285"/>
        <w:gridCol w:w="1452"/>
      </w:tblGrid>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1,540,649,214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433,250,442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21,099,046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216,440,585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2,211,439,287</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363,914,889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87,587,670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22,595,496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37,508,309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511,606,364</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27,235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87,587,670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22,595,496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23,721,274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133,931,675</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351,695,509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13,787,035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365,482,544</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）重分类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12,192,145</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12,192,145</w:t>
            </w:r>
          </w:p>
        </w:tc>
      </w:tr>
      <w:tr>
        <w:trPr>
          <w:trHeight w:val="24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242,509,448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28,955,415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21,192,183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7,331,522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299,988,568</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25,557,804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21,192,183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7,324,409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54,074,396</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）重分类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181,734,517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181,734,517</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）企业合并减少</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3,314,407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3,314,407</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60,774,931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83,204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7,113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60,865,248</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1,662,054,655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491,882,697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22,502,359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246,617,372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2,423,057,083</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268,992,340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316,312,768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12,688,382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134,157,922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732,151,412</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55,416,739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61,542,589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4,082,063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13,363,973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134,405,364</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44,357,511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61,542,589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4,082,063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13,363,973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123,346,136</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）重分类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11,059,228</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11,059,228</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21,399,448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24,675,233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2,388,409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2,873,187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51,336,277</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23,669,372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2,388,409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2,866,074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28,923,855</w:t>
            </w:r>
          </w:p>
        </w:tc>
      </w:tr>
      <w:tr>
        <w:trPr>
          <w:trHeight w:val="24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）重分类</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2,984,818</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2,984,818</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）企业合并减少</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1,004,875</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1,004,875</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18,414,630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986</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7,113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18,422,729</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303,009,631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353,180,124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14,382,036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144,648,708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815,220,499</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41,641</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41,641</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3,611</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3,611</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3,611</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3,611</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38,030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38,030</w:t>
            </w: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1,359,045,024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138,664,543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8,120,323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101,968,664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1,607,798,554</w:t>
            </w:r>
          </w:p>
        </w:tc>
      </w:tr>
      <w:tr>
        <w:trPr>
          <w:trHeight w:val="24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1,271,656,874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116,896,033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8,410,664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82,282,663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1,479,246,234</w:t>
            </w:r>
          </w:p>
        </w:tc>
      </w:tr>
    </w:tbl>
    <w:p>
      <w:pPr>
        <w:spacing w:line="240" w:lineRule="auto" w:before="7"/>
        <w:rPr>
          <w:rFonts w:ascii="宋体" w:hAnsi="宋体" w:cs="宋体" w:eastAsia="宋体" w:hint="default"/>
          <w:sz w:val="15"/>
          <w:szCs w:val="15"/>
        </w:rPr>
      </w:pPr>
    </w:p>
    <w:p>
      <w:pPr>
        <w:pStyle w:val="BodyText"/>
        <w:spacing w:line="240" w:lineRule="auto" w:before="36"/>
        <w:ind w:left="558" w:right="146"/>
        <w:jc w:val="left"/>
      </w:pPr>
      <w:r>
        <w:rPr/>
        <w:t>注：截至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日，固定资产抵押担保情况参见附注七、</w:t>
      </w:r>
      <w:r>
        <w:rPr>
          <w:rFonts w:ascii="宋体" w:hAnsi="宋体" w:cs="宋体" w:eastAsia="宋体" w:hint="default"/>
        </w:rPr>
        <w:t>78</w:t>
      </w:r>
      <w:r>
        <w:rPr/>
        <w:t>。</w:t>
      </w:r>
    </w:p>
    <w:p>
      <w:pPr>
        <w:spacing w:line="240" w:lineRule="auto" w:before="0"/>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rPr>
        <w:t>(2).</w:t>
      </w:r>
      <w:r>
        <w:rPr>
          <w:rFonts w:ascii="宋体" w:hAnsi="宋体" w:cs="宋体" w:eastAsia="宋体" w:hint="default"/>
          <w:spacing w:val="-1"/>
        </w:rPr>
        <w:t> </w:t>
      </w:r>
      <w:r>
        <w:rPr/>
        <w:t>暂时闲置的固定资产情况</w:t>
      </w:r>
      <w:r>
        <w:rPr>
          <w:b w:val="0"/>
          <w:bCs w:val="0"/>
        </w:rPr>
      </w:r>
    </w:p>
    <w:p>
      <w:pPr>
        <w:pStyle w:val="BodyText"/>
        <w:spacing w:line="240" w:lineRule="auto" w:before="58"/>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rPr>
        <w:t>(3).</w:t>
      </w:r>
      <w:r>
        <w:rPr>
          <w:rFonts w:ascii="宋体" w:hAnsi="宋体" w:cs="宋体" w:eastAsia="宋体" w:hint="default"/>
          <w:spacing w:val="-3"/>
        </w:rPr>
        <w:t> </w:t>
      </w:r>
      <w:r>
        <w:rPr/>
        <w:t>通过融资租赁租入的固定资产情况</w:t>
      </w:r>
      <w:r>
        <w:rPr>
          <w:b w:val="0"/>
          <w:bCs w:val="0"/>
        </w:rPr>
      </w:r>
    </w:p>
    <w:p>
      <w:pPr>
        <w:pStyle w:val="BodyText"/>
        <w:spacing w:line="240" w:lineRule="auto" w:before="56"/>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rPr>
        <w:t>(4).</w:t>
      </w:r>
      <w:r>
        <w:rPr>
          <w:rFonts w:ascii="宋体" w:hAnsi="宋体" w:cs="宋体" w:eastAsia="宋体" w:hint="default"/>
          <w:spacing w:val="-3"/>
        </w:rPr>
        <w:t> </w:t>
      </w:r>
      <w:r>
        <w:rPr/>
        <w:t>通过经营租赁租出的固定资产</w:t>
      </w:r>
      <w:r>
        <w:rPr>
          <w:b w:val="0"/>
          <w:bCs w:val="0"/>
        </w:rPr>
      </w:r>
    </w:p>
    <w:p>
      <w:pPr>
        <w:pStyle w:val="BodyText"/>
        <w:spacing w:line="240" w:lineRule="auto" w:before="59"/>
        <w:ind w:left="138" w:right="146"/>
        <w:jc w:val="left"/>
      </w:pPr>
      <w:r>
        <w:rPr/>
        <w:t>□适用</w:t>
      </w:r>
      <w:r>
        <w:rPr>
          <w:spacing w:val="-1"/>
        </w:rPr>
        <w:t> </w:t>
      </w:r>
      <w:r>
        <w:rPr/>
        <w:t>√不适用</w:t>
      </w:r>
    </w:p>
    <w:p>
      <w:pPr>
        <w:spacing w:after="0" w:line="240" w:lineRule="auto"/>
        <w:jc w:val="left"/>
        <w:sectPr>
          <w:type w:val="continuous"/>
          <w:pgSz w:w="11910" w:h="16840"/>
          <w:pgMar w:top="1580" w:bottom="280" w:left="1660" w:right="112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90"/>
          <w:pgSz w:w="11910" w:h="16840"/>
          <w:pgMar w:header="946"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(5).</w:t>
      </w:r>
      <w:r>
        <w:rPr>
          <w:rFonts w:ascii="宋体" w:hAnsi="宋体" w:cs="宋体" w:eastAsia="宋体" w:hint="default"/>
          <w:spacing w:val="-3"/>
        </w:rPr>
        <w:t> </w:t>
      </w:r>
      <w:r>
        <w:rPr/>
        <w:t>未办妥产权证书的固定资产情况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6" w:right="0"/>
              <w:jc w:val="left"/>
              <w:rPr>
                <w:rFonts w:ascii="宋体" w:hAnsi="宋体" w:cs="宋体" w:eastAsia="宋体" w:hint="default"/>
                <w:sz w:val="21"/>
                <w:szCs w:val="21"/>
              </w:rPr>
            </w:pPr>
            <w:r>
              <w:rPr>
                <w:rFonts w:ascii="宋体"/>
                <w:sz w:val="21"/>
              </w:rPr>
              <w:t>367,144,209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相关手续准备、办理中</w:t>
            </w:r>
          </w:p>
        </w:tc>
      </w:tr>
    </w:tbl>
    <w:p>
      <w:pPr>
        <w:spacing w:line="240" w:lineRule="auto" w:before="7"/>
        <w:rPr>
          <w:rFonts w:ascii="宋体" w:hAnsi="宋体" w:cs="宋体" w:eastAsia="宋体" w:hint="default"/>
          <w:sz w:val="15"/>
          <w:szCs w:val="15"/>
        </w:rPr>
      </w:pPr>
    </w:p>
    <w:p>
      <w:pPr>
        <w:pStyle w:val="BodyText"/>
        <w:spacing w:line="273" w:lineRule="exact" w:before="36"/>
        <w:ind w:right="2760"/>
        <w:jc w:val="left"/>
      </w:pPr>
      <w:r>
        <w:rPr/>
        <w:t>其他说明：</w:t>
      </w:r>
    </w:p>
    <w:p>
      <w:pPr>
        <w:pStyle w:val="BodyText"/>
        <w:spacing w:line="273"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在建工程情况</w:t>
      </w:r>
      <w:r>
        <w:rPr>
          <w:b w:val="0"/>
          <w:bCs w:val="0"/>
        </w:rPr>
      </w:r>
    </w:p>
    <w:p>
      <w:pPr>
        <w:pStyle w:val="BodyText"/>
        <w:spacing w:line="240" w:lineRule="auto" w:before="5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93"/>
        <w:gridCol w:w="1217"/>
        <w:gridCol w:w="1118"/>
        <w:gridCol w:w="1217"/>
        <w:gridCol w:w="1217"/>
        <w:gridCol w:w="1117"/>
        <w:gridCol w:w="1217"/>
      </w:tblGrid>
      <w:tr>
        <w:trPr>
          <w:trHeight w:val="283" w:hRule="exact"/>
        </w:trPr>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93"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北京软件园</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289,824,799</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289,824,799</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2"/>
              <w:jc w:val="left"/>
              <w:rPr>
                <w:rFonts w:ascii="宋体" w:hAnsi="宋体" w:cs="宋体" w:eastAsia="宋体" w:hint="default"/>
                <w:sz w:val="21"/>
                <w:szCs w:val="21"/>
              </w:rPr>
            </w:pPr>
            <w:r>
              <w:rPr>
                <w:rFonts w:ascii="宋体" w:hAnsi="宋体" w:cs="宋体" w:eastAsia="宋体" w:hint="default"/>
                <w:spacing w:val="-1"/>
                <w:sz w:val="21"/>
                <w:szCs w:val="21"/>
              </w:rPr>
              <w:t>海南软件园</w:t>
            </w:r>
            <w:r>
              <w:rPr>
                <w:rFonts w:ascii="宋体" w:hAnsi="宋体" w:cs="宋体" w:eastAsia="宋体" w:hint="default"/>
                <w:spacing w:val="-1"/>
                <w:sz w:val="21"/>
                <w:szCs w:val="21"/>
              </w:rPr>
              <w:t>(</w:t>
            </w:r>
            <w:r>
              <w:rPr>
                <w:rFonts w:ascii="宋体" w:hAnsi="宋体" w:cs="宋体" w:eastAsia="宋体" w:hint="default"/>
                <w:spacing w:val="-1"/>
                <w:sz w:val="21"/>
                <w:szCs w:val="21"/>
              </w:rPr>
              <w:t>一期）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25,010,920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25,010,920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24,599,692</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24,599,692</w:t>
            </w:r>
          </w:p>
        </w:tc>
      </w:tr>
      <w:tr>
        <w:trPr>
          <w:trHeight w:val="28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停车楼项目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20,511,323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20,511,323</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望海项目管理系统</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94,493</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94,493</w:t>
            </w:r>
          </w:p>
        </w:tc>
      </w:tr>
      <w:tr>
        <w:trPr>
          <w:trHeight w:val="554"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3"/>
                <w:sz w:val="21"/>
                <w:szCs w:val="21"/>
              </w:rPr>
              <w:t> </w:t>
            </w:r>
            <w:r>
              <w:rPr>
                <w:rFonts w:ascii="宋体" w:hAnsi="宋体" w:cs="宋体" w:eastAsia="宋体" w:hint="default"/>
                <w:sz w:val="21"/>
                <w:szCs w:val="21"/>
              </w:rPr>
              <w:t>PACK“0”号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生产线</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sz w:val="21"/>
              </w:rPr>
              <w:t>155,667</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sz w:val="21"/>
              </w:rPr>
              <w:t>155,667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5,899,257</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5,899,257</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睿驰厂房工程</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13,062,290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13,062,290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睿驰机械设备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20,782,535</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20,782,535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山东通信产业园</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22,547,632</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sz w:val="21"/>
              </w:rPr>
              <w:t>22,547,632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22,547,632</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22,547,632</w:t>
            </w: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会议中心改造</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3,213,448</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3,213,448</w:t>
            </w:r>
          </w:p>
        </w:tc>
      </w:tr>
      <w:tr>
        <w:trPr>
          <w:trHeight w:val="281"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办公楼改造</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43,959,203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43,959,203</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大学城二期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914,011</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914,011</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146,943,581</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146,943,581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346,179,321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346,179,321</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
        <w:rPr>
          <w:rFonts w:ascii="宋体" w:hAnsi="宋体" w:cs="宋体" w:eastAsia="宋体" w:hint="default"/>
          <w:sz w:val="6"/>
          <w:szCs w:val="6"/>
        </w:rPr>
      </w:pPr>
    </w:p>
    <w:p>
      <w:pPr>
        <w:spacing w:line="360" w:lineRule="exact"/>
        <w:ind w:left="614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91"/>
          <w:footerReference w:type="default" r:id="rId92"/>
          <w:pgSz w:w="16840" w:h="11910" w:orient="landscape"/>
          <w:pgMar w:header="0" w:footer="0" w:top="860" w:bottom="280" w:left="1300" w:right="1240"/>
        </w:sectPr>
      </w:pPr>
    </w:p>
    <w:p>
      <w:pPr>
        <w:pStyle w:val="Heading4"/>
        <w:spacing w:line="240" w:lineRule="auto" w:before="36"/>
        <w:ind w:left="140" w:right="0"/>
        <w:jc w:val="left"/>
        <w:rPr>
          <w:b w:val="0"/>
          <w:bCs w:val="0"/>
        </w:rPr>
      </w:pPr>
      <w:r>
        <w:rPr>
          <w:rFonts w:ascii="宋体" w:hAnsi="宋体" w:cs="宋体" w:eastAsia="宋体" w:hint="default"/>
        </w:rPr>
        <w:t>(2).</w:t>
      </w:r>
      <w:r>
        <w:rPr>
          <w:rFonts w:ascii="宋体" w:hAnsi="宋体" w:cs="宋体" w:eastAsia="宋体" w:hint="default"/>
          <w:spacing w:val="-2"/>
        </w:rPr>
        <w:t> </w:t>
      </w:r>
      <w:r>
        <w:rPr/>
        <w:t>重要在建工程项目本期变动情况</w:t>
      </w:r>
      <w:r>
        <w:rPr>
          <w:b w:val="0"/>
          <w:bCs w:val="0"/>
        </w:rPr>
      </w:r>
    </w:p>
    <w:p>
      <w:pPr>
        <w:pStyle w:val="BodyText"/>
        <w:spacing w:line="240" w:lineRule="auto" w:before="58"/>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240"/>
          <w:cols w:num="2" w:equalWidth="0">
            <w:col w:w="8974" w:space="2588"/>
            <w:col w:w="273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58"/>
        <w:gridCol w:w="1419"/>
        <w:gridCol w:w="1277"/>
        <w:gridCol w:w="1414"/>
        <w:gridCol w:w="1136"/>
        <w:gridCol w:w="1138"/>
        <w:gridCol w:w="1133"/>
        <w:gridCol w:w="903"/>
        <w:gridCol w:w="578"/>
        <w:gridCol w:w="698"/>
        <w:gridCol w:w="797"/>
        <w:gridCol w:w="603"/>
        <w:gridCol w:w="816"/>
      </w:tblGrid>
      <w:tr>
        <w:trPr>
          <w:trHeight w:val="94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00" w:right="50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4" w:right="149"/>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6" w:right="149"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81" w:right="37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40" w:right="36" w:firstLine="45"/>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r>
              <w:rPr>
                <w:rFonts w:ascii="宋体" w:hAnsi="宋体" w:cs="宋体" w:eastAsia="宋体" w:hint="default"/>
                <w:sz w:val="18"/>
                <w:szCs w:val="18"/>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74" w:right="7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3" w:right="31"/>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本期利</w:t>
            </w:r>
          </w:p>
          <w:p>
            <w:pPr>
              <w:pStyle w:val="TableParagraph"/>
              <w:spacing w:line="237" w:lineRule="auto"/>
              <w:ind w:left="26" w:right="24"/>
              <w:jc w:val="center"/>
              <w:rPr>
                <w:rFonts w:ascii="宋体" w:hAnsi="宋体" w:cs="宋体" w:eastAsia="宋体" w:hint="default"/>
                <w:sz w:val="18"/>
                <w:szCs w:val="18"/>
              </w:rPr>
            </w:pPr>
            <w:r>
              <w:rPr>
                <w:rFonts w:ascii="宋体" w:hAnsi="宋体" w:cs="宋体" w:eastAsia="宋体" w:hint="default"/>
                <w:sz w:val="18"/>
                <w:szCs w:val="18"/>
              </w:rPr>
              <w:t>息资本 化率 </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北京软件园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575,780,000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289,824,799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43,091,232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332,916,031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海南软件园（一期）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224,940,000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24,599,692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411,228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25,010,920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停车楼项目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45,990,000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20,511,323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20,511,323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59%</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望海项目管理系统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宋体" w:hAnsi="宋体" w:cs="宋体" w:eastAsia="宋体" w:hint="default"/>
                <w:sz w:val="18"/>
                <w:szCs w:val="18"/>
              </w:rPr>
            </w:pPr>
            <w:r>
              <w:rPr>
                <w:rFonts w:ascii="宋体"/>
                <w:sz w:val="18"/>
              </w:rPr>
              <w:t>310,000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94,493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138,182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232,675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睿驰</w:t>
            </w:r>
            <w:r>
              <w:rPr>
                <w:rFonts w:ascii="宋体" w:hAnsi="宋体" w:cs="宋体" w:eastAsia="宋体" w:hint="default"/>
                <w:spacing w:val="-45"/>
                <w:sz w:val="18"/>
                <w:szCs w:val="18"/>
              </w:rPr>
              <w:t> </w:t>
            </w:r>
            <w:r>
              <w:rPr>
                <w:rFonts w:ascii="宋体" w:hAnsi="宋体" w:cs="宋体" w:eastAsia="宋体" w:hint="default"/>
                <w:sz w:val="18"/>
                <w:szCs w:val="18"/>
              </w:rPr>
              <w:t>PACK“0”号生产线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12,000,000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5,899,257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4,170,940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9,914,530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155,667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84%</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睿驰厂房工程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21,770,000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13,062,290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13,062,290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睿驰机械设备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0"/>
              <w:jc w:val="right"/>
              <w:rPr>
                <w:rFonts w:ascii="宋体" w:hAnsi="宋体" w:cs="宋体" w:eastAsia="宋体" w:hint="default"/>
                <w:sz w:val="18"/>
                <w:szCs w:val="18"/>
              </w:rPr>
            </w:pPr>
            <w:r>
              <w:rPr>
                <w:rFonts w:ascii="宋体"/>
                <w:spacing w:val="-1"/>
                <w:sz w:val="18"/>
              </w:rPr>
              <w:t>23,090,000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20,782,535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20,782,535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90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90%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山东通信产业园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25,060,000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22,547,632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22,547,632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8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会议中心改造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0"/>
              <w:jc w:val="right"/>
              <w:rPr>
                <w:rFonts w:ascii="宋体" w:hAnsi="宋体" w:cs="宋体" w:eastAsia="宋体" w:hint="default"/>
                <w:sz w:val="18"/>
                <w:szCs w:val="18"/>
              </w:rPr>
            </w:pPr>
            <w:r>
              <w:rPr>
                <w:rFonts w:ascii="宋体"/>
                <w:spacing w:val="-1"/>
                <w:sz w:val="18"/>
              </w:rPr>
              <w:t>3,920,000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3,213,448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4,000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3,217,448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82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100%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员工活动中心改造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0"/>
              <w:jc w:val="right"/>
              <w:rPr>
                <w:rFonts w:ascii="宋体" w:hAnsi="宋体" w:cs="宋体" w:eastAsia="宋体" w:hint="default"/>
                <w:sz w:val="18"/>
                <w:szCs w:val="18"/>
              </w:rPr>
            </w:pPr>
            <w:r>
              <w:rPr>
                <w:rFonts w:ascii="宋体"/>
                <w:spacing w:val="-1"/>
                <w:sz w:val="18"/>
              </w:rPr>
              <w:t>7,100,000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5"/>
              <w:jc w:val="right"/>
              <w:rPr>
                <w:rFonts w:ascii="宋体" w:hAnsi="宋体" w:cs="宋体" w:eastAsia="宋体" w:hint="default"/>
                <w:sz w:val="18"/>
                <w:szCs w:val="18"/>
              </w:rPr>
            </w:pPr>
            <w:r>
              <w:rPr>
                <w:rFonts w:ascii="宋体"/>
                <w:spacing w:val="-1"/>
                <w:sz w:val="18"/>
              </w:rPr>
              <w:t>7,106,606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3" w:right="0"/>
              <w:jc w:val="left"/>
              <w:rPr>
                <w:rFonts w:ascii="宋体" w:hAnsi="宋体" w:cs="宋体" w:eastAsia="宋体" w:hint="default"/>
                <w:sz w:val="18"/>
                <w:szCs w:val="18"/>
              </w:rPr>
            </w:pPr>
            <w:r>
              <w:rPr>
                <w:rFonts w:ascii="宋体"/>
                <w:sz w:val="18"/>
              </w:rPr>
              <w:t>7,106,606</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100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100%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大学城一期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0"/>
              <w:jc w:val="right"/>
              <w:rPr>
                <w:rFonts w:ascii="宋体" w:hAnsi="宋体" w:cs="宋体" w:eastAsia="宋体" w:hint="default"/>
                <w:sz w:val="18"/>
                <w:szCs w:val="18"/>
              </w:rPr>
            </w:pPr>
            <w:r>
              <w:rPr>
                <w:rFonts w:ascii="宋体"/>
                <w:spacing w:val="-1"/>
                <w:sz w:val="18"/>
              </w:rPr>
              <w:t>15,630,000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15,545,377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sz w:val="18"/>
              </w:rPr>
              <w:t>15,545,377</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99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100%</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办公楼改造（注）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34,780,000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43,959,203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43,959,203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大学城二期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345,410,000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914,011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914,011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望海开发平台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1,760,000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1,640,821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1,640,821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spacing w:val="-1"/>
                <w:sz w:val="18"/>
              </w:rPr>
              <w:t>1,337,540,000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346,179,321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171,337,748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sz w:val="18"/>
              </w:rPr>
              <w:t>365,482,544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5,090,944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146,943,581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1"/>
              <w:jc w:val="center"/>
              <w:rPr>
                <w:rFonts w:ascii="宋体" w:hAnsi="宋体" w:cs="宋体" w:eastAsia="宋体" w:hint="default"/>
                <w:sz w:val="18"/>
                <w:szCs w:val="18"/>
              </w:rPr>
            </w:pPr>
            <w:r>
              <w:rPr>
                <w:rFonts w:ascii="宋体"/>
                <w:sz w:val="18"/>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8"/>
          <w:szCs w:val="18"/>
        </w:rPr>
      </w:pPr>
    </w:p>
    <w:p>
      <w:pPr>
        <w:pStyle w:val="BodyText"/>
        <w:spacing w:line="240" w:lineRule="auto" w:before="36"/>
        <w:ind w:left="560" w:right="0"/>
        <w:jc w:val="left"/>
      </w:pPr>
      <w:r>
        <w:rPr/>
        <w:t>注：本期增加中包含由固定资产和投资性房地产转入在建工程的净值。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580" w:bottom="280" w:left="1300" w:right="124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127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240"/>
          <w:cols w:num="2" w:equalWidth="0">
            <w:col w:w="3818" w:space="9360"/>
            <w:col w:w="1122"/>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pStyle w:val="Heading4"/>
        <w:spacing w:line="240" w:lineRule="auto" w:before="36"/>
        <w:ind w:right="2760"/>
        <w:jc w:val="left"/>
        <w:rPr>
          <w:b w:val="0"/>
          <w:bCs w:val="0"/>
        </w:rPr>
      </w:pPr>
      <w:r>
        <w:rPr>
          <w:rFonts w:ascii="宋体" w:hAnsi="宋体" w:cs="宋体" w:eastAsia="宋体" w:hint="default"/>
        </w:rPr>
        <w:t>(3).</w:t>
      </w:r>
      <w:r>
        <w:rPr>
          <w:rFonts w:ascii="宋体" w:hAnsi="宋体" w:cs="宋体" w:eastAsia="宋体" w:hint="default"/>
          <w:spacing w:val="-3"/>
        </w:rPr>
        <w:t> </w:t>
      </w:r>
      <w:r>
        <w:rPr/>
        <w:t>本期计提在建工程减值准备情况：</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10"/>
        <w:rPr>
          <w:rFonts w:ascii="宋体" w:hAnsi="宋体" w:cs="宋体" w:eastAsia="宋体" w:hint="default"/>
          <w:sz w:val="23"/>
          <w:szCs w:val="23"/>
        </w:rPr>
      </w:pPr>
    </w:p>
    <w:p>
      <w:pPr>
        <w:pStyle w:val="BodyText"/>
        <w:spacing w:line="273" w:lineRule="exact"/>
        <w:ind w:right="2760"/>
        <w:jc w:val="left"/>
      </w:pPr>
      <w:r>
        <w:rPr/>
        <w:t>其他说明</w:t>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工程物资</w:t>
      </w:r>
      <w:r>
        <w:rPr>
          <w:rFonts w:ascii="宋体" w:hAnsi="宋体" w:cs="宋体" w:eastAsia="宋体" w:hint="default"/>
          <w:sz w:val="21"/>
          <w:szCs w:val="21"/>
        </w:rPr>
      </w:r>
    </w:p>
    <w:p>
      <w:pPr>
        <w:pStyle w:val="BodyText"/>
        <w:spacing w:line="240" w:lineRule="auto" w:before="14"/>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58"/>
        <w:ind w:right="2760"/>
        <w:jc w:val="left"/>
        <w:rPr>
          <w:b w:val="0"/>
          <w:bCs w:val="0"/>
        </w:rPr>
      </w:pPr>
      <w:r>
        <w:rPr>
          <w:rFonts w:ascii="宋体" w:hAnsi="宋体" w:cs="宋体" w:eastAsia="宋体" w:hint="default"/>
        </w:rPr>
        <w:t>(1).</w:t>
      </w:r>
      <w:r>
        <w:rPr>
          <w:rFonts w:ascii="宋体" w:hAnsi="宋体" w:cs="宋体" w:eastAsia="宋体" w:hint="default"/>
          <w:spacing w:val="-2"/>
        </w:rPr>
        <w:t> </w:t>
      </w:r>
      <w:r>
        <w:rPr/>
        <w:t>采用成本计量模式的生产性生物资产</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w:t>
      </w:r>
      <w:r>
        <w:rPr>
          <w:rFonts w:ascii="宋体" w:hAnsi="宋体" w:cs="宋体" w:eastAsia="宋体" w:hint="default"/>
          <w:spacing w:val="-2"/>
        </w:rPr>
        <w:t> </w:t>
      </w:r>
      <w:r>
        <w:rPr/>
        <w:t>采用公允价值计量模式的生产性生物资产</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其他说明</w:t>
      </w:r>
    </w:p>
    <w:p>
      <w:pPr>
        <w:pStyle w:val="BodyText"/>
        <w:spacing w:line="273"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3"/>
          <w:pgSz w:w="11910" w:h="16840"/>
          <w:pgMar w:footer="1248" w:header="0" w:top="1300" w:bottom="1440" w:left="1580" w:right="1040"/>
          <w:pgNumType w:start="128"/>
        </w:sectPr>
      </w:pPr>
    </w:p>
    <w:p>
      <w:pPr>
        <w:pStyle w:val="Heading4"/>
        <w:spacing w:line="240" w:lineRule="auto" w:before="36"/>
        <w:ind w:right="-19"/>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无形资产情况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274"/>
        <w:gridCol w:w="852"/>
        <w:gridCol w:w="850"/>
        <w:gridCol w:w="1277"/>
        <w:gridCol w:w="1133"/>
        <w:gridCol w:w="1286"/>
      </w:tblGrid>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非专利</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616,583,315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161,218,105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7,491,540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785,292,960</w:t>
            </w:r>
          </w:p>
        </w:tc>
      </w:tr>
      <w:tr>
        <w:trPr>
          <w:trHeight w:val="24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101,291,988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12,395,054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113,687,042</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29,811,097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11,364,188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41,175,285</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71,480,891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71,480,891</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1,030,866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1,030,866</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156,447,729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509,434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1,714,613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158,671,776</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center"/>
              <w:rPr>
                <w:rFonts w:ascii="宋体" w:hAnsi="宋体" w:cs="宋体" w:eastAsia="宋体" w:hint="default"/>
                <w:sz w:val="18"/>
                <w:szCs w:val="18"/>
              </w:rPr>
            </w:pPr>
            <w:r>
              <w:rPr>
                <w:rFonts w:ascii="宋体"/>
                <w:sz w:val="18"/>
              </w:rPr>
              <w:t>22,086,020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22,086,020</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）合并范围变化</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1,714,613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1,714,613</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）重分类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7" w:right="0"/>
              <w:jc w:val="center"/>
              <w:rPr>
                <w:rFonts w:ascii="宋体" w:hAnsi="宋体" w:cs="宋体" w:eastAsia="宋体" w:hint="default"/>
                <w:sz w:val="18"/>
                <w:szCs w:val="18"/>
              </w:rPr>
            </w:pPr>
            <w:r>
              <w:rPr>
                <w:rFonts w:ascii="宋体"/>
                <w:sz w:val="18"/>
              </w:rPr>
              <w:t>134,361,709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134,361,709</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509,434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509,434</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7" w:right="0"/>
              <w:jc w:val="center"/>
              <w:rPr>
                <w:rFonts w:ascii="宋体" w:hAnsi="宋体" w:cs="宋体" w:eastAsia="宋体" w:hint="default"/>
                <w:sz w:val="18"/>
                <w:szCs w:val="18"/>
              </w:rPr>
            </w:pPr>
            <w:r>
              <w:rPr>
                <w:rFonts w:ascii="宋体"/>
                <w:sz w:val="18"/>
              </w:rPr>
              <w:t>460,135,586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262,000,659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18,171,981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740,308,226</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center"/>
              <w:rPr>
                <w:rFonts w:ascii="宋体" w:hAnsi="宋体" w:cs="宋体" w:eastAsia="宋体" w:hint="default"/>
                <w:sz w:val="18"/>
                <w:szCs w:val="18"/>
              </w:rPr>
            </w:pPr>
            <w:r>
              <w:rPr>
                <w:rFonts w:ascii="宋体"/>
                <w:sz w:val="18"/>
              </w:rPr>
              <w:t>93,916,512</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47,399,118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875,400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142,191,030</w:t>
            </w:r>
          </w:p>
        </w:tc>
      </w:tr>
      <w:tr>
        <w:trPr>
          <w:trHeight w:val="24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center"/>
              <w:rPr>
                <w:rFonts w:ascii="宋体" w:hAnsi="宋体" w:cs="宋体" w:eastAsia="宋体" w:hint="default"/>
                <w:sz w:val="18"/>
                <w:szCs w:val="18"/>
              </w:rPr>
            </w:pPr>
            <w:r>
              <w:rPr>
                <w:rFonts w:ascii="宋体"/>
                <w:sz w:val="18"/>
              </w:rPr>
              <w:t>11,740,437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54,514,950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1,863,932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68,119,319</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center"/>
              <w:rPr>
                <w:rFonts w:ascii="宋体" w:hAnsi="宋体" w:cs="宋体" w:eastAsia="宋体" w:hint="default"/>
                <w:sz w:val="18"/>
                <w:szCs w:val="18"/>
              </w:rPr>
            </w:pPr>
            <w:r>
              <w:rPr>
                <w:rFonts w:ascii="宋体"/>
                <w:sz w:val="18"/>
              </w:rPr>
              <w:t>11,740,437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54,514,950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1,863,932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68,119,319</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8" w:right="0"/>
              <w:jc w:val="center"/>
              <w:rPr>
                <w:rFonts w:ascii="宋体" w:hAnsi="宋体" w:cs="宋体" w:eastAsia="宋体" w:hint="default"/>
                <w:sz w:val="18"/>
                <w:szCs w:val="18"/>
              </w:rPr>
            </w:pPr>
            <w:r>
              <w:rPr>
                <w:rFonts w:ascii="宋体"/>
                <w:sz w:val="18"/>
              </w:rPr>
              <w:t>20,620,519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59,434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436,132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21,116,085</w:t>
            </w:r>
          </w:p>
        </w:tc>
      </w:tr>
    </w:tbl>
    <w:p>
      <w:pPr>
        <w:spacing w:after="0" w:line="208" w:lineRule="exact"/>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9"/>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9"/>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377"/>
        <w:gridCol w:w="1274"/>
        <w:gridCol w:w="852"/>
        <w:gridCol w:w="850"/>
        <w:gridCol w:w="1277"/>
        <w:gridCol w:w="1133"/>
        <w:gridCol w:w="1286"/>
      </w:tblGrid>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7,343,576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7,343,576</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）合并范围变化</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436,132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436,132</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）重分类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13,276,943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13,276,943</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59,434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59,434</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85,036,430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101,854,634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2,303,200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189,194,264</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375,099,156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160,146,025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15,868,781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551,113,962</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522,666,803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113,818,987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6,616,140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643,101,930</w:t>
            </w:r>
          </w:p>
        </w:tc>
      </w:tr>
    </w:tbl>
    <w:p>
      <w:pPr>
        <w:spacing w:line="240" w:lineRule="auto" w:before="7"/>
        <w:rPr>
          <w:rFonts w:ascii="宋体" w:hAnsi="宋体" w:cs="宋体" w:eastAsia="宋体" w:hint="default"/>
          <w:sz w:val="15"/>
          <w:szCs w:val="15"/>
        </w:rPr>
      </w:pPr>
    </w:p>
    <w:p>
      <w:pPr>
        <w:pStyle w:val="BodyText"/>
        <w:spacing w:line="240" w:lineRule="auto" w:before="36"/>
        <w:ind w:left="638" w:right="226"/>
        <w:jc w:val="left"/>
        <w:rPr>
          <w:rFonts w:ascii="宋体" w:hAnsi="宋体" w:cs="宋体" w:eastAsia="宋体" w:hint="default"/>
        </w:rPr>
      </w:pPr>
      <w:r>
        <w:rPr>
          <w:spacing w:val="-2"/>
        </w:rPr>
        <w:t>本期末通过公司内部研发形成的无形资产占无形资产余额的比例</w:t>
      </w:r>
      <w:r>
        <w:rPr>
          <w:spacing w:val="9"/>
        </w:rPr>
        <w:t> </w:t>
      </w:r>
      <w:r>
        <w:rPr>
          <w:rFonts w:ascii="宋体" w:hAnsi="宋体" w:cs="宋体" w:eastAsia="宋体" w:hint="default"/>
          <w:spacing w:val="-2"/>
        </w:rPr>
        <w:t>12.76%</w:t>
      </w:r>
    </w:p>
    <w:p>
      <w:pPr>
        <w:spacing w:line="240" w:lineRule="auto" w:before="0"/>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w:t>
      </w:r>
      <w:r>
        <w:rPr>
          <w:rFonts w:ascii="宋体" w:hAnsi="宋体" w:cs="宋体" w:eastAsia="宋体" w:hint="default"/>
          <w:spacing w:val="-2"/>
        </w:rPr>
        <w:t> </w:t>
      </w:r>
      <w:r>
        <w:rPr/>
        <w:t>未办妥产权证书的土地使用权情况：</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其他说明：</w:t>
      </w:r>
    </w:p>
    <w:p>
      <w:pPr>
        <w:pStyle w:val="BodyText"/>
        <w:spacing w:line="272" w:lineRule="exact"/>
        <w:ind w:right="2760"/>
        <w:jc w:val="left"/>
      </w:pPr>
      <w:r>
        <w:rPr/>
        <w:t>√适用</w:t>
      </w:r>
      <w:r>
        <w:rPr>
          <w:spacing w:val="-1"/>
        </w:rPr>
        <w:t> </w:t>
      </w:r>
      <w:r>
        <w:rPr/>
        <w:t>□不适用</w:t>
      </w:r>
    </w:p>
    <w:p>
      <w:pPr>
        <w:pStyle w:val="BodyText"/>
        <w:spacing w:line="274" w:lineRule="exact"/>
        <w:ind w:left="638" w:right="226"/>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日，无形资产抵押担保情况参见附注七、</w:t>
      </w:r>
      <w:r>
        <w:rPr>
          <w:rFonts w:ascii="宋体" w:hAnsi="宋体" w:cs="宋体" w:eastAsia="宋体" w:hint="default"/>
        </w:rPr>
        <w:t>78</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4"/>
          <w:footerReference w:type="default" r:id="rId95"/>
          <w:pgSz w:w="11910" w:h="16840"/>
          <w:pgMar w:header="0" w:footer="1248" w:top="840" w:bottom="1440" w:left="1580" w:right="1040"/>
          <w:pgNumType w:start="129"/>
        </w:sectPr>
      </w:pPr>
    </w:p>
    <w:p>
      <w:pPr>
        <w:pStyle w:val="Heading4"/>
        <w:spacing w:line="240" w:lineRule="auto" w:before="36"/>
        <w:ind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6"/>
        <w:gridCol w:w="1484"/>
        <w:gridCol w:w="1414"/>
        <w:gridCol w:w="737"/>
        <w:gridCol w:w="1267"/>
        <w:gridCol w:w="891"/>
        <w:gridCol w:w="1370"/>
      </w:tblGrid>
      <w:tr>
        <w:trPr>
          <w:trHeight w:val="283" w:hRule="exact"/>
        </w:trPr>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07"/>
              <w:ind w:left="526" w:right="52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107"/>
              <w:ind w:left="470" w:right="467"/>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886"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370" w:type="dxa"/>
            <w:vMerge/>
            <w:tcBorders>
              <w:left w:val="single" w:sz="4" w:space="0" w:color="000000"/>
              <w:bottom w:val="single" w:sz="4" w:space="0" w:color="000000"/>
              <w:right w:val="single" w:sz="4" w:space="0" w:color="000000"/>
            </w:tcBorders>
          </w:tcPr>
          <w:p>
            <w:pP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智能汽车互联产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品研发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27,341,763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47,505,349</w:t>
            </w:r>
          </w:p>
        </w:tc>
        <w:tc>
          <w:tcPr>
            <w:tcW w:w="73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74,847,112</w:t>
            </w:r>
          </w:p>
        </w:tc>
      </w:tr>
      <w:tr>
        <w:trPr>
          <w:trHeight w:val="828"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SaCa</w:t>
            </w:r>
            <w:r>
              <w:rPr>
                <w:rFonts w:ascii="宋体" w:hAnsi="宋体" w:cs="宋体" w:eastAsia="宋体" w:hint="default"/>
                <w:spacing w:val="-52"/>
                <w:sz w:val="21"/>
                <w:szCs w:val="21"/>
              </w:rPr>
              <w:t> </w:t>
            </w:r>
            <w:r>
              <w:rPr>
                <w:rFonts w:ascii="宋体" w:hAnsi="宋体" w:cs="宋体" w:eastAsia="宋体" w:hint="default"/>
                <w:sz w:val="21"/>
                <w:szCs w:val="21"/>
              </w:rPr>
              <w:t>云应用平台、</w:t>
            </w:r>
          </w:p>
          <w:p>
            <w:pPr>
              <w:pStyle w:val="TableParagraph"/>
              <w:spacing w:line="272" w:lineRule="exact" w:before="27"/>
              <w:ind w:left="103" w:right="247"/>
              <w:jc w:val="left"/>
              <w:rPr>
                <w:rFonts w:ascii="宋体" w:hAnsi="宋体" w:cs="宋体" w:eastAsia="宋体" w:hint="default"/>
                <w:sz w:val="21"/>
                <w:szCs w:val="21"/>
              </w:rPr>
            </w:pPr>
            <w:r>
              <w:rPr>
                <w:rFonts w:ascii="宋体" w:hAnsi="宋体" w:cs="宋体" w:eastAsia="宋体" w:hint="default"/>
                <w:sz w:val="21"/>
                <w:szCs w:val="21"/>
              </w:rPr>
              <w:t>UniEAP</w:t>
            </w:r>
            <w:r>
              <w:rPr>
                <w:rFonts w:ascii="宋体" w:hAnsi="宋体" w:cs="宋体" w:eastAsia="宋体" w:hint="default"/>
                <w:spacing w:val="-54"/>
                <w:sz w:val="21"/>
                <w:szCs w:val="21"/>
              </w:rPr>
              <w:t> </w:t>
            </w:r>
            <w:r>
              <w:rPr>
                <w:rFonts w:ascii="宋体" w:hAnsi="宋体" w:cs="宋体" w:eastAsia="宋体" w:hint="default"/>
                <w:sz w:val="21"/>
                <w:szCs w:val="21"/>
              </w:rPr>
              <w:t>业务基础</w:t>
            </w:r>
            <w:r>
              <w:rPr>
                <w:rFonts w:ascii="宋体" w:hAnsi="宋体" w:cs="宋体" w:eastAsia="宋体" w:hint="default"/>
                <w:w w:val="100"/>
                <w:sz w:val="21"/>
                <w:szCs w:val="21"/>
              </w:rPr>
              <w:t> </w:t>
            </w:r>
            <w:r>
              <w:rPr>
                <w:rFonts w:ascii="宋体" w:hAnsi="宋体" w:cs="宋体" w:eastAsia="宋体" w:hint="default"/>
                <w:sz w:val="21"/>
                <w:szCs w:val="21"/>
              </w:rPr>
              <w:t>平台等产品研发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36,753,832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76,171,181</w:t>
            </w:r>
          </w:p>
        </w:tc>
        <w:tc>
          <w:tcPr>
            <w:tcW w:w="73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71,480,891</w:t>
            </w:r>
          </w:p>
        </w:tc>
        <w:tc>
          <w:tcPr>
            <w:tcW w:w="89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41,444,122</w:t>
            </w:r>
          </w:p>
        </w:tc>
      </w:tr>
      <w:tr>
        <w:trPr>
          <w:trHeight w:val="28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64,095,595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123,676,530</w:t>
            </w:r>
          </w:p>
        </w:tc>
        <w:tc>
          <w:tcPr>
            <w:tcW w:w="73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71,480,891</w:t>
            </w:r>
          </w:p>
        </w:tc>
        <w:tc>
          <w:tcPr>
            <w:tcW w:w="89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116,291,234</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2" w:lineRule="exact" w:before="27"/>
        <w:ind w:right="124" w:firstLine="419"/>
        <w:jc w:val="left"/>
      </w:pPr>
      <w:r>
        <w:rPr/>
        <w:t>研发项目资本化开始时点均为项目计划评审通过时；资本化的依据是项目研发已符合《企业</w:t>
      </w:r>
      <w:r>
        <w:rPr>
          <w:w w:val="100"/>
        </w:rPr>
        <w:t> </w:t>
      </w:r>
      <w:r>
        <w:rPr/>
        <w:t>会计准则第</w:t>
      </w:r>
      <w:r>
        <w:rPr>
          <w:spacing w:val="-53"/>
        </w:rPr>
        <w:t> </w:t>
      </w:r>
      <w:r>
        <w:rPr>
          <w:rFonts w:ascii="宋体" w:hAnsi="宋体" w:cs="宋体" w:eastAsia="宋体" w:hint="default"/>
        </w:rPr>
        <w:t>6</w:t>
      </w:r>
      <w:r>
        <w:rPr>
          <w:rFonts w:ascii="宋体" w:hAnsi="宋体" w:cs="宋体" w:eastAsia="宋体" w:hint="default"/>
          <w:spacing w:val="-53"/>
        </w:rPr>
        <w:t> </w:t>
      </w:r>
      <w:r>
        <w:rPr/>
        <w:t>号</w:t>
      </w:r>
      <w:r>
        <w:rPr>
          <w:rFonts w:ascii="宋体" w:hAnsi="宋体" w:cs="宋体" w:eastAsia="宋体" w:hint="default"/>
        </w:rPr>
        <w:t>-</w:t>
      </w:r>
      <w:r>
        <w:rPr/>
        <w:t>无形资产》中各项研发资本化要求，及公司内部阶段性要求，开始进行资本化，</w:t>
      </w:r>
      <w:r>
        <w:rPr>
          <w:w w:val="100"/>
        </w:rPr>
        <w:t> </w:t>
      </w:r>
      <w:r>
        <w:rPr/>
        <w:t>按项目计入开发支出。</w:t>
      </w:r>
    </w:p>
    <w:p>
      <w:pPr>
        <w:spacing w:after="0" w:line="272"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96"/>
          <w:footerReference w:type="default" r:id="rId97"/>
          <w:pgSz w:w="16840" w:h="11910" w:orient="landscape"/>
          <w:pgMar w:header="946" w:footer="1248" w:top="1300" w:bottom="1440" w:left="1220" w:right="1300"/>
          <w:pgNumType w:start="130"/>
        </w:sectPr>
      </w:pPr>
    </w:p>
    <w:p>
      <w:pPr>
        <w:pStyle w:val="Heading4"/>
        <w:spacing w:line="290" w:lineRule="auto" w:before="36"/>
        <w:ind w:left="220" w:right="-19"/>
        <w:jc w:val="left"/>
        <w:rPr>
          <w:b w:val="0"/>
          <w:bCs w:val="0"/>
        </w:rPr>
      </w:pPr>
      <w:r>
        <w:rPr>
          <w:rFonts w:ascii="宋体" w:hAnsi="宋体" w:cs="宋体" w:eastAsia="宋体" w:hint="default"/>
        </w:rPr>
        <w:t>27</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1911" w:space="9652"/>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5"/>
        <w:gridCol w:w="1699"/>
        <w:gridCol w:w="1844"/>
        <w:gridCol w:w="1421"/>
        <w:gridCol w:w="1417"/>
        <w:gridCol w:w="1418"/>
        <w:gridCol w:w="1647"/>
      </w:tblGrid>
      <w:tr>
        <w:trPr>
          <w:trHeight w:val="281" w:hRule="exact"/>
        </w:trPr>
        <w:tc>
          <w:tcPr>
            <w:tcW w:w="4645" w:type="dxa"/>
            <w:vMerge w:val="restart"/>
            <w:tcBorders>
              <w:top w:val="single" w:sz="4" w:space="0" w:color="000000"/>
              <w:left w:val="single" w:sz="4" w:space="0" w:color="000000"/>
              <w:right w:val="single" w:sz="4" w:space="0" w:color="000000"/>
            </w:tcBorders>
          </w:tcPr>
          <w:p>
            <w:pPr>
              <w:pStyle w:val="TableParagraph"/>
              <w:spacing w:line="240" w:lineRule="auto" w:before="107"/>
              <w:ind w:left="741"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07"/>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47" w:type="dxa"/>
            <w:vMerge w:val="restart"/>
            <w:tcBorders>
              <w:top w:val="single" w:sz="4" w:space="0" w:color="000000"/>
              <w:left w:val="single" w:sz="4" w:space="0" w:color="000000"/>
              <w:right w:val="single" w:sz="4" w:space="0" w:color="000000"/>
            </w:tcBorders>
          </w:tcPr>
          <w:p>
            <w:pPr>
              <w:pStyle w:val="TableParagraph"/>
              <w:spacing w:line="240" w:lineRule="auto" w:before="107"/>
              <w:ind w:left="39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645"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647" w:type="dxa"/>
            <w:vMerge/>
            <w:tcBorders>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东软（日本）有限公司（注</w:t>
            </w:r>
            <w:r>
              <w:rPr>
                <w:rFonts w:ascii="宋体" w:hAnsi="宋体" w:cs="宋体" w:eastAsia="宋体" w:hint="default"/>
                <w:sz w:val="21"/>
                <w:szCs w:val="21"/>
              </w:rPr>
              <w:t>1</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3,928,116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3,928,116</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北京兰瑞科创信息技术有限公司（注</w:t>
            </w:r>
            <w:r>
              <w:rPr>
                <w:rFonts w:ascii="宋体" w:hAnsi="宋体" w:cs="宋体" w:eastAsia="宋体" w:hint="default"/>
                <w:sz w:val="21"/>
                <w:szCs w:val="21"/>
              </w:rPr>
              <w:t>2</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315,360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z w:val="21"/>
                <w:szCs w:val="21"/>
              </w:rPr>
              <w:t>业务及资产（注</w:t>
            </w:r>
            <w:r>
              <w:rPr>
                <w:rFonts w:ascii="宋体" w:hAnsi="宋体" w:cs="宋体" w:eastAsia="宋体" w:hint="default"/>
                <w:sz w:val="21"/>
                <w:szCs w:val="21"/>
              </w:rPr>
              <w:t>3</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70,648,043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4,790,895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75,438,938</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Neusoft Technology Solutions</w:t>
            </w:r>
            <w:r>
              <w:rPr>
                <w:rFonts w:ascii="宋体" w:hAnsi="宋体" w:cs="宋体" w:eastAsia="宋体" w:hint="default"/>
                <w:spacing w:val="-3"/>
                <w:sz w:val="21"/>
                <w:szCs w:val="21"/>
              </w:rPr>
              <w:t> </w:t>
            </w:r>
            <w:r>
              <w:rPr>
                <w:rFonts w:ascii="宋体" w:hAnsi="宋体" w:cs="宋体" w:eastAsia="宋体" w:hint="default"/>
                <w:sz w:val="21"/>
                <w:szCs w:val="21"/>
              </w:rPr>
              <w:t>GmbH</w:t>
            </w:r>
            <w:r>
              <w:rPr>
                <w:rFonts w:ascii="宋体" w:hAnsi="宋体" w:cs="宋体" w:eastAsia="宋体" w:hint="default"/>
                <w:sz w:val="21"/>
                <w:szCs w:val="21"/>
              </w:rPr>
              <w:t>（注</w:t>
            </w:r>
            <w:r>
              <w:rPr>
                <w:rFonts w:ascii="宋体" w:hAnsi="宋体" w:cs="宋体" w:eastAsia="宋体" w:hint="default"/>
                <w:sz w:val="21"/>
                <w:szCs w:val="21"/>
              </w:rPr>
              <w:t>4</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31,209</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1"/>
                <w:sz w:val="21"/>
                <w:szCs w:val="21"/>
              </w:rPr>
              <w:t> </w:t>
            </w:r>
            <w:r>
              <w:rPr>
                <w:rFonts w:ascii="宋体" w:hAnsi="宋体" w:cs="宋体" w:eastAsia="宋体" w:hint="default"/>
                <w:sz w:val="21"/>
                <w:szCs w:val="21"/>
              </w:rPr>
              <w:t>业务及资产（注</w:t>
            </w:r>
            <w:r>
              <w:rPr>
                <w:rFonts w:ascii="宋体" w:hAnsi="宋体" w:cs="宋体" w:eastAsia="宋体" w:hint="default"/>
                <w:sz w:val="21"/>
                <w:szCs w:val="21"/>
              </w:rPr>
              <w:t>5</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42,285,402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2,867,523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45,152,925</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业务及资产（注</w:t>
            </w:r>
            <w:r>
              <w:rPr>
                <w:rFonts w:ascii="宋体" w:hAnsi="宋体" w:cs="宋体" w:eastAsia="宋体" w:hint="default"/>
                <w:sz w:val="21"/>
                <w:szCs w:val="21"/>
              </w:rPr>
              <w:t>6</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20,407,055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1,184,945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19,222,110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北京利博赛社保信息技术有限公司（注</w:t>
            </w:r>
            <w:r>
              <w:rPr>
                <w:rFonts w:ascii="宋体" w:hAnsi="宋体" w:cs="宋体" w:eastAsia="宋体" w:hint="default"/>
                <w:sz w:val="21"/>
                <w:szCs w:val="21"/>
              </w:rPr>
              <w:t>7</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1,809,071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1,809,071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北京东软望海科技有限公司（注</w:t>
            </w:r>
            <w:r>
              <w:rPr>
                <w:rFonts w:ascii="宋体" w:hAnsi="宋体" w:cs="宋体" w:eastAsia="宋体" w:hint="default"/>
                <w:sz w:val="21"/>
                <w:szCs w:val="21"/>
              </w:rPr>
              <w:t>8</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99,953,597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99,953,597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239,375,871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7,660,400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99,953,597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1,184,945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145,897,729</w:t>
            </w:r>
          </w:p>
        </w:tc>
      </w:tr>
    </w:tbl>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580" w:bottom="280" w:left="1220" w:right="1300"/>
        </w:sectPr>
      </w:pPr>
    </w:p>
    <w:p>
      <w:pPr>
        <w:pStyle w:val="Heading4"/>
        <w:spacing w:line="240" w:lineRule="auto" w:before="36"/>
        <w:ind w:left="220" w:right="-19"/>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1911" w:space="965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5"/>
        <w:gridCol w:w="2126"/>
        <w:gridCol w:w="1419"/>
        <w:gridCol w:w="1558"/>
        <w:gridCol w:w="1561"/>
        <w:gridCol w:w="1274"/>
        <w:gridCol w:w="1508"/>
      </w:tblGrid>
      <w:tr>
        <w:trPr>
          <w:trHeight w:val="283" w:hRule="exact"/>
        </w:trPr>
        <w:tc>
          <w:tcPr>
            <w:tcW w:w="4645" w:type="dxa"/>
            <w:vMerge w:val="restart"/>
            <w:tcBorders>
              <w:top w:val="single" w:sz="4" w:space="0" w:color="000000"/>
              <w:left w:val="single" w:sz="4" w:space="0" w:color="000000"/>
              <w:right w:val="single" w:sz="4" w:space="0" w:color="000000"/>
            </w:tcBorders>
          </w:tcPr>
          <w:p>
            <w:pPr>
              <w:pStyle w:val="TableParagraph"/>
              <w:spacing w:line="240" w:lineRule="auto" w:before="119"/>
              <w:ind w:left="741"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19"/>
              <w:ind w:left="6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119"/>
              <w:ind w:left="3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4645"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计提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2"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1"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508" w:type="dxa"/>
            <w:vMerge/>
            <w:tcBorders>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东软（日本）有限公司（注</w:t>
            </w:r>
            <w:r>
              <w:rPr>
                <w:rFonts w:ascii="宋体" w:hAnsi="宋体" w:cs="宋体" w:eastAsia="宋体" w:hint="default"/>
                <w:sz w:val="21"/>
                <w:szCs w:val="21"/>
              </w:rPr>
              <w:t>1</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北京兰瑞科创信息技术有限公司（注</w:t>
            </w:r>
            <w:r>
              <w:rPr>
                <w:rFonts w:ascii="宋体" w:hAnsi="宋体" w:cs="宋体" w:eastAsia="宋体" w:hint="default"/>
                <w:sz w:val="21"/>
                <w:szCs w:val="21"/>
              </w:rPr>
              <w:t>2</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315,360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z w:val="21"/>
                <w:szCs w:val="21"/>
              </w:rPr>
              <w:t>业务及资产（注</w:t>
            </w:r>
            <w:r>
              <w:rPr>
                <w:rFonts w:ascii="宋体" w:hAnsi="宋体" w:cs="宋体" w:eastAsia="宋体" w:hint="default"/>
                <w:sz w:val="21"/>
                <w:szCs w:val="21"/>
              </w:rPr>
              <w:t>3</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61,879,892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4,196,295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66,076,187</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Neusoft Technology Solutions GmbH</w:t>
            </w:r>
            <w:r>
              <w:rPr>
                <w:rFonts w:ascii="宋体" w:hAnsi="宋体" w:cs="宋体" w:eastAsia="宋体" w:hint="default"/>
                <w:spacing w:val="-2"/>
                <w:sz w:val="21"/>
                <w:szCs w:val="21"/>
              </w:rPr>
              <w:t> </w:t>
            </w:r>
            <w:r>
              <w:rPr>
                <w:rFonts w:ascii="宋体" w:hAnsi="宋体" w:cs="宋体" w:eastAsia="宋体" w:hint="default"/>
                <w:sz w:val="21"/>
                <w:szCs w:val="21"/>
              </w:rPr>
              <w:t>（注</w:t>
            </w:r>
            <w:r>
              <w:rPr>
                <w:rFonts w:ascii="宋体" w:hAnsi="宋体" w:cs="宋体" w:eastAsia="宋体" w:hint="default"/>
                <w:sz w:val="21"/>
                <w:szCs w:val="21"/>
              </w:rPr>
              <w:t>4</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29,227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1,982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31,209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1"/>
                <w:sz w:val="21"/>
                <w:szCs w:val="21"/>
              </w:rPr>
              <w:t> </w:t>
            </w:r>
            <w:r>
              <w:rPr>
                <w:rFonts w:ascii="宋体" w:hAnsi="宋体" w:cs="宋体" w:eastAsia="宋体" w:hint="default"/>
                <w:sz w:val="21"/>
                <w:szCs w:val="21"/>
              </w:rPr>
              <w:t>业务及资产（注</w:t>
            </w:r>
            <w:r>
              <w:rPr>
                <w:rFonts w:ascii="宋体" w:hAnsi="宋体" w:cs="宋体" w:eastAsia="宋体" w:hint="default"/>
                <w:sz w:val="21"/>
                <w:szCs w:val="21"/>
              </w:rPr>
              <w:t>5</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3,834,696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260,045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4,094,741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业务及资产（注</w:t>
            </w:r>
            <w:r>
              <w:rPr>
                <w:rFonts w:ascii="宋体" w:hAnsi="宋体" w:cs="宋体" w:eastAsia="宋体" w:hint="default"/>
                <w:sz w:val="21"/>
                <w:szCs w:val="21"/>
              </w:rPr>
              <w:t>6</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20,407,055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1,184,945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19,222,110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北京利博赛社保信息技术有限公司（注</w:t>
            </w:r>
            <w:r>
              <w:rPr>
                <w:rFonts w:ascii="宋体" w:hAnsi="宋体" w:cs="宋体" w:eastAsia="宋体" w:hint="default"/>
                <w:sz w:val="21"/>
                <w:szCs w:val="21"/>
              </w:rPr>
              <w:t>7</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1,809,071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1,809,071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北京东软望海科技有限公司（注</w:t>
            </w:r>
            <w:r>
              <w:rPr>
                <w:rFonts w:ascii="宋体" w:hAnsi="宋体" w:cs="宋体" w:eastAsia="宋体" w:hint="default"/>
                <w:sz w:val="21"/>
                <w:szCs w:val="21"/>
              </w:rPr>
              <w:t>8</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19,446,797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19,446,797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107,722,098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4,458,322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19,446,797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1,184,945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91,548,678</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3" w:lineRule="exact"/>
        <w:ind w:left="100" w:right="0"/>
        <w:jc w:val="left"/>
      </w:pPr>
      <w:r>
        <w:rPr/>
        <w:t>说明商誉减值测试过程、参数及商誉减值损失的确认方法</w:t>
      </w:r>
    </w:p>
    <w:p>
      <w:pPr>
        <w:pStyle w:val="BodyText"/>
        <w:spacing w:line="272" w:lineRule="exact"/>
        <w:ind w:left="100" w:right="0"/>
        <w:jc w:val="left"/>
      </w:pPr>
      <w:r>
        <w:rPr/>
        <w:t>√适用 □不适用</w:t>
      </w:r>
    </w:p>
    <w:p>
      <w:pPr>
        <w:pStyle w:val="BodyText"/>
        <w:spacing w:line="237" w:lineRule="auto" w:before="2"/>
        <w:ind w:left="100" w:right="124" w:firstLine="420"/>
        <w:jc w:val="both"/>
      </w:pPr>
      <w:r>
        <w:rPr/>
        <w:t>公司于本期末对商誉进行减值测试，对相关资产组和资产组组合的可收回金额采用预计未来现金流量的现值，根据管理层批准的</w:t>
      </w:r>
      <w:r>
        <w:rPr>
          <w:spacing w:val="-57"/>
        </w:rPr>
        <w:t> </w:t>
      </w:r>
      <w:r>
        <w:rPr>
          <w:rFonts w:ascii="宋体" w:hAnsi="宋体" w:cs="宋体" w:eastAsia="宋体" w:hint="default"/>
        </w:rPr>
        <w:t>5</w:t>
      </w:r>
      <w:r>
        <w:rPr>
          <w:rFonts w:ascii="宋体" w:hAnsi="宋体" w:cs="宋体" w:eastAsia="宋体" w:hint="default"/>
          <w:spacing w:val="-57"/>
        </w:rPr>
        <w:t> </w:t>
      </w:r>
      <w:r>
        <w:rPr/>
        <w:t>年期的财务预算</w:t>
      </w:r>
      <w:r>
        <w:rPr>
          <w:w w:val="100"/>
        </w:rPr>
        <w:t> </w:t>
      </w:r>
      <w:r>
        <w:rPr>
          <w:spacing w:val="-2"/>
        </w:rPr>
        <w:t>基础上的现金流量预测来确定，将商誉账面价值高于相关资产组的预计可收回金额的部分计提商誉减值准备。经测试，本报告期商誉未发生减值，商誉</w:t>
      </w:r>
      <w:r>
        <w:rPr>
          <w:spacing w:val="19"/>
        </w:rPr>
        <w:t> </w:t>
      </w:r>
      <w:r>
        <w:rPr>
          <w:spacing w:val="19"/>
        </w:rPr>
      </w:r>
      <w:r>
        <w:rPr/>
        <w:t>减值准备的变动为合并范围变化和汇率变动的影响。</w:t>
      </w:r>
    </w:p>
    <w:p>
      <w:pPr>
        <w:pStyle w:val="BodyText"/>
        <w:spacing w:line="274" w:lineRule="exact" w:before="22"/>
        <w:ind w:left="100" w:right="121" w:firstLine="420"/>
        <w:jc w:val="both"/>
        <w:rPr>
          <w:rFonts w:ascii="宋体" w:hAnsi="宋体" w:cs="宋体" w:eastAsia="宋体" w:hint="default"/>
        </w:rPr>
      </w:pPr>
      <w:r>
        <w:rPr/>
        <w:t>注</w:t>
      </w:r>
      <w:r>
        <w:rPr>
          <w:spacing w:val="-45"/>
        </w:rPr>
        <w:t> </w:t>
      </w:r>
      <w:r>
        <w:rPr>
          <w:rFonts w:ascii="宋体" w:hAnsi="宋体" w:cs="宋体" w:eastAsia="宋体" w:hint="default"/>
        </w:rPr>
        <w:t>1</w:t>
      </w:r>
      <w:r>
        <w:rPr/>
        <w:t>：</w:t>
      </w:r>
      <w:r>
        <w:rPr>
          <w:rFonts w:ascii="宋体" w:hAnsi="宋体" w:cs="宋体" w:eastAsia="宋体" w:hint="default"/>
        </w:rPr>
        <w:t>2001</w:t>
      </w:r>
      <w:r>
        <w:rPr>
          <w:rFonts w:ascii="宋体" w:hAnsi="宋体" w:cs="宋体" w:eastAsia="宋体" w:hint="default"/>
          <w:spacing w:val="-45"/>
        </w:rPr>
        <w:t> </w:t>
      </w:r>
      <w:r>
        <w:rPr/>
        <w:t>年</w:t>
      </w:r>
      <w:r>
        <w:rPr>
          <w:spacing w:val="-47"/>
        </w:rPr>
        <w:t> </w:t>
      </w:r>
      <w:r>
        <w:rPr>
          <w:rFonts w:ascii="宋体" w:hAnsi="宋体" w:cs="宋体" w:eastAsia="宋体" w:hint="default"/>
        </w:rPr>
        <w:t>6</w:t>
      </w:r>
      <w:r>
        <w:rPr>
          <w:rFonts w:ascii="宋体" w:hAnsi="宋体" w:cs="宋体" w:eastAsia="宋体" w:hint="default"/>
          <w:spacing w:val="-45"/>
        </w:rPr>
        <w:t> </w:t>
      </w:r>
      <w:r>
        <w:rPr>
          <w:spacing w:val="-3"/>
        </w:rPr>
        <w:t>月本公司出资设立东软（日本）有限公司，持股比例</w:t>
      </w:r>
      <w:r>
        <w:rPr>
          <w:spacing w:val="-44"/>
        </w:rPr>
        <w:t> </w:t>
      </w:r>
      <w:r>
        <w:rPr>
          <w:rFonts w:ascii="宋体" w:hAnsi="宋体" w:cs="宋体" w:eastAsia="宋体" w:hint="default"/>
        </w:rPr>
        <w:t>60%</w:t>
      </w:r>
      <w:r>
        <w:rPr/>
        <w:t>，</w:t>
      </w:r>
      <w:r>
        <w:rPr>
          <w:rFonts w:ascii="宋体" w:hAnsi="宋体" w:cs="宋体" w:eastAsia="宋体" w:hint="default"/>
        </w:rPr>
        <w:t>2003</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spacing w:val="-3"/>
        </w:rPr>
        <w:t>月本公司出资收购了东软（日本）有限公司剩余</w:t>
      </w:r>
      <w:r>
        <w:rPr>
          <w:spacing w:val="-45"/>
        </w:rPr>
        <w:t> </w:t>
      </w:r>
      <w:r>
        <w:rPr>
          <w:rFonts w:ascii="宋体" w:hAnsi="宋体" w:cs="宋体" w:eastAsia="宋体" w:hint="default"/>
        </w:rPr>
        <w:t>40%</w:t>
      </w:r>
      <w:r>
        <w:rPr/>
        <w:t>股权，购</w:t>
      </w:r>
      <w:r>
        <w:rPr>
          <w:w w:val="100"/>
        </w:rPr>
        <w:t> </w:t>
      </w:r>
      <w:r>
        <w:rPr/>
        <w:t>买价高于应享有的净资产份额之差额部分确认为股权投资差额，并自</w:t>
      </w:r>
      <w:r>
        <w:rPr>
          <w:spacing w:val="-54"/>
        </w:rPr>
        <w:t> </w:t>
      </w:r>
      <w:r>
        <w:rPr>
          <w:rFonts w:ascii="宋体" w:hAnsi="宋体" w:cs="宋体" w:eastAsia="宋体" w:hint="default"/>
        </w:rPr>
        <w:t>2004</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月起按</w:t>
      </w:r>
      <w:r>
        <w:rPr>
          <w:spacing w:val="-54"/>
        </w:rPr>
        <w:t> </w:t>
      </w:r>
      <w:r>
        <w:rPr>
          <w:rFonts w:ascii="宋体" w:hAnsi="宋体" w:cs="宋体" w:eastAsia="宋体" w:hint="default"/>
        </w:rPr>
        <w:t>10</w:t>
      </w:r>
      <w:r>
        <w:rPr>
          <w:rFonts w:ascii="宋体" w:hAnsi="宋体" w:cs="宋体" w:eastAsia="宋体" w:hint="default"/>
          <w:spacing w:val="-56"/>
        </w:rPr>
        <w:t> </w:t>
      </w:r>
      <w:r>
        <w:rPr/>
        <w:t>年进行平均摊销，</w:t>
      </w:r>
      <w:r>
        <w:rPr>
          <w:rFonts w:ascii="宋体" w:hAnsi="宋体" w:cs="宋体" w:eastAsia="宋体" w:hint="default"/>
        </w:rPr>
        <w:t>2007</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日根据《企业会计准则第</w:t>
      </w:r>
      <w:r>
        <w:rPr>
          <w:spacing w:val="-54"/>
        </w:rPr>
        <w:t> </w:t>
      </w:r>
      <w:r>
        <w:rPr>
          <w:rFonts w:ascii="宋体" w:hAnsi="宋体" w:cs="宋体" w:eastAsia="宋体" w:hint="default"/>
        </w:rPr>
        <w:t>38</w:t>
      </w:r>
    </w:p>
    <w:p>
      <w:pPr>
        <w:pStyle w:val="BodyText"/>
        <w:spacing w:line="246" w:lineRule="exact"/>
        <w:ind w:left="100" w:right="0"/>
        <w:jc w:val="left"/>
      </w:pPr>
      <w:r>
        <w:rPr>
          <w:spacing w:val="-2"/>
        </w:rPr>
        <w:t>号－首次执行企业会计准则》的规定，本公司将截止</w:t>
      </w:r>
      <w:r>
        <w:rPr/>
        <w:t> </w:t>
      </w:r>
      <w:r>
        <w:rPr>
          <w:rFonts w:ascii="宋体" w:hAnsi="宋体" w:cs="宋体" w:eastAsia="宋体" w:hint="default"/>
          <w:spacing w:val="-1"/>
        </w:rPr>
        <w:t>2006 </w:t>
      </w:r>
      <w:r>
        <w:rPr>
          <w:spacing w:val="-2"/>
        </w:rPr>
        <w:t>年末的该股权投资差额的借方摊销余额在编制合并财务报表时列报为商誉；</w:t>
      </w:r>
    </w:p>
    <w:p>
      <w:pPr>
        <w:pStyle w:val="BodyText"/>
        <w:spacing w:line="272" w:lineRule="exact" w:before="27"/>
        <w:ind w:left="100" w:right="177" w:firstLine="420"/>
        <w:jc w:val="both"/>
      </w:pPr>
      <w:r>
        <w:rPr/>
        <w:t>注</w:t>
      </w:r>
      <w:r>
        <w:rPr>
          <w:spacing w:val="-54"/>
        </w:rPr>
        <w:t> </w:t>
      </w: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月本公司收购北京兰瑞科创信息技术有限公司</w:t>
      </w:r>
      <w:r>
        <w:rPr>
          <w:spacing w:val="-54"/>
        </w:rPr>
        <w:t> </w:t>
      </w:r>
      <w:r>
        <w:rPr>
          <w:rFonts w:ascii="宋体" w:hAnsi="宋体" w:cs="宋体" w:eastAsia="宋体" w:hint="default"/>
        </w:rPr>
        <w:t>14%</w:t>
      </w:r>
      <w:r>
        <w:rPr/>
        <w:t>的股权，购买价高于应享有的可辨认净资产的公允价值之差额部分在编制合并财</w:t>
      </w:r>
      <w:r>
        <w:rPr>
          <w:w w:val="100"/>
        </w:rPr>
        <w:t> </w:t>
      </w:r>
      <w:r>
        <w:rPr/>
        <w:t>务报表时列报为商誉；</w:t>
      </w:r>
    </w:p>
    <w:p>
      <w:pPr>
        <w:pStyle w:val="BodyText"/>
        <w:spacing w:line="272" w:lineRule="exact" w:before="1"/>
        <w:ind w:left="100" w:right="119" w:firstLine="420"/>
        <w:jc w:val="both"/>
      </w:pPr>
      <w:r>
        <w:rPr/>
        <w:t>注</w:t>
      </w:r>
      <w:r>
        <w:rPr>
          <w:spacing w:val="-55"/>
        </w:rPr>
        <w:t> </w:t>
      </w:r>
      <w:r>
        <w:rPr>
          <w:rFonts w:ascii="宋体" w:hAnsi="宋体" w:cs="宋体" w:eastAsia="宋体" w:hint="default"/>
        </w:rPr>
        <w:t>3</w:t>
      </w:r>
      <w:r>
        <w:rPr/>
        <w:t>：</w:t>
      </w:r>
      <w:r>
        <w:rPr>
          <w:rFonts w:ascii="宋体" w:hAnsi="宋体" w:cs="宋体" w:eastAsia="宋体" w:hint="default"/>
        </w:rPr>
        <w:t>2009</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月，本公司之子公司东软（欧洲）有限公司（以下简称“东软欧洲”）购买</w:t>
      </w:r>
      <w:r>
        <w:rPr>
          <w:spacing w:val="-55"/>
        </w:rPr>
        <w:t> </w:t>
      </w:r>
      <w:r>
        <w:rPr>
          <w:rFonts w:ascii="宋体" w:hAnsi="宋体" w:cs="宋体" w:eastAsia="宋体" w:hint="default"/>
        </w:rPr>
        <w:t>Sesca</w:t>
      </w:r>
      <w:r>
        <w:rPr>
          <w:rFonts w:ascii="宋体" w:hAnsi="宋体" w:cs="宋体" w:eastAsia="宋体" w:hint="default"/>
          <w:spacing w:val="-52"/>
        </w:rPr>
        <w:t> </w:t>
      </w:r>
      <w:r>
        <w:rPr>
          <w:rFonts w:ascii="宋体" w:hAnsi="宋体" w:cs="宋体" w:eastAsia="宋体" w:hint="default"/>
        </w:rPr>
        <w:t>Mobile</w:t>
      </w:r>
      <w:r>
        <w:rPr>
          <w:rFonts w:ascii="宋体" w:hAnsi="宋体" w:cs="宋体" w:eastAsia="宋体" w:hint="default"/>
          <w:spacing w:val="-52"/>
        </w:rPr>
        <w:t> </w:t>
      </w:r>
      <w:r>
        <w:rPr>
          <w:rFonts w:ascii="宋体" w:hAnsi="宋体" w:cs="宋体" w:eastAsia="宋体" w:hint="default"/>
        </w:rPr>
        <w:t>Software</w:t>
      </w:r>
      <w:r>
        <w:rPr>
          <w:rFonts w:ascii="宋体" w:hAnsi="宋体" w:cs="宋体" w:eastAsia="宋体" w:hint="default"/>
          <w:spacing w:val="-52"/>
        </w:rPr>
        <w:t> </w:t>
      </w:r>
      <w:r>
        <w:rPr>
          <w:rFonts w:ascii="宋体" w:hAnsi="宋体" w:cs="宋体" w:eastAsia="宋体" w:hint="default"/>
        </w:rPr>
        <w:t>Oy</w:t>
      </w:r>
      <w:r>
        <w:rPr/>
        <w:t>（后更名为</w:t>
      </w:r>
      <w:r>
        <w:rPr>
          <w:spacing w:val="-55"/>
        </w:rPr>
        <w:t> </w:t>
      </w:r>
      <w:r>
        <w:rPr>
          <w:rFonts w:ascii="宋体" w:hAnsi="宋体" w:cs="宋体" w:eastAsia="宋体" w:hint="default"/>
        </w:rPr>
        <w:t>Neusoft</w:t>
      </w:r>
      <w:r>
        <w:rPr>
          <w:rFonts w:ascii="宋体" w:hAnsi="宋体" w:cs="宋体" w:eastAsia="宋体" w:hint="default"/>
          <w:spacing w:val="-52"/>
        </w:rPr>
        <w:t> </w:t>
      </w:r>
      <w:r>
        <w:rPr>
          <w:rFonts w:ascii="宋体" w:hAnsi="宋体" w:cs="宋体" w:eastAsia="宋体" w:hint="default"/>
        </w:rPr>
        <w:t>Mobile</w:t>
      </w:r>
      <w:r>
        <w:rPr>
          <w:rFonts w:ascii="宋体" w:hAnsi="宋体" w:cs="宋体" w:eastAsia="宋体" w:hint="default"/>
          <w:w w:val="100"/>
        </w:rPr>
        <w:t> </w:t>
      </w:r>
      <w:r>
        <w:rPr>
          <w:rFonts w:ascii="宋体" w:hAnsi="宋体" w:cs="宋体" w:eastAsia="宋体" w:hint="default"/>
        </w:rPr>
        <w:t>Solutions</w:t>
      </w:r>
      <w:r>
        <w:rPr>
          <w:rFonts w:ascii="宋体" w:hAnsi="宋体" w:cs="宋体" w:eastAsia="宋体" w:hint="default"/>
          <w:spacing w:val="-52"/>
        </w:rPr>
        <w:t> </w:t>
      </w:r>
      <w:r>
        <w:rPr>
          <w:rFonts w:ascii="宋体" w:hAnsi="宋体" w:cs="宋体" w:eastAsia="宋体" w:hint="default"/>
          <w:spacing w:val="-6"/>
        </w:rPr>
        <w:t>Oy</w:t>
      </w:r>
      <w:r>
        <w:rPr>
          <w:spacing w:val="-6"/>
        </w:rPr>
        <w:t>）、</w:t>
      </w:r>
      <w:r>
        <w:rPr>
          <w:rFonts w:ascii="宋体" w:hAnsi="宋体" w:cs="宋体" w:eastAsia="宋体" w:hint="default"/>
          <w:spacing w:val="-6"/>
        </w:rPr>
        <w:t>Almitas</w:t>
      </w:r>
      <w:r>
        <w:rPr>
          <w:rFonts w:ascii="宋体" w:hAnsi="宋体" w:cs="宋体" w:eastAsia="宋体" w:hint="default"/>
          <w:spacing w:val="-52"/>
        </w:rPr>
        <w:t> </w:t>
      </w:r>
      <w:r>
        <w:rPr>
          <w:rFonts w:ascii="宋体" w:hAnsi="宋体" w:cs="宋体" w:eastAsia="宋体" w:hint="default"/>
          <w:spacing w:val="-4"/>
        </w:rPr>
        <w:t>Oy</w:t>
      </w:r>
      <w:r>
        <w:rPr>
          <w:spacing w:val="-4"/>
        </w:rPr>
        <w:t>（</w:t>
      </w:r>
      <w:r>
        <w:rPr>
          <w:rFonts w:ascii="宋体" w:hAnsi="宋体" w:cs="宋体" w:eastAsia="宋体" w:hint="default"/>
          <w:spacing w:val="-4"/>
        </w:rPr>
        <w:t>2010</w:t>
      </w:r>
      <w:r>
        <w:rPr>
          <w:rFonts w:ascii="宋体" w:hAnsi="宋体" w:cs="宋体" w:eastAsia="宋体" w:hint="default"/>
          <w:spacing w:val="-52"/>
        </w:rPr>
        <w:t> </w:t>
      </w:r>
      <w:r>
        <w:rPr>
          <w:spacing w:val="-3"/>
        </w:rPr>
        <w:t>年注销，所有相关业务及人员归并入</w:t>
      </w:r>
      <w:r>
        <w:rPr>
          <w:spacing w:val="-49"/>
        </w:rPr>
        <w:t> </w:t>
      </w:r>
      <w:r>
        <w:rPr>
          <w:rFonts w:ascii="宋体" w:hAnsi="宋体" w:cs="宋体" w:eastAsia="宋体" w:hint="default"/>
        </w:rPr>
        <w:t>Neusoft</w:t>
      </w:r>
      <w:r>
        <w:rPr>
          <w:rFonts w:ascii="宋体" w:hAnsi="宋体" w:cs="宋体" w:eastAsia="宋体" w:hint="default"/>
          <w:spacing w:val="-49"/>
        </w:rPr>
        <w:t> </w:t>
      </w:r>
      <w:r>
        <w:rPr>
          <w:rFonts w:ascii="宋体" w:hAnsi="宋体" w:cs="宋体" w:eastAsia="宋体" w:hint="default"/>
        </w:rPr>
        <w:t>Mobile</w:t>
      </w:r>
      <w:r>
        <w:rPr>
          <w:rFonts w:ascii="宋体" w:hAnsi="宋体" w:cs="宋体" w:eastAsia="宋体" w:hint="default"/>
          <w:spacing w:val="-52"/>
        </w:rPr>
        <w:t> </w:t>
      </w:r>
      <w:r>
        <w:rPr>
          <w:rFonts w:ascii="宋体" w:hAnsi="宋体" w:cs="宋体" w:eastAsia="宋体" w:hint="default"/>
        </w:rPr>
        <w:t>Solutions</w:t>
      </w:r>
      <w:r>
        <w:rPr>
          <w:rFonts w:ascii="宋体" w:hAnsi="宋体" w:cs="宋体" w:eastAsia="宋体" w:hint="default"/>
          <w:spacing w:val="-49"/>
        </w:rPr>
        <w:t> </w:t>
      </w:r>
      <w:r>
        <w:rPr>
          <w:rFonts w:ascii="宋体" w:hAnsi="宋体" w:cs="宋体" w:eastAsia="宋体" w:hint="default"/>
        </w:rPr>
        <w:t>Oy</w:t>
      </w:r>
      <w:r>
        <w:rPr/>
        <w:t>）</w:t>
      </w:r>
      <w:r>
        <w:rPr>
          <w:spacing w:val="-20"/>
        </w:rPr>
        <w:t> </w:t>
      </w:r>
      <w:r>
        <w:rPr/>
        <w:t>和</w:t>
      </w:r>
      <w:r>
        <w:rPr>
          <w:spacing w:val="-49"/>
        </w:rPr>
        <w:t> </w:t>
      </w:r>
      <w:r>
        <w:rPr>
          <w:rFonts w:ascii="宋体" w:hAnsi="宋体" w:cs="宋体" w:eastAsia="宋体" w:hint="default"/>
        </w:rPr>
        <w:t>Sesca</w:t>
      </w:r>
      <w:r>
        <w:rPr>
          <w:rFonts w:ascii="宋体" w:hAnsi="宋体" w:cs="宋体" w:eastAsia="宋体" w:hint="default"/>
          <w:spacing w:val="-49"/>
        </w:rPr>
        <w:t> </w:t>
      </w:r>
      <w:r>
        <w:rPr>
          <w:rFonts w:ascii="宋体" w:hAnsi="宋体" w:cs="宋体" w:eastAsia="宋体" w:hint="default"/>
        </w:rPr>
        <w:t>Technologies</w:t>
      </w:r>
      <w:r>
        <w:rPr>
          <w:rFonts w:ascii="宋体" w:hAnsi="宋体" w:cs="宋体" w:eastAsia="宋体" w:hint="default"/>
          <w:spacing w:val="-52"/>
        </w:rPr>
        <w:t> </w:t>
      </w:r>
      <w:r>
        <w:rPr>
          <w:rFonts w:ascii="宋体" w:hAnsi="宋体" w:cs="宋体" w:eastAsia="宋体" w:hint="default"/>
          <w:spacing w:val="-5"/>
        </w:rPr>
        <w:t>SRL</w:t>
      </w:r>
      <w:r>
        <w:rPr>
          <w:spacing w:val="-5"/>
        </w:rPr>
        <w:t>（后更名为</w:t>
      </w:r>
      <w:r>
        <w:rPr>
          <w:spacing w:val="-49"/>
        </w:rPr>
        <w:t> </w:t>
      </w:r>
      <w:r>
        <w:rPr>
          <w:rFonts w:ascii="宋体" w:hAnsi="宋体" w:cs="宋体" w:eastAsia="宋体" w:hint="default"/>
        </w:rPr>
        <w:t>Neusoft</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EDC</w:t>
      </w:r>
      <w:r>
        <w:rPr>
          <w:rFonts w:ascii="宋体" w:hAnsi="宋体" w:cs="宋体" w:eastAsia="宋体" w:hint="default"/>
          <w:spacing w:val="-4"/>
        </w:rPr>
        <w:t> </w:t>
      </w:r>
      <w:r>
        <w:rPr>
          <w:rFonts w:ascii="宋体" w:hAnsi="宋体" w:cs="宋体" w:eastAsia="宋体" w:hint="default"/>
        </w:rPr>
        <w:t>SRL</w:t>
      </w:r>
      <w:r>
        <w:rPr/>
        <w:t>）三家公司</w:t>
      </w:r>
      <w:r>
        <w:rPr>
          <w:spacing w:val="-57"/>
        </w:rPr>
        <w:t> </w:t>
      </w:r>
      <w:r>
        <w:rPr>
          <w:rFonts w:ascii="宋体" w:hAnsi="宋体" w:cs="宋体" w:eastAsia="宋体" w:hint="default"/>
        </w:rPr>
        <w:t>100%</w:t>
      </w:r>
      <w:r>
        <w:rPr/>
        <w:t>的股权，交易对价合计</w:t>
      </w:r>
      <w:r>
        <w:rPr>
          <w:spacing w:val="-54"/>
        </w:rPr>
        <w:t> </w:t>
      </w:r>
      <w:r>
        <w:rPr>
          <w:rFonts w:ascii="宋体" w:hAnsi="宋体" w:cs="宋体" w:eastAsia="宋体" w:hint="default"/>
        </w:rPr>
        <w:t>900</w:t>
      </w:r>
      <w:r>
        <w:rPr>
          <w:rFonts w:ascii="宋体" w:hAnsi="宋体" w:cs="宋体" w:eastAsia="宋体" w:hint="default"/>
          <w:spacing w:val="-55"/>
        </w:rPr>
        <w:t> </w:t>
      </w:r>
      <w:r>
        <w:rPr/>
        <w:t>万欧元，购买价高于应享有的可辨认净资产公允价值之差额在编制合并财务报表时列报为商誉。因</w:t>
      </w:r>
    </w:p>
    <w:p>
      <w:pPr>
        <w:pStyle w:val="BodyText"/>
        <w:spacing w:line="272" w:lineRule="exact" w:before="1"/>
        <w:ind w:left="100" w:right="0"/>
        <w:jc w:val="left"/>
      </w:pP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Mobile</w:t>
      </w:r>
      <w:r>
        <w:rPr>
          <w:rFonts w:ascii="宋体" w:hAnsi="宋体" w:cs="宋体" w:eastAsia="宋体" w:hint="default"/>
          <w:spacing w:val="-4"/>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Oy</w:t>
      </w:r>
      <w:r>
        <w:rPr/>
        <w:t>（含</w:t>
      </w:r>
      <w:r>
        <w:rPr>
          <w:spacing w:val="-54"/>
        </w:rPr>
        <w:t> </w:t>
      </w:r>
      <w:r>
        <w:rPr>
          <w:rFonts w:ascii="宋体" w:hAnsi="宋体" w:cs="宋体" w:eastAsia="宋体" w:hint="default"/>
        </w:rPr>
        <w:t>Almitas</w:t>
      </w:r>
      <w:r>
        <w:rPr>
          <w:rFonts w:ascii="宋体" w:hAnsi="宋体" w:cs="宋体" w:eastAsia="宋体" w:hint="default"/>
          <w:spacing w:val="-2"/>
        </w:rPr>
        <w:t> </w:t>
      </w:r>
      <w:r>
        <w:rPr>
          <w:rFonts w:ascii="宋体" w:hAnsi="宋体" w:cs="宋体" w:eastAsia="宋体" w:hint="default"/>
        </w:rPr>
        <w:t>Oy</w:t>
      </w:r>
      <w:r>
        <w:rPr/>
        <w:t>）和</w:t>
      </w:r>
      <w:r>
        <w:rPr>
          <w:spacing w:val="-56"/>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EDC</w:t>
      </w:r>
      <w:r>
        <w:rPr>
          <w:rFonts w:ascii="宋体" w:hAnsi="宋体" w:cs="宋体" w:eastAsia="宋体" w:hint="default"/>
          <w:spacing w:val="-2"/>
        </w:rPr>
        <w:t> </w:t>
      </w:r>
      <w:r>
        <w:rPr>
          <w:rFonts w:ascii="宋体" w:hAnsi="宋体" w:cs="宋体" w:eastAsia="宋体" w:hint="default"/>
        </w:rPr>
        <w:t>SRL</w:t>
      </w:r>
      <w:r>
        <w:rPr>
          <w:rFonts w:ascii="宋体" w:hAnsi="宋体" w:cs="宋体" w:eastAsia="宋体" w:hint="default"/>
          <w:spacing w:val="-54"/>
        </w:rPr>
        <w:t> </w:t>
      </w:r>
      <w:r>
        <w:rPr/>
        <w:t>两家公司的主要客户、业务内容、管理层团队基本一致，因而将其作为一个资产</w:t>
      </w:r>
      <w:r>
        <w:rPr>
          <w:w w:val="100"/>
        </w:rPr>
        <w:t> </w:t>
      </w:r>
      <w:r>
        <w:rPr/>
        <w:t>组组合进行商誉减值测试，报告期内商誉减值准备较年初变动金额为汇率变动影响；</w:t>
      </w:r>
    </w:p>
    <w:p>
      <w:pPr>
        <w:pStyle w:val="BodyText"/>
        <w:spacing w:line="272" w:lineRule="exact" w:before="1"/>
        <w:ind w:left="100" w:right="117" w:firstLine="420"/>
        <w:jc w:val="both"/>
      </w:pPr>
      <w:r>
        <w:rPr/>
        <w:t>注</w:t>
      </w:r>
      <w:r>
        <w:rPr>
          <w:spacing w:val="-54"/>
        </w:rPr>
        <w:t> </w:t>
      </w: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月，东软欧洲购买</w:t>
      </w:r>
      <w:r>
        <w:rPr>
          <w:spacing w:val="-53"/>
        </w:rPr>
        <w:t> </w:t>
      </w:r>
      <w:r>
        <w:rPr>
          <w:rFonts w:ascii="宋体" w:hAnsi="宋体" w:cs="宋体" w:eastAsia="宋体" w:hint="default"/>
        </w:rPr>
        <w:t>Johanna</w:t>
      </w:r>
      <w:r>
        <w:rPr>
          <w:rFonts w:ascii="宋体" w:hAnsi="宋体" w:cs="宋体" w:eastAsia="宋体" w:hint="default"/>
          <w:spacing w:val="-10"/>
        </w:rPr>
        <w:t> </w:t>
      </w:r>
      <w:r>
        <w:rPr>
          <w:rFonts w:ascii="宋体" w:hAnsi="宋体" w:cs="宋体" w:eastAsia="宋体" w:hint="default"/>
        </w:rPr>
        <w:t>GmbH</w:t>
      </w:r>
      <w:r>
        <w:rPr/>
        <w:t>（后更名为“Neusoft</w:t>
      </w:r>
      <w:r>
        <w:rPr>
          <w:spacing w:val="-10"/>
        </w:rPr>
        <w:t> </w:t>
      </w:r>
      <w:r>
        <w:rPr/>
        <w:t>Technology</w:t>
      </w:r>
      <w:r>
        <w:rPr>
          <w:spacing w:val="-10"/>
        </w:rPr>
        <w:t> </w:t>
      </w:r>
      <w:r>
        <w:rPr/>
        <w:t>Solutions</w:t>
      </w:r>
      <w:r>
        <w:rPr>
          <w:spacing w:val="-10"/>
        </w:rPr>
        <w:t> </w:t>
      </w:r>
      <w:r>
        <w:rPr/>
        <w:t>GmbH</w:t>
      </w:r>
      <w:r>
        <w:rPr>
          <w:spacing w:val="-10"/>
        </w:rPr>
        <w:t> </w:t>
      </w:r>
      <w:r>
        <w:rPr/>
        <w:t>”）</w:t>
      </w:r>
      <w:r>
        <w:rPr>
          <w:rFonts w:ascii="宋体" w:hAnsi="宋体" w:cs="宋体" w:eastAsia="宋体" w:hint="default"/>
        </w:rPr>
        <w:t>100%</w:t>
      </w:r>
      <w:r>
        <w:rPr/>
        <w:t>的股权，交易对价共</w:t>
      </w:r>
      <w:r>
        <w:rPr>
          <w:spacing w:val="-54"/>
        </w:rPr>
        <w:t> </w:t>
      </w:r>
      <w:r>
        <w:rPr>
          <w:rFonts w:ascii="宋体" w:hAnsi="宋体" w:cs="宋体" w:eastAsia="宋体" w:hint="default"/>
        </w:rPr>
        <w:t>2.9</w:t>
      </w:r>
      <w:r>
        <w:rPr>
          <w:rFonts w:ascii="宋体" w:hAnsi="宋体" w:cs="宋体" w:eastAsia="宋体" w:hint="default"/>
          <w:spacing w:val="-56"/>
        </w:rPr>
        <w:t> </w:t>
      </w:r>
      <w:r>
        <w:rPr/>
        <w:t>万欧元，购</w:t>
      </w:r>
      <w:r>
        <w:rPr>
          <w:w w:val="100"/>
        </w:rPr>
        <w:t> </w:t>
      </w:r>
      <w:r>
        <w:rPr/>
        <w:t>买价高于应享有的可辨认净资产公允价值之差额在编制合并财务报表时列报为商誉，报告期内商誉减值准备较年初变动金额为汇率变动影响；</w:t>
      </w:r>
    </w:p>
    <w:p>
      <w:pPr>
        <w:pStyle w:val="BodyText"/>
        <w:spacing w:line="272" w:lineRule="exact" w:before="1"/>
        <w:ind w:left="100" w:right="117" w:firstLine="420"/>
        <w:jc w:val="both"/>
      </w:pPr>
      <w:r>
        <w:rPr/>
        <w:t>注</w:t>
      </w:r>
      <w:r>
        <w:rPr>
          <w:spacing w:val="-51"/>
        </w:rPr>
        <w:t> </w:t>
      </w:r>
      <w:r>
        <w:rPr>
          <w:rFonts w:ascii="宋体" w:hAnsi="宋体" w:cs="宋体" w:eastAsia="宋体" w:hint="default"/>
          <w:spacing w:val="-13"/>
        </w:rPr>
        <w:t>5</w:t>
      </w:r>
      <w:r>
        <w:rPr>
          <w:spacing w:val="-13"/>
        </w:rPr>
        <w:t>：</w:t>
      </w:r>
      <w:r>
        <w:rPr>
          <w:rFonts w:ascii="宋体" w:hAnsi="宋体" w:cs="宋体" w:eastAsia="宋体" w:hint="default"/>
          <w:spacing w:val="-13"/>
        </w:rPr>
        <w:t>2010</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spacing w:val="-8"/>
        </w:rPr>
        <w:t>月，东软欧洲之德国子公司</w:t>
      </w:r>
      <w:r>
        <w:rPr>
          <w:spacing w:val="-51"/>
        </w:rPr>
        <w:t> </w:t>
      </w:r>
      <w:r>
        <w:rPr>
          <w:rFonts w:ascii="宋体" w:hAnsi="宋体" w:cs="宋体" w:eastAsia="宋体" w:hint="default"/>
        </w:rPr>
        <w:t>Neusoft</w:t>
      </w:r>
      <w:r>
        <w:rPr>
          <w:rFonts w:ascii="宋体" w:hAnsi="宋体" w:cs="宋体" w:eastAsia="宋体" w:hint="default"/>
          <w:spacing w:val="-53"/>
        </w:rPr>
        <w:t> </w:t>
      </w:r>
      <w:r>
        <w:rPr>
          <w:rFonts w:ascii="宋体" w:hAnsi="宋体" w:cs="宋体" w:eastAsia="宋体" w:hint="default"/>
        </w:rPr>
        <w:t>Technology</w:t>
      </w:r>
      <w:r>
        <w:rPr>
          <w:rFonts w:ascii="宋体" w:hAnsi="宋体" w:cs="宋体" w:eastAsia="宋体" w:hint="default"/>
          <w:spacing w:val="-53"/>
        </w:rPr>
        <w:t> </w:t>
      </w:r>
      <w:r>
        <w:rPr>
          <w:rFonts w:ascii="宋体" w:hAnsi="宋体" w:cs="宋体" w:eastAsia="宋体" w:hint="default"/>
        </w:rPr>
        <w:t>Solutions</w:t>
      </w:r>
      <w:r>
        <w:rPr>
          <w:rFonts w:ascii="宋体" w:hAnsi="宋体" w:cs="宋体" w:eastAsia="宋体" w:hint="default"/>
          <w:spacing w:val="-51"/>
        </w:rPr>
        <w:t> </w:t>
      </w:r>
      <w:r>
        <w:rPr>
          <w:rFonts w:ascii="宋体" w:hAnsi="宋体" w:cs="宋体" w:eastAsia="宋体" w:hint="default"/>
        </w:rPr>
        <w:t>GmbH</w:t>
      </w:r>
      <w:r>
        <w:rPr>
          <w:rFonts w:ascii="宋体" w:hAnsi="宋体" w:cs="宋体" w:eastAsia="宋体" w:hint="default"/>
          <w:spacing w:val="-51"/>
        </w:rPr>
        <w:t> </w:t>
      </w:r>
      <w:r>
        <w:rPr/>
        <w:t>完成收购</w:t>
      </w:r>
      <w:r>
        <w:rPr>
          <w:spacing w:val="-53"/>
        </w:rPr>
        <w:t> </w:t>
      </w:r>
      <w:r>
        <w:rPr>
          <w:rFonts w:ascii="宋体" w:hAnsi="宋体" w:cs="宋体" w:eastAsia="宋体" w:hint="default"/>
        </w:rPr>
        <w:t>Harman</w:t>
      </w:r>
      <w:r>
        <w:rPr>
          <w:rFonts w:ascii="宋体" w:hAnsi="宋体" w:cs="宋体" w:eastAsia="宋体" w:hint="default"/>
          <w:spacing w:val="-53"/>
        </w:rPr>
        <w:t> </w:t>
      </w:r>
      <w:r>
        <w:rPr/>
        <w:t>子公司所拥有的与汽车导航系统相关的电子硬件、</w:t>
      </w:r>
      <w:r>
        <w:rPr>
          <w:w w:val="100"/>
        </w:rPr>
        <w:t> </w:t>
      </w:r>
      <w:r>
        <w:rPr>
          <w:spacing w:val="-2"/>
        </w:rPr>
        <w:t>机械硬件和应用软件开发业务，及所拥有的支持以上业务运行的所有有形固定资产、存货、权利、合同、员工合同关系和雇佣关系（以上合称“VND</w:t>
      </w:r>
      <w:r>
        <w:rPr>
          <w:spacing w:val="71"/>
        </w:rPr>
        <w:t> </w:t>
      </w:r>
      <w:r>
        <w:rPr/>
        <w:t>业</w:t>
      </w:r>
    </w:p>
    <w:p>
      <w:pPr>
        <w:pStyle w:val="BodyText"/>
        <w:spacing w:line="272" w:lineRule="exact" w:before="1"/>
        <w:ind w:left="100" w:right="0"/>
        <w:jc w:val="left"/>
      </w:pPr>
      <w:r>
        <w:rPr/>
        <w:t>务及资产”），交易对价为</w:t>
      </w:r>
      <w:r>
        <w:rPr>
          <w:spacing w:val="-56"/>
        </w:rPr>
        <w:t> </w:t>
      </w:r>
      <w:r>
        <w:rPr>
          <w:rFonts w:ascii="宋体" w:hAnsi="宋体" w:cs="宋体" w:eastAsia="宋体" w:hint="default"/>
        </w:rPr>
        <w:t>600</w:t>
      </w:r>
      <w:r>
        <w:rPr>
          <w:rFonts w:ascii="宋体" w:hAnsi="宋体" w:cs="宋体" w:eastAsia="宋体" w:hint="default"/>
          <w:spacing w:val="-57"/>
        </w:rPr>
        <w:t> </w:t>
      </w:r>
      <w:r>
        <w:rPr/>
        <w:t>万欧元，购买价高于应享有的可辨认净资产公允价值之差额在编制财务报表时列报为商誉，报告期内商誉减值准备较年</w:t>
      </w:r>
      <w:r>
        <w:rPr>
          <w:w w:val="100"/>
        </w:rPr>
        <w:t> </w:t>
      </w:r>
      <w:r>
        <w:rPr/>
        <w:t>初变动金额为汇率变动影响；</w:t>
      </w:r>
    </w:p>
    <w:p>
      <w:pPr>
        <w:pStyle w:val="BodyText"/>
        <w:spacing w:line="272" w:lineRule="exact" w:before="1"/>
        <w:ind w:left="100" w:right="124" w:firstLine="420"/>
        <w:jc w:val="both"/>
      </w:pPr>
      <w:r>
        <w:rPr/>
        <w:t>注</w:t>
      </w:r>
      <w:r>
        <w:rPr>
          <w:spacing w:val="-54"/>
        </w:rPr>
        <w:t> </w:t>
      </w:r>
      <w:r>
        <w:rPr>
          <w:rFonts w:ascii="宋体" w:hAnsi="宋体" w:cs="宋体" w:eastAsia="宋体" w:hint="default"/>
        </w:rPr>
        <w:t>6</w:t>
      </w:r>
      <w:r>
        <w:rPr/>
        <w:t>：</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月，本公司全资子公司东软科技有限公司收购美国</w:t>
      </w:r>
      <w:r>
        <w:rPr>
          <w:spacing w:val="-54"/>
        </w:rPr>
        <w:t> </w:t>
      </w:r>
      <w:r>
        <w:rPr>
          <w:rFonts w:ascii="宋体" w:hAnsi="宋体" w:cs="宋体" w:eastAsia="宋体" w:hint="default"/>
        </w:rPr>
        <w:t>Taproot</w:t>
      </w:r>
      <w:r>
        <w:rPr>
          <w:rFonts w:ascii="宋体" w:hAnsi="宋体" w:cs="宋体" w:eastAsia="宋体" w:hint="default"/>
          <w:spacing w:val="-6"/>
        </w:rPr>
        <w:t> </w:t>
      </w:r>
      <w:r>
        <w:rPr>
          <w:rFonts w:ascii="宋体" w:hAnsi="宋体" w:cs="宋体" w:eastAsia="宋体" w:hint="default"/>
        </w:rPr>
        <w:t>System</w:t>
      </w:r>
      <w:r>
        <w:rPr>
          <w:rFonts w:ascii="宋体" w:hAnsi="宋体" w:cs="宋体" w:eastAsia="宋体" w:hint="default"/>
          <w:spacing w:val="-3"/>
        </w:rPr>
        <w:t> </w:t>
      </w:r>
      <w:r>
        <w:rPr>
          <w:rFonts w:ascii="宋体" w:hAnsi="宋体" w:cs="宋体" w:eastAsia="宋体" w:hint="default"/>
        </w:rPr>
        <w:t>Inc.</w:t>
      </w:r>
      <w:r>
        <w:rPr/>
        <w:t>从事高端智能手机嵌入式软件开发服务业务，交易总对价</w:t>
      </w:r>
      <w:r>
        <w:rPr>
          <w:w w:val="100"/>
        </w:rPr>
        <w:t> </w:t>
      </w:r>
      <w:r>
        <w:rPr/>
        <w:t>为 </w:t>
      </w:r>
      <w:r>
        <w:rPr>
          <w:rFonts w:ascii="宋体" w:hAnsi="宋体" w:cs="宋体" w:eastAsia="宋体" w:hint="default"/>
        </w:rPr>
        <w:t>310</w:t>
      </w:r>
      <w:r>
        <w:rPr>
          <w:rFonts w:ascii="宋体" w:hAnsi="宋体" w:cs="宋体" w:eastAsia="宋体" w:hint="default"/>
          <w:spacing w:val="13"/>
        </w:rPr>
        <w:t> </w:t>
      </w:r>
      <w:r>
        <w:rPr>
          <w:spacing w:val="-2"/>
        </w:rPr>
        <w:t>万美元，购买价高于应享有的可辨认净资产公允价值之差额在编制财务报表时列报为商誉，报告期内商誉减值准备较年初变动金额为汇率变动影</w:t>
      </w:r>
    </w:p>
    <w:p>
      <w:pPr>
        <w:pStyle w:val="BodyText"/>
        <w:spacing w:line="247" w:lineRule="exact"/>
        <w:ind w:left="100" w:right="0"/>
        <w:jc w:val="left"/>
      </w:pPr>
      <w:r>
        <w:rPr/>
        <w:t>响；</w:t>
      </w:r>
    </w:p>
    <w:p>
      <w:pPr>
        <w:pStyle w:val="BodyText"/>
        <w:spacing w:line="240" w:lineRule="auto"/>
        <w:ind w:left="100" w:right="117" w:firstLine="420"/>
        <w:jc w:val="both"/>
      </w:pPr>
      <w:r>
        <w:rPr/>
        <w:t>注</w:t>
      </w:r>
      <w:r>
        <w:rPr>
          <w:spacing w:val="-45"/>
        </w:rPr>
        <w:t> </w:t>
      </w:r>
      <w:r>
        <w:rPr>
          <w:rFonts w:ascii="宋体" w:hAnsi="宋体" w:cs="宋体" w:eastAsia="宋体" w:hint="default"/>
          <w:spacing w:val="-5"/>
        </w:rPr>
        <w:t>7</w:t>
      </w:r>
      <w:r>
        <w:rPr>
          <w:spacing w:val="-5"/>
        </w:rPr>
        <w:t>：</w:t>
      </w:r>
      <w:r>
        <w:rPr>
          <w:rFonts w:ascii="宋体" w:hAnsi="宋体" w:cs="宋体" w:eastAsia="宋体" w:hint="default"/>
          <w:spacing w:val="-5"/>
        </w:rPr>
        <w:t>2011</w:t>
      </w:r>
      <w:r>
        <w:rPr>
          <w:rFonts w:ascii="宋体" w:hAnsi="宋体" w:cs="宋体" w:eastAsia="宋体" w:hint="default"/>
          <w:spacing w:val="-48"/>
        </w:rPr>
        <w:t> </w:t>
      </w:r>
      <w:r>
        <w:rPr/>
        <w:t>年</w:t>
      </w:r>
      <w:r>
        <w:rPr>
          <w:spacing w:val="-45"/>
        </w:rPr>
        <w:t> </w:t>
      </w:r>
      <w:r>
        <w:rPr>
          <w:rFonts w:ascii="宋体" w:hAnsi="宋体" w:cs="宋体" w:eastAsia="宋体" w:hint="default"/>
        </w:rPr>
        <w:t>8</w:t>
      </w:r>
      <w:r>
        <w:rPr>
          <w:rFonts w:ascii="宋体" w:hAnsi="宋体" w:cs="宋体" w:eastAsia="宋体" w:hint="default"/>
          <w:spacing w:val="-48"/>
        </w:rPr>
        <w:t> </w:t>
      </w:r>
      <w:r>
        <w:rPr>
          <w:spacing w:val="-6"/>
        </w:rPr>
        <w:t>月，本公司以</w:t>
      </w:r>
      <w:r>
        <w:rPr>
          <w:spacing w:val="-45"/>
        </w:rPr>
        <w:t> </w:t>
      </w:r>
      <w:r>
        <w:rPr>
          <w:rFonts w:ascii="宋体" w:hAnsi="宋体" w:cs="宋体" w:eastAsia="宋体" w:hint="default"/>
        </w:rPr>
        <w:t>539</w:t>
      </w:r>
      <w:r>
        <w:rPr>
          <w:rFonts w:ascii="宋体" w:hAnsi="宋体" w:cs="宋体" w:eastAsia="宋体" w:hint="default"/>
          <w:spacing w:val="-44"/>
        </w:rPr>
        <w:t> </w:t>
      </w:r>
      <w:r>
        <w:rPr/>
        <w:t>万元取得北京利博赛社保信息技术有限公司</w:t>
      </w:r>
      <w:r>
        <w:rPr>
          <w:spacing w:val="-45"/>
        </w:rPr>
        <w:t> </w:t>
      </w:r>
      <w:r>
        <w:rPr>
          <w:rFonts w:ascii="宋体" w:hAnsi="宋体" w:cs="宋体" w:eastAsia="宋体" w:hint="default"/>
          <w:spacing w:val="-3"/>
        </w:rPr>
        <w:t>28.34%</w:t>
      </w:r>
      <w:r>
        <w:rPr>
          <w:spacing w:val="-3"/>
        </w:rPr>
        <w:t>的权益，加上之前持有的</w:t>
      </w:r>
      <w:r>
        <w:rPr>
          <w:spacing w:val="-44"/>
        </w:rPr>
        <w:t> </w:t>
      </w:r>
      <w:r>
        <w:rPr>
          <w:rFonts w:ascii="宋体" w:hAnsi="宋体" w:cs="宋体" w:eastAsia="宋体" w:hint="default"/>
          <w:spacing w:val="-3"/>
        </w:rPr>
        <w:t>33.33%</w:t>
      </w:r>
      <w:r>
        <w:rPr>
          <w:spacing w:val="-3"/>
        </w:rPr>
        <w:t>的权益，合计持有北京利博赛</w:t>
      </w:r>
      <w:r>
        <w:rPr>
          <w:w w:val="100"/>
        </w:rPr>
        <w:t> </w:t>
      </w:r>
      <w:r>
        <w:rPr>
          <w:spacing w:val="-2"/>
        </w:rPr>
        <w:t>社保信息技术有限公司</w:t>
      </w:r>
      <w:r>
        <w:rPr>
          <w:spacing w:val="52"/>
        </w:rPr>
        <w:t> </w:t>
      </w:r>
      <w:r>
        <w:rPr>
          <w:rFonts w:ascii="宋体" w:hAnsi="宋体" w:cs="宋体" w:eastAsia="宋体" w:hint="default"/>
          <w:spacing w:val="-2"/>
        </w:rPr>
        <w:t>61.67%</w:t>
      </w:r>
      <w:r>
        <w:rPr>
          <w:spacing w:val="-2"/>
        </w:rPr>
        <w:t>的权益，合并成本高于应享有的可辨认净资产的公允价值之差额在编制合并财务报表时列报为商誉；</w:t>
      </w:r>
    </w:p>
    <w:p>
      <w:pPr>
        <w:pStyle w:val="BodyText"/>
        <w:spacing w:line="237" w:lineRule="auto"/>
        <w:ind w:left="100" w:right="117" w:firstLine="420"/>
        <w:jc w:val="both"/>
      </w:pPr>
      <w:r>
        <w:rPr/>
        <w:t>注</w:t>
      </w:r>
      <w:r>
        <w:rPr>
          <w:spacing w:val="-37"/>
        </w:rPr>
        <w:t> </w:t>
      </w:r>
      <w:r>
        <w:rPr>
          <w:rFonts w:ascii="宋体" w:hAnsi="宋体" w:cs="宋体" w:eastAsia="宋体" w:hint="default"/>
          <w:spacing w:val="-4"/>
        </w:rPr>
        <w:t>8</w:t>
      </w:r>
      <w:r>
        <w:rPr>
          <w:spacing w:val="-4"/>
        </w:rPr>
        <w:t>：</w:t>
      </w:r>
      <w:r>
        <w:rPr>
          <w:rFonts w:ascii="宋体" w:hAnsi="宋体" w:cs="宋体" w:eastAsia="宋体" w:hint="default"/>
          <w:spacing w:val="-4"/>
        </w:rPr>
        <w:t>2011</w:t>
      </w:r>
      <w:r>
        <w:rPr>
          <w:rFonts w:ascii="宋体" w:hAnsi="宋体" w:cs="宋体" w:eastAsia="宋体" w:hint="default"/>
          <w:spacing w:val="-40"/>
        </w:rPr>
        <w:t> </w:t>
      </w:r>
      <w:r>
        <w:rPr/>
        <w:t>年</w:t>
      </w:r>
      <w:r>
        <w:rPr>
          <w:spacing w:val="-37"/>
        </w:rPr>
        <w:t> </w:t>
      </w:r>
      <w:r>
        <w:rPr>
          <w:rFonts w:ascii="宋体" w:hAnsi="宋体" w:cs="宋体" w:eastAsia="宋体" w:hint="default"/>
        </w:rPr>
        <w:t>8</w:t>
      </w:r>
      <w:r>
        <w:rPr>
          <w:rFonts w:ascii="宋体" w:hAnsi="宋体" w:cs="宋体" w:eastAsia="宋体" w:hint="default"/>
          <w:spacing w:val="-40"/>
        </w:rPr>
        <w:t> </w:t>
      </w:r>
      <w:r>
        <w:rPr>
          <w:spacing w:val="-4"/>
        </w:rPr>
        <w:t>月，本公司之全资子公司东软集团（北京）有限公司以</w:t>
      </w:r>
      <w:r>
        <w:rPr>
          <w:spacing w:val="-36"/>
        </w:rPr>
        <w:t> </w:t>
      </w:r>
      <w:r>
        <w:rPr>
          <w:rFonts w:ascii="宋体" w:hAnsi="宋体" w:cs="宋体" w:eastAsia="宋体" w:hint="default"/>
        </w:rPr>
        <w:t>11,410</w:t>
      </w:r>
      <w:r>
        <w:rPr>
          <w:rFonts w:ascii="宋体" w:hAnsi="宋体" w:cs="宋体" w:eastAsia="宋体" w:hint="default"/>
          <w:spacing w:val="-37"/>
        </w:rPr>
        <w:t> </w:t>
      </w:r>
      <w:r>
        <w:rPr>
          <w:spacing w:val="-3"/>
        </w:rPr>
        <w:t>万元取得北京望海康信科技有限公司（收购后更名为“北京东软望海</w:t>
      </w:r>
      <w:r>
        <w:rPr>
          <w:w w:val="100"/>
        </w:rPr>
        <w:t> </w:t>
      </w:r>
      <w:r>
        <w:rPr/>
        <w:t>科技有限公司”）</w:t>
      </w:r>
      <w:r>
        <w:rPr>
          <w:rFonts w:ascii="宋体" w:hAnsi="宋体" w:cs="宋体" w:eastAsia="宋体" w:hint="default"/>
        </w:rPr>
        <w:t>73.14%</w:t>
      </w:r>
      <w:r>
        <w:rPr/>
        <w:t>的股权，购买价高于应享有的可辨认净资产的公允价值之差额在编制合并财务报表时列报为商誉。</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月，本公司按原</w:t>
      </w:r>
      <w:r>
        <w:rPr>
          <w:w w:val="100"/>
        </w:rPr>
        <w:t> </w:t>
      </w:r>
      <w:r>
        <w:rPr/>
        <w:t>收购价</w:t>
      </w:r>
      <w:r>
        <w:rPr>
          <w:spacing w:val="-55"/>
        </w:rPr>
        <w:t> </w:t>
      </w:r>
      <w:r>
        <w:rPr>
          <w:rFonts w:ascii="宋体" w:hAnsi="宋体" w:cs="宋体" w:eastAsia="宋体" w:hint="default"/>
        </w:rPr>
        <w:t>11,410</w:t>
      </w:r>
      <w:r>
        <w:rPr>
          <w:rFonts w:ascii="宋体" w:hAnsi="宋体" w:cs="宋体" w:eastAsia="宋体" w:hint="default"/>
          <w:spacing w:val="-58"/>
        </w:rPr>
        <w:t> </w:t>
      </w:r>
      <w:r>
        <w:rPr/>
        <w:t>万元购入东软集团（北京）有限公司持有的东软望海的</w:t>
      </w:r>
      <w:r>
        <w:rPr>
          <w:spacing w:val="-56"/>
        </w:rPr>
        <w:t> </w:t>
      </w:r>
      <w:r>
        <w:rPr>
          <w:rFonts w:ascii="宋体" w:hAnsi="宋体" w:cs="宋体" w:eastAsia="宋体" w:hint="default"/>
        </w:rPr>
        <w:t>73.14%</w:t>
      </w:r>
      <w:r>
        <w:rPr/>
        <w:t>的股权，根据企业会计准则对同一控制下企业合并的相关规定，原确认的</w:t>
      </w:r>
      <w:r>
        <w:rPr>
          <w:w w:val="100"/>
        </w:rPr>
        <w:t> </w:t>
      </w:r>
      <w:r>
        <w:rPr/>
        <w:t>商誉金额不变。</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月，东软望海引进投资者，使本公司对其持股比例下降至</w:t>
      </w:r>
      <w:r>
        <w:rPr>
          <w:spacing w:val="-56"/>
        </w:rPr>
        <w:t> </w:t>
      </w:r>
      <w:r>
        <w:rPr>
          <w:rFonts w:ascii="宋体" w:hAnsi="宋体" w:cs="宋体" w:eastAsia="宋体" w:hint="default"/>
        </w:rPr>
        <w:t>34.79%</w:t>
      </w:r>
      <w:r>
        <w:rPr/>
        <w:t>而丧失控制权，不再将其纳入合并财务报表范围，将对其确</w:t>
      </w:r>
      <w:r>
        <w:rPr>
          <w:w w:val="100"/>
        </w:rPr>
        <w:t> </w:t>
      </w:r>
      <w:r>
        <w:rPr/>
        <w:t>认的商誉余额转出。</w:t>
      </w:r>
    </w:p>
    <w:p>
      <w:pPr>
        <w:spacing w:after="0" w:line="237" w:lineRule="auto"/>
        <w:jc w:val="both"/>
        <w:sectPr>
          <w:pgSz w:w="16840" w:h="11910" w:orient="landscape"/>
          <w:pgMar w:header="946" w:footer="1248" w:top="1300" w:bottom="1440" w:left="1340" w:right="14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3" w:lineRule="exact"/>
        <w:ind w:right="2760"/>
        <w:jc w:val="left"/>
      </w:pPr>
      <w:r>
        <w:rPr/>
        <w:t>其他说明</w:t>
      </w:r>
    </w:p>
    <w:p>
      <w:pPr>
        <w:pStyle w:val="BodyText"/>
        <w:spacing w:line="273"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8"/>
          <w:footerReference w:type="default" r:id="rId99"/>
          <w:pgSz w:w="11910" w:h="16840"/>
          <w:pgMar w:header="946" w:footer="1248" w:top="1300" w:bottom="1440" w:left="1580" w:right="1040"/>
          <w:pgNumType w:start="132"/>
        </w:sectPr>
      </w:pPr>
    </w:p>
    <w:p>
      <w:pPr>
        <w:pStyle w:val="Heading4"/>
        <w:spacing w:line="240" w:lineRule="auto" w:before="36"/>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4"/>
        <w:gridCol w:w="1421"/>
        <w:gridCol w:w="1495"/>
        <w:gridCol w:w="1498"/>
        <w:gridCol w:w="1522"/>
        <w:gridCol w:w="1589"/>
      </w:tblGrid>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34,422,083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16,570,466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11,414,302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1,650,075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37,928,172</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景观绿化费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2,241,809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1,698,387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739,613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3,200,583</w:t>
            </w:r>
          </w:p>
        </w:tc>
      </w:tr>
      <w:tr>
        <w:trPr>
          <w:trHeight w:val="55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资产改良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1,930,875</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603,243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1,327,632</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18,990,164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13,802,927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9,993,940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747,943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22,051,208</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57,584,931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32,071,780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22,751,098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2,398,018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64,507,595</w:t>
            </w:r>
          </w:p>
        </w:tc>
      </w:tr>
    </w:tbl>
    <w:p>
      <w:pPr>
        <w:spacing w:line="240" w:lineRule="auto" w:before="7"/>
        <w:rPr>
          <w:rFonts w:ascii="宋体" w:hAnsi="宋体" w:cs="宋体" w:eastAsia="宋体" w:hint="default"/>
          <w:sz w:val="15"/>
          <w:szCs w:val="15"/>
        </w:rPr>
      </w:pPr>
    </w:p>
    <w:p>
      <w:pPr>
        <w:pStyle w:val="BodyText"/>
        <w:spacing w:line="273" w:lineRule="exact" w:before="36"/>
        <w:ind w:right="2760"/>
        <w:jc w:val="left"/>
      </w:pPr>
      <w:r>
        <w:rPr/>
        <w:t>其他说明：</w:t>
      </w:r>
    </w:p>
    <w:p>
      <w:pPr>
        <w:pStyle w:val="BodyText"/>
        <w:spacing w:line="273" w:lineRule="exact"/>
        <w:ind w:left="638" w:right="2760"/>
        <w:jc w:val="left"/>
      </w:pPr>
      <w:r>
        <w:rPr/>
        <w:t>本期其他减少额主要为合并范围变化影响所致。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90" w:lineRule="auto" w:before="36"/>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6"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194,868,601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19,638,427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209,763,045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21,159,271</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超过税法标准计提的坏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帐准备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138,848,211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15,098,776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137,549,232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14,842,212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85,932,538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8,593,254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81,303,766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8,144,191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23,778,617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2,388,912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22,582,064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2,258,206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长期资产减值</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24,975,136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2,497,513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26,178,747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2,617,875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未到期的未弥补亏损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33,675,134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8,418,783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33,675,134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8,418,783</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7,800,622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2,258,573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5,996,455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1,790,674</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9,275,607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1,391,341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39,838,835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4,925,424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46,776,269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5,542,517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244,949,437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28,459,283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228,399,520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26,758,505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794,667,131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92,278,945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801,499,839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92,923,575</w:t>
            </w:r>
          </w:p>
        </w:tc>
      </w:tr>
    </w:tbl>
    <w:p>
      <w:pPr>
        <w:spacing w:after="0" w:line="246"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46" w:footer="1248" w:top="1300" w:bottom="1440" w:left="1580" w:right="1040"/>
        </w:sectPr>
      </w:pPr>
    </w:p>
    <w:p>
      <w:pPr>
        <w:pStyle w:val="Heading4"/>
        <w:spacing w:line="240" w:lineRule="auto" w:before="36"/>
        <w:ind w:right="-5"/>
        <w:jc w:val="left"/>
        <w:rPr>
          <w:b w:val="0"/>
          <w:bCs w:val="0"/>
        </w:rPr>
      </w:pPr>
      <w:r>
        <w:rPr>
          <w:rFonts w:ascii="宋体" w:hAnsi="宋体" w:cs="宋体" w:eastAsia="宋体" w:hint="default"/>
          <w:spacing w:val="-1"/>
        </w:rPr>
        <w:t>(2).</w:t>
      </w:r>
      <w:r>
        <w:rPr>
          <w:spacing w:val="-1"/>
        </w:rPr>
        <w:t>未经抵销的递延所得税负债</w:t>
      </w:r>
      <w:r>
        <w:rPr>
          <w:b w:val="0"/>
          <w:bCs w:val="0"/>
          <w:spacing w:val="-1"/>
        </w:rPr>
      </w:r>
    </w:p>
    <w:p>
      <w:pPr>
        <w:pStyle w:val="BodyText"/>
        <w:spacing w:line="240" w:lineRule="auto" w:before="58"/>
        <w:ind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产摊销</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70,392,029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7,361,614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44,726,166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4,622,065</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114,268,475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11,426,848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173,536,951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17,353,695</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股权重估收益</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1,273,132,588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128,712,828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433,482,544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43,348,254</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34,921,641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10,476,492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17,350,764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5,205,229</w:t>
            </w: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1,492,714,733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157,977,782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669,096,425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70,529,243</w:t>
            </w:r>
          </w:p>
        </w:tc>
      </w:tr>
    </w:tbl>
    <w:p>
      <w:pPr>
        <w:spacing w:line="240" w:lineRule="auto" w:before="1"/>
        <w:rPr>
          <w:rFonts w:ascii="宋体" w:hAnsi="宋体" w:cs="宋体" w:eastAsia="宋体" w:hint="default"/>
          <w:sz w:val="23"/>
          <w:szCs w:val="23"/>
        </w:rPr>
      </w:pPr>
    </w:p>
    <w:p>
      <w:pPr>
        <w:pStyle w:val="Heading4"/>
        <w:spacing w:line="240" w:lineRule="auto" w:before="36"/>
        <w:ind w:right="2760"/>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580" w:right="1040"/>
        </w:sectPr>
      </w:pPr>
    </w:p>
    <w:p>
      <w:pPr>
        <w:pStyle w:val="Heading4"/>
        <w:spacing w:line="240" w:lineRule="auto" w:before="36"/>
        <w:ind w:right="-5"/>
        <w:jc w:val="left"/>
        <w:rPr>
          <w:b w:val="0"/>
          <w:bCs w:val="0"/>
        </w:rPr>
      </w:pPr>
      <w:r>
        <w:rPr>
          <w:rFonts w:ascii="宋体" w:hAnsi="宋体" w:cs="宋体" w:eastAsia="宋体" w:hint="default"/>
          <w:spacing w:val="-1"/>
        </w:rPr>
        <w:t>(4).</w:t>
      </w:r>
      <w:r>
        <w:rPr>
          <w:spacing w:val="-1"/>
        </w:rPr>
        <w:t>未确认递延所得税资产明细</w:t>
      </w:r>
      <w:r>
        <w:rPr>
          <w:b w:val="0"/>
          <w:bCs w:val="0"/>
          <w:spacing w:val="-1"/>
        </w:rPr>
      </w:r>
    </w:p>
    <w:p>
      <w:pPr>
        <w:pStyle w:val="BodyText"/>
        <w:spacing w:line="240" w:lineRule="auto" w:before="58"/>
        <w:ind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171" w:space="3350"/>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111,192,529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82,805,470</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27"/>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111,192,529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82,805,470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700" w:space="766"/>
            <w:col w:w="282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2268"/>
        <w:gridCol w:w="1985"/>
        <w:gridCol w:w="2137"/>
      </w:tblGrid>
      <w:tr>
        <w:trPr>
          <w:trHeight w:val="29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6,740,306</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14,432,511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15,268,596</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15,409,718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15,431,528</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31,209,837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37,629,651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34,102,128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34,357,839</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年及以后（注）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296,000,322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197,645,963</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391,154,516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307,073,883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74" w:lineRule="exact" w:before="36"/>
        <w:ind w:right="2760"/>
        <w:jc w:val="left"/>
      </w:pPr>
      <w:r>
        <w:rPr/>
        <w:t>其他说明：</w:t>
      </w:r>
    </w:p>
    <w:p>
      <w:pPr>
        <w:pStyle w:val="BodyText"/>
        <w:spacing w:line="272" w:lineRule="exact" w:before="27"/>
        <w:ind w:left="638" w:right="1604" w:hanging="420"/>
        <w:jc w:val="left"/>
      </w:pPr>
      <w:r>
        <w:rPr/>
        <w:t>√适用</w:t>
      </w:r>
      <w:r>
        <w:rPr>
          <w:spacing w:val="-2"/>
        </w:rPr>
        <w:t> </w:t>
      </w:r>
      <w:r>
        <w:rPr/>
        <w:t>□不适用</w:t>
      </w:r>
      <w:r>
        <w:rPr>
          <w:w w:val="100"/>
        </w:rPr>
        <w:t> </w:t>
      </w:r>
      <w:r>
        <w:rPr/>
        <w:t>注：本公司之子公司东软欧洲根据当地政策，未弥补亏损的有效期为</w:t>
      </w:r>
      <w:r>
        <w:rPr>
          <w:spacing w:val="-55"/>
        </w:rPr>
        <w:t> </w:t>
      </w:r>
      <w:r>
        <w:rPr>
          <w:rFonts w:ascii="宋体" w:hAnsi="宋体" w:cs="宋体" w:eastAsia="宋体" w:hint="default"/>
        </w:rPr>
        <w:t>10</w:t>
      </w:r>
      <w:r>
        <w:rPr>
          <w:rFonts w:ascii="宋体" w:hAnsi="宋体" w:cs="宋体" w:eastAsia="宋体" w:hint="default"/>
          <w:spacing w:val="-55"/>
        </w:rPr>
        <w:t> </w:t>
      </w:r>
      <w:r>
        <w:rPr>
          <w:spacing w:val="-3"/>
        </w:rPr>
        <w:t>年。</w:t>
      </w:r>
      <w:r>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购置固定资产预付款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15" w:right="0"/>
              <w:jc w:val="left"/>
              <w:rPr>
                <w:rFonts w:ascii="宋体" w:hAnsi="宋体" w:cs="宋体" w:eastAsia="宋体" w:hint="default"/>
                <w:sz w:val="21"/>
                <w:szCs w:val="21"/>
              </w:rPr>
            </w:pPr>
            <w:r>
              <w:rPr>
                <w:rFonts w:ascii="宋体"/>
                <w:sz w:val="21"/>
              </w:rPr>
              <w:t>23,390,000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融盛财险投资款（注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1" w:right="0"/>
              <w:jc w:val="left"/>
              <w:rPr>
                <w:rFonts w:ascii="宋体" w:hAnsi="宋体" w:cs="宋体" w:eastAsia="宋体" w:hint="default"/>
                <w:sz w:val="21"/>
                <w:szCs w:val="21"/>
              </w:rPr>
            </w:pPr>
            <w:r>
              <w:rPr>
                <w:rFonts w:ascii="宋体"/>
                <w:sz w:val="21"/>
              </w:rPr>
              <w:t>200,000,000</w:t>
            </w:r>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甘肃银行投资款（注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121,677,404</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321,677,404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5" w:right="0"/>
              <w:jc w:val="left"/>
              <w:rPr>
                <w:rFonts w:ascii="宋体" w:hAnsi="宋体" w:cs="宋体" w:eastAsia="宋体" w:hint="default"/>
                <w:sz w:val="21"/>
                <w:szCs w:val="21"/>
              </w:rPr>
            </w:pPr>
            <w:r>
              <w:rPr>
                <w:rFonts w:ascii="宋体"/>
                <w:sz w:val="21"/>
              </w:rPr>
              <w:t>23,390,000</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2" w:lineRule="exact" w:before="27"/>
        <w:ind w:right="226"/>
        <w:jc w:val="left"/>
      </w:pPr>
      <w:r>
        <w:rPr/>
        <w:t>注 </w:t>
      </w:r>
      <w:r>
        <w:rPr>
          <w:rFonts w:ascii="宋体" w:hAnsi="宋体" w:cs="宋体" w:eastAsia="宋体" w:hint="default"/>
          <w:spacing w:val="-2"/>
        </w:rPr>
        <w:t>1</w:t>
      </w:r>
      <w:r>
        <w:rPr>
          <w:spacing w:val="-2"/>
        </w:rPr>
        <w:t>：报告期内，本公司参与设立融盛财产保险股份有限公司（简称“融盛财险”），因相关手</w:t>
      </w:r>
      <w:r>
        <w:rPr>
          <w:spacing w:val="-80"/>
        </w:rPr>
        <w:t> </w:t>
      </w:r>
      <w:r>
        <w:rPr>
          <w:spacing w:val="-80"/>
        </w:rPr>
      </w:r>
      <w:r>
        <w:rPr/>
        <w:t>续尚未办理完毕，在其他非流动资产科目中核算。</w:t>
      </w:r>
    </w:p>
    <w:p>
      <w:pPr>
        <w:pStyle w:val="BodyText"/>
        <w:spacing w:line="272" w:lineRule="exact" w:before="1"/>
        <w:ind w:right="226"/>
        <w:jc w:val="left"/>
      </w:pPr>
      <w:r>
        <w:rPr/>
        <w:t>注 </w:t>
      </w:r>
      <w:r>
        <w:rPr>
          <w:rFonts w:ascii="宋体" w:hAnsi="宋体" w:cs="宋体" w:eastAsia="宋体" w:hint="default"/>
          <w:spacing w:val="-2"/>
        </w:rPr>
        <w:t>2</w:t>
      </w:r>
      <w:r>
        <w:rPr>
          <w:spacing w:val="-2"/>
        </w:rPr>
        <w:t>：报告期内，本公司及本公司之子公司东软（香港）有限公司认购甘肃银行在香港联合交易</w:t>
      </w:r>
      <w:r>
        <w:rPr>
          <w:spacing w:val="-80"/>
        </w:rPr>
        <w:t> </w:t>
      </w:r>
      <w:r>
        <w:rPr>
          <w:spacing w:val="-80"/>
        </w:rPr>
      </w:r>
      <w:r>
        <w:rPr/>
        <w:t>所首次公开发行的股份，由于相关手续没有办理完毕，在其他非流动资产科目中核算。</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46" w:footer="1248" w:top="1300" w:bottom="1440" w:left="1580" w:right="1040"/>
        </w:sectPr>
      </w:pPr>
    </w:p>
    <w:p>
      <w:pPr>
        <w:pStyle w:val="Heading4"/>
        <w:spacing w:line="240" w:lineRule="auto" w:before="36"/>
        <w:ind w:right="-20"/>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849" w:val="left" w:leader="none"/>
        </w:tabs>
        <w:spacing w:line="240" w:lineRule="auto" w:before="58"/>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7"/>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119,398,350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32,880,600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119,398,350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32,880,600</w:t>
            </w:r>
          </w:p>
        </w:tc>
      </w:tr>
    </w:tbl>
    <w:p>
      <w:pPr>
        <w:spacing w:line="240" w:lineRule="auto" w:before="2"/>
        <w:rPr>
          <w:rFonts w:ascii="宋体" w:hAnsi="宋体" w:cs="宋体" w:eastAsia="宋体" w:hint="default"/>
          <w:sz w:val="20"/>
          <w:szCs w:val="20"/>
        </w:rPr>
      </w:pPr>
    </w:p>
    <w:p>
      <w:pPr>
        <w:pStyle w:val="Heading4"/>
        <w:tabs>
          <w:tab w:pos="849" w:val="left" w:leader="none"/>
        </w:tabs>
        <w:spacing w:line="240" w:lineRule="auto" w:before="36"/>
        <w:ind w:right="276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2760"/>
        <w:jc w:val="left"/>
      </w:pPr>
      <w:r>
        <w:rPr/>
        <w:t>其中重要的已逾期未偿还的短期借款情况如下：</w:t>
      </w:r>
    </w:p>
    <w:p>
      <w:pPr>
        <w:pStyle w:val="BodyText"/>
        <w:spacing w:line="274" w:lineRule="exact"/>
        <w:ind w:right="2760"/>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362" w:space="11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3190"/>
        <w:gridCol w:w="25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6"/>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944,121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1,294,310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270,506,100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287,613,687</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271,450,221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288,907,997</w:t>
            </w:r>
          </w:p>
        </w:tc>
      </w:tr>
    </w:tbl>
    <w:p>
      <w:pPr>
        <w:spacing w:line="240" w:lineRule="auto" w:before="5"/>
        <w:rPr>
          <w:rFonts w:ascii="宋体" w:hAnsi="宋体" w:cs="宋体" w:eastAsia="宋体" w:hint="default"/>
          <w:sz w:val="15"/>
          <w:szCs w:val="15"/>
        </w:rPr>
      </w:pPr>
    </w:p>
    <w:p>
      <w:pPr>
        <w:pStyle w:val="BodyText"/>
        <w:spacing w:line="240" w:lineRule="auto" w:before="36"/>
        <w:ind w:left="638" w:right="2760"/>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6" w:footer="1248" w:top="1300" w:bottom="1440" w:left="1580" w:right="1040"/>
        </w:sectPr>
      </w:pPr>
    </w:p>
    <w:p>
      <w:pPr>
        <w:pStyle w:val="Heading4"/>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应付账款列示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814,831,454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843,553,819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814,831,454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843,553,819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490" w:space="30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458"/>
        <w:gridCol w:w="2938"/>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0"/>
              <w:jc w:val="right"/>
              <w:rPr>
                <w:rFonts w:ascii="宋体" w:hAnsi="宋体" w:cs="宋体" w:eastAsia="宋体" w:hint="default"/>
                <w:sz w:val="21"/>
                <w:szCs w:val="21"/>
              </w:rPr>
            </w:pPr>
            <w:r>
              <w:rPr>
                <w:rFonts w:ascii="宋体" w:hAnsi="宋体" w:cs="宋体" w:eastAsia="宋体" w:hint="default"/>
                <w:sz w:val="21"/>
                <w:szCs w:val="21"/>
              </w:rPr>
              <w:t>项目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14,665,497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6,840,800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7,837,190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6,126,132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0"/>
              <w:jc w:val="right"/>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41,169,619</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225" w:space="4297"/>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预收合同款项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393,614,619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321,409,246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393,614,619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321,409,246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490" w:space="30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3058"/>
        <w:gridCol w:w="3049"/>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10,352,573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5,233,773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3,126,007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2,846,283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2,162,644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执行中合同未结算项目款</w:t>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43"/>
        <w:gridCol w:w="3058"/>
        <w:gridCol w:w="3049"/>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96" w:right="0"/>
              <w:jc w:val="left"/>
              <w:rPr>
                <w:rFonts w:ascii="宋体" w:hAnsi="宋体" w:cs="宋体" w:eastAsia="宋体" w:hint="default"/>
                <w:sz w:val="21"/>
                <w:szCs w:val="21"/>
              </w:rPr>
            </w:pPr>
            <w:r>
              <w:rPr>
                <w:rFonts w:ascii="宋体"/>
                <w:sz w:val="21"/>
              </w:rPr>
              <w:t>23,721,280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6" w:footer="1248" w:top="1300" w:bottom="1440" w:left="1580" w:right="1040"/>
        </w:sectPr>
      </w:pPr>
    </w:p>
    <w:p>
      <w:pPr>
        <w:pStyle w:val="Heading4"/>
        <w:spacing w:line="290" w:lineRule="auto" w:before="36"/>
        <w:ind w:right="-18"/>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542" w:space="398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385"/>
        <w:gridCol w:w="1599"/>
        <w:gridCol w:w="1599"/>
        <w:gridCol w:w="1382"/>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391,653,418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2,987,166,702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2,977,403,466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401,416,654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1,617,596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322,387,319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322,224,577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1,780,338</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8,777,820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8,699,445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78,375</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393,271,014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3,318,331,841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3,308,327,488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403,275,367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9"/>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2119" w:space="4508"/>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3"/>
        <w:gridCol w:w="1402"/>
        <w:gridCol w:w="1618"/>
        <w:gridCol w:w="1616"/>
        <w:gridCol w:w="1402"/>
      </w:tblGrid>
      <w:tr>
        <w:trPr>
          <w:trHeight w:val="284"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348,488,575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2,579,845,263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2,569,183,308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359,150,530</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18,314,894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55,579,922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55,579,922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18,314,894</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1,033,450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176,403,142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176,452,033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984,559</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642,360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159,893,959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159,901,092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635,227</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429,073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14,148,317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14,230,330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347,060</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2,360,866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2,320,611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2,272</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-642,420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159,914,073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159,005,771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265,882</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17,118,090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14,787,830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16,412,195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15,493,725</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7,340,829</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133,765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7,207,064</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636,472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636,472</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391,653,418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2,987,166,702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2,977,403,466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401,416,654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331" w:space="4191"/>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625,528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286,578,488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286,638,755</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565,261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11,105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10,573,015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10,514,544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69,576</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980,963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25,235,816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25,071,278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1,145,501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1,617,596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322,387,319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322,224,577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1,780,338</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4" w:lineRule="exact"/>
        <w:ind w:right="2760"/>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46"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98,271,990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81,754,541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24,933,150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16,708,015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13,636,247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13,410,618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6,065,055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4,853,518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9,463,844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9,171,679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152,370,286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125,898,371</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重要的已逾期未支付的利息情况：</w:t>
      </w:r>
    </w:p>
    <w:p>
      <w:pPr>
        <w:pStyle w:val="BodyText"/>
        <w:spacing w:line="274" w:lineRule="exact"/>
        <w:ind w:right="276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right="2760"/>
        <w:jc w:val="left"/>
      </w:pPr>
      <w:r>
        <w:rPr/>
        <w:t>其他说明：</w:t>
      </w:r>
    </w:p>
    <w:p>
      <w:pPr>
        <w:pStyle w:val="BodyText"/>
        <w:spacing w:line="240" w:lineRule="auto" w:before="56"/>
        <w:ind w:right="276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760"/>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53,585,194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139,043,360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暂收应付单位款项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89,508,828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92,777,649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暂收应付个人款项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8,722,185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16,489,769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55,555,166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12,693,581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12,820,580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12,371,210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代扣应付款项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3,893,796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3,709,469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77,538,711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53,935,998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301,624,460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331,021,036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701" w:space="28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283"/>
        <w:gridCol w:w="311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未偿还或结转的原因</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53,585,194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按有关协议约定执行</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38,199,000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按有关协议约定执行</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653"/>
        <w:gridCol w:w="2283"/>
        <w:gridCol w:w="311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4,757,167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4" w:right="0"/>
              <w:jc w:val="left"/>
              <w:rPr>
                <w:rFonts w:ascii="宋体" w:hAnsi="宋体" w:cs="宋体" w:eastAsia="宋体" w:hint="default"/>
                <w:sz w:val="21"/>
                <w:szCs w:val="21"/>
              </w:rPr>
            </w:pPr>
            <w:r>
              <w:rPr>
                <w:rFonts w:ascii="宋体" w:hAnsi="宋体" w:cs="宋体" w:eastAsia="宋体" w:hint="default"/>
                <w:sz w:val="21"/>
                <w:szCs w:val="21"/>
              </w:rPr>
              <w:t>按有关协议约定执行</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96,541,361</w:t>
            </w:r>
          </w:p>
        </w:tc>
        <w:tc>
          <w:tcPr>
            <w:tcW w:w="31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760"/>
        <w:jc w:val="left"/>
      </w:pPr>
      <w:r>
        <w:rPr/>
        <w:t>其他说明</w:t>
      </w:r>
    </w:p>
    <w:p>
      <w:pPr>
        <w:pStyle w:val="BodyText"/>
        <w:spacing w:line="273"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6" w:footer="1248" w:top="1300" w:bottom="1440" w:left="1580" w:right="1040"/>
        </w:sectPr>
      </w:pPr>
    </w:p>
    <w:p>
      <w:pPr>
        <w:pStyle w:val="Heading4"/>
        <w:spacing w:line="240" w:lineRule="auto" w:before="36"/>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859"/>
        <w:gridCol w:w="3104"/>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610,000,000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2859"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2859"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40,409,000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650,409,000</w:t>
            </w:r>
          </w:p>
        </w:tc>
      </w:tr>
    </w:tbl>
    <w:p>
      <w:pPr>
        <w:spacing w:line="240" w:lineRule="auto" w:before="12"/>
        <w:rPr>
          <w:rFonts w:ascii="宋体" w:hAnsi="宋体" w:cs="宋体" w:eastAsia="宋体" w:hint="default"/>
          <w:sz w:val="19"/>
          <w:szCs w:val="19"/>
        </w:rPr>
      </w:pPr>
    </w:p>
    <w:p>
      <w:pPr>
        <w:pStyle w:val="BodyText"/>
        <w:spacing w:line="240" w:lineRule="auto" w:before="36"/>
        <w:ind w:right="2760"/>
        <w:jc w:val="left"/>
      </w:pPr>
      <w:r>
        <w:rPr/>
        <w:t>其他说明：</w:t>
      </w:r>
    </w:p>
    <w:p>
      <w:pPr>
        <w:pStyle w:val="BodyText"/>
        <w:spacing w:line="240" w:lineRule="auto" w:before="56"/>
        <w:ind w:right="236" w:firstLine="419"/>
        <w:jc w:val="left"/>
      </w:pPr>
      <w:r>
        <w:rPr/>
        <w:t>本公司的信用借款将于一年内到期的金额为</w:t>
      </w:r>
      <w:r>
        <w:rPr>
          <w:spacing w:val="-55"/>
        </w:rPr>
        <w:t> </w:t>
      </w:r>
      <w:r>
        <w:rPr>
          <w:rFonts w:ascii="宋体" w:hAnsi="宋体" w:cs="宋体" w:eastAsia="宋体" w:hint="default"/>
        </w:rPr>
        <w:t>300,000,000</w:t>
      </w:r>
      <w:r>
        <w:rPr>
          <w:rFonts w:ascii="宋体" w:hAnsi="宋体" w:cs="宋体" w:eastAsia="宋体" w:hint="default"/>
          <w:spacing w:val="-57"/>
        </w:rPr>
        <w:t> </w:t>
      </w:r>
      <w:r>
        <w:rPr/>
        <w:t>元，将其重分类至一年内到期的非</w:t>
      </w:r>
      <w:r>
        <w:rPr>
          <w:w w:val="100"/>
        </w:rPr>
        <w:t> </w:t>
      </w:r>
      <w:r>
        <w:rPr/>
        <w:t>流动负债。</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30" w:lineRule="exact"/>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2835"/>
        <w:gridCol w:w="3411"/>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2835"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1,909,967</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777,119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1,909,967</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777,119</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3"/>
        <w:ind w:right="2760"/>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580" w:bottom="280" w:left="1580" w:right="1040"/>
        </w:sectPr>
      </w:pPr>
    </w:p>
    <w:p>
      <w:pPr>
        <w:pStyle w:val="Heading4"/>
        <w:spacing w:line="240" w:lineRule="auto" w:before="36"/>
        <w:ind w:right="-20"/>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849" w:val="left" w:leader="none"/>
        </w:tabs>
        <w:spacing w:line="240" w:lineRule="auto" w:before="58"/>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pStyle w:val="BodyText"/>
        <w:spacing w:line="274" w:lineRule="exact" w:before="36"/>
        <w:ind w:left="138" w:right="146"/>
        <w:jc w:val="left"/>
      </w:pPr>
      <w:r>
        <w:rPr/>
        <w:t>其他说明，包括利率区间：</w:t>
      </w:r>
    </w:p>
    <w:p>
      <w:pPr>
        <w:pStyle w:val="BodyText"/>
        <w:spacing w:line="272" w:lineRule="exact" w:before="27"/>
        <w:ind w:left="558" w:right="146" w:hanging="420"/>
        <w:jc w:val="left"/>
      </w:pPr>
      <w:r>
        <w:rPr/>
        <w:t>√适用</w:t>
      </w:r>
      <w:r>
        <w:rPr>
          <w:spacing w:val="-2"/>
        </w:rPr>
        <w:t> </w:t>
      </w:r>
      <w:r>
        <w:rPr/>
        <w:t>□不适用</w:t>
      </w:r>
      <w:r>
        <w:rPr>
          <w:w w:val="100"/>
        </w:rPr>
        <w:t> </w:t>
      </w:r>
      <w:r>
        <w:rPr>
          <w:spacing w:val="-2"/>
        </w:rPr>
        <w:t>本期公司长期借款中的信用借款利率执行人民币高新技术产品出口卖方信贷利率，抵押借款</w:t>
      </w:r>
    </w:p>
    <w:p>
      <w:pPr>
        <w:pStyle w:val="BodyText"/>
        <w:spacing w:line="272" w:lineRule="exact" w:before="1"/>
        <w:ind w:left="558" w:right="146" w:hanging="420"/>
        <w:jc w:val="left"/>
      </w:pPr>
      <w:r>
        <w:rPr/>
        <w:t>利率执行人民币成套和高技术含量产品出口卖方信贷利率上浮</w:t>
      </w:r>
      <w:r>
        <w:rPr>
          <w:spacing w:val="-54"/>
        </w:rPr>
        <w:t> </w:t>
      </w:r>
      <w:r>
        <w:rPr>
          <w:rFonts w:ascii="宋体" w:hAnsi="宋体" w:cs="宋体" w:eastAsia="宋体" w:hint="default"/>
        </w:rPr>
        <w:t>10%</w:t>
      </w:r>
      <w:r>
        <w:rPr/>
        <w:t>。</w:t>
      </w:r>
      <w:r>
        <w:rPr>
          <w:w w:val="100"/>
        </w:rPr>
        <w:t> </w:t>
      </w:r>
      <w:r>
        <w:rPr/>
        <w:t>本公司以拥有的位于沈阳市浑南新区新秀街</w:t>
      </w:r>
      <w:r>
        <w:rPr>
          <w:spacing w:val="-78"/>
        </w:rPr>
        <w:t> </w:t>
      </w:r>
      <w:r>
        <w:rPr>
          <w:rFonts w:ascii="宋体" w:hAnsi="宋体" w:cs="宋体" w:eastAsia="宋体" w:hint="default"/>
        </w:rPr>
        <w:t>2</w:t>
      </w:r>
      <w:r>
        <w:rPr>
          <w:rFonts w:ascii="宋体" w:hAnsi="宋体" w:cs="宋体" w:eastAsia="宋体" w:hint="default"/>
          <w:spacing w:val="-77"/>
        </w:rPr>
        <w:t> </w:t>
      </w:r>
      <w:r>
        <w:rPr/>
        <w:t>号的四宗面积共计</w:t>
      </w:r>
      <w:r>
        <w:rPr>
          <w:spacing w:val="-78"/>
        </w:rPr>
        <w:t> </w:t>
      </w:r>
      <w:r>
        <w:rPr>
          <w:rFonts w:ascii="宋体" w:hAnsi="宋体" w:cs="宋体" w:eastAsia="宋体" w:hint="default"/>
        </w:rPr>
        <w:t>135,761.72</w:t>
      </w:r>
      <w:r>
        <w:rPr>
          <w:rFonts w:ascii="宋体" w:hAnsi="宋体" w:cs="宋体" w:eastAsia="宋体" w:hint="default"/>
          <w:spacing w:val="-80"/>
        </w:rPr>
        <w:t> </w:t>
      </w:r>
      <w:r>
        <w:rPr/>
        <w:t>平方米的土地使</w:t>
      </w:r>
    </w:p>
    <w:p>
      <w:pPr>
        <w:pStyle w:val="BodyText"/>
        <w:spacing w:line="249" w:lineRule="exact"/>
        <w:ind w:left="138" w:right="0"/>
        <w:jc w:val="left"/>
      </w:pPr>
      <w:r>
        <w:rPr/>
        <w:t>用权及其地上七处建筑面积共计</w:t>
      </w:r>
      <w:r>
        <w:rPr>
          <w:spacing w:val="-54"/>
        </w:rPr>
        <w:t> </w:t>
      </w:r>
      <w:r>
        <w:rPr>
          <w:rFonts w:ascii="宋体" w:hAnsi="宋体" w:cs="宋体" w:eastAsia="宋体" w:hint="default"/>
        </w:rPr>
        <w:t>79,206.84</w:t>
      </w:r>
      <w:r>
        <w:rPr>
          <w:rFonts w:ascii="宋体" w:hAnsi="宋体" w:cs="宋体" w:eastAsia="宋体" w:hint="default"/>
          <w:spacing w:val="-54"/>
        </w:rPr>
        <w:t> </w:t>
      </w:r>
      <w:r>
        <w:rPr/>
        <w:t>平方米的房产作抵押取得抵押借款</w:t>
      </w:r>
      <w:r>
        <w:rPr>
          <w:spacing w:val="-53"/>
        </w:rPr>
        <w:t> </w:t>
      </w:r>
      <w:r>
        <w:rPr>
          <w:rFonts w:ascii="宋体" w:hAnsi="宋体" w:cs="宋体" w:eastAsia="宋体" w:hint="default"/>
        </w:rPr>
        <w:t>200,000,000</w:t>
      </w:r>
      <w:r>
        <w:rPr>
          <w:rFonts w:ascii="宋体" w:hAnsi="宋体" w:cs="宋体" w:eastAsia="宋体" w:hint="default"/>
          <w:spacing w:val="-56"/>
        </w:rPr>
        <w:t> </w:t>
      </w:r>
      <w:r>
        <w:rPr>
          <w:spacing w:val="-3"/>
        </w:rPr>
        <w:t>元。</w:t>
      </w:r>
      <w:r>
        <w:rPr/>
      </w:r>
    </w:p>
    <w:p>
      <w:pPr>
        <w:spacing w:line="240" w:lineRule="auto" w:before="3"/>
        <w:rPr>
          <w:rFonts w:ascii="宋体" w:hAnsi="宋体" w:cs="宋体" w:eastAsia="宋体" w:hint="default"/>
          <w:sz w:val="25"/>
          <w:szCs w:val="25"/>
        </w:rPr>
      </w:pPr>
    </w:p>
    <w:p>
      <w:pPr>
        <w:pStyle w:val="Heading4"/>
        <w:spacing w:line="290" w:lineRule="auto"/>
        <w:ind w:left="138" w:right="7621"/>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4"/>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w w:val="99"/>
        </w:rPr>
        <w:t>(2)</w:t>
      </w:r>
      <w:r>
        <w:rPr>
          <w:rFonts w:ascii="宋体" w:hAnsi="宋体" w:cs="宋体" w:eastAsia="宋体" w:hint="default"/>
          <w:spacing w:val="-1"/>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980" w:val="left" w:leader="none"/>
        </w:tabs>
        <w:spacing w:line="240" w:lineRule="auto" w:before="58"/>
        <w:ind w:left="138" w:right="146"/>
        <w:jc w:val="left"/>
      </w:pPr>
      <w:r>
        <w:rPr>
          <w:spacing w:val="-1"/>
        </w:rPr>
        <w:t>□适用</w:t>
        <w:tab/>
      </w:r>
      <w:r>
        <w:rPr>
          <w:spacing w:val="-2"/>
        </w:rPr>
        <w:t>√不适用</w:t>
      </w:r>
    </w:p>
    <w:p>
      <w:pPr>
        <w:spacing w:line="240" w:lineRule="auto" w:before="11"/>
        <w:rPr>
          <w:rFonts w:ascii="宋体" w:hAnsi="宋体" w:cs="宋体" w:eastAsia="宋体" w:hint="default"/>
          <w:sz w:val="29"/>
          <w:szCs w:val="29"/>
        </w:rPr>
      </w:pPr>
    </w:p>
    <w:p>
      <w:pPr>
        <w:spacing w:line="290" w:lineRule="auto" w:before="0"/>
        <w:ind w:left="138" w:right="1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138" w:right="146"/>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146"/>
        <w:jc w:val="left"/>
      </w:pPr>
      <w:r>
        <w:rPr/>
        <w:t>期末发行在外的优先股、永续债等金融工具变动情况表</w:t>
      </w:r>
    </w:p>
    <w:p>
      <w:pPr>
        <w:pStyle w:val="BodyText"/>
        <w:spacing w:line="274" w:lineRule="exact"/>
        <w:ind w:left="138" w:right="14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138" w:right="146"/>
        <w:jc w:val="left"/>
      </w:pPr>
      <w:r>
        <w:rPr/>
        <w:t>其他金融工具划分为金融负债的依据说明</w:t>
      </w:r>
    </w:p>
    <w:p>
      <w:pPr>
        <w:pStyle w:val="BodyText"/>
        <w:spacing w:line="240" w:lineRule="auto" w:before="56"/>
        <w:ind w:left="138" w:right="14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138" w:right="146"/>
        <w:jc w:val="left"/>
      </w:pPr>
      <w:r>
        <w:rPr/>
        <w:t>其他说明：</w:t>
      </w:r>
    </w:p>
    <w:p>
      <w:pPr>
        <w:pStyle w:val="BodyText"/>
        <w:spacing w:line="240" w:lineRule="auto" w:before="58"/>
        <w:ind w:left="138" w:right="146"/>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46" w:footer="1248" w:top="1300" w:bottom="1440" w:left="1660" w:right="1120"/>
        </w:sectPr>
      </w:pPr>
    </w:p>
    <w:p>
      <w:pPr>
        <w:pStyle w:val="Heading4"/>
        <w:spacing w:line="240" w:lineRule="auto" w:before="36"/>
        <w:ind w:left="13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5" w:lineRule="exact" w:before="56"/>
        <w:ind w:left="13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5" w:lineRule="exact"/>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3304" w:space="3217"/>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住房周转金</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6" w:right="0"/>
              <w:jc w:val="left"/>
              <w:rPr>
                <w:rFonts w:ascii="宋体" w:hAnsi="宋体" w:cs="宋体" w:eastAsia="宋体" w:hint="default"/>
                <w:sz w:val="21"/>
                <w:szCs w:val="21"/>
              </w:rPr>
            </w:pPr>
            <w:r>
              <w:rPr>
                <w:rFonts w:ascii="宋体"/>
                <w:sz w:val="21"/>
              </w:rPr>
              <w:t>14,501,075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3" w:right="0"/>
              <w:jc w:val="left"/>
              <w:rPr>
                <w:rFonts w:ascii="宋体" w:hAnsi="宋体" w:cs="宋体" w:eastAsia="宋体" w:hint="default"/>
                <w:sz w:val="21"/>
                <w:szCs w:val="21"/>
              </w:rPr>
            </w:pPr>
            <w:r>
              <w:rPr>
                <w:rFonts w:ascii="宋体"/>
                <w:sz w:val="21"/>
              </w:rPr>
              <w:t>14,501,075</w:t>
            </w:r>
          </w:p>
        </w:tc>
      </w:tr>
    </w:tbl>
    <w:p>
      <w:pPr>
        <w:spacing w:line="240" w:lineRule="auto" w:before="7"/>
        <w:rPr>
          <w:rFonts w:ascii="宋体" w:hAnsi="宋体" w:cs="宋体" w:eastAsia="宋体" w:hint="default"/>
          <w:sz w:val="24"/>
          <w:szCs w:val="24"/>
        </w:rPr>
      </w:pPr>
    </w:p>
    <w:p>
      <w:pPr>
        <w:pStyle w:val="BodyText"/>
        <w:spacing w:line="240" w:lineRule="auto" w:before="36"/>
        <w:ind w:left="138" w:right="146"/>
        <w:jc w:val="left"/>
      </w:pPr>
      <w:r>
        <w:rPr/>
        <w:t>其他说明：</w:t>
      </w:r>
    </w:p>
    <w:p>
      <w:pPr>
        <w:pStyle w:val="BodyText"/>
        <w:spacing w:line="240" w:lineRule="auto" w:before="56"/>
        <w:ind w:left="138" w:right="14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left="138" w:right="146"/>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left="138" w:right="146"/>
        <w:jc w:val="left"/>
      </w:pPr>
      <w:r>
        <w:rPr/>
        <w:t>√适用</w:t>
      </w:r>
      <w:r>
        <w:rPr>
          <w:spacing w:val="-1"/>
        </w:rPr>
        <w:t> </w:t>
      </w:r>
      <w:r>
        <w:rPr/>
        <w:t>□不适用</w:t>
      </w:r>
    </w:p>
    <w:p>
      <w:pPr>
        <w:pStyle w:val="Heading4"/>
        <w:spacing w:line="240" w:lineRule="auto" w:before="56"/>
        <w:ind w:left="138" w:right="146"/>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8"/>
        <w:ind w:left="138" w:right="146"/>
        <w:jc w:val="left"/>
      </w:pPr>
      <w:r>
        <w:rPr/>
        <w:t>√适用</w:t>
      </w:r>
      <w:r>
        <w:rPr>
          <w:spacing w:val="-1"/>
        </w:rPr>
        <w:t> </w:t>
      </w:r>
      <w:r>
        <w:rPr/>
        <w:t>□不适用</w:t>
      </w:r>
    </w:p>
    <w:p>
      <w:pPr>
        <w:spacing w:after="0" w:line="240" w:lineRule="auto"/>
        <w:jc w:val="left"/>
        <w:sectPr>
          <w:type w:val="continuous"/>
          <w:pgSz w:w="11910" w:h="16840"/>
          <w:pgMar w:top="1580" w:bottom="280" w:left="1660" w:right="1120"/>
        </w:sectPr>
      </w:pPr>
    </w:p>
    <w:p>
      <w:pPr>
        <w:spacing w:line="240" w:lineRule="auto" w:before="2"/>
        <w:rPr>
          <w:rFonts w:ascii="宋体" w:hAnsi="宋体" w:cs="宋体" w:eastAsia="宋体" w:hint="default"/>
          <w:sz w:val="11"/>
          <w:szCs w:val="11"/>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78"/>
        <w:gridCol w:w="2552"/>
        <w:gridCol w:w="2420"/>
      </w:tblGrid>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552" w:type="dxa"/>
            <w:tcBorders>
              <w:top w:val="single" w:sz="6" w:space="0" w:color="000000"/>
              <w:left w:val="single" w:sz="6" w:space="0" w:color="000000"/>
              <w:bottom w:val="single" w:sz="6" w:space="0" w:color="000000"/>
              <w:right w:val="single" w:sz="4" w:space="0" w:color="000000"/>
            </w:tcBorders>
          </w:tcPr>
          <w:p>
            <w:pPr/>
          </w:p>
        </w:tc>
        <w:tc>
          <w:tcPr>
            <w:tcW w:w="2420"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552" w:type="dxa"/>
            <w:tcBorders>
              <w:top w:val="single" w:sz="6" w:space="0" w:color="000000"/>
              <w:left w:val="single" w:sz="6" w:space="0" w:color="000000"/>
              <w:bottom w:val="single" w:sz="4" w:space="0" w:color="000000"/>
              <w:right w:val="single" w:sz="4" w:space="0" w:color="000000"/>
            </w:tcBorders>
          </w:tcPr>
          <w:p>
            <w:pPr/>
          </w:p>
        </w:tc>
        <w:tc>
          <w:tcPr>
            <w:tcW w:w="2420"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6,777,231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6,195,068</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6,777,231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6,195,068</w:t>
            </w:r>
          </w:p>
        </w:tc>
      </w:tr>
    </w:tbl>
    <w:p>
      <w:pPr>
        <w:pStyle w:val="BodyText"/>
        <w:spacing w:line="239" w:lineRule="exact"/>
        <w:ind w:left="638" w:right="0"/>
        <w:jc w:val="left"/>
      </w:pPr>
      <w:r>
        <w:rPr/>
        <w:t>其他长期福利为本公司之子公司东软（日本）有限公司依照当地法规计提，该退职金将于职</w:t>
      </w:r>
    </w:p>
    <w:p>
      <w:pPr>
        <w:pStyle w:val="BodyText"/>
        <w:spacing w:line="273" w:lineRule="exact"/>
        <w:ind w:right="2760"/>
        <w:jc w:val="left"/>
      </w:pPr>
      <w:r>
        <w:rPr/>
        <w:t>工退职或退休时支付给员工。</w:t>
      </w:r>
    </w:p>
    <w:p>
      <w:pPr>
        <w:spacing w:line="240" w:lineRule="auto" w:before="3"/>
        <w:rPr>
          <w:rFonts w:ascii="宋体" w:hAnsi="宋体" w:cs="宋体" w:eastAsia="宋体" w:hint="default"/>
          <w:sz w:val="25"/>
          <w:szCs w:val="25"/>
        </w:rPr>
      </w:pPr>
    </w:p>
    <w:p>
      <w:pPr>
        <w:spacing w:line="290" w:lineRule="auto" w:before="0"/>
        <w:ind w:left="218" w:right="651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100"/>
          <w:sz w:val="21"/>
          <w:szCs w:val="21"/>
        </w:rPr>
        <w:t> </w:t>
      </w:r>
      <w:r>
        <w:rPr>
          <w:rFonts w:ascii="宋体" w:hAnsi="宋体" w:cs="宋体" w:eastAsia="宋体" w:hint="default"/>
          <w:sz w:val="21"/>
          <w:szCs w:val="21"/>
        </w:rPr>
        <w:t>设定受益计划义务现值：</w:t>
      </w:r>
    </w:p>
    <w:p>
      <w:pPr>
        <w:pStyle w:val="BodyText"/>
        <w:spacing w:line="228"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计划资产：</w:t>
      </w:r>
    </w:p>
    <w:p>
      <w:pPr>
        <w:pStyle w:val="BodyText"/>
        <w:tabs>
          <w:tab w:pos="1060" w:val="left" w:leader="none"/>
        </w:tabs>
        <w:spacing w:line="274" w:lineRule="exact"/>
        <w:ind w:right="276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设定受益计划净负债（净资产）</w:t>
      </w:r>
    </w:p>
    <w:p>
      <w:pPr>
        <w:pStyle w:val="BodyText"/>
        <w:spacing w:line="272" w:lineRule="exact" w:before="26"/>
        <w:ind w:right="226"/>
        <w:jc w:val="left"/>
      </w:pPr>
      <w:r>
        <w:rPr/>
        <w:t>□适用</w:t>
      </w:r>
      <w:r>
        <w:rPr>
          <w:spacing w:val="-2"/>
        </w:rPr>
        <w:t> </w:t>
      </w:r>
      <w:r>
        <w:rPr/>
        <w:t>√不适用</w:t>
      </w:r>
      <w:r>
        <w:rPr>
          <w:w w:val="100"/>
        </w:rPr>
        <w:t> </w:t>
      </w:r>
      <w:r>
        <w:rPr>
          <w:spacing w:val="-2"/>
        </w:rPr>
        <w:t>设定受益计划的内容及与之相关风险、对公司未来现金流量、时间和不确定性的影响说明：</w:t>
      </w:r>
    </w:p>
    <w:p>
      <w:pPr>
        <w:pStyle w:val="BodyText"/>
        <w:spacing w:line="249"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设定受益计划重大精算假设及敏感性分析结果说明</w:t>
      </w:r>
    </w:p>
    <w:p>
      <w:pPr>
        <w:pStyle w:val="BodyText"/>
        <w:spacing w:line="273" w:lineRule="exact"/>
        <w:ind w:right="276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2760"/>
        <w:jc w:val="left"/>
      </w:pPr>
      <w:r>
        <w:rPr/>
        <w:t>其他说明：</w:t>
      </w:r>
    </w:p>
    <w:p>
      <w:pPr>
        <w:pStyle w:val="BodyText"/>
        <w:spacing w:line="274"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0"/>
          <w:pgSz w:w="11910" w:h="16840"/>
          <w:pgMar w:footer="1248" w:header="946"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25"/>
        <w:gridCol w:w="2062"/>
        <w:gridCol w:w="1988"/>
        <w:gridCol w:w="2621"/>
      </w:tblGrid>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06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06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22,582,064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23,778,617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预计产品售后维护费用</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06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06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22,582,064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23,778,617</w:t>
            </w:r>
          </w:p>
        </w:tc>
        <w:tc>
          <w:tcPr>
            <w:tcW w:w="26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
        <w:rPr>
          <w:rFonts w:ascii="宋体" w:hAnsi="宋体" w:cs="宋体" w:eastAsia="宋体" w:hint="default"/>
          <w:sz w:val="6"/>
          <w:szCs w:val="6"/>
        </w:rPr>
      </w:pPr>
    </w:p>
    <w:p>
      <w:pPr>
        <w:spacing w:line="360" w:lineRule="exact"/>
        <w:ind w:left="614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01"/>
          <w:footerReference w:type="default" r:id="rId102"/>
          <w:pgSz w:w="16840" w:h="11910" w:orient="landscape"/>
          <w:pgMar w:header="0" w:footer="0" w:top="860" w:bottom="280" w:left="1300" w:right="1380"/>
        </w:sectPr>
      </w:pPr>
    </w:p>
    <w:p>
      <w:pPr>
        <w:pStyle w:val="Heading4"/>
        <w:spacing w:line="240" w:lineRule="auto" w:before="36"/>
        <w:ind w:left="140" w:right="-20"/>
        <w:jc w:val="left"/>
        <w:rPr>
          <w:b w:val="0"/>
          <w:bCs w:val="0"/>
        </w:rPr>
      </w:pPr>
      <w:r>
        <w:rPr>
          <w:rFonts w:ascii="宋体" w:hAnsi="宋体" w:cs="宋体" w:eastAsia="宋体" w:hint="default"/>
        </w:rPr>
        <w:t>51</w:t>
      </w:r>
      <w:r>
        <w:rPr/>
        <w:t>、</w:t>
      </w:r>
      <w:r>
        <w:rPr>
          <w:spacing w:val="-24"/>
        </w:rPr>
        <w:t> </w:t>
      </w:r>
      <w:r>
        <w:rPr/>
        <w:t>递延收益</w:t>
      </w:r>
      <w:r>
        <w:rPr>
          <w:b w:val="0"/>
          <w:bCs w:val="0"/>
        </w:rPr>
      </w:r>
    </w:p>
    <w:p>
      <w:pPr>
        <w:pStyle w:val="Heading3"/>
        <w:spacing w:line="312" w:lineRule="exact" w:before="52"/>
        <w:ind w:left="140" w:right="-20"/>
        <w:jc w:val="left"/>
      </w:pPr>
      <w:r>
        <w:rPr/>
        <w:t>递延收益情况</w:t>
      </w:r>
    </w:p>
    <w:p>
      <w:pPr>
        <w:pStyle w:val="Heading3"/>
        <w:tabs>
          <w:tab w:pos="1100" w:val="left" w:leader="none"/>
        </w:tabs>
        <w:spacing w:line="312" w:lineRule="exact"/>
        <w:ind w:left="140" w:right="-2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tabs>
          <w:tab w:pos="6573" w:val="left" w:leader="none"/>
        </w:tabs>
        <w:spacing w:line="240" w:lineRule="auto"/>
        <w:ind w:left="5374" w:right="0"/>
        <w:jc w:val="left"/>
      </w:pPr>
      <w:r>
        <w:rPr/>
        <w:t>单位：元</w:t>
        <w:tab/>
        <w:t>币种：人民币</w:t>
      </w:r>
    </w:p>
    <w:p>
      <w:pPr>
        <w:spacing w:after="0" w:line="240" w:lineRule="auto"/>
        <w:jc w:val="left"/>
        <w:sectPr>
          <w:type w:val="continuous"/>
          <w:pgSz w:w="16840" w:h="11910" w:orient="landscape"/>
          <w:pgMar w:top="1580" w:bottom="280" w:left="1300" w:right="1380"/>
          <w:cols w:num="2" w:equalWidth="0">
            <w:col w:w="2061" w:space="3939"/>
            <w:col w:w="8160"/>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22"/>
        <w:gridCol w:w="1471"/>
        <w:gridCol w:w="1419"/>
        <w:gridCol w:w="1558"/>
        <w:gridCol w:w="1419"/>
        <w:gridCol w:w="6248"/>
      </w:tblGrid>
      <w:tr>
        <w:trPr>
          <w:trHeight w:val="34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91"/>
              <w:jc w:val="right"/>
              <w:rPr>
                <w:rFonts w:ascii="宋体" w:hAnsi="宋体" w:cs="宋体" w:eastAsia="宋体" w:hint="default"/>
                <w:sz w:val="21"/>
                <w:szCs w:val="21"/>
              </w:rPr>
            </w:pPr>
            <w:r>
              <w:rPr>
                <w:rFonts w:ascii="宋体" w:hAnsi="宋体" w:cs="宋体" w:eastAsia="宋体" w:hint="default"/>
                <w:sz w:val="21"/>
                <w:szCs w:val="21"/>
              </w:rPr>
              <w:t>项目</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5"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21"/>
                <w:szCs w:val="21"/>
              </w:rPr>
            </w:pPr>
            <w:r>
              <w:rPr>
                <w:rFonts w:ascii="宋体"/>
                <w:sz w:val="21"/>
              </w:rPr>
              <w:t>284,198,471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8" w:right="0"/>
              <w:jc w:val="left"/>
              <w:rPr>
                <w:rFonts w:ascii="宋体" w:hAnsi="宋体" w:cs="宋体" w:eastAsia="宋体" w:hint="default"/>
                <w:sz w:val="21"/>
                <w:szCs w:val="21"/>
              </w:rPr>
            </w:pPr>
            <w:r>
              <w:rPr>
                <w:rFonts w:ascii="宋体"/>
                <w:sz w:val="21"/>
              </w:rPr>
              <w:t>101,171,331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7" w:right="0"/>
              <w:jc w:val="left"/>
              <w:rPr>
                <w:rFonts w:ascii="宋体" w:hAnsi="宋体" w:cs="宋体" w:eastAsia="宋体" w:hint="default"/>
                <w:sz w:val="21"/>
                <w:szCs w:val="21"/>
              </w:rPr>
            </w:pPr>
            <w:r>
              <w:rPr>
                <w:rFonts w:ascii="宋体"/>
                <w:sz w:val="21"/>
              </w:rPr>
              <w:t>106,591,083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pacing w:val="-1"/>
                <w:sz w:val="21"/>
              </w:rPr>
              <w:t>278,778,719</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本公司及子公司收到的与资产相关的政府补助及用于补偿公司以后</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期间相关成本费用的与收益相关的政府补助</w:t>
            </w:r>
          </w:p>
        </w:tc>
      </w:tr>
      <w:tr>
        <w:trPr>
          <w:trHeight w:val="281"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1"/>
              <w:jc w:val="right"/>
              <w:rPr>
                <w:rFonts w:ascii="宋体" w:hAnsi="宋体" w:cs="宋体" w:eastAsia="宋体" w:hint="default"/>
                <w:sz w:val="21"/>
                <w:szCs w:val="21"/>
              </w:rPr>
            </w:pPr>
            <w:r>
              <w:rPr>
                <w:rFonts w:ascii="宋体" w:hAnsi="宋体" w:cs="宋体" w:eastAsia="宋体" w:hint="default"/>
                <w:sz w:val="21"/>
                <w:szCs w:val="21"/>
              </w:rPr>
              <w:t>合计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284,198,471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101,171,331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106,591,083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278,778,719</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580" w:bottom="280" w:left="1300" w:right="1380"/>
        </w:sectPr>
      </w:pPr>
    </w:p>
    <w:p>
      <w:pPr>
        <w:pStyle w:val="BodyText"/>
        <w:spacing w:line="240" w:lineRule="auto" w:before="36"/>
        <w:ind w:left="140" w:right="0"/>
        <w:jc w:val="left"/>
      </w:pPr>
      <w:r>
        <w:rPr>
          <w:spacing w:val="-2"/>
        </w:rPr>
        <w:t>涉及政府补助的项目：</w:t>
      </w:r>
    </w:p>
    <w:p>
      <w:pPr>
        <w:pStyle w:val="BodyText"/>
        <w:spacing w:line="240" w:lineRule="auto" w:before="56"/>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91" w:val="left" w:leader="none"/>
        </w:tabs>
        <w:spacing w:line="240" w:lineRule="auto" w:before="177"/>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380"/>
          <w:cols w:num="2" w:equalWidth="0">
            <w:col w:w="2243" w:space="9320"/>
            <w:col w:w="2597"/>
          </w:cols>
        </w:sectPr>
      </w:pP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558"/>
        <w:gridCol w:w="1711"/>
        <w:gridCol w:w="1712"/>
        <w:gridCol w:w="1850"/>
        <w:gridCol w:w="1570"/>
        <w:gridCol w:w="1706"/>
        <w:gridCol w:w="1829"/>
      </w:tblGrid>
      <w:tr>
        <w:trPr>
          <w:trHeight w:val="555"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本期计入营业外收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益相关</w:t>
            </w:r>
          </w:p>
        </w:tc>
      </w:tr>
      <w:tr>
        <w:trPr>
          <w:trHeight w:val="28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与资产相关的科研项目拨款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18,176,656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2,437,763</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699,102</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19,915,317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与收益相关的科研项目拨款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138,989,428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36,736,491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27,364,800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148,361,119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与收益相关的服务外包业务发展基金</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20,973,900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20,973,900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与收益相关的财政贴息</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558,900</w:t>
            </w:r>
          </w:p>
        </w:tc>
        <w:tc>
          <w:tcPr>
            <w:tcW w:w="185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-558,900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与收益相关的产业扶植基金</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1,979,500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1,979,500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其他与资产相关的政府补助</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52,115,787</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1,665,969</w:t>
            </w:r>
          </w:p>
        </w:tc>
        <w:tc>
          <w:tcPr>
            <w:tcW w:w="15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50,449,818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其他与收益相关的政府补助</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74,916,600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38,484,777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36,435,070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-16,913,842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60,052,465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284,198,471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101,171,331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89,118,341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-17,472,742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278,778,719</w:t>
            </w: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40" w:lineRule="auto" w:before="36"/>
        <w:ind w:left="140" w:right="3316"/>
        <w:jc w:val="left"/>
      </w:pPr>
      <w:r>
        <w:rPr/>
        <w:t>其他说明：</w:t>
      </w:r>
    </w:p>
    <w:p>
      <w:pPr>
        <w:pStyle w:val="BodyText"/>
        <w:spacing w:line="288" w:lineRule="auto" w:before="58"/>
        <w:ind w:left="560" w:right="3316" w:hanging="421"/>
        <w:jc w:val="left"/>
      </w:pPr>
      <w:r>
        <w:rPr/>
        <w:t>√适用</w:t>
      </w:r>
      <w:r>
        <w:rPr>
          <w:spacing w:val="-2"/>
        </w:rPr>
        <w:t> </w:t>
      </w:r>
      <w:r>
        <w:rPr/>
        <w:t>□不适用</w:t>
      </w:r>
      <w:r>
        <w:rPr>
          <w:spacing w:val="-103"/>
        </w:rPr>
        <w:t> </w:t>
      </w:r>
      <w:r>
        <w:rPr>
          <w:spacing w:val="-103"/>
        </w:rPr>
      </w:r>
      <w:r>
        <w:rPr>
          <w:spacing w:val="-2"/>
        </w:rPr>
        <w:t>本报告期执行新政府补助准则，其他变动为计入其他收益和财务费用的政府补助，详见附注五、</w:t>
      </w:r>
      <w:r>
        <w:rPr>
          <w:rFonts w:ascii="宋体" w:hAnsi="宋体" w:cs="宋体" w:eastAsia="宋体" w:hint="default"/>
          <w:spacing w:val="-2"/>
        </w:rPr>
        <w:t>33</w:t>
      </w:r>
      <w:r>
        <w:rPr>
          <w:spacing w:val="-2"/>
        </w:rPr>
        <w:t>。</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6840" w:h="11910" w:orient="landscape"/>
          <w:pgMar w:top="1580" w:bottom="280" w:left="1300" w:right="138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141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380"/>
          <w:cols w:num="2" w:equalWidth="0">
            <w:col w:w="3818" w:space="9360"/>
            <w:col w:w="982"/>
          </w:cols>
        </w:sectPr>
      </w:pPr>
    </w:p>
    <w:p>
      <w:pPr>
        <w:spacing w:line="240" w:lineRule="auto" w:before="11"/>
        <w:rPr>
          <w:rFonts w:ascii="Calibri" w:hAnsi="Calibri" w:cs="Calibri" w:eastAsia="Calibri" w:hint="default"/>
          <w:b/>
          <w:bCs/>
          <w:sz w:val="16"/>
          <w:szCs w:val="16"/>
        </w:rPr>
      </w:pPr>
    </w:p>
    <w:p>
      <w:pPr>
        <w:pStyle w:val="Heading4"/>
        <w:spacing w:line="240" w:lineRule="auto" w:before="36"/>
        <w:ind w:right="276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3"/>
          <w:pgSz w:w="11910" w:h="16840"/>
          <w:pgMar w:footer="1248" w:header="0" w:top="1300" w:bottom="1440" w:left="1580" w:right="1040"/>
          <w:pgNumType w:start="142"/>
        </w:sectPr>
      </w:pPr>
    </w:p>
    <w:p>
      <w:pPr>
        <w:pStyle w:val="Heading4"/>
        <w:spacing w:line="240" w:lineRule="auto" w:before="36"/>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1"/>
        <w:gridCol w:w="1649"/>
        <w:gridCol w:w="727"/>
        <w:gridCol w:w="578"/>
        <w:gridCol w:w="725"/>
        <w:gridCol w:w="1140"/>
        <w:gridCol w:w="1136"/>
        <w:gridCol w:w="1853"/>
      </w:tblGrid>
      <w:tr>
        <w:trPr>
          <w:trHeight w:val="283" w:hRule="exact"/>
        </w:trPr>
        <w:tc>
          <w:tcPr>
            <w:tcW w:w="1241" w:type="dxa"/>
            <w:vMerge w:val="restart"/>
            <w:tcBorders>
              <w:top w:val="single" w:sz="4" w:space="0" w:color="000000"/>
              <w:left w:val="single" w:sz="4" w:space="0" w:color="000000"/>
              <w:right w:val="single" w:sz="4" w:space="0" w:color="000000"/>
            </w:tcBorders>
          </w:tcPr>
          <w:p>
            <w:pP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1241"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8" w:right="14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5" w:right="180"/>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48" w:right="142" w:hanging="5"/>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3" w:type="dxa"/>
            <w:vMerge/>
            <w:tcBorders>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1,243,197,745</w:t>
            </w:r>
          </w:p>
        </w:tc>
        <w:tc>
          <w:tcPr>
            <w:tcW w:w="7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-519,740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-519,740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1,242,678,005</w:t>
            </w:r>
          </w:p>
        </w:tc>
      </w:tr>
    </w:tbl>
    <w:p>
      <w:pPr>
        <w:spacing w:line="240" w:lineRule="auto" w:before="2"/>
        <w:rPr>
          <w:rFonts w:ascii="宋体" w:hAnsi="宋体" w:cs="宋体" w:eastAsia="宋体" w:hint="default"/>
          <w:sz w:val="20"/>
          <w:szCs w:val="20"/>
        </w:rPr>
      </w:pPr>
    </w:p>
    <w:p>
      <w:pPr>
        <w:pStyle w:val="BodyText"/>
        <w:spacing w:line="240" w:lineRule="auto" w:before="36"/>
        <w:ind w:right="2760"/>
        <w:jc w:val="left"/>
      </w:pPr>
      <w:r>
        <w:rPr/>
        <w:t>其他说明：</w:t>
      </w:r>
    </w:p>
    <w:p>
      <w:pPr>
        <w:pStyle w:val="BodyText"/>
        <w:spacing w:line="240" w:lineRule="auto" w:before="56"/>
        <w:ind w:right="236" w:firstLine="419"/>
        <w:jc w:val="left"/>
      </w:pPr>
      <w:r>
        <w:rPr>
          <w:spacing w:val="-2"/>
        </w:rPr>
        <w:t>根据《东软集团股份有限公司限制性股票激励计划》及其摘要的相关规定，以及股东大会的</w:t>
      </w:r>
      <w:r>
        <w:rPr>
          <w:w w:val="100"/>
        </w:rPr>
        <w:t> </w:t>
      </w:r>
      <w:r>
        <w:rPr/>
        <w:t>授权，于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5"/>
        </w:rPr>
        <w:t> </w:t>
      </w:r>
      <w:r>
        <w:rPr/>
        <w:t>日召开的公司八届六次董事会审议通过《关于公司回购注销部分限制性</w:t>
      </w:r>
    </w:p>
    <w:p>
      <w:pPr>
        <w:pStyle w:val="BodyText"/>
        <w:spacing w:line="271" w:lineRule="exact"/>
        <w:ind w:right="0"/>
        <w:jc w:val="left"/>
      </w:pPr>
      <w:r>
        <w:rPr/>
        <w:t>股票的议案》，董事会同意公司回购并注销</w:t>
      </w:r>
      <w:r>
        <w:rPr>
          <w:spacing w:val="-55"/>
        </w:rPr>
        <w:t> </w:t>
      </w:r>
      <w:r>
        <w:rPr>
          <w:rFonts w:ascii="宋体" w:hAnsi="宋体" w:cs="宋体" w:eastAsia="宋体" w:hint="default"/>
        </w:rPr>
        <w:t>27</w:t>
      </w:r>
      <w:r>
        <w:rPr>
          <w:rFonts w:ascii="宋体" w:hAnsi="宋体" w:cs="宋体" w:eastAsia="宋体" w:hint="default"/>
          <w:spacing w:val="-55"/>
        </w:rPr>
        <w:t> </w:t>
      </w:r>
      <w:r>
        <w:rPr/>
        <w:t>名激励对象持有的已获授但未解锁的</w:t>
      </w:r>
      <w:r>
        <w:rPr>
          <w:spacing w:val="-54"/>
        </w:rPr>
        <w:t> </w:t>
      </w:r>
      <w:r>
        <w:rPr>
          <w:rFonts w:ascii="宋体" w:hAnsi="宋体" w:cs="宋体" w:eastAsia="宋体" w:hint="default"/>
        </w:rPr>
        <w:t>51.974</w:t>
      </w:r>
      <w:r>
        <w:rPr>
          <w:rFonts w:ascii="宋体" w:hAnsi="宋体" w:cs="宋体" w:eastAsia="宋体" w:hint="default"/>
          <w:spacing w:val="-57"/>
        </w:rPr>
        <w:t> </w:t>
      </w:r>
      <w:r>
        <w:rPr/>
        <w:t>万股</w:t>
      </w:r>
    </w:p>
    <w:p>
      <w:pPr>
        <w:pStyle w:val="BodyText"/>
        <w:spacing w:line="272" w:lineRule="exact"/>
        <w:ind w:right="0"/>
        <w:jc w:val="left"/>
        <w:rPr>
          <w:rFonts w:ascii="宋体" w:hAnsi="宋体" w:cs="宋体" w:eastAsia="宋体" w:hint="default"/>
        </w:rPr>
      </w:pPr>
      <w:r>
        <w:rPr>
          <w:w w:val="100"/>
        </w:rPr>
        <w:t>限制</w:t>
      </w:r>
      <w:r>
        <w:rPr>
          <w:spacing w:val="-3"/>
          <w:w w:val="100"/>
        </w:rPr>
        <w:t>性</w:t>
      </w:r>
      <w:r>
        <w:rPr>
          <w:w w:val="100"/>
        </w:rPr>
        <w:t>股</w:t>
      </w:r>
      <w:r>
        <w:rPr>
          <w:spacing w:val="-3"/>
          <w:w w:val="100"/>
        </w:rPr>
        <w:t>票</w:t>
      </w:r>
      <w:r>
        <w:rPr>
          <w:spacing w:val="-102"/>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11</w:t>
      </w:r>
      <w:r>
        <w:rPr>
          <w:rFonts w:ascii="宋体" w:hAnsi="宋体" w:cs="宋体" w:eastAsia="宋体" w:hint="default"/>
          <w:spacing w:val="-54"/>
        </w:rPr>
        <w:t> </w:t>
      </w:r>
      <w:r>
        <w:rPr>
          <w:w w:val="100"/>
        </w:rPr>
        <w:t>月</w:t>
      </w:r>
      <w:r>
        <w:rPr>
          <w:spacing w:val="-55"/>
        </w:rPr>
        <w:t> </w:t>
      </w:r>
      <w:r>
        <w:rPr>
          <w:rFonts w:ascii="宋体" w:hAnsi="宋体" w:cs="宋体" w:eastAsia="宋体" w:hint="default"/>
          <w:w w:val="100"/>
        </w:rPr>
        <w:t>20</w:t>
      </w:r>
      <w:r>
        <w:rPr>
          <w:rFonts w:ascii="宋体" w:hAnsi="宋体" w:cs="宋体" w:eastAsia="宋体" w:hint="default"/>
          <w:spacing w:val="-53"/>
        </w:rPr>
        <w:t> </w:t>
      </w:r>
      <w:r>
        <w:rPr>
          <w:spacing w:val="-3"/>
          <w:w w:val="100"/>
        </w:rPr>
        <w:t>日</w:t>
      </w:r>
      <w:r>
        <w:rPr>
          <w:spacing w:val="-101"/>
          <w:w w:val="100"/>
        </w:rPr>
        <w:t>，</w:t>
      </w:r>
      <w:r>
        <w:rPr>
          <w:spacing w:val="-3"/>
          <w:w w:val="100"/>
        </w:rPr>
        <w:t>上</w:t>
      </w:r>
      <w:r>
        <w:rPr>
          <w:w w:val="100"/>
        </w:rPr>
        <w:t>述</w:t>
      </w:r>
      <w:r>
        <w:rPr>
          <w:spacing w:val="-3"/>
          <w:w w:val="100"/>
        </w:rPr>
        <w:t>股</w:t>
      </w:r>
      <w:r>
        <w:rPr>
          <w:w w:val="100"/>
        </w:rPr>
        <w:t>份</w:t>
      </w:r>
      <w:r>
        <w:rPr>
          <w:spacing w:val="-3"/>
          <w:w w:val="100"/>
        </w:rPr>
        <w:t>已</w:t>
      </w:r>
      <w:r>
        <w:rPr>
          <w:w w:val="100"/>
        </w:rPr>
        <w:t>过户</w:t>
      </w:r>
      <w:r>
        <w:rPr>
          <w:spacing w:val="-3"/>
          <w:w w:val="100"/>
        </w:rPr>
        <w:t>至</w:t>
      </w:r>
      <w:r>
        <w:rPr>
          <w:w w:val="100"/>
        </w:rPr>
        <w:t>公司</w:t>
      </w:r>
      <w:r>
        <w:rPr>
          <w:spacing w:val="-3"/>
          <w:w w:val="100"/>
        </w:rPr>
        <w:t>回</w:t>
      </w:r>
      <w:r>
        <w:rPr>
          <w:w w:val="100"/>
        </w:rPr>
        <w:t>购</w:t>
      </w:r>
      <w:r>
        <w:rPr>
          <w:spacing w:val="-3"/>
          <w:w w:val="100"/>
        </w:rPr>
        <w:t>专</w:t>
      </w:r>
      <w:r>
        <w:rPr>
          <w:w w:val="100"/>
        </w:rPr>
        <w:t>用</w:t>
      </w:r>
      <w:r>
        <w:rPr>
          <w:spacing w:val="-3"/>
          <w:w w:val="100"/>
        </w:rPr>
        <w:t>证</w:t>
      </w:r>
      <w:r>
        <w:rPr>
          <w:w w:val="100"/>
        </w:rPr>
        <w:t>券</w:t>
      </w:r>
      <w:r>
        <w:rPr>
          <w:spacing w:val="-3"/>
          <w:w w:val="100"/>
        </w:rPr>
        <w:t>账</w:t>
      </w:r>
      <w:r>
        <w:rPr>
          <w:w w:val="100"/>
        </w:rPr>
        <w:t>户</w:t>
      </w:r>
      <w:r>
        <w:rPr>
          <w:spacing w:val="-3"/>
          <w:w w:val="100"/>
        </w:rPr>
        <w:t>内</w:t>
      </w:r>
      <w:r>
        <w:rPr>
          <w:spacing w:val="-104"/>
          <w:w w:val="100"/>
        </w:rPr>
        <w:t>，</w:t>
      </w:r>
      <w:r>
        <w:rPr>
          <w:w w:val="100"/>
        </w:rPr>
        <w:t>该账</w:t>
      </w:r>
      <w:r>
        <w:rPr>
          <w:spacing w:val="-3"/>
          <w:w w:val="100"/>
        </w:rPr>
        <w:t>户内</w:t>
      </w:r>
      <w:r>
        <w:rPr>
          <w:w w:val="100"/>
        </w:rPr>
        <w:t>的</w:t>
      </w:r>
      <w:r>
        <w:rPr>
          <w:spacing w:val="-53"/>
        </w:rPr>
        <w:t> </w:t>
      </w:r>
      <w:r>
        <w:rPr>
          <w:rFonts w:ascii="宋体" w:hAnsi="宋体" w:cs="宋体" w:eastAsia="宋体" w:hint="default"/>
          <w:w w:val="100"/>
        </w:rPr>
        <w:t>51</w:t>
      </w:r>
      <w:r>
        <w:rPr>
          <w:rFonts w:ascii="宋体" w:hAnsi="宋体" w:cs="宋体" w:eastAsia="宋体" w:hint="default"/>
          <w:spacing w:val="-3"/>
          <w:w w:val="100"/>
        </w:rPr>
        <w:t>.</w:t>
      </w:r>
      <w:r>
        <w:rPr>
          <w:rFonts w:ascii="宋体" w:hAnsi="宋体" w:cs="宋体" w:eastAsia="宋体" w:hint="default"/>
          <w:w w:val="100"/>
        </w:rPr>
        <w:t>974</w:t>
      </w:r>
    </w:p>
    <w:p>
      <w:pPr>
        <w:pStyle w:val="BodyText"/>
        <w:spacing w:line="273" w:lineRule="exact"/>
        <w:ind w:right="226"/>
        <w:jc w:val="left"/>
      </w:pPr>
      <w:r>
        <w:rPr/>
        <w:t>万股限制性股票已于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日完成注销，导致本公司股本减少</w:t>
      </w:r>
      <w:r>
        <w:rPr>
          <w:spacing w:val="-54"/>
        </w:rPr>
        <w:t> </w:t>
      </w:r>
      <w:r>
        <w:rPr>
          <w:rFonts w:ascii="宋体" w:hAnsi="宋体" w:cs="宋体" w:eastAsia="宋体" w:hint="default"/>
        </w:rPr>
        <w:t>51.974</w:t>
      </w:r>
      <w:r>
        <w:rPr>
          <w:rFonts w:ascii="宋体" w:hAnsi="宋体" w:cs="宋体" w:eastAsia="宋体" w:hint="default"/>
          <w:spacing w:val="-53"/>
        </w:rPr>
        <w:t> </w:t>
      </w:r>
      <w:r>
        <w:rPr/>
        <w:t>万股。</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58"/>
        <w:ind w:right="276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40" w:lineRule="auto"/>
        <w:ind w:right="276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26"/>
        <w:jc w:val="left"/>
      </w:pPr>
      <w:r>
        <w:rPr/>
        <w:t>其他权益工具本期增减变动情况、变动原因说明，以及相关会计处理的依据：</w:t>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right="2760"/>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48" w:top="1300" w:bottom="1440" w:left="1660" w:right="1120"/>
        </w:sectPr>
      </w:pPr>
    </w:p>
    <w:p>
      <w:pPr>
        <w:pStyle w:val="Heading4"/>
        <w:spacing w:line="240" w:lineRule="auto" w:before="36"/>
        <w:ind w:left="1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3"/>
        <w:gridCol w:w="1843"/>
        <w:gridCol w:w="1558"/>
        <w:gridCol w:w="1419"/>
        <w:gridCol w:w="1493"/>
      </w:tblGrid>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647,854,735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49,079,197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696,933,932</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38,643,711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235,088,176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41,339,440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232,392,447</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686,498,446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284,167,373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41,339,440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929,326,379</w:t>
            </w:r>
          </w:p>
        </w:tc>
      </w:tr>
    </w:tbl>
    <w:p>
      <w:pPr>
        <w:spacing w:line="240" w:lineRule="auto" w:before="6"/>
        <w:rPr>
          <w:rFonts w:ascii="宋体" w:hAnsi="宋体" w:cs="宋体" w:eastAsia="宋体" w:hint="default"/>
          <w:sz w:val="18"/>
          <w:szCs w:val="18"/>
        </w:rPr>
      </w:pPr>
    </w:p>
    <w:p>
      <w:pPr>
        <w:pStyle w:val="BodyText"/>
        <w:spacing w:line="272" w:lineRule="exact" w:before="64"/>
        <w:ind w:left="558" w:right="146" w:hanging="420"/>
        <w:jc w:val="left"/>
      </w:pPr>
      <w:r>
        <w:rPr/>
        <w:t>其他说明，包括本期增减变动情况、变动原因说明：</w:t>
      </w:r>
      <w:r>
        <w:rPr>
          <w:w w:val="100"/>
        </w:rPr>
        <w:t> </w:t>
      </w:r>
      <w:r>
        <w:rPr>
          <w:rFonts w:ascii="宋体" w:hAnsi="宋体" w:cs="宋体" w:eastAsia="宋体" w:hint="default"/>
          <w:spacing w:val="-4"/>
        </w:rPr>
        <w:t>1</w:t>
      </w:r>
      <w:r>
        <w:rPr>
          <w:spacing w:val="-4"/>
        </w:rPr>
        <w:t>、报告期内，本公司之联营公司资本公积变动，本公司按对联营公司的持股比例确认其他权</w:t>
      </w:r>
    </w:p>
    <w:p>
      <w:pPr>
        <w:pStyle w:val="BodyText"/>
        <w:spacing w:line="272" w:lineRule="exact" w:before="2"/>
        <w:ind w:left="138" w:right="154"/>
        <w:jc w:val="left"/>
      </w:pPr>
      <w:r>
        <w:rPr/>
        <w:t>益变动增加资本公积</w:t>
      </w:r>
      <w:r>
        <w:rPr>
          <w:spacing w:val="-56"/>
        </w:rPr>
        <w:t> </w:t>
      </w:r>
      <w:r>
        <w:rPr>
          <w:rFonts w:ascii="宋体" w:hAnsi="宋体" w:cs="宋体" w:eastAsia="宋体" w:hint="default"/>
        </w:rPr>
        <w:t>196,579,285</w:t>
      </w:r>
      <w:r>
        <w:rPr>
          <w:rFonts w:ascii="宋体" w:hAnsi="宋体" w:cs="宋体" w:eastAsia="宋体" w:hint="default"/>
          <w:spacing w:val="-55"/>
        </w:rPr>
        <w:t> </w:t>
      </w:r>
      <w:r>
        <w:rPr/>
        <w:t>元。其中，东软熙康控股有限公司（以下简称“熙康”）其他</w:t>
      </w:r>
      <w:r>
        <w:rPr>
          <w:w w:val="100"/>
        </w:rPr>
        <w:t> </w:t>
      </w:r>
      <w:r>
        <w:rPr>
          <w:spacing w:val="-2"/>
        </w:rPr>
        <w:t>股东对其增资，本公司之全资子公司东软（香港）有限公司将应享有熙康净资产份额的变动计入</w:t>
      </w:r>
    </w:p>
    <w:p>
      <w:pPr>
        <w:pStyle w:val="BodyText"/>
        <w:spacing w:line="247" w:lineRule="exact"/>
        <w:ind w:left="138" w:right="0"/>
        <w:jc w:val="left"/>
      </w:pPr>
      <w:r>
        <w:rPr/>
        <w:t>资本公积</w:t>
      </w:r>
      <w:r>
        <w:rPr>
          <w:spacing w:val="-56"/>
        </w:rPr>
        <w:t> </w:t>
      </w:r>
      <w:r>
        <w:rPr>
          <w:rFonts w:ascii="宋体" w:hAnsi="宋体" w:cs="宋体" w:eastAsia="宋体" w:hint="default"/>
        </w:rPr>
        <w:t>110,299,724</w:t>
      </w:r>
      <w:r>
        <w:rPr>
          <w:rFonts w:ascii="宋体" w:hAnsi="宋体" w:cs="宋体" w:eastAsia="宋体" w:hint="default"/>
          <w:spacing w:val="-55"/>
        </w:rPr>
        <w:t> </w:t>
      </w:r>
      <w:r>
        <w:rPr/>
        <w:t>元；沈阳东软医疗系统有限公司（以下简称“东软医疗”）其他股东对其</w:t>
      </w:r>
    </w:p>
    <w:p>
      <w:pPr>
        <w:pStyle w:val="BodyText"/>
        <w:spacing w:line="272" w:lineRule="exact"/>
        <w:ind w:left="138" w:right="146"/>
        <w:jc w:val="left"/>
      </w:pPr>
      <w:r>
        <w:rPr/>
        <w:t>增资，本公司将应享有东软医疗净资产份额的变动计入资本公积</w:t>
      </w:r>
      <w:r>
        <w:rPr>
          <w:spacing w:val="-55"/>
        </w:rPr>
        <w:t> </w:t>
      </w:r>
      <w:r>
        <w:rPr>
          <w:rFonts w:ascii="宋体" w:hAnsi="宋体" w:cs="宋体" w:eastAsia="宋体" w:hint="default"/>
        </w:rPr>
        <w:t>79,716,849</w:t>
      </w:r>
      <w:r>
        <w:rPr>
          <w:rFonts w:ascii="宋体" w:hAnsi="宋体" w:cs="宋体" w:eastAsia="宋体" w:hint="default"/>
          <w:spacing w:val="-57"/>
        </w:rPr>
        <w:t> </w:t>
      </w:r>
      <w:r>
        <w:rPr/>
        <w:t>元。</w:t>
      </w:r>
    </w:p>
    <w:p>
      <w:pPr>
        <w:pStyle w:val="BodyText"/>
        <w:spacing w:line="272" w:lineRule="exact"/>
        <w:ind w:left="558" w:right="146"/>
        <w:jc w:val="left"/>
      </w:pPr>
      <w:r>
        <w:rPr>
          <w:rFonts w:ascii="宋体" w:hAnsi="宋体" w:cs="宋体" w:eastAsia="宋体" w:hint="default"/>
          <w:spacing w:val="-1"/>
        </w:rPr>
        <w:t>2</w:t>
      </w:r>
      <w:r>
        <w:rPr>
          <w:spacing w:val="-1"/>
        </w:rPr>
        <w:t>、</w:t>
      </w:r>
      <w:r>
        <w:rPr>
          <w:rFonts w:ascii="宋体" w:hAnsi="宋体" w:cs="宋体" w:eastAsia="宋体" w:hint="default"/>
          <w:spacing w:val="-1"/>
        </w:rPr>
        <w:t>2015</w:t>
      </w:r>
      <w:r>
        <w:rPr>
          <w:rFonts w:ascii="宋体" w:hAnsi="宋体" w:cs="宋体" w:eastAsia="宋体" w:hint="default"/>
          <w:spacing w:val="21"/>
        </w:rPr>
        <w:t> </w:t>
      </w:r>
      <w:r>
        <w:rPr>
          <w:spacing w:val="-2"/>
        </w:rPr>
        <w:t>年本公司执行股权激励计划，向激励对象授予限制性股票，限制性股票的授予日为</w:t>
      </w:r>
    </w:p>
    <w:p>
      <w:pPr>
        <w:pStyle w:val="BodyText"/>
        <w:spacing w:line="237" w:lineRule="auto"/>
        <w:ind w:left="138" w:right="146"/>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日。根据《企业会计准则第</w:t>
      </w:r>
      <w:r>
        <w:rPr>
          <w:spacing w:val="-52"/>
        </w:rPr>
        <w:t> </w:t>
      </w:r>
      <w:r>
        <w:rPr>
          <w:rFonts w:ascii="宋体" w:hAnsi="宋体" w:cs="宋体" w:eastAsia="宋体" w:hint="default"/>
        </w:rPr>
        <w:t>11</w:t>
      </w:r>
      <w:r>
        <w:rPr>
          <w:rFonts w:ascii="宋体" w:hAnsi="宋体" w:cs="宋体" w:eastAsia="宋体" w:hint="default"/>
          <w:spacing w:val="-53"/>
        </w:rPr>
        <w:t> </w:t>
      </w:r>
      <w:r>
        <w:rPr/>
        <w:t>号—股份支付》的规定，公司应在</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rFonts w:ascii="宋体" w:hAnsi="宋体" w:cs="宋体" w:eastAsia="宋体" w:hint="default"/>
        </w:rPr>
        <w:t>-2018</w:t>
      </w:r>
      <w:r>
        <w:rPr>
          <w:rFonts w:ascii="宋体" w:hAnsi="宋体" w:cs="宋体" w:eastAsia="宋体" w:hint="default"/>
          <w:w w:val="100"/>
        </w:rPr>
        <w:t> </w:t>
      </w:r>
      <w:r>
        <w:rPr>
          <w:spacing w:val="-2"/>
        </w:rPr>
        <w:t>年，按照各期限制性股票的解锁比例和授予日限制性股票的公允价值总额计算并分期确认限制性</w:t>
      </w:r>
      <w:r>
        <w:rPr>
          <w:spacing w:val="-25"/>
        </w:rPr>
        <w:t> </w:t>
      </w:r>
      <w:r>
        <w:rPr>
          <w:spacing w:val="-25"/>
        </w:rPr>
      </w:r>
      <w:r>
        <w:rPr>
          <w:spacing w:val="-2"/>
        </w:rPr>
        <w:t>股票激励成本，计入相关成本或当期费用，同时计入资本公积中的其他资本公积；报告期内，本</w:t>
      </w:r>
      <w:r>
        <w:rPr>
          <w:spacing w:val="-25"/>
        </w:rPr>
        <w:t> </w:t>
      </w:r>
      <w:r>
        <w:rPr>
          <w:spacing w:val="-25"/>
        </w:rPr>
      </w:r>
      <w:r>
        <w:rPr>
          <w:spacing w:val="-2"/>
        </w:rPr>
        <w:t>公司之控股子公司东软望海实施由限制性股权和股权期权组成的激励安排，该权益结算的股份支</w:t>
      </w:r>
      <w:r>
        <w:rPr>
          <w:spacing w:val="-26"/>
        </w:rPr>
        <w:t> </w:t>
      </w:r>
      <w:r>
        <w:rPr>
          <w:spacing w:val="-26"/>
        </w:rPr>
      </w:r>
      <w:r>
        <w:rPr>
          <w:spacing w:val="-2"/>
        </w:rPr>
        <w:t>付计入资本公积中的其他资本公积。本报告期内由于权益结算的股份支付共计入其他资本公积的</w:t>
      </w:r>
      <w:r>
        <w:rPr>
          <w:spacing w:val="-25"/>
        </w:rPr>
        <w:t> </w:t>
      </w:r>
      <w:r>
        <w:rPr>
          <w:spacing w:val="-25"/>
        </w:rPr>
      </w:r>
      <w:r>
        <w:rPr/>
        <w:t>金额为</w:t>
      </w:r>
      <w:r>
        <w:rPr>
          <w:spacing w:val="-52"/>
        </w:rPr>
        <w:t> </w:t>
      </w:r>
      <w:r>
        <w:rPr>
          <w:rFonts w:ascii="宋体" w:hAnsi="宋体" w:cs="宋体" w:eastAsia="宋体" w:hint="default"/>
        </w:rPr>
        <w:t>38,508,891</w:t>
      </w:r>
      <w:r>
        <w:rPr>
          <w:rFonts w:ascii="宋体" w:hAnsi="宋体" w:cs="宋体" w:eastAsia="宋体" w:hint="default"/>
          <w:spacing w:val="-54"/>
        </w:rPr>
        <w:t> </w:t>
      </w:r>
      <w:r>
        <w:rPr/>
        <w:t>元。</w:t>
      </w:r>
    </w:p>
    <w:p>
      <w:pPr>
        <w:pStyle w:val="BodyText"/>
        <w:spacing w:line="272" w:lineRule="exact" w:before="26"/>
        <w:ind w:left="138" w:right="146" w:firstLine="419"/>
        <w:jc w:val="left"/>
      </w:pPr>
      <w:r>
        <w:rPr>
          <w:rFonts w:ascii="宋体" w:hAnsi="宋体" w:cs="宋体" w:eastAsia="宋体" w:hint="default"/>
          <w:spacing w:val="-4"/>
          <w:w w:val="100"/>
        </w:rPr>
        <w:t>3</w:t>
      </w:r>
      <w:r>
        <w:rPr>
          <w:spacing w:val="-4"/>
          <w:w w:val="100"/>
        </w:rPr>
        <w:t>、其他资本公积本期减少主要是由于限制性股票解锁从其他资本公积转为溢价和限制性股票</w:t>
      </w:r>
      <w:r>
        <w:rPr>
          <w:w w:val="100"/>
        </w:rPr>
        <w:t> </w:t>
      </w:r>
      <w:r>
        <w:rPr/>
        <w:t>回购冲减其他资本公积的影响。</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4"/>
        <w:spacing w:line="240" w:lineRule="auto" w:before="36"/>
        <w:ind w:left="13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580" w:bottom="280" w:left="1660" w:right="1120"/>
          <w:cols w:num="2" w:equalWidth="0">
            <w:col w:w="1715" w:space="4478"/>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139,157,613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85,677,912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53,479,701</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139,157,613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85,677,912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53,479,701</w:t>
            </w:r>
          </w:p>
        </w:tc>
      </w:tr>
    </w:tbl>
    <w:p>
      <w:pPr>
        <w:spacing w:line="240" w:lineRule="auto" w:before="7"/>
        <w:rPr>
          <w:rFonts w:ascii="宋体" w:hAnsi="宋体" w:cs="宋体" w:eastAsia="宋体" w:hint="default"/>
          <w:sz w:val="15"/>
          <w:szCs w:val="15"/>
        </w:rPr>
      </w:pPr>
    </w:p>
    <w:p>
      <w:pPr>
        <w:pStyle w:val="BodyText"/>
        <w:spacing w:line="272" w:lineRule="exact" w:before="64"/>
        <w:ind w:left="558" w:right="2334" w:hanging="420"/>
        <w:jc w:val="left"/>
      </w:pPr>
      <w:r>
        <w:rPr>
          <w:spacing w:val="-2"/>
        </w:rPr>
        <w:t>其他说明，包括本期增减变动情况、变动原因说明：</w:t>
      </w:r>
      <w:r>
        <w:rPr>
          <w:spacing w:val="-62"/>
        </w:rPr>
        <w:t> </w:t>
      </w:r>
      <w:r>
        <w:rPr>
          <w:spacing w:val="-62"/>
        </w:rPr>
      </w:r>
      <w:r>
        <w:rPr/>
        <w:t>注：详见附注十三。</w:t>
      </w:r>
    </w:p>
    <w:p>
      <w:pPr>
        <w:spacing w:after="0" w:line="272" w:lineRule="exact"/>
        <w:jc w:val="left"/>
        <w:sectPr>
          <w:type w:val="continuous"/>
          <w:pgSz w:w="11910" w:h="16840"/>
          <w:pgMar w:top="1580" w:bottom="280" w:left="1660" w:right="1120"/>
        </w:sectPr>
      </w:pPr>
    </w:p>
    <w:p>
      <w:pPr>
        <w:spacing w:line="240" w:lineRule="auto" w:before="1"/>
        <w:rPr>
          <w:rFonts w:ascii="宋体" w:hAnsi="宋体" w:cs="宋体" w:eastAsia="宋体" w:hint="default"/>
          <w:sz w:val="6"/>
          <w:szCs w:val="6"/>
        </w:rPr>
      </w:pPr>
    </w:p>
    <w:p>
      <w:pPr>
        <w:spacing w:line="360" w:lineRule="exact"/>
        <w:ind w:left="614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04"/>
          <w:footerReference w:type="default" r:id="rId105"/>
          <w:pgSz w:w="16840" w:h="11910" w:orient="landscape"/>
          <w:pgMar w:header="0" w:footer="0" w:top="860" w:bottom="280" w:left="1300" w:right="1420"/>
        </w:sectPr>
      </w:pPr>
    </w:p>
    <w:p>
      <w:pPr>
        <w:pStyle w:val="Heading4"/>
        <w:spacing w:line="240" w:lineRule="auto" w:before="36"/>
        <w:ind w:left="140"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8"/>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51" w:val="left" w:leader="none"/>
        </w:tabs>
        <w:spacing w:line="240" w:lineRule="auto"/>
        <w:ind w:left="0" w:right="99"/>
        <w:jc w:val="right"/>
      </w:pPr>
      <w:r>
        <w:rPr>
          <w:spacing w:val="-1"/>
        </w:rPr>
        <w:t>单位：元</w:t>
        <w:tab/>
        <w:t>币种：人民币</w:t>
      </w:r>
    </w:p>
    <w:p>
      <w:pPr>
        <w:spacing w:after="0" w:line="240" w:lineRule="auto"/>
        <w:jc w:val="right"/>
        <w:sectPr>
          <w:type w:val="continuous"/>
          <w:pgSz w:w="16840" w:h="11910" w:orient="landscape"/>
          <w:pgMar w:top="1580" w:bottom="280" w:left="1300" w:right="1420"/>
          <w:cols w:num="2" w:equalWidth="0">
            <w:col w:w="1912" w:space="4088"/>
            <w:col w:w="812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99"/>
        <w:gridCol w:w="1550"/>
        <w:gridCol w:w="1426"/>
        <w:gridCol w:w="1560"/>
        <w:gridCol w:w="1133"/>
        <w:gridCol w:w="1558"/>
        <w:gridCol w:w="1056"/>
        <w:gridCol w:w="1539"/>
      </w:tblGrid>
      <w:tr>
        <w:trPr>
          <w:trHeight w:val="281" w:hRule="exact"/>
        </w:trPr>
        <w:tc>
          <w:tcPr>
            <w:tcW w:w="39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59" w:right="55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51" w:right="55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9" w:hRule="exact"/>
        </w:trPr>
        <w:tc>
          <w:tcPr>
            <w:tcW w:w="3999" w:type="dxa"/>
            <w:vMerge/>
            <w:tcBorders>
              <w:left w:val="single" w:sz="4" w:space="0" w:color="000000"/>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178"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72" w:lineRule="exact" w:before="27"/>
              <w:ind w:left="143" w:right="141"/>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137" w:hanging="104"/>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140" w:hanging="421"/>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税后归属</w:t>
            </w:r>
          </w:p>
          <w:p>
            <w:pPr>
              <w:pStyle w:val="TableParagraph"/>
              <w:spacing w:line="272" w:lineRule="exact" w:before="27"/>
              <w:ind w:left="417" w:right="98" w:hanging="315"/>
              <w:jc w:val="left"/>
              <w:rPr>
                <w:rFonts w:ascii="宋体" w:hAnsi="宋体" w:cs="宋体" w:eastAsia="宋体" w:hint="default"/>
                <w:sz w:val="21"/>
                <w:szCs w:val="21"/>
              </w:rPr>
            </w:pP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539" w:type="dxa"/>
            <w:vMerge/>
            <w:tcBorders>
              <w:left w:val="single" w:sz="4" w:space="0" w:color="000000"/>
              <w:bottom w:val="single" w:sz="4" w:space="0" w:color="000000"/>
              <w:right w:val="single" w:sz="4" w:space="0" w:color="000000"/>
            </w:tcBorders>
          </w:tcPr>
          <w:p>
            <w:pPr/>
          </w:p>
        </w:tc>
      </w:tr>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其中：重新计算设定受益计划净负债和净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权益法下在被投资单位不能重分类进损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益的其他综合收益中享有的份额</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-57,875,436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-53,293,465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-53,293,465</w:t>
            </w: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-111,168,901</w:t>
            </w:r>
          </w:p>
        </w:tc>
      </w:tr>
      <w:tr>
        <w:trPr>
          <w:trHeight w:val="555"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其中：权益法下在被投资单位以后将重分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-487,145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-18,900,948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-18,900,948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-19,388,093</w:t>
            </w:r>
          </w:p>
        </w:tc>
      </w:tr>
      <w:tr>
        <w:trPr>
          <w:trHeight w:val="28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可供出售金融资产公允价值变动损益</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-569,883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-569,883</w:t>
            </w: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-569,883</w:t>
            </w:r>
          </w:p>
        </w:tc>
      </w:tr>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持有至到期投资重分类为可供出售金融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5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-57,388,291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-33,822,634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-33,822,634</w:t>
            </w: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-91,210,925</w:t>
            </w:r>
          </w:p>
        </w:tc>
      </w:tr>
      <w:tr>
        <w:trPr>
          <w:trHeight w:val="28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-57,875,436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-53,293,465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-53,293,465</w:t>
            </w:r>
          </w:p>
        </w:tc>
        <w:tc>
          <w:tcPr>
            <w:tcW w:w="10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-111,168,901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6840" w:h="11910" w:orient="landscape"/>
          <w:pgMar w:top="1580" w:bottom="280" w:left="1300" w:right="142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144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420"/>
          <w:cols w:num="2" w:equalWidth="0">
            <w:col w:w="3818" w:space="9360"/>
            <w:col w:w="942"/>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pStyle w:val="Heading4"/>
        <w:spacing w:line="240" w:lineRule="auto" w:before="36"/>
        <w:ind w:right="276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6"/>
          <w:pgSz w:w="11910" w:h="16840"/>
          <w:pgMar w:footer="1248" w:header="0" w:top="1300" w:bottom="1440" w:left="1580" w:right="1040"/>
          <w:pgNumType w:start="145"/>
        </w:sectPr>
      </w:pPr>
    </w:p>
    <w:p>
      <w:pPr>
        <w:pStyle w:val="Heading4"/>
        <w:spacing w:line="240" w:lineRule="auto" w:before="36"/>
        <w:ind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74"/>
        <w:gridCol w:w="1985"/>
        <w:gridCol w:w="1702"/>
        <w:gridCol w:w="1529"/>
        <w:gridCol w:w="1805"/>
      </w:tblGrid>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735,485,872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sz w:val="21"/>
              </w:rPr>
              <w:t>87,050,719</w:t>
            </w: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822,536,591</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387,880,450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43,525,360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431,405,810</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1,123,366,322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z w:val="21"/>
              </w:rPr>
              <w:t>130,576,079</w:t>
            </w: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1,253,942,401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851"/>
        <w:gridCol w:w="2126"/>
        <w:gridCol w:w="1918"/>
      </w:tblGrid>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4,855,906,368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3,312,350,282</w:t>
            </w:r>
          </w:p>
        </w:tc>
      </w:tr>
      <w:tr>
        <w:trPr>
          <w:trHeight w:val="28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4,855,906,368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3,312,350,282</w:t>
            </w:r>
          </w:p>
        </w:tc>
      </w:tr>
      <w:tr>
        <w:trPr>
          <w:trHeight w:val="28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1,058,488,436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1,850,977,215</w:t>
            </w:r>
          </w:p>
        </w:tc>
      </w:tr>
      <w:tr>
        <w:trPr>
          <w:trHeight w:val="28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87,050,719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126,350,526</w:t>
            </w: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43,525,360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63,175,263</w:t>
            </w:r>
          </w:p>
        </w:tc>
      </w:tr>
      <w:tr>
        <w:trPr>
          <w:trHeight w:val="28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124,192,072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117,895,340</w:t>
            </w: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5,659,626,653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4,855,906,368</w:t>
            </w:r>
          </w:p>
        </w:tc>
      </w:tr>
    </w:tbl>
    <w:p>
      <w:pPr>
        <w:spacing w:line="240" w:lineRule="auto" w:before="5"/>
        <w:rPr>
          <w:rFonts w:ascii="宋体" w:hAnsi="宋体" w:cs="宋体" w:eastAsia="宋体" w:hint="default"/>
          <w:sz w:val="15"/>
          <w:szCs w:val="15"/>
        </w:rPr>
      </w:pPr>
    </w:p>
    <w:p>
      <w:pPr>
        <w:pStyle w:val="BodyText"/>
        <w:spacing w:line="274" w:lineRule="exact" w:before="36"/>
        <w:ind w:left="638" w:right="0"/>
        <w:jc w:val="left"/>
      </w:pPr>
      <w:r>
        <w:rPr>
          <w:spacing w:val="-11"/>
        </w:rPr>
        <w:t>注：公司于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50"/>
        </w:rPr>
        <w:t> </w:t>
      </w:r>
      <w:r>
        <w:rPr/>
        <w:t>月</w:t>
      </w:r>
      <w:r>
        <w:rPr>
          <w:spacing w:val="-52"/>
        </w:rPr>
        <w:t> </w:t>
      </w:r>
      <w:r>
        <w:rPr>
          <w:rFonts w:ascii="宋体" w:hAnsi="宋体" w:cs="宋体" w:eastAsia="宋体" w:hint="default"/>
        </w:rPr>
        <w:t>5</w:t>
      </w:r>
      <w:r>
        <w:rPr>
          <w:rFonts w:ascii="宋体" w:hAnsi="宋体" w:cs="宋体" w:eastAsia="宋体" w:hint="default"/>
          <w:spacing w:val="-52"/>
        </w:rPr>
        <w:t> </w:t>
      </w:r>
      <w:r>
        <w:rPr/>
        <w:t>日召开的</w:t>
      </w:r>
      <w:r>
        <w:rPr>
          <w:spacing w:val="-50"/>
        </w:rPr>
        <w:t> </w:t>
      </w:r>
      <w:r>
        <w:rPr>
          <w:rFonts w:ascii="宋体" w:hAnsi="宋体" w:cs="宋体" w:eastAsia="宋体" w:hint="default"/>
        </w:rPr>
        <w:t>2016</w:t>
      </w:r>
      <w:r>
        <w:rPr>
          <w:rFonts w:ascii="宋体" w:hAnsi="宋体" w:cs="宋体" w:eastAsia="宋体" w:hint="default"/>
          <w:spacing w:val="-52"/>
        </w:rPr>
        <w:t> </w:t>
      </w:r>
      <w:r>
        <w:rPr>
          <w:spacing w:val="-5"/>
        </w:rPr>
        <w:t>年年度股东大会审议通过了《关于</w:t>
      </w:r>
      <w:r>
        <w:rPr>
          <w:spacing w:val="-49"/>
        </w:rPr>
        <w:t> </w:t>
      </w:r>
      <w:r>
        <w:rPr>
          <w:rFonts w:ascii="宋体" w:hAnsi="宋体" w:cs="宋体" w:eastAsia="宋体" w:hint="default"/>
        </w:rPr>
        <w:t>2016</w:t>
      </w:r>
      <w:r>
        <w:rPr>
          <w:rFonts w:ascii="宋体" w:hAnsi="宋体" w:cs="宋体" w:eastAsia="宋体" w:hint="default"/>
          <w:spacing w:val="-50"/>
        </w:rPr>
        <w:t> </w:t>
      </w:r>
      <w:r>
        <w:rPr/>
        <w:t>年度利润分</w:t>
      </w:r>
    </w:p>
    <w:p>
      <w:pPr>
        <w:pStyle w:val="BodyText"/>
        <w:spacing w:line="237" w:lineRule="auto" w:before="2"/>
        <w:ind w:right="228"/>
        <w:jc w:val="both"/>
      </w:pPr>
      <w:r>
        <w:rPr/>
        <w:t>配的议案》。公司以</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日公司总股本</w:t>
      </w:r>
      <w:r>
        <w:rPr>
          <w:spacing w:val="-55"/>
        </w:rPr>
        <w:t> </w:t>
      </w:r>
      <w:r>
        <w:rPr>
          <w:rFonts w:ascii="宋体" w:hAnsi="宋体" w:cs="宋体" w:eastAsia="宋体" w:hint="default"/>
        </w:rPr>
        <w:t>1,243,197,745</w:t>
      </w:r>
      <w:r>
        <w:rPr>
          <w:rFonts w:ascii="宋体" w:hAnsi="宋体" w:cs="宋体" w:eastAsia="宋体" w:hint="default"/>
          <w:spacing w:val="-55"/>
        </w:rPr>
        <w:t> </w:t>
      </w:r>
      <w:r>
        <w:rPr/>
        <w:t>股为基数，向全体股东每</w:t>
      </w:r>
      <w:r>
        <w:rPr>
          <w:spacing w:val="-52"/>
        </w:rPr>
        <w:t> </w:t>
      </w:r>
      <w:r>
        <w:rPr>
          <w:rFonts w:ascii="宋体" w:hAnsi="宋体" w:cs="宋体" w:eastAsia="宋体" w:hint="default"/>
        </w:rPr>
        <w:t>10</w:t>
      </w:r>
      <w:r>
        <w:rPr>
          <w:rFonts w:ascii="宋体" w:hAnsi="宋体" w:cs="宋体" w:eastAsia="宋体" w:hint="default"/>
          <w:w w:val="100"/>
        </w:rPr>
        <w:t> </w:t>
      </w:r>
      <w:r>
        <w:rPr/>
        <w:t>股派发现金红利</w:t>
      </w:r>
      <w:r>
        <w:rPr>
          <w:spacing w:val="-45"/>
        </w:rPr>
        <w:t> </w:t>
      </w:r>
      <w:r>
        <w:rPr>
          <w:rFonts w:ascii="宋体" w:hAnsi="宋体" w:cs="宋体" w:eastAsia="宋体" w:hint="default"/>
        </w:rPr>
        <w:t>1.00</w:t>
      </w:r>
      <w:r>
        <w:rPr>
          <w:rFonts w:ascii="宋体" w:hAnsi="宋体" w:cs="宋体" w:eastAsia="宋体" w:hint="default"/>
          <w:spacing w:val="-45"/>
        </w:rPr>
        <w:t> </w:t>
      </w:r>
      <w:r>
        <w:rPr>
          <w:spacing w:val="-7"/>
        </w:rPr>
        <w:t>元（含税），共计派发现金红利</w:t>
      </w:r>
      <w:r>
        <w:rPr>
          <w:spacing w:val="-44"/>
        </w:rPr>
        <w:t> </w:t>
      </w:r>
      <w:r>
        <w:rPr>
          <w:rFonts w:ascii="宋体" w:hAnsi="宋体" w:cs="宋体" w:eastAsia="宋体" w:hint="default"/>
        </w:rPr>
        <w:t>124,319,775</w:t>
      </w:r>
      <w:r>
        <w:rPr>
          <w:rFonts w:ascii="宋体" w:hAnsi="宋体" w:cs="宋体" w:eastAsia="宋体" w:hint="default"/>
          <w:spacing w:val="-47"/>
        </w:rPr>
        <w:t> </w:t>
      </w:r>
      <w:r>
        <w:rPr>
          <w:spacing w:val="-3"/>
        </w:rPr>
        <w:t>元，剩余未分配利润结转以后</w:t>
      </w:r>
      <w:r>
        <w:rPr>
          <w:spacing w:val="-102"/>
        </w:rPr>
        <w:t> </w:t>
      </w:r>
      <w:r>
        <w:rPr>
          <w:spacing w:val="-102"/>
        </w:rPr>
      </w:r>
      <w:r>
        <w:rPr>
          <w:spacing w:val="-3"/>
        </w:rPr>
        <w:t>年度。相关决议公告已刊登在</w:t>
      </w:r>
      <w:r>
        <w:rPr>
          <w:spacing w:val="-44"/>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5</w:t>
      </w:r>
      <w:r>
        <w:rPr>
          <w:rFonts w:ascii="宋体" w:hAnsi="宋体" w:cs="宋体" w:eastAsia="宋体" w:hint="default"/>
          <w:spacing w:val="-47"/>
        </w:rPr>
        <w:t> </w:t>
      </w:r>
      <w:r>
        <w:rPr/>
        <w:t>月</w:t>
      </w:r>
      <w:r>
        <w:rPr>
          <w:spacing w:val="-44"/>
        </w:rPr>
        <w:t> </w:t>
      </w:r>
      <w:r>
        <w:rPr>
          <w:rFonts w:ascii="宋体" w:hAnsi="宋体" w:cs="宋体" w:eastAsia="宋体" w:hint="default"/>
        </w:rPr>
        <w:t>6</w:t>
      </w:r>
      <w:r>
        <w:rPr>
          <w:rFonts w:ascii="宋体" w:hAnsi="宋体" w:cs="宋体" w:eastAsia="宋体" w:hint="default"/>
          <w:spacing w:val="-47"/>
        </w:rPr>
        <w:t> </w:t>
      </w:r>
      <w:r>
        <w:rPr>
          <w:spacing w:val="-5"/>
        </w:rPr>
        <w:t>日的《中国证券报》、《上海证券报》上。对于预计</w:t>
      </w:r>
      <w:r>
        <w:rPr>
          <w:spacing w:val="-101"/>
        </w:rPr>
        <w:t> </w:t>
      </w:r>
      <w:r>
        <w:rPr>
          <w:spacing w:val="-101"/>
        </w:rPr>
      </w:r>
      <w:r>
        <w:rPr>
          <w:spacing w:val="-2"/>
        </w:rPr>
        <w:t>未来不可解锁限制性股票持有者，公司应分配给限制性股票持有者的现金股利应当冲减负债“其</w:t>
      </w:r>
      <w:r>
        <w:rPr>
          <w:spacing w:val="-25"/>
        </w:rPr>
        <w:t> </w:t>
      </w:r>
      <w:r>
        <w:rPr>
          <w:spacing w:val="-25"/>
        </w:rPr>
      </w:r>
      <w:r>
        <w:rPr>
          <w:spacing w:val="-2"/>
        </w:rPr>
        <w:t>他应付款——限制性股票回购义务”127,703</w:t>
      </w:r>
      <w:r>
        <w:rPr>
          <w:spacing w:val="20"/>
        </w:rPr>
        <w:t> </w:t>
      </w:r>
      <w:r>
        <w:rPr>
          <w:spacing w:val="-2"/>
        </w:rPr>
        <w:t>元，其他具体内容详见附注十三。</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9"/>
        <w:gridCol w:w="1889"/>
        <w:gridCol w:w="1901"/>
        <w:gridCol w:w="1901"/>
        <w:gridCol w:w="1899"/>
      </w:tblGrid>
      <w:tr>
        <w:trPr>
          <w:trHeight w:val="281" w:hRule="exact"/>
        </w:trPr>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59"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7,114,047,068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4,871,075,050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7,656,945,923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5,321,189,742</w:t>
            </w:r>
          </w:p>
        </w:tc>
      </w:tr>
      <w:tr>
        <w:trPr>
          <w:trHeight w:val="281"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17,087,664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4,306,179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77,902,161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49,305,793</w:t>
            </w: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1"/>
              <w:jc w:val="right"/>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7,131,134,732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4,875,381,229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7,734,848,084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5,370,495,535</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248" w:top="1300" w:bottom="1440" w:left="1580" w:right="1040"/>
        </w:sectPr>
      </w:pPr>
    </w:p>
    <w:p>
      <w:pPr>
        <w:pStyle w:val="Heading4"/>
        <w:spacing w:line="240" w:lineRule="auto" w:before="36"/>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291"/>
        <w:gridCol w:w="2837"/>
        <w:gridCol w:w="2768"/>
      </w:tblGrid>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837"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7"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2,898,744</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17,145,253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19,398,947</w:t>
            </w:r>
          </w:p>
        </w:tc>
      </w:tr>
      <w:tr>
        <w:trPr>
          <w:trHeight w:val="286"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12,485,805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14,032,418</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837"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24,595,186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19,907,302</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8,853,207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7,030,868</w:t>
            </w:r>
          </w:p>
        </w:tc>
      </w:tr>
      <w:tr>
        <w:trPr>
          <w:trHeight w:val="286"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22,173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9,220</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5,524,721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3,059,847</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113,312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75,794</w:t>
            </w:r>
          </w:p>
        </w:tc>
      </w:tr>
      <w:tr>
        <w:trPr>
          <w:trHeight w:val="288" w:hRule="exact"/>
        </w:trPr>
        <w:tc>
          <w:tcPr>
            <w:tcW w:w="3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68,739,657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66,413,140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417,501,750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432,251,624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57,638,031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67,627,121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49,678,105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54,264,437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37,968,328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50,774,962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20,226,589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33,755,604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7,702,672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10,758,110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5,186,003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9,590,831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3,306,363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7,099,643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552,299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6,720,618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12,283,249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18,043,204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612,043,389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690,886,154</w:t>
            </w:r>
          </w:p>
        </w:tc>
      </w:tr>
    </w:tbl>
    <w:p>
      <w:pPr>
        <w:spacing w:line="240" w:lineRule="auto" w:before="12"/>
        <w:rPr>
          <w:rFonts w:ascii="宋体" w:hAnsi="宋体" w:cs="宋体" w:eastAsia="宋体" w:hint="default"/>
          <w:sz w:val="19"/>
          <w:szCs w:val="19"/>
        </w:rPr>
      </w:pPr>
    </w:p>
    <w:p>
      <w:pPr>
        <w:pStyle w:val="BodyText"/>
        <w:spacing w:line="240" w:lineRule="auto" w:before="36"/>
        <w:ind w:right="2760"/>
        <w:jc w:val="left"/>
      </w:pPr>
      <w:r>
        <w:rPr/>
        <w:t>其他说明：</w:t>
      </w:r>
    </w:p>
    <w:p>
      <w:pPr>
        <w:pStyle w:val="BodyText"/>
        <w:spacing w:line="272" w:lineRule="exact" w:before="86"/>
        <w:ind w:right="226" w:firstLine="419"/>
        <w:jc w:val="left"/>
      </w:pPr>
      <w:r>
        <w:rPr/>
        <w:t>本报告期销售费用比上年同期减少</w:t>
      </w:r>
      <w:r>
        <w:rPr>
          <w:spacing w:val="-51"/>
        </w:rPr>
        <w:t> </w:t>
      </w:r>
      <w:r>
        <w:rPr>
          <w:rFonts w:ascii="宋体" w:hAnsi="宋体" w:cs="宋体" w:eastAsia="宋体" w:hint="default"/>
        </w:rPr>
        <w:t>78,842,765</w:t>
      </w:r>
      <w:r>
        <w:rPr>
          <w:rFonts w:ascii="宋体" w:hAnsi="宋体" w:cs="宋体" w:eastAsia="宋体" w:hint="default"/>
          <w:spacing w:val="-51"/>
        </w:rPr>
        <w:t> </w:t>
      </w:r>
      <w:r>
        <w:rPr>
          <w:spacing w:val="-9"/>
        </w:rPr>
        <w:t>元，主要由于自</w:t>
      </w:r>
      <w:r>
        <w:rPr>
          <w:spacing w:val="-51"/>
        </w:rPr>
        <w:t> </w:t>
      </w:r>
      <w:r>
        <w:rPr>
          <w:rFonts w:ascii="宋体" w:hAnsi="宋体" w:cs="宋体" w:eastAsia="宋体" w:hint="default"/>
        </w:rPr>
        <w:t>2016</w:t>
      </w:r>
      <w:r>
        <w:rPr>
          <w:rFonts w:ascii="宋体" w:hAnsi="宋体" w:cs="宋体" w:eastAsia="宋体" w:hint="default"/>
          <w:spacing w:val="-51"/>
        </w:rPr>
        <w:t> </w:t>
      </w:r>
      <w:r>
        <w:rPr/>
        <w:t>年</w:t>
      </w:r>
      <w:r>
        <w:rPr>
          <w:spacing w:val="-53"/>
        </w:rPr>
        <w:t> </w:t>
      </w:r>
      <w:r>
        <w:rPr>
          <w:rFonts w:ascii="宋体" w:hAnsi="宋体" w:cs="宋体" w:eastAsia="宋体" w:hint="default"/>
        </w:rPr>
        <w:t>7</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9"/>
        </w:rPr>
        <w:t>日起，本公司</w:t>
      </w:r>
      <w:r>
        <w:rPr>
          <w:w w:val="100"/>
        </w:rPr>
        <w:t> </w:t>
      </w:r>
      <w:r>
        <w:rPr/>
        <w:t>原控股子公司东软医疗、熙康不再纳入合并财务报表范围所致。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262"/>
        <w:gridCol w:w="2835"/>
        <w:gridCol w:w="2845"/>
      </w:tblGrid>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967,424,922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978,411,692</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109,600,430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135,288,091</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75,504,418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71,082,608</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73,848,581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72,194,541</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56,568,052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82,141,858</w:t>
            </w:r>
          </w:p>
        </w:tc>
      </w:tr>
      <w:tr>
        <w:trPr>
          <w:trHeight w:val="28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35,129,967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17,632,364</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32,686,904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33,218,792</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213" w:type="dxa"/>
        <w:tblLayout w:type="fixed"/>
        <w:tblCellMar>
          <w:top w:w="0" w:type="dxa"/>
          <w:left w:w="0" w:type="dxa"/>
          <w:bottom w:w="0" w:type="dxa"/>
          <w:right w:w="0" w:type="dxa"/>
        </w:tblCellMar>
        <w:tblLook w:val="01E0"/>
      </w:tblPr>
      <w:tblGrid>
        <w:gridCol w:w="3262"/>
        <w:gridCol w:w="2835"/>
        <w:gridCol w:w="2845"/>
      </w:tblGrid>
      <w:tr>
        <w:trPr>
          <w:trHeight w:val="28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培训、审计咨询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33,779,420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39,396,136</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地方各税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6,433,071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18,230,749</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6,050,833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9,053,234</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5,085,535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5,953,249</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36,330,227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18,636,108</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1,438,442,360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1,481,239,422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22,947,302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54,576,950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-28,757,652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-28,173,494</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53,690,890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-14,161,101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609,534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706,120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4,423,425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3,819,309</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52,913,499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16,767,784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11,422,591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24,580,230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9,179,619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18,684,552</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2,124,431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83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20,602,210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45,389,213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412" w:space="411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3"/>
        <w:gridCol w:w="1700"/>
        <w:gridCol w:w="1567"/>
      </w:tblGrid>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-117,887</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-117,887</w:t>
            </w:r>
          </w:p>
        </w:tc>
      </w:tr>
      <w:tr>
        <w:trPr>
          <w:trHeight w:val="283"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9,275,607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-8,321,900</w:t>
            </w:r>
          </w:p>
        </w:tc>
      </w:tr>
      <w:tr>
        <w:trPr>
          <w:trHeight w:val="284"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9,275,607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-8,439,787</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5"/>
        <w:gridCol w:w="1841"/>
        <w:gridCol w:w="1853"/>
      </w:tblGrid>
      <w:tr>
        <w:trPr>
          <w:trHeight w:val="281"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-46,549,649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-30,549,914</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359,038,729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773,758,235</w:t>
            </w:r>
          </w:p>
        </w:tc>
      </w:tr>
      <w:tr>
        <w:trPr>
          <w:trHeight w:val="554"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有期间的投资收益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-8,109,550</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17,241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14,683</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-77,722</w:t>
            </w:r>
          </w:p>
        </w:tc>
      </w:tr>
      <w:tr>
        <w:trPr>
          <w:trHeight w:val="554"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423,126,817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858,367,864</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11,484,502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9,185,643</w:t>
            </w:r>
          </w:p>
        </w:tc>
      </w:tr>
      <w:tr>
        <w:trPr>
          <w:trHeight w:val="283" w:hRule="exact"/>
        </w:trPr>
        <w:tc>
          <w:tcPr>
            <w:tcW w:w="5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748,457,640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1,602,589,239</w:t>
            </w:r>
          </w:p>
        </w:tc>
      </w:tr>
    </w:tbl>
    <w:p>
      <w:pPr>
        <w:spacing w:line="240" w:lineRule="auto" w:before="11"/>
        <w:rPr>
          <w:rFonts w:ascii="宋体" w:hAnsi="宋体" w:cs="宋体" w:eastAsia="宋体" w:hint="default"/>
          <w:sz w:val="25"/>
          <w:szCs w:val="25"/>
        </w:rPr>
      </w:pPr>
    </w:p>
    <w:p>
      <w:pPr>
        <w:pStyle w:val="BodyText"/>
        <w:spacing w:line="240" w:lineRule="auto" w:before="36"/>
        <w:ind w:right="2760"/>
        <w:jc w:val="left"/>
      </w:pPr>
      <w:r>
        <w:rPr/>
        <w:t>其他说明：</w:t>
      </w:r>
    </w:p>
    <w:p>
      <w:pPr>
        <w:pStyle w:val="BodyText"/>
        <w:spacing w:line="237" w:lineRule="auto" w:before="71"/>
        <w:ind w:right="0" w:firstLine="419"/>
        <w:jc w:val="left"/>
      </w:pPr>
      <w:r>
        <w:rPr/>
        <w:t>丧失控制权后，剩余股权按公允价值重新计量产生的利得为报告期内本公司原控股子公司东</w:t>
      </w:r>
      <w:r>
        <w:rPr>
          <w:w w:val="100"/>
        </w:rPr>
        <w:t> </w:t>
      </w:r>
      <w:r>
        <w:rPr/>
        <w:t>软望海引进投资者，使本公司对其持股比例下降至</w:t>
      </w:r>
      <w:r>
        <w:rPr>
          <w:rFonts w:ascii="宋体" w:hAnsi="宋体" w:cs="宋体" w:eastAsia="宋体" w:hint="default"/>
        </w:rPr>
        <w:t>34.79%</w:t>
      </w:r>
      <w:r>
        <w:rPr/>
        <w:t>，对其丧失控制权，剩余股权按照公允</w:t>
      </w:r>
      <w:r>
        <w:rPr>
          <w:w w:val="100"/>
        </w:rPr>
        <w:t> </w:t>
      </w:r>
      <w:r>
        <w:rPr>
          <w:spacing w:val="-4"/>
          <w:w w:val="100"/>
        </w:rPr>
        <w:t>价值重新计量产生的投资收益，以及报告期内大连云舍对本公司原间接全资子公司东软澄迈增资，</w:t>
      </w:r>
      <w:r>
        <w:rPr>
          <w:spacing w:val="-86"/>
          <w:w w:val="100"/>
        </w:rPr>
        <w:t> </w:t>
      </w:r>
      <w:r>
        <w:rPr>
          <w:spacing w:val="-86"/>
          <w:w w:val="100"/>
        </w:rPr>
      </w:r>
      <w:r>
        <w:rPr>
          <w:spacing w:val="-4"/>
        </w:rPr>
        <w:t>使本集团对其持股比例下降至</w:t>
      </w:r>
      <w:r>
        <w:rPr>
          <w:rFonts w:ascii="宋体" w:hAnsi="宋体" w:cs="宋体" w:eastAsia="宋体" w:hint="default"/>
          <w:spacing w:val="-4"/>
        </w:rPr>
        <w:t>49%</w:t>
      </w:r>
      <w:r>
        <w:rPr>
          <w:spacing w:val="-4"/>
        </w:rPr>
        <w:t>，对其丧失控制权，剩余股权按照公允价值重新计量产生的投资</w:t>
      </w:r>
      <w:r>
        <w:rPr>
          <w:spacing w:val="-30"/>
        </w:rPr>
        <w:t> </w:t>
      </w:r>
      <w:r>
        <w:rPr>
          <w:spacing w:val="-30"/>
        </w:rPr>
      </w:r>
      <w:r>
        <w:rPr/>
        <w:t>收益。</w:t>
      </w:r>
    </w:p>
    <w:p>
      <w:pPr>
        <w:spacing w:line="240" w:lineRule="auto" w:before="6"/>
        <w:rPr>
          <w:rFonts w:ascii="宋体" w:hAnsi="宋体" w:cs="宋体" w:eastAsia="宋体" w:hint="default"/>
          <w:sz w:val="22"/>
          <w:szCs w:val="22"/>
        </w:rPr>
      </w:pPr>
    </w:p>
    <w:p>
      <w:pPr>
        <w:pStyle w:val="Heading4"/>
        <w:spacing w:line="240" w:lineRule="auto" w:before="36"/>
        <w:ind w:right="2760"/>
        <w:jc w:val="left"/>
        <w:rPr>
          <w:b w:val="0"/>
          <w:bCs w:val="0"/>
        </w:rPr>
      </w:pPr>
      <w:r>
        <w:rPr>
          <w:rFonts w:ascii="宋体" w:hAnsi="宋体" w:cs="宋体" w:eastAsia="宋体" w:hint="default"/>
        </w:rPr>
        <w:t>69</w:t>
      </w:r>
      <w:r>
        <w:rPr/>
        <w:t>、</w:t>
      </w:r>
      <w:r>
        <w:rPr>
          <w:spacing w:val="-25"/>
        </w:rPr>
        <w:t> </w:t>
      </w:r>
      <w:r>
        <w:rPr/>
        <w:t>其他收益</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3"/>
        <w:gridCol w:w="1932"/>
        <w:gridCol w:w="1433"/>
        <w:gridCol w:w="2972"/>
      </w:tblGrid>
      <w:tr>
        <w:trPr>
          <w:trHeight w:val="281" w:hRule="exact"/>
        </w:trPr>
        <w:tc>
          <w:tcPr>
            <w:tcW w:w="2713"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2" w:val="left" w:leader="none"/>
              </w:tabs>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before="107"/>
              <w:ind w:left="376"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713"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8"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9"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2972" w:type="dxa"/>
            <w:vMerge/>
            <w:tcBorders>
              <w:left w:val="single" w:sz="4" w:space="0" w:color="000000"/>
              <w:bottom w:val="single" w:sz="4" w:space="0" w:color="000000"/>
              <w:right w:val="single" w:sz="4" w:space="0" w:color="000000"/>
            </w:tcBorders>
          </w:tcPr>
          <w:p>
            <w:pP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90,873,081</w:t>
            </w:r>
          </w:p>
        </w:tc>
        <w:tc>
          <w:tcPr>
            <w:tcW w:w="1433"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16,913,842</w:t>
            </w:r>
          </w:p>
        </w:tc>
        <w:tc>
          <w:tcPr>
            <w:tcW w:w="1433"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107,786,923</w:t>
            </w:r>
          </w:p>
        </w:tc>
        <w:tc>
          <w:tcPr>
            <w:tcW w:w="1433"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tabs>
          <w:tab w:pos="6010" w:val="left" w:leader="none"/>
          <w:tab w:pos="7061" w:val="left" w:leader="none"/>
        </w:tabs>
        <w:spacing w:before="36"/>
        <w:ind w:left="218" w:right="226" w:firstLine="0"/>
        <w:jc w:val="left"/>
        <w:rPr>
          <w:rFonts w:ascii="宋体" w:hAnsi="宋体" w:cs="宋体" w:eastAsia="宋体" w:hint="default"/>
          <w:sz w:val="21"/>
          <w:szCs w:val="21"/>
        </w:rPr>
      </w:pPr>
      <w:r>
        <w:rPr>
          <w:rFonts w:ascii="宋体" w:hAnsi="宋体" w:cs="宋体" w:eastAsia="宋体" w:hint="default"/>
          <w:b/>
          <w:bCs/>
          <w:spacing w:val="-1"/>
          <w:sz w:val="21"/>
          <w:szCs w:val="21"/>
        </w:rPr>
        <w:t>70</w:t>
      </w:r>
      <w:r>
        <w:rPr>
          <w:rFonts w:ascii="宋体" w:hAnsi="宋体" w:cs="宋体" w:eastAsia="宋体" w:hint="default"/>
          <w:b/>
          <w:bCs/>
          <w:spacing w:val="-1"/>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资产处置收益</w:t>
        <w:tab/>
      </w: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1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91"/>
        <w:gridCol w:w="1274"/>
        <w:gridCol w:w="1275"/>
        <w:gridCol w:w="1709"/>
      </w:tblGrid>
      <w:tr>
        <w:trPr>
          <w:trHeight w:val="557"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hAnsi="宋体" w:cs="宋体" w:eastAsia="宋体" w:hint="default"/>
                <w:spacing w:val="-1"/>
                <w:sz w:val="21"/>
                <w:szCs w:val="21"/>
              </w:rPr>
              <w:t>上期发生额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826"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出售划分为持有待售的非流动资产（金融工具、长</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期股权投资和投资性房地产除外）或处置组时确认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的处置利得或损失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sz w:val="21"/>
              </w:rPr>
              <w:t>11,118,142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11,118,142</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处置未划分为持有待售的固定资产利得或损失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1,484,372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2,165,999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1,484,372</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处置未划分为持有待售的无形资产利得或损失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4,868,741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4,868,741</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债务重组中因处置非流动资产产生的利得或损失</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非货币性资产交换产生的利得或损失</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sz w:val="21"/>
              </w:rPr>
              <w:t>17,471,255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2,165,999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17,471,255</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9"/>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07"/>
          <w:footerReference w:type="default" r:id="rId108"/>
          <w:pgSz w:w="11910" w:h="16840"/>
          <w:pgMar w:header="0" w:footer="1248" w:top="840" w:bottom="1440" w:left="1580" w:right="1040"/>
          <w:pgNumType w:start="149"/>
        </w:sectPr>
      </w:pPr>
    </w:p>
    <w:p>
      <w:pPr>
        <w:spacing w:line="290"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7"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792" w:val="left" w:leader="none"/>
        </w:tabs>
        <w:spacing w:line="240" w:lineRule="auto"/>
        <w:ind w:left="740"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01" w:space="4098"/>
            <w:col w:w="329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841"/>
        <w:gridCol w:w="2129"/>
        <w:gridCol w:w="1993"/>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52,027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693,743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52,027</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52,027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693,743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52,027</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89,118,341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151,400,260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89,118,341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软件产品增值税退税（注）</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81,088,032</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4,033,437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7,535,977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4,033,437</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93,203,805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240,718,012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93,203,805</w:t>
            </w:r>
          </w:p>
        </w:tc>
      </w:tr>
    </w:tbl>
    <w:p>
      <w:pPr>
        <w:spacing w:line="240" w:lineRule="auto" w:before="6"/>
        <w:rPr>
          <w:rFonts w:ascii="宋体" w:hAnsi="宋体" w:cs="宋体" w:eastAsia="宋体" w:hint="default"/>
          <w:sz w:val="18"/>
          <w:szCs w:val="18"/>
        </w:rPr>
      </w:pPr>
    </w:p>
    <w:p>
      <w:pPr>
        <w:pStyle w:val="BodyText"/>
        <w:spacing w:line="272" w:lineRule="exact" w:before="64"/>
        <w:ind w:right="226" w:firstLine="419"/>
        <w:jc w:val="left"/>
      </w:pPr>
      <w:r>
        <w:rPr>
          <w:spacing w:val="-7"/>
        </w:rPr>
        <w:t>注：本报告期执行新政府补助准则，将原计入“营业外收入”的软件产品增值税退税计入“其</w:t>
      </w:r>
      <w:r>
        <w:rPr>
          <w:w w:val="100"/>
        </w:rPr>
        <w:t> </w:t>
      </w:r>
      <w:r>
        <w:rPr/>
        <w:t>他收益”科目中，详见附注五、</w:t>
      </w:r>
      <w:r>
        <w:rPr>
          <w:rFonts w:ascii="宋体" w:hAnsi="宋体" w:cs="宋体" w:eastAsia="宋体" w:hint="default"/>
        </w:rPr>
        <w:t>33</w:t>
      </w:r>
      <w:r>
        <w:rPr/>
        <w:t>。</w:t>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00"/>
        <w:gridCol w:w="1613"/>
        <w:gridCol w:w="1613"/>
        <w:gridCol w:w="2770"/>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计入当期损益的科研拨款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27,364,800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47,951,569</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计入当期损益的科研拨款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699,102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699,102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20,973,900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72,944,961</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产业扶植基金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1,979,500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6,356,445</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1,659,199</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36,435,070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20,041,528</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1,665,969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1,747,456</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89,118,341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151,400,260</w:t>
            </w:r>
          </w:p>
        </w:tc>
        <w:tc>
          <w:tcPr>
            <w:tcW w:w="27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BodyText"/>
        <w:spacing w:line="240" w:lineRule="auto" w:before="36"/>
        <w:ind w:right="226" w:firstLine="419"/>
        <w:jc w:val="left"/>
      </w:pPr>
      <w:r>
        <w:rPr>
          <w:spacing w:val="-2"/>
        </w:rPr>
        <w:t>注：本报告期执行新政府补助准则，将原计入“营业外收入”的财政贴息计入“财务费用”</w:t>
      </w:r>
      <w:r>
        <w:rPr>
          <w:w w:val="100"/>
        </w:rPr>
        <w:t> </w:t>
      </w:r>
      <w:r>
        <w:rPr/>
        <w:t>科目中，详见附注五、</w:t>
      </w:r>
      <w:r>
        <w:rPr>
          <w:rFonts w:ascii="宋体" w:hAnsi="宋体" w:cs="宋体" w:eastAsia="宋体" w:hint="default"/>
        </w:rPr>
        <w:t>33</w:t>
      </w:r>
      <w:r>
        <w:rPr/>
        <w:t>。</w:t>
      </w:r>
    </w:p>
    <w:p>
      <w:pPr>
        <w:pStyle w:val="BodyText"/>
        <w:spacing w:line="240" w:lineRule="auto" w:before="133"/>
        <w:ind w:right="2760"/>
        <w:jc w:val="left"/>
      </w:pPr>
      <w:r>
        <w:rPr/>
        <w:t>其他说明：</w:t>
      </w:r>
    </w:p>
    <w:p>
      <w:pPr>
        <w:pStyle w:val="BodyText"/>
        <w:spacing w:line="240" w:lineRule="auto" w:before="145"/>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9"/>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09"/>
          <w:footerReference w:type="default" r:id="rId110"/>
          <w:pgSz w:w="11910" w:h="16840"/>
          <w:pgMar w:header="0" w:footer="1248" w:top="840" w:bottom="1440" w:left="1580" w:right="1040"/>
        </w:sectPr>
      </w:pPr>
    </w:p>
    <w:p>
      <w:pPr>
        <w:pStyle w:val="Heading4"/>
        <w:spacing w:line="240" w:lineRule="auto" w:before="36"/>
        <w:ind w:right="-12"/>
        <w:jc w:val="left"/>
        <w:rPr>
          <w:b w:val="0"/>
          <w:bCs w:val="0"/>
        </w:rPr>
      </w:pPr>
      <w:r>
        <w:rPr>
          <w:rFonts w:ascii="宋体" w:hAnsi="宋体" w:cs="宋体" w:eastAsia="宋体" w:hint="default"/>
        </w:rPr>
        <w:t>72</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92" w:val="left" w:leader="none"/>
        </w:tabs>
        <w:spacing w:line="240" w:lineRule="auto"/>
        <w:ind w:left="740"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01" w:space="4098"/>
            <w:col w:w="32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3"/>
        <w:gridCol w:w="1841"/>
        <w:gridCol w:w="1843"/>
        <w:gridCol w:w="1993"/>
      </w:tblGrid>
      <w:tr>
        <w:trPr>
          <w:trHeight w:val="55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1,307,537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10,095,068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1,307,537</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1,307,537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10,095,068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1,307,537</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481,590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506,759</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2,154,584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117,246</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1,931,542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12,731,242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1,931,542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90" w:lineRule="auto" w:before="36"/>
        <w:ind w:right="-20"/>
        <w:jc w:val="left"/>
        <w:rPr>
          <w:b w:val="0"/>
          <w:bCs w:val="0"/>
        </w:rPr>
      </w:pPr>
      <w:r>
        <w:rPr>
          <w:rFonts w:ascii="宋体" w:hAnsi="宋体" w:cs="宋体" w:eastAsia="宋体" w:hint="default"/>
        </w:rPr>
        <w:t>73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65,826,654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171,134,191</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81,225,725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12,178,129</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147,052,379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183,312,320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6695"/>
        <w:gridCol w:w="2127"/>
      </w:tblGrid>
      <w:tr>
        <w:trPr>
          <w:trHeight w:val="283"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2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1,037,276,076</w:t>
            </w:r>
          </w:p>
        </w:tc>
      </w:tr>
      <w:tr>
        <w:trPr>
          <w:trHeight w:val="288"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103,727,608</w:t>
            </w:r>
          </w:p>
        </w:tc>
      </w:tr>
      <w:tr>
        <w:trPr>
          <w:trHeight w:val="288"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-33,047,308</w:t>
            </w:r>
          </w:p>
        </w:tc>
      </w:tr>
      <w:tr>
        <w:trPr>
          <w:trHeight w:val="288"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-1,373,296</w:t>
            </w:r>
          </w:p>
        </w:tc>
      </w:tr>
      <w:tr>
        <w:trPr>
          <w:trHeight w:val="286"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-7,265,087</w:t>
            </w:r>
          </w:p>
        </w:tc>
      </w:tr>
      <w:tr>
        <w:trPr>
          <w:trHeight w:val="288"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12,362,960</w:t>
            </w:r>
          </w:p>
        </w:tc>
      </w:tr>
      <w:tr>
        <w:trPr>
          <w:trHeight w:val="289"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-286,408</w:t>
            </w:r>
          </w:p>
        </w:tc>
      </w:tr>
      <w:tr>
        <w:trPr>
          <w:trHeight w:val="286" w:hRule="exact"/>
        </w:trPr>
        <w:tc>
          <w:tcPr>
            <w:tcW w:w="66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95,784,041</w:t>
            </w:r>
          </w:p>
        </w:tc>
      </w:tr>
      <w:tr>
        <w:trPr>
          <w:trHeight w:val="290" w:hRule="exact"/>
        </w:trPr>
        <w:tc>
          <w:tcPr>
            <w:tcW w:w="6695"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研发费加计扣除对所得税的影响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-22,850,131</w:t>
            </w:r>
          </w:p>
        </w:tc>
      </w:tr>
      <w:tr>
        <w:trPr>
          <w:trHeight w:val="286" w:hRule="exact"/>
        </w:trPr>
        <w:tc>
          <w:tcPr>
            <w:tcW w:w="669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147,052,379</w:t>
            </w:r>
          </w:p>
        </w:tc>
      </w:tr>
    </w:tbl>
    <w:p>
      <w:pPr>
        <w:spacing w:line="240" w:lineRule="auto" w:before="2"/>
        <w:rPr>
          <w:rFonts w:ascii="宋体" w:hAnsi="宋体" w:cs="宋体" w:eastAsia="宋体" w:hint="default"/>
          <w:sz w:val="17"/>
          <w:szCs w:val="17"/>
        </w:rPr>
      </w:pPr>
    </w:p>
    <w:p>
      <w:pPr>
        <w:pStyle w:val="BodyText"/>
        <w:spacing w:line="240" w:lineRule="auto" w:before="36"/>
        <w:ind w:right="2760"/>
        <w:jc w:val="left"/>
      </w:pPr>
      <w:r>
        <w:rPr/>
        <w:t>其他说明：</w:t>
      </w:r>
    </w:p>
    <w:p>
      <w:pPr>
        <w:pStyle w:val="BodyText"/>
        <w:spacing w:line="240" w:lineRule="auto" w:before="58"/>
        <w:ind w:right="276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760"/>
        <w:jc w:val="left"/>
        <w:rPr>
          <w:b w:val="0"/>
          <w:bCs w:val="0"/>
        </w:rPr>
      </w:pPr>
      <w:r>
        <w:rPr>
          <w:rFonts w:ascii="宋体" w:hAnsi="宋体" w:cs="宋体" w:eastAsia="宋体" w:hint="default"/>
        </w:rPr>
        <w:t>74</w:t>
      </w:r>
      <w:r>
        <w:rPr/>
        <w:t>、</w:t>
      </w:r>
      <w:r>
        <w:rPr>
          <w:spacing w:val="-24"/>
        </w:rPr>
        <w:t> </w:t>
      </w:r>
      <w:r>
        <w:rPr/>
        <w:t>其他综合收益</w:t>
      </w:r>
      <w:r>
        <w:rPr>
          <w:b w:val="0"/>
          <w:bCs w:val="0"/>
        </w:rPr>
      </w:r>
    </w:p>
    <w:p>
      <w:pPr>
        <w:pStyle w:val="BodyText"/>
        <w:spacing w:line="240" w:lineRule="auto" w:before="56"/>
        <w:ind w:left="638" w:right="7166" w:hanging="420"/>
        <w:jc w:val="left"/>
        <w:rPr>
          <w:rFonts w:ascii="宋体" w:hAnsi="宋体" w:cs="宋体" w:eastAsia="宋体" w:hint="default"/>
        </w:rPr>
      </w:pPr>
      <w:r>
        <w:rPr/>
        <w:t>√适用</w:t>
      </w:r>
      <w:r>
        <w:rPr>
          <w:spacing w:val="-2"/>
        </w:rPr>
        <w:t> </w:t>
      </w:r>
      <w:r>
        <w:rPr/>
        <w:t>□不适用</w:t>
      </w:r>
      <w:r>
        <w:rPr>
          <w:w w:val="100"/>
        </w:rPr>
        <w:t> </w:t>
      </w:r>
      <w:r>
        <w:rPr>
          <w:spacing w:val="-1"/>
        </w:rPr>
        <w:t>详见附注七、</w:t>
      </w:r>
      <w:r>
        <w:rPr>
          <w:rFonts w:ascii="宋体" w:hAnsi="宋体" w:cs="宋体" w:eastAsia="宋体" w:hint="default"/>
          <w:spacing w:val="-1"/>
        </w:rPr>
        <w:t>57</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9"/>
        <w:rPr>
          <w:rFonts w:ascii="宋体" w:hAnsi="宋体" w:cs="宋体" w:eastAsia="宋体" w:hint="default"/>
          <w:sz w:val="6"/>
          <w:szCs w:val="6"/>
        </w:rPr>
      </w:pPr>
    </w:p>
    <w:p>
      <w:pPr>
        <w:spacing w:line="360" w:lineRule="exact"/>
        <w:ind w:left="613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11"/>
          <w:footerReference w:type="default" r:id="rId112"/>
          <w:pgSz w:w="11910" w:h="16840"/>
          <w:pgMar w:header="0" w:footer="1248" w:top="840" w:bottom="1440" w:left="1660" w:right="1120"/>
          <w:pgNumType w:start="151"/>
        </w:sectPr>
      </w:pPr>
    </w:p>
    <w:p>
      <w:pPr>
        <w:pStyle w:val="Heading4"/>
        <w:spacing w:line="290" w:lineRule="auto" w:before="36"/>
        <w:ind w:left="138" w:right="0"/>
        <w:jc w:val="left"/>
        <w:rPr>
          <w:b w:val="0"/>
          <w:bCs w:val="0"/>
        </w:rPr>
      </w:pPr>
      <w:r>
        <w:rPr>
          <w:rFonts w:ascii="宋体" w:hAnsi="宋体" w:cs="宋体" w:eastAsia="宋体" w:hint="default"/>
        </w:rPr>
        <w:t>75</w:t>
      </w:r>
      <w:r>
        <w:rPr/>
        <w:t>、</w:t>
      </w:r>
      <w:r>
        <w:rPr>
          <w:spacing w:val="-25"/>
        </w:rPr>
        <w:t> </w:t>
      </w:r>
      <w:r>
        <w:rPr/>
        <w:t>现金流量表项目</w:t>
      </w:r>
      <w:r>
        <w:rPr>
          <w:w w:val="100"/>
        </w:rPr>
        <w:t> </w:t>
      </w:r>
      <w:r>
        <w:rPr>
          <w:rFonts w:ascii="宋体" w:hAnsi="宋体" w:cs="宋体" w:eastAsia="宋体" w:hint="default"/>
          <w:spacing w:val="-1"/>
        </w:rPr>
        <w:t>(1).</w:t>
      </w:r>
      <w:r>
        <w:rPr>
          <w:spacing w:val="-1"/>
        </w:rPr>
        <w:t>收到的其他与经营活动有关的现金：</w:t>
      </w:r>
      <w:r>
        <w:rPr>
          <w:b w:val="0"/>
          <w:bCs w:val="0"/>
          <w:spacing w:val="-1"/>
        </w:rPr>
      </w:r>
    </w:p>
    <w:p>
      <w:pPr>
        <w:pStyle w:val="BodyText"/>
        <w:spacing w:line="240" w:lineRule="auto" w:before="12"/>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12" w:val="left" w:leader="none"/>
        </w:tabs>
        <w:spacing w:line="240" w:lineRule="auto"/>
        <w:ind w:left="660"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3935" w:space="2063"/>
            <w:col w:w="3132"/>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28,757,652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17,310,676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科研项目拨款等政府补助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101,171,331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194,689,038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231,649,542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130,054,745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361,578,525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342,054,459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660" w:right="1120"/>
        </w:sectPr>
      </w:pPr>
    </w:p>
    <w:p>
      <w:pPr>
        <w:pStyle w:val="Heading4"/>
        <w:spacing w:line="240" w:lineRule="auto" w:before="36"/>
        <w:ind w:left="138" w:right="0"/>
        <w:jc w:val="left"/>
        <w:rPr>
          <w:b w:val="0"/>
          <w:bCs w:val="0"/>
        </w:rPr>
      </w:pPr>
      <w:r>
        <w:rPr>
          <w:rFonts w:ascii="宋体" w:hAnsi="宋体" w:cs="宋体" w:eastAsia="宋体" w:hint="default"/>
          <w:spacing w:val="-1"/>
        </w:rPr>
        <w:t>(2).</w:t>
      </w:r>
      <w:r>
        <w:rPr>
          <w:spacing w:val="-1"/>
        </w:rPr>
        <w:t>支付的其他与经营活动有关的现金：</w:t>
      </w:r>
      <w:r>
        <w:rPr>
          <w:b w:val="0"/>
          <w:bCs w:val="0"/>
          <w:spacing w:val="-1"/>
        </w:rPr>
      </w:r>
    </w:p>
    <w:p>
      <w:pPr>
        <w:pStyle w:val="BodyText"/>
        <w:spacing w:line="240" w:lineRule="auto" w:before="59"/>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3935" w:space="258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交通及差旅费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187,034,286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150,747,174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办公物料费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67,482,787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52,766,009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83,457,525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94,017,366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78,149,535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83,438,156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25,643,795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56,273,236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培训、咨询、研讨会议费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46,354,147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70,087,393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运输及财产保险费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3,789,716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14,866,374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318,194,785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381,164,791</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810,106,576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903,360,499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4"/>
        <w:spacing w:line="240" w:lineRule="auto" w:before="36"/>
        <w:ind w:left="138" w:right="-1"/>
        <w:jc w:val="left"/>
        <w:rPr>
          <w:b w:val="0"/>
          <w:bCs w:val="0"/>
        </w:rPr>
      </w:pPr>
      <w:r>
        <w:rPr>
          <w:rFonts w:ascii="宋体" w:hAnsi="宋体" w:cs="宋体" w:eastAsia="宋体" w:hint="default"/>
          <w:spacing w:val="-1"/>
        </w:rPr>
        <w:t>(3).</w:t>
      </w:r>
      <w:r>
        <w:rPr>
          <w:spacing w:val="-1"/>
        </w:rPr>
        <w:t>收到的其他与投资活动有关的现金</w:t>
      </w:r>
      <w:r>
        <w:rPr>
          <w:b w:val="0"/>
          <w:bCs w:val="0"/>
          <w:spacing w:val="-1"/>
        </w:rPr>
      </w:r>
    </w:p>
    <w:p>
      <w:pPr>
        <w:pStyle w:val="BodyText"/>
        <w:spacing w:line="240" w:lineRule="auto" w:before="56"/>
        <w:ind w:left="138"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20"/>
          <w:cols w:num="2" w:equalWidth="0">
            <w:col w:w="3724" w:space="2903"/>
            <w:col w:w="25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收回委托贷款本金及利息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587,938,049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587,938,049</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2"/>
        <w:spacing w:line="240" w:lineRule="auto"/>
        <w:ind w:left="138" w:right="0"/>
        <w:jc w:val="left"/>
        <w:rPr>
          <w:b w:val="0"/>
          <w:bCs w:val="0"/>
        </w:rPr>
      </w:pPr>
      <w:r>
        <w:rPr>
          <w:rFonts w:ascii="宋体" w:hAnsi="宋体" w:cs="宋体" w:eastAsia="宋体" w:hint="default"/>
          <w:w w:val="95"/>
        </w:rPr>
        <w:t>(4).</w:t>
      </w:r>
      <w:r>
        <w:rPr>
          <w:w w:val="95"/>
        </w:rPr>
        <w:t>支付的其他与投资活动有关的现金</w:t>
      </w:r>
      <w:r>
        <w:rPr>
          <w:b w:val="0"/>
          <w:bCs w:val="0"/>
        </w:rPr>
      </w:r>
    </w:p>
    <w:p>
      <w:pPr>
        <w:pStyle w:val="BodyText"/>
        <w:spacing w:line="240" w:lineRule="auto" w:before="61"/>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52"/>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4236" w:space="2285"/>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合并范围变化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1,056,609,639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795,693,335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1,131,000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117,098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4,575,922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1,056,726,737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801,400,257</w:t>
            </w:r>
          </w:p>
        </w:tc>
      </w:tr>
    </w:tbl>
    <w:p>
      <w:pPr>
        <w:spacing w:line="240" w:lineRule="auto" w:before="3"/>
        <w:rPr>
          <w:rFonts w:ascii="宋体" w:hAnsi="宋体" w:cs="宋体" w:eastAsia="宋体" w:hint="default"/>
          <w:sz w:val="20"/>
          <w:szCs w:val="20"/>
        </w:rPr>
      </w:pPr>
    </w:p>
    <w:p>
      <w:pPr>
        <w:pStyle w:val="Heading2"/>
        <w:spacing w:line="240" w:lineRule="auto"/>
        <w:ind w:left="138" w:right="146"/>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64"/>
        <w:ind w:left="138" w:right="146"/>
        <w:jc w:val="left"/>
      </w:pPr>
      <w:r>
        <w:rPr/>
        <w:t>□适用</w:t>
      </w:r>
      <w:r>
        <w:rPr>
          <w:spacing w:val="-1"/>
        </w:rPr>
        <w:t> </w:t>
      </w:r>
      <w:r>
        <w:rPr/>
        <w:t>√不适用</w:t>
      </w:r>
    </w:p>
    <w:p>
      <w:pPr>
        <w:spacing w:after="0" w:line="240" w:lineRule="auto"/>
        <w:jc w:val="left"/>
        <w:sectPr>
          <w:type w:val="continuous"/>
          <w:pgSz w:w="11910" w:h="16840"/>
          <w:pgMar w:top="1580" w:bottom="280" w:left="1660" w:right="1120"/>
        </w:sectPr>
      </w:pPr>
    </w:p>
    <w:p>
      <w:pPr>
        <w:spacing w:line="240" w:lineRule="auto" w:before="9"/>
        <w:rPr>
          <w:rFonts w:ascii="宋体" w:hAnsi="宋体" w:cs="宋体" w:eastAsia="宋体" w:hint="default"/>
          <w:sz w:val="6"/>
          <w:szCs w:val="6"/>
        </w:rPr>
      </w:pPr>
    </w:p>
    <w:p>
      <w:pPr>
        <w:spacing w:line="360" w:lineRule="exact"/>
        <w:ind w:left="62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13"/>
          <w:footerReference w:type="default" r:id="rId114"/>
          <w:pgSz w:w="11910" w:h="16840"/>
          <w:pgMar w:header="0" w:footer="1248" w:top="840" w:bottom="1440" w:left="1580" w:right="1040"/>
          <w:pgNumType w:start="152"/>
        </w:sectPr>
      </w:pPr>
    </w:p>
    <w:p>
      <w:pPr>
        <w:pStyle w:val="Heading2"/>
        <w:spacing w:line="240" w:lineRule="auto"/>
        <w:ind w:right="0"/>
        <w:jc w:val="left"/>
        <w:rPr>
          <w:b w:val="0"/>
          <w:bCs w:val="0"/>
        </w:rPr>
      </w:pPr>
      <w:r>
        <w:rPr>
          <w:rFonts w:ascii="宋体" w:hAnsi="宋体" w:cs="宋体" w:eastAsia="宋体" w:hint="default"/>
          <w:w w:val="95"/>
        </w:rPr>
        <w:t>(6).</w:t>
      </w:r>
      <w:r>
        <w:rPr>
          <w:w w:val="95"/>
        </w:rPr>
        <w:t>支付的其他与筹资活动有关的现金</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92" w:val="left" w:leader="none"/>
        </w:tabs>
        <w:spacing w:line="240" w:lineRule="auto" w:before="154"/>
        <w:ind w:left="740"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316" w:space="1683"/>
            <w:col w:w="329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限制性股票回购款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4,330,211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3,299,303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4,330,211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3,299,303</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83" w:lineRule="auto"/>
        <w:ind w:right="-15"/>
        <w:jc w:val="left"/>
        <w:rPr>
          <w:b w:val="0"/>
          <w:bCs w:val="0"/>
        </w:rPr>
      </w:pPr>
      <w:r>
        <w:rPr>
          <w:rFonts w:ascii="宋体" w:hAnsi="宋体" w:cs="宋体" w:eastAsia="宋体" w:hint="default"/>
        </w:rPr>
        <w:t>76</w:t>
      </w:r>
      <w:r>
        <w:rPr/>
        <w:t>、</w:t>
      </w:r>
      <w:r>
        <w:rPr>
          <w:spacing w:val="-101"/>
        </w:rPr>
        <w:t> </w:t>
      </w:r>
      <w:r>
        <w:rPr/>
        <w:t>现金流量表补充资料</w:t>
      </w:r>
      <w:r>
        <w:rPr>
          <w:spacing w:val="2"/>
          <w:w w:val="99"/>
        </w:rPr>
        <w:t> </w:t>
      </w: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pStyle w:val="BodyText"/>
        <w:tabs>
          <w:tab w:pos="1060" w:val="left" w:leader="none"/>
        </w:tabs>
        <w:spacing w:line="240" w:lineRule="auto" w:before="21"/>
        <w:ind w:right="-15"/>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95" w:space="362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2081"/>
        <w:gridCol w:w="1897"/>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8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7"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081" w:type="dxa"/>
            <w:tcBorders>
              <w:top w:val="single" w:sz="4" w:space="0" w:color="000000"/>
              <w:left w:val="single" w:sz="4" w:space="0" w:color="000000"/>
              <w:bottom w:val="single" w:sz="6" w:space="0" w:color="000000"/>
              <w:right w:val="single" w:sz="6" w:space="0" w:color="000000"/>
            </w:tcBorders>
          </w:tcPr>
          <w:p>
            <w:pPr/>
          </w:p>
        </w:tc>
        <w:tc>
          <w:tcPr>
            <w:tcW w:w="1897"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890,223,697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1,704,646,737</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20,602,210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45,389,213</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149,973,732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159,438,162</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68,119,319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49,989,561</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22,751,098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36,336,981</w:t>
            </w:r>
          </w:p>
        </w:tc>
      </w:tr>
      <w:tr>
        <w:trPr>
          <w:trHeight w:val="55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-17,471,255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7,235,326</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1,255,510</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-9,275,607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8,439,787</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76,638,192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40,415,849</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-748,457,640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-1,602,589,239</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644,630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13,483,101</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87,448,539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52,036,417</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-47,187,471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265,631,774</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-283,412,816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135,380,537</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-94,181,202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-814,643,070</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50,074,781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46,061,282</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167,745,717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147,252,418</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2,249,396,313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2,821,652,083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2,821,652,083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2,616,776,956</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81"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-572,255,770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204,875,127</w:t>
            </w:r>
          </w:p>
        </w:tc>
      </w:tr>
    </w:tbl>
    <w:p>
      <w:pPr>
        <w:spacing w:line="240" w:lineRule="auto" w:before="6"/>
        <w:rPr>
          <w:rFonts w:ascii="宋体" w:hAnsi="宋体" w:cs="宋体" w:eastAsia="宋体" w:hint="default"/>
          <w:sz w:val="20"/>
          <w:szCs w:val="20"/>
        </w:rPr>
      </w:pPr>
    </w:p>
    <w:p>
      <w:pPr>
        <w:pStyle w:val="Heading2"/>
        <w:spacing w:line="240" w:lineRule="auto"/>
        <w:ind w:right="2760"/>
        <w:jc w:val="left"/>
        <w:rPr>
          <w:b w:val="0"/>
          <w:bCs w:val="0"/>
        </w:rPr>
      </w:pPr>
      <w:r>
        <w:rPr>
          <w:rFonts w:ascii="宋体" w:hAnsi="宋体" w:cs="宋体" w:eastAsia="宋体" w:hint="default"/>
        </w:rPr>
        <w:t>(2)</w:t>
      </w:r>
      <w:r>
        <w:rPr>
          <w:rFonts w:ascii="宋体" w:hAnsi="宋体" w:cs="宋体" w:eastAsia="宋体" w:hint="default"/>
          <w:spacing w:val="-62"/>
        </w:rPr>
        <w:t> </w:t>
      </w:r>
      <w:r>
        <w:rPr/>
        <w:t>本期支付的取得子公司的现金净额</w:t>
      </w:r>
      <w:r>
        <w:rPr>
          <w:b w:val="0"/>
          <w:bCs w:val="0"/>
        </w:rPr>
      </w:r>
    </w:p>
    <w:p>
      <w:pPr>
        <w:pStyle w:val="BodyText"/>
        <w:spacing w:line="240" w:lineRule="auto" w:before="64"/>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6"/>
        <w:rPr>
          <w:rFonts w:ascii="宋体" w:hAnsi="宋体" w:cs="宋体" w:eastAsia="宋体" w:hint="default"/>
          <w:sz w:val="11"/>
          <w:szCs w:val="11"/>
        </w:rPr>
      </w:pPr>
    </w:p>
    <w:p>
      <w:pPr>
        <w:pStyle w:val="Heading2"/>
        <w:spacing w:line="240" w:lineRule="auto"/>
        <w:ind w:right="2760"/>
        <w:jc w:val="left"/>
        <w:rPr>
          <w:b w:val="0"/>
          <w:bCs w:val="0"/>
        </w:rPr>
      </w:pPr>
      <w:r>
        <w:rPr>
          <w:rFonts w:ascii="宋体" w:hAnsi="宋体" w:cs="宋体" w:eastAsia="宋体" w:hint="default"/>
        </w:rPr>
        <w:t>(3)</w:t>
      </w:r>
      <w:r>
        <w:rPr>
          <w:rFonts w:ascii="宋体" w:hAnsi="宋体" w:cs="宋体" w:eastAsia="宋体" w:hint="default"/>
          <w:spacing w:val="-62"/>
        </w:rPr>
        <w:t> </w:t>
      </w:r>
      <w:r>
        <w:rPr/>
        <w:t>本期收到的处置子公司的现金净额</w:t>
      </w:r>
      <w:r>
        <w:rPr>
          <w:b w:val="0"/>
          <w:bCs w:val="0"/>
        </w:rPr>
      </w:r>
    </w:p>
    <w:p>
      <w:pPr>
        <w:pStyle w:val="BodyText"/>
        <w:spacing w:line="240" w:lineRule="auto" w:before="64"/>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15"/>
          <w:pgSz w:w="11910" w:h="16840"/>
          <w:pgMar w:header="946" w:footer="1248" w:top="1300" w:bottom="144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62"/>
        </w:rPr>
        <w:t> </w:t>
      </w:r>
      <w:r>
        <w:rPr/>
        <w:t>现金和现金等价物的构成</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294" w:space="322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2126"/>
        <w:gridCol w:w="2137"/>
      </w:tblGrid>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7"/>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2,249,396,313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2,821,652,083</w:t>
            </w:r>
          </w:p>
        </w:tc>
      </w:tr>
      <w:tr>
        <w:trPr>
          <w:trHeight w:val="29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116,648</w:t>
            </w: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2,247,235,815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2,821,451,147</w:t>
            </w:r>
          </w:p>
        </w:tc>
      </w:tr>
      <w:tr>
        <w:trPr>
          <w:trHeight w:val="29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2,118,085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84,288</w:t>
            </w: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2,249,396,313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2,821,652,083</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其中：母公司或集团内子公司使用受限制的现金和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760"/>
        <w:jc w:val="left"/>
      </w:pPr>
      <w:r>
        <w:rPr/>
        <w:t>其他说明：</w:t>
      </w:r>
    </w:p>
    <w:p>
      <w:pPr>
        <w:pStyle w:val="BodyText"/>
        <w:spacing w:line="290" w:lineRule="auto" w:before="56"/>
        <w:ind w:left="638" w:right="236" w:hanging="420"/>
        <w:jc w:val="left"/>
      </w:pPr>
      <w:r>
        <w:rPr/>
        <w:t>√适用</w:t>
      </w:r>
      <w:r>
        <w:rPr>
          <w:spacing w:val="-2"/>
        </w:rPr>
        <w:t> </w:t>
      </w:r>
      <w:r>
        <w:rPr/>
        <w:t>□不适用</w:t>
      </w:r>
      <w:r>
        <w:rPr>
          <w:w w:val="100"/>
        </w:rPr>
        <w:t> </w:t>
      </w:r>
      <w:r>
        <w:rPr>
          <w:spacing w:val="-2"/>
        </w:rPr>
        <w:t>注：现金和现金等价物不含母公司或集团内子公司使用受限制的其他货币资金。</w:t>
      </w:r>
    </w:p>
    <w:p>
      <w:pPr>
        <w:spacing w:line="240" w:lineRule="auto" w:before="5"/>
        <w:rPr>
          <w:rFonts w:ascii="宋体" w:hAnsi="宋体" w:cs="宋体" w:eastAsia="宋体" w:hint="default"/>
          <w:sz w:val="21"/>
          <w:szCs w:val="21"/>
        </w:rPr>
      </w:pPr>
    </w:p>
    <w:p>
      <w:pPr>
        <w:pStyle w:val="Heading2"/>
        <w:spacing w:line="240" w:lineRule="auto" w:before="0"/>
        <w:ind w:right="2760"/>
        <w:jc w:val="left"/>
        <w:rPr>
          <w:b w:val="0"/>
          <w:bCs w:val="0"/>
        </w:rPr>
      </w:pPr>
      <w:r>
        <w:rPr>
          <w:rFonts w:ascii="宋体" w:hAnsi="宋体" w:cs="宋体" w:eastAsia="宋体" w:hint="default"/>
        </w:rPr>
        <w:t>77</w:t>
      </w:r>
      <w:r>
        <w:rPr/>
        <w:t>、</w:t>
      </w:r>
      <w:r>
        <w:rPr>
          <w:spacing w:val="-104"/>
        </w:rPr>
        <w:t> </w:t>
      </w:r>
      <w:r>
        <w:rPr/>
        <w:t>所有者权益变动表项目注释</w:t>
      </w:r>
      <w:r>
        <w:rPr>
          <w:b w:val="0"/>
          <w:bCs w:val="0"/>
        </w:rPr>
      </w:r>
    </w:p>
    <w:p>
      <w:pPr>
        <w:pStyle w:val="BodyText"/>
        <w:spacing w:line="274" w:lineRule="exact" w:before="64"/>
        <w:ind w:right="226"/>
        <w:jc w:val="left"/>
      </w:pPr>
      <w:r>
        <w:rPr/>
        <w:t>说明对上年期末余额进行调整的“其他”项目名称及调整金额等事项：</w:t>
      </w:r>
    </w:p>
    <w:p>
      <w:pPr>
        <w:pStyle w:val="BodyText"/>
        <w:spacing w:line="274" w:lineRule="exact"/>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7"/>
        <w:jc w:val="left"/>
        <w:rPr>
          <w:b w:val="0"/>
          <w:bCs w:val="0"/>
        </w:rPr>
      </w:pPr>
      <w:r>
        <w:rPr>
          <w:rFonts w:ascii="宋体" w:hAnsi="宋体" w:cs="宋体" w:eastAsia="宋体" w:hint="default"/>
        </w:rPr>
        <w:t>78</w:t>
      </w:r>
      <w:r>
        <w:rPr/>
        <w:t>、</w:t>
      </w:r>
      <w:r>
        <w:rPr>
          <w:spacing w:val="-103"/>
        </w:rPr>
        <w:t> </w:t>
      </w:r>
      <w:r>
        <w:rPr/>
        <w:t>所有权或使用权受到限制的资产</w:t>
      </w:r>
      <w:r>
        <w:rPr>
          <w:b w:val="0"/>
          <w:bCs w:val="0"/>
        </w:rPr>
      </w:r>
    </w:p>
    <w:p>
      <w:pPr>
        <w:pStyle w:val="BodyText"/>
        <w:spacing w:line="240" w:lineRule="auto" w:before="61"/>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580" w:bottom="280" w:left="1580" w:right="1040"/>
          <w:cols w:num="2" w:equalWidth="0">
            <w:col w:w="4095" w:space="2097"/>
            <w:col w:w="3098"/>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61"/>
        <w:gridCol w:w="2835"/>
        <w:gridCol w:w="3901"/>
      </w:tblGrid>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2"/>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57,206,432</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履约保证金、银行承兑汇票保证金</w:t>
            </w:r>
          </w:p>
        </w:tc>
      </w:tr>
      <w:tr>
        <w:trPr>
          <w:trHeight w:val="28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35" w:type="dxa"/>
            <w:tcBorders>
              <w:top w:val="single" w:sz="4" w:space="0" w:color="000000"/>
              <w:left w:val="single" w:sz="4" w:space="0" w:color="000000"/>
              <w:bottom w:val="single" w:sz="4" w:space="0" w:color="000000"/>
              <w:right w:val="single" w:sz="4" w:space="0" w:color="000000"/>
            </w:tcBorders>
          </w:tcPr>
          <w:p>
            <w:pPr/>
          </w:p>
        </w:tc>
        <w:tc>
          <w:tcPr>
            <w:tcW w:w="39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5" w:type="dxa"/>
            <w:tcBorders>
              <w:top w:val="single" w:sz="4" w:space="0" w:color="000000"/>
              <w:left w:val="single" w:sz="4" w:space="0" w:color="000000"/>
              <w:bottom w:val="single" w:sz="4" w:space="0" w:color="000000"/>
              <w:right w:val="single" w:sz="4" w:space="0" w:color="000000"/>
            </w:tcBorders>
          </w:tcPr>
          <w:p>
            <w:pPr/>
          </w:p>
        </w:tc>
        <w:tc>
          <w:tcPr>
            <w:tcW w:w="39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171,123,087</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3" w:hRule="exact"/>
        </w:trPr>
        <w:tc>
          <w:tcPr>
            <w:tcW w:w="216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3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15,261,309</w:t>
            </w:r>
          </w:p>
        </w:tc>
        <w:tc>
          <w:tcPr>
            <w:tcW w:w="390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8" w:hRule="exact"/>
        </w:trPr>
        <w:tc>
          <w:tcPr>
            <w:tcW w:w="216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15,978,007</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8"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2"/>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259,568,835</w:t>
            </w:r>
          </w:p>
        </w:tc>
        <w:tc>
          <w:tcPr>
            <w:tcW w:w="3901"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283" w:lineRule="auto" w:before="26"/>
        <w:ind w:left="218" w:right="6848" w:firstLine="0"/>
        <w:jc w:val="left"/>
        <w:rPr>
          <w:rFonts w:ascii="宋体" w:hAnsi="宋体" w:cs="宋体" w:eastAsia="宋体" w:hint="default"/>
          <w:sz w:val="24"/>
          <w:szCs w:val="24"/>
        </w:rPr>
      </w:pPr>
      <w:r>
        <w:rPr>
          <w:rFonts w:ascii="宋体" w:hAnsi="宋体" w:cs="宋体" w:eastAsia="宋体" w:hint="default"/>
          <w:b/>
          <w:bCs/>
          <w:sz w:val="24"/>
          <w:szCs w:val="24"/>
        </w:rPr>
        <w:t>79</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1"/>
          <w:szCs w:val="21"/>
        </w:rPr>
        <w:t>外币货币性项目</w:t>
      </w:r>
      <w:r>
        <w:rPr>
          <w:rFonts w:ascii="宋体" w:hAnsi="宋体" w:cs="宋体" w:eastAsia="宋体" w:hint="default"/>
          <w:sz w:val="24"/>
          <w:szCs w:val="24"/>
        </w:rPr>
        <w:t>：</w:t>
      </w:r>
    </w:p>
    <w:p>
      <w:pPr>
        <w:spacing w:after="0" w:line="283" w:lineRule="auto"/>
        <w:jc w:val="left"/>
        <w:rPr>
          <w:rFonts w:ascii="宋体" w:hAnsi="宋体" w:cs="宋体" w:eastAsia="宋体" w:hint="default"/>
          <w:sz w:val="24"/>
          <w:szCs w:val="24"/>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pStyle w:val="BodyText"/>
        <w:spacing w:line="274" w:lineRule="exact" w:before="36"/>
        <w:ind w:right="2760"/>
        <w:jc w:val="left"/>
      </w:pPr>
      <w:r>
        <w:rPr/>
        <w:t>√适用</w:t>
      </w:r>
      <w:r>
        <w:rPr>
          <w:spacing w:val="-1"/>
        </w:rPr>
        <w:t> </w:t>
      </w:r>
      <w:r>
        <w:rPr/>
        <w:t>□不适用</w:t>
      </w:r>
    </w:p>
    <w:p>
      <w:pPr>
        <w:pStyle w:val="BodyText"/>
        <w:spacing w:line="274" w:lineRule="exact"/>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53,906,280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352,234,415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2,075,805,341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120,153,841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3,403,802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26,557,484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679,085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567,647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1,546,480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4.8831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7,551,616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3,967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6.6779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26,491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161,050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268,342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1,563,766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0.1309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204,697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8,276,505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54,080,339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3,277,250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25,570,088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2,113,458,052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122,333,292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1,035,485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4.8831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5,056,377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74,011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36,160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1,317,972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105,088,025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6,082,810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112,624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187,654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123,626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807,797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79,752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622,249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55,637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92,702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12,960,000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750,164</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74,922,809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4,336,757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6.4782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64,782,250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54,616,100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3,754,120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24,530,171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94,827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739,869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31,040,993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1,796,746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66,845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111,377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348,570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2,277,626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161,146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1,257,309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444,413,944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25,724,012</w:t>
            </w:r>
          </w:p>
        </w:tc>
      </w:tr>
    </w:tbl>
    <w:p>
      <w:pPr>
        <w:spacing w:after="0" w:line="241" w:lineRule="exact"/>
        <w:jc w:val="right"/>
        <w:rPr>
          <w:rFonts w:ascii="宋体" w:hAnsi="宋体" w:cs="宋体" w:eastAsia="宋体" w:hint="default"/>
          <w:sz w:val="21"/>
          <w:szCs w:val="21"/>
        </w:rPr>
        <w:sectPr>
          <w:pgSz w:w="11910" w:h="16840"/>
          <w:pgMar w:header="946" w:footer="1248" w:top="1300" w:bottom="1440" w:left="1580" w:right="1040"/>
        </w:sectPr>
      </w:pPr>
    </w:p>
    <w:p>
      <w:pPr>
        <w:spacing w:line="240" w:lineRule="auto" w:before="7"/>
        <w:rPr>
          <w:rFonts w:ascii="宋体" w:hAnsi="宋体" w:cs="宋体" w:eastAsia="宋体" w:hint="default"/>
          <w:sz w:val="16"/>
          <w:szCs w:val="16"/>
        </w:rPr>
      </w:pPr>
    </w:p>
    <w:tbl>
      <w:tblPr>
        <w:tblW w:w="0" w:type="auto"/>
        <w:jc w:val="left"/>
        <w:tblInd w:w="26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406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1.6662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676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425,565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2,780,727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79,455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619,932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104,189</w:t>
            </w:r>
          </w:p>
        </w:tc>
      </w:tr>
    </w:tbl>
    <w:p>
      <w:pPr>
        <w:spacing w:line="240" w:lineRule="auto" w:before="2"/>
        <w:rPr>
          <w:rFonts w:ascii="宋体" w:hAnsi="宋体" w:cs="宋体" w:eastAsia="宋体" w:hint="default"/>
          <w:sz w:val="23"/>
          <w:szCs w:val="23"/>
        </w:rPr>
      </w:pPr>
    </w:p>
    <w:p>
      <w:pPr>
        <w:pStyle w:val="Heading2"/>
        <w:spacing w:line="312" w:lineRule="exact" w:before="56"/>
        <w:ind w:left="798" w:right="114" w:hanging="420"/>
        <w:jc w:val="left"/>
        <w:rPr>
          <w:b w:val="0"/>
          <w:bCs w:val="0"/>
        </w:rPr>
      </w:pPr>
      <w:r>
        <w:rPr>
          <w:rFonts w:ascii="宋体" w:hAnsi="宋体" w:cs="宋体" w:eastAsia="宋体" w:hint="default"/>
          <w:spacing w:val="2"/>
        </w:rPr>
        <w:t>(2).</w:t>
      </w:r>
      <w:r>
        <w:rPr>
          <w:spacing w:val="2"/>
          <w:sz w:val="21"/>
          <w:szCs w:val="21"/>
        </w:rPr>
        <w:t>境外</w:t>
      </w:r>
      <w:r>
        <w:rPr>
          <w:spacing w:val="2"/>
        </w:rPr>
        <w:t>经营实体说明，包括对于重要的境外经营实体，应披露其境外主要经营地、</w:t>
      </w:r>
      <w:r>
        <w:rPr>
          <w:w w:val="99"/>
        </w:rPr>
        <w:t> </w:t>
      </w:r>
      <w:r>
        <w:rPr/>
        <w:t>记账本位币及选择依据，记账本位币发生变化的还应披露原因。</w:t>
      </w:r>
      <w:r>
        <w:rPr>
          <w:b w:val="0"/>
          <w:bCs w:val="0"/>
        </w:rPr>
      </w:r>
    </w:p>
    <w:p>
      <w:pPr>
        <w:pStyle w:val="BodyText"/>
        <w:spacing w:line="240" w:lineRule="auto" w:before="35"/>
        <w:ind w:left="378" w:right="114"/>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2336"/>
        <w:gridCol w:w="2369"/>
        <w:gridCol w:w="3063"/>
        <w:gridCol w:w="1123"/>
      </w:tblGrid>
      <w:tr>
        <w:trPr>
          <w:trHeight w:val="55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东软（日本）有限公司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东软科技有限公司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东软（欧洲）有限公司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瑞士、德国、罗马尼亚</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瑞士法郎、欧元、罗马尼亚列伊</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东软（香港）有限公司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3"/>
        <w:rPr>
          <w:rFonts w:ascii="宋体" w:hAnsi="宋体" w:cs="宋体" w:eastAsia="宋体" w:hint="default"/>
          <w:sz w:val="20"/>
          <w:szCs w:val="20"/>
        </w:rPr>
      </w:pPr>
    </w:p>
    <w:p>
      <w:pPr>
        <w:pStyle w:val="Heading2"/>
        <w:spacing w:line="240" w:lineRule="auto"/>
        <w:ind w:left="378" w:right="114"/>
        <w:jc w:val="left"/>
        <w:rPr>
          <w:b w:val="0"/>
          <w:bCs w:val="0"/>
        </w:rPr>
      </w:pPr>
      <w:r>
        <w:rPr>
          <w:rFonts w:ascii="宋体" w:hAnsi="宋体" w:cs="宋体" w:eastAsia="宋体" w:hint="default"/>
        </w:rPr>
        <w:t>80</w:t>
      </w:r>
      <w:r>
        <w:rPr/>
        <w:t>、</w:t>
      </w:r>
      <w:r>
        <w:rPr>
          <w:spacing w:val="-100"/>
        </w:rPr>
        <w:t> </w:t>
      </w:r>
      <w:r>
        <w:rPr/>
        <w:t>套期</w:t>
      </w:r>
      <w:r>
        <w:rPr>
          <w:b w:val="0"/>
          <w:bCs w:val="0"/>
        </w:rPr>
      </w:r>
    </w:p>
    <w:p>
      <w:pPr>
        <w:pStyle w:val="BodyText"/>
        <w:spacing w:line="240" w:lineRule="auto" w:before="64"/>
        <w:ind w:left="378" w:right="114"/>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16"/>
          <w:pgSz w:w="11910" w:h="16840"/>
          <w:pgMar w:footer="1033" w:header="946" w:top="1300" w:bottom="1220" w:left="1420" w:right="1040"/>
        </w:sectPr>
      </w:pPr>
    </w:p>
    <w:p>
      <w:pPr>
        <w:pStyle w:val="Heading2"/>
        <w:spacing w:line="240" w:lineRule="auto"/>
        <w:ind w:left="378" w:right="-19"/>
        <w:jc w:val="left"/>
        <w:rPr>
          <w:b w:val="0"/>
          <w:bCs w:val="0"/>
        </w:rPr>
      </w:pPr>
      <w:r>
        <w:rPr>
          <w:rFonts w:ascii="宋体" w:hAnsi="宋体" w:cs="宋体" w:eastAsia="宋体" w:hint="default"/>
        </w:rPr>
        <w:t>81</w:t>
      </w:r>
      <w:r>
        <w:rPr/>
        <w:t>、</w:t>
      </w:r>
      <w:r>
        <w:rPr>
          <w:spacing w:val="-100"/>
        </w:rPr>
        <w:t> </w:t>
      </w:r>
      <w:r>
        <w:rPr/>
        <w:t>政府补助</w:t>
      </w:r>
      <w:r>
        <w:rPr>
          <w:b w:val="0"/>
          <w:bCs w:val="0"/>
        </w:rPr>
      </w:r>
    </w:p>
    <w:p>
      <w:pPr>
        <w:pStyle w:val="Heading2"/>
        <w:spacing w:line="240" w:lineRule="auto" w:before="56"/>
        <w:ind w:left="378" w:right="-19"/>
        <w:jc w:val="left"/>
        <w:rPr>
          <w:b w:val="0"/>
          <w:bCs w:val="0"/>
        </w:rPr>
      </w:pPr>
      <w:r>
        <w:rPr>
          <w:rFonts w:ascii="宋体" w:hAnsi="宋体" w:cs="宋体" w:eastAsia="宋体" w:hint="default"/>
        </w:rPr>
        <w:t>1.</w:t>
      </w:r>
      <w:r>
        <w:rPr>
          <w:rFonts w:ascii="宋体" w:hAnsi="宋体" w:cs="宋体" w:eastAsia="宋体" w:hint="default"/>
          <w:spacing w:val="59"/>
        </w:rPr>
        <w:t> </w:t>
      </w:r>
      <w:r>
        <w:rPr/>
        <w:t>政府补助基本情况</w:t>
      </w:r>
      <w:r>
        <w:rPr>
          <w:b w:val="0"/>
          <w:bCs w:val="0"/>
        </w:rPr>
      </w:r>
    </w:p>
    <w:p>
      <w:pPr>
        <w:pStyle w:val="BodyText"/>
        <w:tabs>
          <w:tab w:pos="1220" w:val="left" w:leader="none"/>
        </w:tabs>
        <w:spacing w:line="240" w:lineRule="auto" w:before="64"/>
        <w:ind w:left="37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2730" w:space="3672"/>
            <w:col w:w="3048"/>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804"/>
        <w:gridCol w:w="1841"/>
        <w:gridCol w:w="2040"/>
        <w:gridCol w:w="2213"/>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28,063,902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28,063,902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168,276,436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558,900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558,900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产业扶植基金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1,979,500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1,979,500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20,973,900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20,973,900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90,873,081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90,873,081</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38,101,039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38,101,039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16,913,842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16,913,842</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110,502,283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476,242,883</w:t>
            </w:r>
          </w:p>
        </w:tc>
        <w:tc>
          <w:tcPr>
            <w:tcW w:w="204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197,464,164</w:t>
            </w:r>
          </w:p>
        </w:tc>
      </w:tr>
    </w:tbl>
    <w:p>
      <w:pPr>
        <w:spacing w:line="240" w:lineRule="auto" w:before="5"/>
        <w:rPr>
          <w:rFonts w:ascii="宋体" w:hAnsi="宋体" w:cs="宋体" w:eastAsia="宋体" w:hint="default"/>
          <w:sz w:val="23"/>
          <w:szCs w:val="23"/>
        </w:rPr>
      </w:pPr>
    </w:p>
    <w:p>
      <w:pPr>
        <w:pStyle w:val="Heading2"/>
        <w:spacing w:line="240" w:lineRule="auto"/>
        <w:ind w:left="378" w:right="114"/>
        <w:jc w:val="left"/>
        <w:rPr>
          <w:b w:val="0"/>
          <w:bCs w:val="0"/>
        </w:rPr>
      </w:pPr>
      <w:r>
        <w:rPr>
          <w:rFonts w:ascii="宋体" w:hAnsi="宋体" w:cs="宋体" w:eastAsia="宋体" w:hint="default"/>
        </w:rPr>
        <w:t>2.</w:t>
      </w:r>
      <w:r>
        <w:rPr>
          <w:rFonts w:ascii="宋体" w:hAnsi="宋体" w:cs="宋体" w:eastAsia="宋体" w:hint="default"/>
          <w:spacing w:val="59"/>
        </w:rPr>
        <w:t> </w:t>
      </w:r>
      <w:r>
        <w:rPr/>
        <w:t>政府补助退回情况</w:t>
      </w:r>
      <w:r>
        <w:rPr>
          <w:b w:val="0"/>
          <w:bCs w:val="0"/>
        </w:rPr>
      </w:r>
    </w:p>
    <w:p>
      <w:pPr>
        <w:pStyle w:val="BodyText"/>
        <w:spacing w:line="240" w:lineRule="auto" w:before="64"/>
        <w:ind w:left="378" w:right="114"/>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left="378" w:right="114"/>
        <w:jc w:val="left"/>
        <w:rPr>
          <w:b w:val="0"/>
          <w:bCs w:val="0"/>
        </w:rPr>
      </w:pPr>
      <w:r>
        <w:rPr>
          <w:rFonts w:ascii="宋体" w:hAnsi="宋体" w:cs="宋体" w:eastAsia="宋体" w:hint="default"/>
        </w:rPr>
        <w:t>82</w:t>
      </w:r>
      <w:r>
        <w:rPr/>
        <w:t>、</w:t>
      </w:r>
      <w:r>
        <w:rPr>
          <w:spacing w:val="-100"/>
        </w:rPr>
        <w:t> </w:t>
      </w:r>
      <w:r>
        <w:rPr/>
        <w:t>其他</w:t>
      </w:r>
      <w:r>
        <w:rPr>
          <w:b w:val="0"/>
          <w:bCs w:val="0"/>
        </w:rPr>
      </w:r>
    </w:p>
    <w:p>
      <w:pPr>
        <w:pStyle w:val="BodyText"/>
        <w:spacing w:line="240" w:lineRule="auto" w:before="61"/>
        <w:ind w:left="378" w:right="11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63"/>
        <w:ind w:left="0" w:right="230" w:firstLine="0"/>
        <w:jc w:val="right"/>
        <w:rPr>
          <w:rFonts w:ascii="Calibri" w:hAnsi="Calibri" w:cs="Calibri" w:eastAsia="Calibri" w:hint="default"/>
          <w:sz w:val="18"/>
          <w:szCs w:val="18"/>
        </w:rPr>
      </w:pPr>
      <w:r>
        <w:rPr>
          <w:rFonts w:ascii="Calibri"/>
          <w:b/>
          <w:sz w:val="18"/>
        </w:rPr>
        <w:t>155 </w:t>
      </w:r>
      <w:r>
        <w:rPr>
          <w:rFonts w:ascii="Calibri"/>
          <w:sz w:val="18"/>
        </w:rPr>
        <w:t>/</w:t>
      </w:r>
      <w:r>
        <w:rPr>
          <w:rFonts w:ascii="Calibri"/>
          <w:spacing w:val="-5"/>
          <w:sz w:val="18"/>
        </w:rPr>
        <w:t> </w:t>
      </w:r>
      <w:r>
        <w:rPr>
          <w:rFonts w:ascii="Calibri"/>
          <w:b/>
          <w:sz w:val="18"/>
        </w:rPr>
        <w:t>198</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pStyle w:val="Heading2"/>
        <w:spacing w:line="303" w:lineRule="exact" w:before="0"/>
        <w:ind w:left="124" w:right="0"/>
        <w:jc w:val="left"/>
        <w:rPr>
          <w:b w:val="0"/>
          <w:bCs w:val="0"/>
        </w:rPr>
      </w:pPr>
      <w:r>
        <w:rPr/>
        <w:t>八、合并范围的变更</w:t>
      </w:r>
      <w:r>
        <w:rPr>
          <w:b w:val="0"/>
          <w:bCs w:val="0"/>
        </w:rPr>
      </w:r>
    </w:p>
    <w:p>
      <w:pPr>
        <w:pStyle w:val="Heading2"/>
        <w:spacing w:line="240" w:lineRule="auto" w:before="55"/>
        <w:ind w:left="124" w:right="0"/>
        <w:jc w:val="left"/>
        <w:rPr>
          <w:b w:val="0"/>
          <w:bCs w:val="0"/>
        </w:rPr>
      </w:pP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64"/>
        <w:ind w:left="124" w:right="0"/>
        <w:jc w:val="left"/>
      </w:pPr>
      <w:r>
        <w:rPr/>
        <w:t>□适用 √不适用</w:t>
      </w:r>
    </w:p>
    <w:p>
      <w:pPr>
        <w:spacing w:line="240" w:lineRule="auto" w:before="10"/>
        <w:rPr>
          <w:rFonts w:ascii="宋体" w:hAnsi="宋体" w:cs="宋体" w:eastAsia="宋体" w:hint="default"/>
          <w:sz w:val="24"/>
          <w:szCs w:val="24"/>
        </w:rPr>
      </w:pPr>
    </w:p>
    <w:p>
      <w:pPr>
        <w:pStyle w:val="Heading2"/>
        <w:spacing w:line="240" w:lineRule="auto" w:before="0"/>
        <w:ind w:left="124" w:right="0"/>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64"/>
        <w:ind w:left="124" w:right="0"/>
        <w:jc w:val="left"/>
      </w:pPr>
      <w:r>
        <w:rPr/>
        <w:t>□适用 √不适用</w:t>
      </w:r>
    </w:p>
    <w:p>
      <w:pPr>
        <w:spacing w:line="240" w:lineRule="auto" w:before="10"/>
        <w:rPr>
          <w:rFonts w:ascii="宋体" w:hAnsi="宋体" w:cs="宋体" w:eastAsia="宋体" w:hint="default"/>
          <w:sz w:val="24"/>
          <w:szCs w:val="24"/>
        </w:rPr>
      </w:pPr>
    </w:p>
    <w:p>
      <w:pPr>
        <w:pStyle w:val="Heading2"/>
        <w:spacing w:line="240" w:lineRule="auto" w:before="0"/>
        <w:ind w:left="124" w:right="0"/>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61"/>
        <w:ind w:left="124" w:right="0"/>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17"/>
          <w:footerReference w:type="default" r:id="rId118"/>
          <w:pgSz w:w="16840" w:h="11910" w:orient="landscape"/>
          <w:pgMar w:header="946" w:footer="1248" w:top="1300" w:bottom="1440" w:left="1400" w:right="1300"/>
          <w:pgNumType w:start="156"/>
        </w:sectPr>
      </w:pPr>
    </w:p>
    <w:p>
      <w:pPr>
        <w:pStyle w:val="Heading2"/>
        <w:spacing w:line="240" w:lineRule="auto"/>
        <w:ind w:left="124" w:right="0"/>
        <w:jc w:val="left"/>
        <w:rPr>
          <w:b w:val="0"/>
          <w:bCs w:val="0"/>
        </w:rPr>
      </w:pPr>
      <w:r>
        <w:rPr>
          <w:rFonts w:ascii="宋体" w:hAnsi="宋体" w:cs="宋体" w:eastAsia="宋体" w:hint="default"/>
        </w:rPr>
        <w:t>4</w:t>
      </w:r>
      <w:r>
        <w:rPr/>
        <w:t>、</w:t>
      </w:r>
      <w:r>
        <w:rPr>
          <w:spacing w:val="-65"/>
        </w:rPr>
        <w:t> </w:t>
      </w:r>
      <w:r>
        <w:rPr/>
        <w:t>处置子公司</w:t>
      </w:r>
      <w:r>
        <w:rPr>
          <w:b w:val="0"/>
          <w:bCs w:val="0"/>
        </w:rPr>
      </w:r>
    </w:p>
    <w:p>
      <w:pPr>
        <w:pStyle w:val="BodyText"/>
        <w:spacing w:line="274" w:lineRule="exact" w:before="61"/>
        <w:ind w:left="124" w:right="0"/>
        <w:jc w:val="left"/>
      </w:pPr>
      <w:r>
        <w:rPr>
          <w:spacing w:val="-2"/>
        </w:rPr>
        <w:t>是否存在单次处置对子公司投资即丧失控制权的情形</w:t>
      </w:r>
    </w:p>
    <w:p>
      <w:pPr>
        <w:pStyle w:val="BodyText"/>
        <w:spacing w:line="274" w:lineRule="exact"/>
        <w:ind w:left="1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69" w:val="left" w:leader="none"/>
        </w:tabs>
        <w:spacing w:line="240" w:lineRule="auto" w:before="161"/>
        <w:ind w:left="1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400" w:right="1300"/>
          <w:cols w:num="2" w:equalWidth="0">
            <w:col w:w="4959" w:space="6815"/>
            <w:col w:w="236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159"/>
        <w:ind w:left="7522" w:right="6395" w:firstLine="0"/>
        <w:jc w:val="center"/>
        <w:rPr>
          <w:rFonts w:ascii="宋体" w:hAnsi="宋体" w:cs="宋体" w:eastAsia="宋体" w:hint="default"/>
          <w:sz w:val="18"/>
          <w:szCs w:val="18"/>
        </w:rPr>
      </w:pPr>
      <w:r>
        <w:rPr/>
        <w:pict>
          <v:shape style="position:absolute;margin-left:75.720001pt;margin-top:-114.038292pt;width:695.9pt;height:20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1"/>
                    <w:gridCol w:w="538"/>
                    <w:gridCol w:w="494"/>
                    <w:gridCol w:w="427"/>
                    <w:gridCol w:w="992"/>
                    <w:gridCol w:w="3826"/>
                    <w:gridCol w:w="90"/>
                    <w:gridCol w:w="906"/>
                    <w:gridCol w:w="708"/>
                    <w:gridCol w:w="992"/>
                    <w:gridCol w:w="996"/>
                    <w:gridCol w:w="989"/>
                    <w:gridCol w:w="852"/>
                    <w:gridCol w:w="852"/>
                  </w:tblGrid>
                  <w:tr>
                    <w:trPr>
                      <w:trHeight w:val="16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86" w:right="79"/>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64" w:right="59"/>
                          <w:jc w:val="both"/>
                          <w:rPr>
                            <w:rFonts w:ascii="宋体" w:hAnsi="宋体" w:cs="宋体" w:eastAsia="宋体" w:hint="default"/>
                            <w:sz w:val="18"/>
                            <w:szCs w:val="18"/>
                          </w:rPr>
                        </w:pPr>
                        <w:r>
                          <w:rPr>
                            <w:rFonts w:ascii="宋体" w:hAnsi="宋体" w:cs="宋体" w:eastAsia="宋体" w:hint="default"/>
                            <w:sz w:val="18"/>
                            <w:szCs w:val="18"/>
                          </w:rPr>
                          <w:t>股权 处置 比例</w:t>
                        </w:r>
                      </w:p>
                      <w:p>
                        <w:pPr>
                          <w:pStyle w:val="TableParagraph"/>
                          <w:spacing w:line="214" w:lineRule="exact"/>
                          <w:ind w:left="19"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 w:right="26"/>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220" w:right="39"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丧失控制权时点的确定依据</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both"/>
                          <w:rPr>
                            <w:rFonts w:ascii="宋体" w:hAnsi="宋体" w:cs="宋体" w:eastAsia="宋体" w:hint="default"/>
                            <w:sz w:val="18"/>
                            <w:szCs w:val="18"/>
                          </w:rPr>
                        </w:pPr>
                        <w:r>
                          <w:rPr>
                            <w:rFonts w:ascii="宋体" w:hAnsi="宋体" w:cs="宋体" w:eastAsia="宋体" w:hint="default"/>
                            <w:sz w:val="18"/>
                            <w:szCs w:val="18"/>
                          </w:rPr>
                          <w:t>处置价款与</w:t>
                        </w:r>
                      </w:p>
                      <w:p>
                        <w:pPr>
                          <w:pStyle w:val="TableParagraph"/>
                          <w:spacing w:line="237" w:lineRule="auto" w:before="1"/>
                          <w:ind w:left="43" w:right="41"/>
                          <w:jc w:val="both"/>
                          <w:rPr>
                            <w:rFonts w:ascii="宋体" w:hAnsi="宋体" w:cs="宋体" w:eastAsia="宋体" w:hint="default"/>
                            <w:sz w:val="18"/>
                            <w:szCs w:val="18"/>
                          </w:rPr>
                        </w:pPr>
                        <w:r>
                          <w:rPr>
                            <w:rFonts w:ascii="宋体" w:hAnsi="宋体" w:cs="宋体" w:eastAsia="宋体" w:hint="default"/>
                            <w:sz w:val="18"/>
                            <w:szCs w:val="18"/>
                          </w:rPr>
                          <w:t>处置投资对 应的合并财 务报表层面 享有该子公 司净资产份 额的差额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 w:right="77" w:firstLine="79"/>
                          <w:jc w:val="both"/>
                          <w:rPr>
                            <w:rFonts w:ascii="宋体" w:hAnsi="宋体" w:cs="宋体" w:eastAsia="宋体" w:hint="default"/>
                            <w:sz w:val="18"/>
                            <w:szCs w:val="18"/>
                          </w:rPr>
                        </w:pPr>
                        <w:r>
                          <w:rPr>
                            <w:rFonts w:ascii="宋体" w:hAnsi="宋体" w:cs="宋体" w:eastAsia="宋体" w:hint="default"/>
                            <w:sz w:val="18"/>
                            <w:szCs w:val="18"/>
                          </w:rPr>
                          <w:t>丧失控 制权之 日剩余 股权的 </w:t>
                        </w:r>
                        <w:r>
                          <w:rPr>
                            <w:rFonts w:ascii="宋体" w:hAnsi="宋体" w:cs="宋体" w:eastAsia="宋体" w:hint="default"/>
                            <w:spacing w:val="-6"/>
                            <w:sz w:val="18"/>
                            <w:szCs w:val="18"/>
                          </w:rPr>
                          <w:t>比例（</w:t>
                        </w:r>
                        <w:r>
                          <w:rPr>
                            <w:rFonts w:ascii="宋体" w:hAnsi="宋体" w:cs="宋体" w:eastAsia="宋体" w:hint="default"/>
                            <w:spacing w:val="-6"/>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0" w:right="39"/>
                          <w:jc w:val="both"/>
                          <w:rPr>
                            <w:rFonts w:ascii="宋体" w:hAnsi="宋体" w:cs="宋体" w:eastAsia="宋体" w:hint="default"/>
                            <w:sz w:val="18"/>
                            <w:szCs w:val="18"/>
                          </w:rPr>
                        </w:pPr>
                        <w:r>
                          <w:rPr>
                            <w:rFonts w:ascii="宋体" w:hAnsi="宋体" w:cs="宋体" w:eastAsia="宋体" w:hint="default"/>
                            <w:sz w:val="18"/>
                            <w:szCs w:val="18"/>
                          </w:rPr>
                          <w:t>丧失控制权 之日剩余股 权的账面价</w:t>
                        </w:r>
                      </w:p>
                      <w:p>
                        <w:pPr>
                          <w:pStyle w:val="TableParagraph"/>
                          <w:tabs>
                            <w:tab w:pos="400" w:val="left" w:leader="none"/>
                          </w:tabs>
                          <w:spacing w:line="334" w:lineRule="exact"/>
                          <w:ind w:left="-99"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值</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40" w:right="43"/>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38" w:right="38"/>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丧失控制</w:t>
                        </w:r>
                      </w:p>
                      <w:p>
                        <w:pPr>
                          <w:pStyle w:val="TableParagraph"/>
                          <w:spacing w:line="237" w:lineRule="auto" w:before="1"/>
                          <w:ind w:left="62" w:right="59"/>
                          <w:jc w:val="center"/>
                          <w:rPr>
                            <w:rFonts w:ascii="宋体" w:hAnsi="宋体" w:cs="宋体" w:eastAsia="宋体" w:hint="default"/>
                            <w:sz w:val="18"/>
                            <w:szCs w:val="18"/>
                          </w:rPr>
                        </w:pPr>
                        <w:r>
                          <w:rPr>
                            <w:rFonts w:ascii="宋体" w:hAnsi="宋体" w:cs="宋体" w:eastAsia="宋体" w:hint="default"/>
                            <w:sz w:val="18"/>
                            <w:szCs w:val="18"/>
                          </w:rPr>
                          <w:t>权之日剩 余股权公 允价值的 确定方法 及主要假 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both"/>
                          <w:rPr>
                            <w:rFonts w:ascii="宋体" w:hAnsi="宋体" w:cs="宋体" w:eastAsia="宋体" w:hint="default"/>
                            <w:sz w:val="18"/>
                            <w:szCs w:val="18"/>
                          </w:rPr>
                        </w:pPr>
                        <w:r>
                          <w:rPr>
                            <w:rFonts w:ascii="宋体" w:hAnsi="宋体" w:cs="宋体" w:eastAsia="宋体" w:hint="default"/>
                            <w:sz w:val="18"/>
                            <w:szCs w:val="18"/>
                          </w:rPr>
                          <w:t>与原子公</w:t>
                        </w:r>
                      </w:p>
                      <w:p>
                        <w:pPr>
                          <w:pStyle w:val="TableParagraph"/>
                          <w:spacing w:line="237" w:lineRule="auto" w:before="1"/>
                          <w:ind w:left="62" w:right="58"/>
                          <w:jc w:val="both"/>
                          <w:rPr>
                            <w:rFonts w:ascii="宋体" w:hAnsi="宋体" w:cs="宋体" w:eastAsia="宋体" w:hint="default"/>
                            <w:sz w:val="18"/>
                            <w:szCs w:val="18"/>
                          </w:rPr>
                        </w:pPr>
                        <w:r>
                          <w:rPr>
                            <w:rFonts w:ascii="宋体" w:hAnsi="宋体" w:cs="宋体" w:eastAsia="宋体" w:hint="default"/>
                            <w:sz w:val="18"/>
                            <w:szCs w:val="18"/>
                          </w:rPr>
                          <w:t>司股权投 资相关的 其他综合 收益转入 投资损益 的金额</w:t>
                        </w:r>
                      </w:p>
                    </w:tc>
                  </w:tr>
                  <w:tr>
                    <w:trPr>
                      <w:trHeight w:val="234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4" w:lineRule="exact"/>
                          <w:ind w:left="166" w:right="0" w:hanging="167"/>
                          <w:jc w:val="left"/>
                          <w:rPr>
                            <w:rFonts w:ascii="宋体" w:hAnsi="宋体" w:cs="宋体" w:eastAsia="宋体" w:hint="default"/>
                            <w:sz w:val="18"/>
                            <w:szCs w:val="18"/>
                          </w:rPr>
                        </w:pPr>
                        <w:r>
                          <w:rPr>
                            <w:rFonts w:ascii="宋体" w:hAnsi="宋体" w:cs="宋体" w:eastAsia="宋体" w:hint="default"/>
                            <w:spacing w:val="-5"/>
                            <w:sz w:val="18"/>
                            <w:szCs w:val="18"/>
                          </w:rPr>
                          <w:t>东软（澄迈）置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业有限公司</w:t>
                        </w:r>
                      </w:p>
                    </w:tc>
                    <w:tc>
                      <w:tcPr>
                        <w:tcW w:w="53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sz w:val="18"/>
                          </w:rPr>
                          <w:t>51.00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28" w:right="26"/>
                          <w:jc w:val="both"/>
                          <w:rPr>
                            <w:rFonts w:ascii="宋体" w:hAnsi="宋体" w:cs="宋体" w:eastAsia="宋体" w:hint="default"/>
                            <w:sz w:val="18"/>
                            <w:szCs w:val="18"/>
                          </w:rPr>
                        </w:pPr>
                        <w:r>
                          <w:rPr>
                            <w:rFonts w:ascii="宋体" w:hAnsi="宋体" w:cs="宋体" w:eastAsia="宋体" w:hint="default"/>
                            <w:sz w:val="18"/>
                            <w:szCs w:val="18"/>
                          </w:rPr>
                          <w:t>股东 增资 导致 持股 比例 下降 丧失 控制 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 w:right="31"/>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日召开的公司七届三十六次董 事会以现场表决方式在沈阳召开，会议审议通过 </w:t>
                        </w:r>
                        <w:r>
                          <w:rPr>
                            <w:rFonts w:ascii="宋体" w:hAnsi="宋体" w:cs="宋体" w:eastAsia="宋体" w:hint="default"/>
                            <w:spacing w:val="-11"/>
                            <w:sz w:val="18"/>
                            <w:szCs w:val="18"/>
                          </w:rPr>
                          <w:t>了《关于东软（澄迈）置业有限公司增资的议案》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日，投资者已按协议约定的数额 一次性缴付增资款。至此本公司不再拥有对东软 澄迈的控制权，不再将东软澄迈纳入公司的合并 报表范围。</w:t>
                        </w:r>
                      </w:p>
                    </w:tc>
                    <w:tc>
                      <w:tcPr>
                        <w:tcW w:w="90" w:type="dxa"/>
                        <w:tcBorders>
                          <w:top w:val="single" w:sz="4" w:space="0" w:color="000000"/>
                          <w:left w:val="single" w:sz="4" w:space="0" w:color="000000"/>
                          <w:bottom w:val="single" w:sz="4" w:space="0" w:color="000000"/>
                          <w:right w:val="nil" w:sz="6" w:space="0" w:color="auto"/>
                        </w:tcBorders>
                      </w:tcPr>
                      <w:p>
                        <w:pPr/>
                      </w:p>
                    </w:tc>
                    <w:tc>
                      <w:tcPr>
                        <w:tcW w:w="9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sz w:val="18"/>
                          </w:rPr>
                          <w:t>5,744,115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sz w:val="18"/>
                          </w:rPr>
                          <w:t>49.00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18"/>
                            <w:szCs w:val="18"/>
                          </w:rPr>
                        </w:pPr>
                        <w:r>
                          <w:rPr>
                            <w:rFonts w:ascii="宋体"/>
                            <w:sz w:val="18"/>
                          </w:rPr>
                          <w:t>40,737,644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18"/>
                            <w:szCs w:val="18"/>
                          </w:rPr>
                        </w:pPr>
                        <w:r>
                          <w:rPr>
                            <w:rFonts w:ascii="宋体"/>
                            <w:sz w:val="18"/>
                          </w:rPr>
                          <w:t>46,256,500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4" w:right="0"/>
                          <w:jc w:val="left"/>
                          <w:rPr>
                            <w:rFonts w:ascii="宋体" w:hAnsi="宋体" w:cs="宋体" w:eastAsia="宋体" w:hint="default"/>
                            <w:sz w:val="18"/>
                            <w:szCs w:val="18"/>
                          </w:rPr>
                        </w:pPr>
                        <w:r>
                          <w:rPr>
                            <w:rFonts w:ascii="宋体"/>
                            <w:sz w:val="18"/>
                          </w:rPr>
                          <w:t>5,518,856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评估价值</w:t>
                        </w:r>
                      </w:p>
                    </w:tc>
                    <w:tc>
                      <w:tcPr>
                        <w:tcW w:w="85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type w:val="continuous"/>
          <w:pgSz w:w="16840" w:h="11910" w:orient="landscape"/>
          <w:pgMar w:top="1580" w:bottom="280" w:left="1400" w:right="1300"/>
        </w:sectPr>
      </w:pPr>
    </w:p>
    <w:p>
      <w:pPr>
        <w:spacing w:line="240" w:lineRule="auto" w:before="12"/>
        <w:rPr>
          <w:rFonts w:ascii="宋体" w:hAnsi="宋体" w:cs="宋体" w:eastAsia="宋体" w:hint="default"/>
          <w:sz w:val="15"/>
          <w:szCs w:val="15"/>
        </w:rPr>
      </w:pPr>
    </w:p>
    <w:p>
      <w:pPr>
        <w:pStyle w:val="BodyText"/>
        <w:spacing w:line="274" w:lineRule="exact" w:before="36"/>
        <w:ind w:left="124" w:right="0"/>
        <w:jc w:val="left"/>
      </w:pPr>
      <w:r>
        <w:rPr/>
        <w:t>其他说明：</w:t>
      </w:r>
    </w:p>
    <w:p>
      <w:pPr>
        <w:pStyle w:val="BodyText"/>
        <w:spacing w:line="274" w:lineRule="exact"/>
        <w:ind w:left="124" w:right="0"/>
        <w:jc w:val="left"/>
      </w:pPr>
      <w:r>
        <w:rPr/>
        <w:t>□适用 √不适用</w:t>
      </w:r>
    </w:p>
    <w:p>
      <w:pPr>
        <w:spacing w:line="240" w:lineRule="auto" w:before="8"/>
        <w:rPr>
          <w:rFonts w:ascii="宋体" w:hAnsi="宋体" w:cs="宋体" w:eastAsia="宋体" w:hint="default"/>
          <w:sz w:val="20"/>
          <w:szCs w:val="20"/>
        </w:rPr>
      </w:pPr>
    </w:p>
    <w:p>
      <w:pPr>
        <w:pStyle w:val="BodyText"/>
        <w:spacing w:line="270" w:lineRule="exact"/>
        <w:ind w:left="124" w:right="0"/>
        <w:jc w:val="left"/>
      </w:pPr>
      <w:r>
        <w:rPr/>
        <w:t>是否存在通过多次交易分步处置对子公司投资且在本期丧失控制权的情形</w:t>
      </w:r>
    </w:p>
    <w:p>
      <w:pPr>
        <w:pStyle w:val="Heading3"/>
        <w:spacing w:line="309" w:lineRule="exact"/>
        <w:ind w:right="0"/>
        <w:jc w:val="left"/>
      </w:pPr>
      <w:r>
        <w:rPr/>
        <w:t>√适用 □不适用</w:t>
      </w:r>
    </w:p>
    <w:p>
      <w:pPr>
        <w:spacing w:line="240" w:lineRule="auto" w:before="2"/>
        <w:rPr>
          <w:rFonts w:ascii="宋体" w:hAnsi="宋体" w:cs="宋体" w:eastAsia="宋体" w:hint="default"/>
          <w:sz w:val="24"/>
          <w:szCs w:val="24"/>
        </w:rPr>
      </w:pPr>
    </w:p>
    <w:p>
      <w:pPr>
        <w:pStyle w:val="BodyText"/>
        <w:spacing w:line="270" w:lineRule="exact"/>
        <w:ind w:left="124" w:right="0"/>
        <w:jc w:val="left"/>
      </w:pPr>
      <w:r>
        <w:rPr/>
        <w:t>一揽子交易</w:t>
      </w:r>
    </w:p>
    <w:p>
      <w:pPr>
        <w:pStyle w:val="Heading3"/>
        <w:spacing w:line="309" w:lineRule="exact"/>
        <w:ind w:right="0"/>
        <w:jc w:val="left"/>
      </w:pPr>
      <w:r>
        <w:rPr/>
        <w:t>□适用</w:t>
      </w:r>
      <w:r>
        <w:rPr>
          <w:spacing w:val="-1"/>
        </w:rPr>
        <w:t> </w:t>
      </w:r>
      <w:r>
        <w:rPr/>
        <w:t>√不适用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946" w:footer="1248" w:top="1300" w:bottom="1440" w:left="1400" w:right="1320"/>
        </w:sectPr>
      </w:pPr>
    </w:p>
    <w:p>
      <w:pPr>
        <w:pStyle w:val="BodyText"/>
        <w:spacing w:line="271" w:lineRule="exact" w:before="36"/>
        <w:ind w:left="124" w:right="-19"/>
        <w:jc w:val="left"/>
      </w:pPr>
      <w:r>
        <w:rPr/>
        <w:t>非一揽子交易</w:t>
      </w:r>
    </w:p>
    <w:p>
      <w:pPr>
        <w:pStyle w:val="Heading3"/>
        <w:spacing w:line="310" w:lineRule="exact"/>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7"/>
          <w:szCs w:val="27"/>
        </w:rPr>
      </w:pPr>
    </w:p>
    <w:p>
      <w:pPr>
        <w:pStyle w:val="BodyText"/>
        <w:tabs>
          <w:tab w:pos="1069" w:val="left" w:leader="none"/>
        </w:tabs>
        <w:spacing w:line="240" w:lineRule="auto"/>
        <w:ind w:left="1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400" w:right="1320"/>
          <w:cols w:num="2" w:equalWidth="0">
            <w:col w:w="1925" w:space="9849"/>
            <w:col w:w="2346"/>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80"/>
        <w:gridCol w:w="600"/>
        <w:gridCol w:w="569"/>
        <w:gridCol w:w="708"/>
        <w:gridCol w:w="992"/>
        <w:gridCol w:w="1135"/>
        <w:gridCol w:w="708"/>
        <w:gridCol w:w="3406"/>
        <w:gridCol w:w="557"/>
        <w:gridCol w:w="1001"/>
        <w:gridCol w:w="1267"/>
        <w:gridCol w:w="1001"/>
        <w:gridCol w:w="708"/>
        <w:gridCol w:w="554"/>
      </w:tblGrid>
      <w:tr>
        <w:trPr>
          <w:trHeight w:val="2112"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54" w:right="6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23" w:right="24"/>
              <w:jc w:val="left"/>
              <w:rPr>
                <w:rFonts w:ascii="宋体" w:hAnsi="宋体" w:cs="宋体" w:eastAsia="宋体" w:hint="default"/>
                <w:sz w:val="18"/>
                <w:szCs w:val="18"/>
              </w:rPr>
            </w:pPr>
            <w:r>
              <w:rPr>
                <w:rFonts w:ascii="宋体" w:hAnsi="宋体" w:cs="宋体" w:eastAsia="宋体" w:hint="default"/>
                <w:sz w:val="18"/>
                <w:szCs w:val="18"/>
              </w:rPr>
              <w:t>股权处 置时点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9" w:right="7"/>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79" w:right="77"/>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400" w:right="39" w:hanging="360"/>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1" w:right="23"/>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81" w:right="74"/>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丧失控制权时点的确定依据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 w:right="2"/>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p>
            <w:pPr>
              <w:pStyle w:val="TableParagraph"/>
              <w:spacing w:line="240" w:lineRule="auto"/>
              <w:ind w:left="47"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45" w:right="44"/>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88" w:right="86"/>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48" w:right="41"/>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before="2"/>
              <w:ind w:left="81" w:right="75"/>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both"/>
              <w:rPr>
                <w:rFonts w:ascii="宋体" w:hAnsi="宋体" w:cs="宋体" w:eastAsia="宋体" w:hint="default"/>
                <w:sz w:val="18"/>
                <w:szCs w:val="18"/>
              </w:rPr>
            </w:pPr>
            <w:r>
              <w:rPr>
                <w:rFonts w:ascii="宋体" w:hAnsi="宋体" w:cs="宋体" w:eastAsia="宋体" w:hint="default"/>
                <w:sz w:val="18"/>
                <w:szCs w:val="18"/>
              </w:rPr>
              <w:t>与原子</w:t>
            </w:r>
          </w:p>
          <w:p>
            <w:pPr>
              <w:pStyle w:val="TableParagraph"/>
              <w:spacing w:line="237" w:lineRule="auto" w:before="2"/>
              <w:ind w:left="2" w:right="0"/>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2811"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64" w:right="63"/>
              <w:jc w:val="both"/>
              <w:rPr>
                <w:rFonts w:ascii="宋体" w:hAnsi="宋体" w:cs="宋体" w:eastAsia="宋体" w:hint="default"/>
                <w:sz w:val="18"/>
                <w:szCs w:val="18"/>
              </w:rPr>
            </w:pPr>
            <w:r>
              <w:rPr>
                <w:rFonts w:ascii="宋体" w:hAnsi="宋体" w:cs="宋体" w:eastAsia="宋体" w:hint="default"/>
                <w:sz w:val="18"/>
                <w:szCs w:val="18"/>
              </w:rPr>
              <w:t>北京东 软望海 科技有 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34" w:lineRule="exact"/>
              <w:ind w:left="2"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right="-3"/>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22</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sz w:val="18"/>
              </w:rPr>
              <w:t>22.90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40" w:right="39"/>
              <w:jc w:val="both"/>
              <w:rPr>
                <w:rFonts w:ascii="宋体" w:hAnsi="宋体" w:cs="宋体" w:eastAsia="宋体" w:hint="default"/>
                <w:sz w:val="18"/>
                <w:szCs w:val="18"/>
              </w:rPr>
            </w:pPr>
            <w:r>
              <w:rPr>
                <w:rFonts w:ascii="宋体" w:hAnsi="宋体" w:cs="宋体" w:eastAsia="宋体" w:hint="default"/>
                <w:sz w:val="18"/>
                <w:szCs w:val="18"/>
              </w:rPr>
              <w:t>其他股东增 资导致持股 比例下降丧 失控制权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7" w:right="0"/>
              <w:jc w:val="left"/>
              <w:rPr>
                <w:rFonts w:ascii="宋体" w:hAnsi="宋体" w:cs="宋体" w:eastAsia="宋体" w:hint="default"/>
                <w:sz w:val="18"/>
                <w:szCs w:val="18"/>
              </w:rPr>
            </w:pPr>
            <w:r>
              <w:rPr>
                <w:rFonts w:ascii="宋体"/>
                <w:sz w:val="18"/>
              </w:rPr>
              <w:t>353,294,614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日召开的公司八届九次</w:t>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董事会、于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日召开的公司</w:t>
            </w:r>
          </w:p>
          <w:p>
            <w:pPr>
              <w:pStyle w:val="TableParagraph"/>
              <w:spacing w:line="237" w:lineRule="auto"/>
              <w:ind w:left="2" w:right="-27" w:hanging="2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pacing w:val="-5"/>
                <w:sz w:val="18"/>
                <w:szCs w:val="18"/>
              </w:rPr>
              <w:t>年第三次临时股东大会审议通过了《关</w:t>
            </w:r>
            <w:r>
              <w:rPr>
                <w:rFonts w:ascii="宋体" w:hAnsi="宋体" w:cs="宋体" w:eastAsia="宋体" w:hint="default"/>
                <w:sz w:val="18"/>
                <w:szCs w:val="18"/>
              </w:rPr>
              <w:t> 于对子公司北京东软望海科技有限公司增 </w:t>
            </w:r>
            <w:r>
              <w:rPr>
                <w:rFonts w:ascii="宋体" w:hAnsi="宋体" w:cs="宋体" w:eastAsia="宋体" w:hint="default"/>
                <w:spacing w:val="-14"/>
                <w:sz w:val="18"/>
                <w:szCs w:val="18"/>
              </w:rPr>
              <w:t>资的议案》。截至</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pacing w:val="-1"/>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pacing w:val="-4"/>
                <w:sz w:val="18"/>
                <w:szCs w:val="18"/>
              </w:rPr>
              <w:t>日，本次</w:t>
            </w:r>
            <w:r>
              <w:rPr>
                <w:rFonts w:ascii="宋体" w:hAnsi="宋体" w:cs="宋体" w:eastAsia="宋体" w:hint="default"/>
                <w:sz w:val="18"/>
                <w:szCs w:val="18"/>
              </w:rPr>
              <w:t> 投资及东软望海同步向段成惠授予奖励性 </w:t>
            </w:r>
            <w:r>
              <w:rPr>
                <w:rFonts w:ascii="宋体" w:hAnsi="宋体" w:cs="宋体" w:eastAsia="宋体" w:hint="default"/>
                <w:spacing w:val="-2"/>
                <w:sz w:val="18"/>
                <w:szCs w:val="18"/>
              </w:rPr>
              <w:t>股权相关的工商变更登记手续办理完成，同</w:t>
            </w:r>
            <w:r>
              <w:rPr>
                <w:rFonts w:ascii="宋体" w:hAnsi="宋体" w:cs="宋体" w:eastAsia="宋体" w:hint="default"/>
                <w:sz w:val="18"/>
                <w:szCs w:val="18"/>
              </w:rPr>
              <w:t> </w:t>
            </w:r>
            <w:r>
              <w:rPr>
                <w:rFonts w:ascii="宋体" w:hAnsi="宋体" w:cs="宋体" w:eastAsia="宋体" w:hint="default"/>
                <w:spacing w:val="-2"/>
                <w:sz w:val="18"/>
                <w:szCs w:val="18"/>
              </w:rPr>
              <w:t>时，本公司以及各投资人的本次增资价款均</w:t>
            </w:r>
            <w:r>
              <w:rPr>
                <w:rFonts w:ascii="宋体" w:hAnsi="宋体" w:cs="宋体" w:eastAsia="宋体" w:hint="default"/>
                <w:sz w:val="18"/>
                <w:szCs w:val="18"/>
              </w:rPr>
              <w:t> </w:t>
            </w:r>
            <w:r>
              <w:rPr>
                <w:rFonts w:ascii="宋体" w:hAnsi="宋体" w:cs="宋体" w:eastAsia="宋体" w:hint="default"/>
                <w:spacing w:val="-2"/>
                <w:sz w:val="18"/>
                <w:szCs w:val="18"/>
              </w:rPr>
              <w:t>已全额支付至东软望海指定的银行账户，至</w:t>
            </w:r>
            <w:r>
              <w:rPr>
                <w:rFonts w:ascii="宋体" w:hAnsi="宋体" w:cs="宋体" w:eastAsia="宋体" w:hint="default"/>
                <w:sz w:val="18"/>
                <w:szCs w:val="18"/>
              </w:rPr>
              <w:t> 此，本公司不再拥有对东软望海的控制权， 自</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月末开始不再将东软望海纳入 公司的合并报表范围。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 w:right="0"/>
              <w:jc w:val="left"/>
              <w:rPr>
                <w:rFonts w:ascii="宋体" w:hAnsi="宋体" w:cs="宋体" w:eastAsia="宋体" w:hint="default"/>
                <w:sz w:val="18"/>
                <w:szCs w:val="18"/>
              </w:rPr>
            </w:pPr>
            <w:r>
              <w:rPr>
                <w:rFonts w:ascii="宋体"/>
                <w:sz w:val="18"/>
              </w:rPr>
              <w:t>34.79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left"/>
              <w:rPr>
                <w:rFonts w:ascii="宋体" w:hAnsi="宋体" w:cs="宋体" w:eastAsia="宋体" w:hint="default"/>
                <w:sz w:val="18"/>
                <w:szCs w:val="18"/>
              </w:rPr>
            </w:pPr>
            <w:r>
              <w:rPr>
                <w:rFonts w:ascii="宋体"/>
                <w:sz w:val="18"/>
              </w:rPr>
              <w:t>591,132,337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sz w:val="18"/>
              </w:rPr>
              <w:t>1,008,740,298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3"/>
              <w:jc w:val="left"/>
              <w:rPr>
                <w:rFonts w:ascii="宋体" w:hAnsi="宋体" w:cs="宋体" w:eastAsia="宋体" w:hint="default"/>
                <w:sz w:val="18"/>
                <w:szCs w:val="18"/>
              </w:rPr>
            </w:pPr>
            <w:r>
              <w:rPr>
                <w:rFonts w:ascii="宋体"/>
                <w:sz w:val="18"/>
              </w:rPr>
              <w:t>417,607,961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261" w:right="75" w:hanging="180"/>
              <w:jc w:val="left"/>
              <w:rPr>
                <w:rFonts w:ascii="宋体" w:hAnsi="宋体" w:cs="宋体" w:eastAsia="宋体" w:hint="default"/>
                <w:sz w:val="18"/>
                <w:szCs w:val="18"/>
              </w:rPr>
            </w:pPr>
            <w:r>
              <w:rPr>
                <w:rFonts w:ascii="宋体" w:hAnsi="宋体" w:cs="宋体" w:eastAsia="宋体" w:hint="default"/>
                <w:sz w:val="18"/>
                <w:szCs w:val="18"/>
              </w:rPr>
              <w:t>评估价 值</w:t>
            </w:r>
          </w:p>
        </w:tc>
        <w:tc>
          <w:tcPr>
            <w:tcW w:w="5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400" w:right="1320"/>
        </w:sectPr>
      </w:pPr>
    </w:p>
    <w:p>
      <w:pPr>
        <w:spacing w:line="240" w:lineRule="auto" w:before="12"/>
        <w:rPr>
          <w:rFonts w:ascii="宋体" w:hAnsi="宋体" w:cs="宋体" w:eastAsia="宋体" w:hint="default"/>
          <w:sz w:val="15"/>
          <w:szCs w:val="15"/>
        </w:rPr>
      </w:pPr>
    </w:p>
    <w:p>
      <w:pPr>
        <w:pStyle w:val="BodyText"/>
        <w:spacing w:line="274" w:lineRule="exact" w:before="36"/>
        <w:ind w:left="104" w:right="0"/>
        <w:jc w:val="left"/>
      </w:pPr>
      <w:r>
        <w:rPr/>
        <w:t>分步处置股权至丧失控制权过程中的各项交易不构成一揽子交易的原因：</w:t>
      </w:r>
    </w:p>
    <w:p>
      <w:pPr>
        <w:pStyle w:val="BodyText"/>
        <w:spacing w:line="272" w:lineRule="exact"/>
        <w:ind w:left="104" w:right="0"/>
        <w:jc w:val="left"/>
      </w:pPr>
      <w:r>
        <w:rPr/>
        <w:t>√适用 □不适用</w:t>
      </w:r>
    </w:p>
    <w:p>
      <w:pPr>
        <w:pStyle w:val="BodyText"/>
        <w:spacing w:line="240" w:lineRule="auto"/>
        <w:ind w:left="104" w:right="0"/>
        <w:jc w:val="left"/>
      </w:pPr>
      <w:r>
        <w:rPr>
          <w:rFonts w:ascii="宋体" w:hAnsi="宋体" w:cs="宋体" w:eastAsia="宋体" w:hint="default"/>
        </w:rPr>
        <w:t>2016</w:t>
      </w:r>
      <w:r>
        <w:rPr>
          <w:rFonts w:ascii="宋体" w:hAnsi="宋体" w:cs="宋体" w:eastAsia="宋体" w:hint="default"/>
          <w:spacing w:val="-17"/>
        </w:rPr>
        <w:t> </w:t>
      </w:r>
      <w:r>
        <w:rPr>
          <w:spacing w:val="-4"/>
        </w:rPr>
        <w:t>年、</w:t>
      </w:r>
      <w:r>
        <w:rPr>
          <w:rFonts w:ascii="宋体" w:hAnsi="宋体" w:cs="宋体" w:eastAsia="宋体" w:hint="default"/>
          <w:spacing w:val="-4"/>
        </w:rPr>
        <w:t>2017</w:t>
      </w:r>
      <w:r>
        <w:rPr>
          <w:rFonts w:ascii="宋体" w:hAnsi="宋体" w:cs="宋体" w:eastAsia="宋体" w:hint="default"/>
          <w:spacing w:val="-14"/>
        </w:rPr>
        <w:t> </w:t>
      </w:r>
      <w:r>
        <w:rPr>
          <w:spacing w:val="-3"/>
        </w:rPr>
        <w:t>年东软望海分别引进投资者，使本公司对其持股比例下降，最终对其丧失控制权，两项交易均为独立签订相关协议，交易不互为条件，因</w:t>
      </w:r>
      <w:r>
        <w:rPr>
          <w:spacing w:val="-85"/>
        </w:rPr>
        <w:t> </w:t>
      </w:r>
      <w:r>
        <w:rPr>
          <w:spacing w:val="-85"/>
        </w:rPr>
      </w:r>
      <w:r>
        <w:rPr/>
        <w:t>此认定两项交易不构成一揽子交易。</w:t>
      </w:r>
    </w:p>
    <w:p>
      <w:pPr>
        <w:spacing w:line="240" w:lineRule="auto" w:before="8"/>
        <w:rPr>
          <w:rFonts w:ascii="宋体" w:hAnsi="宋体" w:cs="宋体" w:eastAsia="宋体" w:hint="default"/>
          <w:sz w:val="20"/>
          <w:szCs w:val="20"/>
        </w:rPr>
      </w:pPr>
    </w:p>
    <w:p>
      <w:pPr>
        <w:pStyle w:val="BodyText"/>
        <w:spacing w:line="273" w:lineRule="exact"/>
        <w:ind w:left="104" w:right="0"/>
        <w:jc w:val="left"/>
      </w:pPr>
      <w:r>
        <w:rPr/>
        <w:t>其他说明：</w:t>
      </w:r>
    </w:p>
    <w:p>
      <w:pPr>
        <w:pStyle w:val="BodyText"/>
        <w:spacing w:line="273" w:lineRule="exact"/>
        <w:ind w:left="10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63"/>
        <w:ind w:left="0" w:right="115" w:firstLine="0"/>
        <w:jc w:val="right"/>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198</w:t>
      </w:r>
      <w:r>
        <w:rPr>
          <w:rFonts w:ascii="Calibri"/>
          <w:sz w:val="18"/>
        </w:rPr>
      </w:r>
    </w:p>
    <w:p>
      <w:pPr>
        <w:spacing w:after="0"/>
        <w:jc w:val="right"/>
        <w:rPr>
          <w:rFonts w:ascii="Calibri" w:hAnsi="Calibri" w:cs="Calibri" w:eastAsia="Calibri" w:hint="default"/>
          <w:sz w:val="18"/>
          <w:szCs w:val="18"/>
        </w:rPr>
        <w:sectPr>
          <w:footerReference w:type="default" r:id="rId119"/>
          <w:pgSz w:w="16840" w:h="11910" w:orient="landscape"/>
          <w:pgMar w:footer="1033" w:header="946" w:top="1300" w:bottom="1220" w:left="1420" w:right="1320"/>
        </w:sectPr>
      </w:pPr>
    </w:p>
    <w:p>
      <w:pPr>
        <w:spacing w:line="240" w:lineRule="auto" w:before="2"/>
        <w:rPr>
          <w:rFonts w:ascii="Calibri" w:hAnsi="Calibri" w:cs="Calibri" w:eastAsia="Calibri" w:hint="default"/>
          <w:b/>
          <w:bCs/>
          <w:sz w:val="7"/>
          <w:szCs w:val="7"/>
        </w:rPr>
      </w:pPr>
    </w:p>
    <w:p>
      <w:pPr>
        <w:spacing w:line="360" w:lineRule="exact"/>
        <w:ind w:left="6377"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8"/>
          <w:szCs w:val="18"/>
        </w:rPr>
      </w:pPr>
    </w:p>
    <w:p>
      <w:pPr>
        <w:pStyle w:val="Heading2"/>
        <w:spacing w:line="240" w:lineRule="auto"/>
        <w:ind w:left="378" w:right="114"/>
        <w:jc w:val="left"/>
        <w:rPr>
          <w:b w:val="0"/>
          <w:bCs w:val="0"/>
        </w:rPr>
      </w:pPr>
      <w:r>
        <w:rPr>
          <w:rFonts w:ascii="宋体" w:hAnsi="宋体" w:cs="宋体" w:eastAsia="宋体" w:hint="default"/>
        </w:rPr>
        <w:t>5</w:t>
      </w:r>
      <w:r>
        <w:rPr/>
        <w:t>、</w:t>
      </w:r>
      <w:r>
        <w:rPr>
          <w:spacing w:val="-67"/>
        </w:rPr>
        <w:t> </w:t>
      </w:r>
      <w:r>
        <w:rPr/>
        <w:t>其他原因的合并范围变动</w:t>
      </w:r>
      <w:r>
        <w:rPr>
          <w:b w:val="0"/>
          <w:bCs w:val="0"/>
        </w:rPr>
      </w:r>
    </w:p>
    <w:p>
      <w:pPr>
        <w:pStyle w:val="BodyText"/>
        <w:spacing w:line="273" w:lineRule="exact" w:before="64"/>
        <w:ind w:left="378" w:right="114"/>
        <w:jc w:val="left"/>
      </w:pPr>
      <w:r>
        <w:rPr/>
        <w:t>说明其他原因导致的合并范围变动（如，新设子公司、清算子公司等）及其相关情况：</w:t>
      </w:r>
    </w:p>
    <w:p>
      <w:pPr>
        <w:pStyle w:val="BodyText"/>
        <w:spacing w:line="272" w:lineRule="exact"/>
        <w:ind w:left="378" w:right="114"/>
        <w:jc w:val="left"/>
      </w:pPr>
      <w:r>
        <w:rPr/>
        <w:t>√适用</w:t>
      </w:r>
      <w:r>
        <w:rPr>
          <w:spacing w:val="-1"/>
        </w:rPr>
        <w:t> </w:t>
      </w:r>
      <w:r>
        <w:rPr/>
        <w:t>□不适用</w:t>
      </w:r>
    </w:p>
    <w:p>
      <w:pPr>
        <w:pStyle w:val="BodyText"/>
        <w:spacing w:line="272" w:lineRule="exact"/>
        <w:ind w:left="858" w:right="114"/>
        <w:jc w:val="left"/>
      </w:pPr>
      <w:r>
        <w:rPr/>
        <w:t>本期新纳入合并范围的子公司</w:t>
      </w:r>
    </w:p>
    <w:p>
      <w:pPr>
        <w:pStyle w:val="BodyText"/>
        <w:spacing w:line="228" w:lineRule="auto" w:before="10"/>
        <w:ind w:left="378" w:right="228" w:firstLine="419"/>
        <w:jc w:val="both"/>
      </w:pPr>
      <w:r>
        <w:rPr/>
        <w:t>与上年相比本年新增合并单位</w:t>
      </w:r>
      <w:r>
        <w:rPr>
          <w:spacing w:val="-50"/>
        </w:rPr>
        <w:t> </w:t>
      </w:r>
      <w:r>
        <w:rPr>
          <w:rFonts w:ascii="Calibri" w:hAnsi="Calibri" w:cs="Calibri" w:eastAsia="Calibri" w:hint="default"/>
        </w:rPr>
        <w:t>6</w:t>
      </w:r>
      <w:r>
        <w:rPr>
          <w:rFonts w:ascii="Calibri" w:hAnsi="Calibri" w:cs="Calibri" w:eastAsia="Calibri" w:hint="default"/>
          <w:spacing w:val="6"/>
        </w:rPr>
        <w:t> </w:t>
      </w:r>
      <w:r>
        <w:rPr/>
        <w:t>家：东软集团（襄阳）有限公司、睿驰新能源动力系统（武</w:t>
      </w:r>
      <w:r>
        <w:rPr>
          <w:w w:val="100"/>
        </w:rPr>
        <w:t> </w:t>
      </w:r>
      <w:r>
        <w:rPr>
          <w:spacing w:val="-1"/>
        </w:rPr>
        <w:t>汉）有限公司、沈阳智医科技有限公司、沈阳东软久和医疗企业管理有限公司、广州东软科技企</w:t>
      </w:r>
      <w:r>
        <w:rPr>
          <w:spacing w:val="-55"/>
        </w:rPr>
        <w:t> </w:t>
      </w:r>
      <w:r>
        <w:rPr>
          <w:spacing w:val="-55"/>
        </w:rPr>
      </w:r>
      <w:r>
        <w:rPr/>
        <w:t>业孵化器有限公司、大连东软共创科技有限公司。</w:t>
      </w:r>
    </w:p>
    <w:p>
      <w:pPr>
        <w:pStyle w:val="BodyText"/>
        <w:tabs>
          <w:tab w:pos="895" w:val="left" w:leader="none"/>
        </w:tabs>
        <w:spacing w:line="240" w:lineRule="auto"/>
        <w:ind w:left="0" w:right="230"/>
        <w:jc w:val="right"/>
      </w:pPr>
      <w:r>
        <w:rPr>
          <w:spacing w:val="-1"/>
        </w:rPr>
        <w:t>单位</w:t>
      </w:r>
      <w:r>
        <w:rPr>
          <w:rFonts w:ascii="Calibri" w:hAnsi="Calibri" w:cs="Calibri" w:eastAsia="Calibri" w:hint="default"/>
          <w:spacing w:val="-1"/>
        </w:rPr>
        <w:t>:</w:t>
      </w:r>
      <w:r>
        <w:rPr>
          <w:spacing w:val="-1"/>
        </w:rPr>
        <w:t>元</w:t>
        <w:tab/>
        <w:t>币种</w:t>
      </w:r>
      <w:r>
        <w:rPr>
          <w:rFonts w:ascii="Calibri" w:hAnsi="Calibri" w:cs="Calibri" w:eastAsia="Calibri" w:hint="default"/>
          <w:spacing w:val="-1"/>
        </w:rPr>
        <w:t>:</w:t>
      </w:r>
      <w:r>
        <w:rPr>
          <w:spacing w:val="-1"/>
        </w:rPr>
        <w:t>人民币</w:t>
      </w:r>
    </w:p>
    <w:tbl>
      <w:tblPr>
        <w:tblW w:w="0" w:type="auto"/>
        <w:jc w:val="left"/>
        <w:tblInd w:w="265" w:type="dxa"/>
        <w:tblLayout w:type="fixed"/>
        <w:tblCellMar>
          <w:top w:w="0" w:type="dxa"/>
          <w:left w:w="0" w:type="dxa"/>
          <w:bottom w:w="0" w:type="dxa"/>
          <w:right w:w="0" w:type="dxa"/>
        </w:tblCellMar>
        <w:tblLook w:val="01E0"/>
      </w:tblPr>
      <w:tblGrid>
        <w:gridCol w:w="4796"/>
        <w:gridCol w:w="2141"/>
        <w:gridCol w:w="2113"/>
      </w:tblGrid>
      <w:tr>
        <w:trPr>
          <w:trHeight w:val="28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东软集团（襄阳）有限公司（注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19,854,118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-145,882</w:t>
            </w:r>
          </w:p>
        </w:tc>
      </w:tr>
      <w:tr>
        <w:trPr>
          <w:trHeight w:val="281"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睿驰新能源动力系统（武汉）有限公司（注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148,472,349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-1,527,651</w:t>
            </w:r>
          </w:p>
        </w:tc>
      </w:tr>
      <w:tr>
        <w:trPr>
          <w:trHeight w:val="28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沈阳智医科技有限公司（注</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973,532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-26,468</w:t>
            </w:r>
          </w:p>
        </w:tc>
      </w:tr>
      <w:tr>
        <w:trPr>
          <w:trHeight w:val="281"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沈阳东软久和医疗企业管理有限公司（注</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4,958,639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-41,361</w:t>
            </w:r>
          </w:p>
        </w:tc>
      </w:tr>
      <w:tr>
        <w:trPr>
          <w:trHeight w:val="28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广州东软科技企业孵化器有限公司（注</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-154,412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-154,412</w:t>
            </w:r>
          </w:p>
        </w:tc>
      </w:tr>
      <w:tr>
        <w:trPr>
          <w:trHeight w:val="283" w:hRule="exact"/>
        </w:trPr>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大连东软共创科技有限公司（注</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57,402,148</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-507,852</w:t>
            </w:r>
          </w:p>
        </w:tc>
      </w:tr>
    </w:tbl>
    <w:p>
      <w:pPr>
        <w:spacing w:line="240" w:lineRule="auto" w:before="8"/>
        <w:rPr>
          <w:rFonts w:ascii="宋体" w:hAnsi="宋体" w:cs="宋体" w:eastAsia="宋体" w:hint="default"/>
          <w:sz w:val="15"/>
          <w:szCs w:val="15"/>
        </w:rPr>
      </w:pPr>
    </w:p>
    <w:p>
      <w:pPr>
        <w:pStyle w:val="BodyText"/>
        <w:spacing w:line="237" w:lineRule="auto" w:before="38"/>
        <w:ind w:left="378" w:right="237" w:firstLine="419"/>
        <w:jc w:val="right"/>
      </w:pPr>
      <w:r>
        <w:rPr/>
        <w:t>注</w:t>
      </w:r>
      <w:r>
        <w:rPr>
          <w:spacing w:val="-53"/>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月，本公司出资设立东软集团（襄阳）有限公司，注册资本为</w:t>
      </w:r>
      <w:r>
        <w:rPr>
          <w:spacing w:val="-52"/>
        </w:rPr>
        <w:t> </w:t>
      </w:r>
      <w:r>
        <w:rPr>
          <w:rFonts w:ascii="宋体" w:hAnsi="宋体" w:cs="宋体" w:eastAsia="宋体" w:hint="default"/>
        </w:rPr>
        <w:t>2,000</w:t>
      </w:r>
      <w:r>
        <w:rPr>
          <w:rFonts w:ascii="宋体" w:hAnsi="宋体" w:cs="宋体" w:eastAsia="宋体" w:hint="default"/>
          <w:spacing w:val="-53"/>
        </w:rPr>
        <w:t> </w:t>
      </w:r>
      <w:r>
        <w:rPr/>
        <w:t>万元，</w:t>
      </w:r>
      <w:r>
        <w:rPr>
          <w:w w:val="100"/>
        </w:rPr>
        <w:t> </w:t>
      </w:r>
      <w:r>
        <w:rPr/>
        <w:t>持股比例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2,000</w:t>
      </w:r>
      <w:r>
        <w:rPr>
          <w:rFonts w:ascii="宋体" w:hAnsi="宋体" w:cs="宋体" w:eastAsia="宋体" w:hint="default"/>
          <w:spacing w:val="-56"/>
        </w:rPr>
        <w:t> </w:t>
      </w:r>
      <w:r>
        <w:rPr/>
        <w:t>万元，自</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月起将其纳入合并财务报表范围。</w:t>
      </w:r>
      <w:r>
        <w:rPr>
          <w:w w:val="100"/>
        </w:rPr>
        <w:t> </w:t>
      </w:r>
      <w:r>
        <w:rPr/>
        <w:t>注</w:t>
      </w:r>
      <w:r>
        <w:rPr>
          <w:spacing w:val="-53"/>
        </w:rPr>
        <w:t> </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月，本公司之控股子公司东软睿驰汽车技术（沈阳）有限公司出资设立睿驰</w:t>
      </w:r>
      <w:r>
        <w:rPr>
          <w:w w:val="100"/>
        </w:rPr>
        <w:t> </w:t>
      </w:r>
      <w:r>
        <w:rPr/>
        <w:t>新能源动力系统（武汉）有限公司，注册资本</w:t>
      </w:r>
      <w:r>
        <w:rPr>
          <w:spacing w:val="-57"/>
        </w:rPr>
        <w:t> </w:t>
      </w:r>
      <w:r>
        <w:rPr>
          <w:rFonts w:ascii="宋体" w:hAnsi="宋体" w:cs="宋体" w:eastAsia="宋体" w:hint="default"/>
        </w:rPr>
        <w:t>15,000</w:t>
      </w:r>
      <w:r>
        <w:rPr>
          <w:rFonts w:ascii="宋体" w:hAnsi="宋体" w:cs="宋体" w:eastAsia="宋体" w:hint="default"/>
          <w:spacing w:val="-56"/>
        </w:rPr>
        <w:t> </w:t>
      </w:r>
      <w:r>
        <w:rPr/>
        <w:t>万元，持股比例</w:t>
      </w:r>
      <w:r>
        <w:rPr>
          <w:spacing w:val="-57"/>
        </w:rPr>
        <w:t> </w:t>
      </w:r>
      <w:r>
        <w:rPr>
          <w:rFonts w:ascii="宋体" w:hAnsi="宋体" w:cs="宋体" w:eastAsia="宋体" w:hint="default"/>
        </w:rPr>
        <w:t>100%</w:t>
      </w:r>
      <w:r>
        <w:rPr/>
        <w:t>，报告期内实际出资</w:t>
      </w:r>
    </w:p>
    <w:p>
      <w:pPr>
        <w:pStyle w:val="BodyText"/>
        <w:spacing w:line="271" w:lineRule="exact"/>
        <w:ind w:left="378" w:right="114"/>
        <w:jc w:val="left"/>
      </w:pPr>
      <w:r>
        <w:rPr>
          <w:rFonts w:ascii="宋体" w:hAnsi="宋体" w:cs="宋体" w:eastAsia="宋体" w:hint="default"/>
        </w:rPr>
        <w:t>15,000</w:t>
      </w:r>
      <w:r>
        <w:rPr>
          <w:rFonts w:ascii="宋体" w:hAnsi="宋体" w:cs="宋体" w:eastAsia="宋体" w:hint="default"/>
          <w:spacing w:val="-53"/>
        </w:rPr>
        <w:t> </w:t>
      </w:r>
      <w:r>
        <w:rPr/>
        <w:t>万元，自</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月起将其纳入合并财务报表范围。</w:t>
      </w:r>
    </w:p>
    <w:p>
      <w:pPr>
        <w:pStyle w:val="BodyText"/>
        <w:spacing w:line="272" w:lineRule="exact" w:before="27"/>
        <w:ind w:left="378" w:right="114" w:firstLine="419"/>
        <w:jc w:val="left"/>
      </w:pPr>
      <w:r>
        <w:rPr/>
        <w:t>注</w:t>
      </w:r>
      <w:r>
        <w:rPr>
          <w:spacing w:val="-43"/>
        </w:rPr>
        <w:t> </w:t>
      </w:r>
      <w:r>
        <w:rPr>
          <w:rFonts w:ascii="宋体" w:hAnsi="宋体" w:cs="宋体" w:eastAsia="宋体" w:hint="default"/>
          <w:spacing w:val="-5"/>
        </w:rPr>
        <w:t>3</w:t>
      </w:r>
      <w:r>
        <w:rPr>
          <w:spacing w:val="-5"/>
        </w:rPr>
        <w:t>：</w:t>
      </w:r>
      <w:r>
        <w:rPr>
          <w:rFonts w:ascii="宋体" w:hAnsi="宋体" w:cs="宋体" w:eastAsia="宋体" w:hint="default"/>
          <w:spacing w:val="-5"/>
        </w:rPr>
        <w:t>2017</w:t>
      </w:r>
      <w:r>
        <w:rPr>
          <w:rFonts w:ascii="宋体" w:hAnsi="宋体" w:cs="宋体" w:eastAsia="宋体" w:hint="default"/>
          <w:spacing w:val="-45"/>
        </w:rPr>
        <w:t> </w:t>
      </w:r>
      <w:r>
        <w:rPr/>
        <w:t>年</w:t>
      </w:r>
      <w:r>
        <w:rPr>
          <w:spacing w:val="-43"/>
        </w:rPr>
        <w:t> </w:t>
      </w:r>
      <w:r>
        <w:rPr>
          <w:rFonts w:ascii="宋体" w:hAnsi="宋体" w:cs="宋体" w:eastAsia="宋体" w:hint="default"/>
        </w:rPr>
        <w:t>7</w:t>
      </w:r>
      <w:r>
        <w:rPr>
          <w:rFonts w:ascii="宋体" w:hAnsi="宋体" w:cs="宋体" w:eastAsia="宋体" w:hint="default"/>
          <w:spacing w:val="-45"/>
        </w:rPr>
        <w:t> </w:t>
      </w:r>
      <w:r>
        <w:rPr>
          <w:spacing w:val="-4"/>
        </w:rPr>
        <w:t>月，本公司出资设立沈阳智医科技有限公司，注册资本为</w:t>
      </w:r>
      <w:r>
        <w:rPr>
          <w:spacing w:val="-41"/>
        </w:rPr>
        <w:t> </w:t>
      </w:r>
      <w:r>
        <w:rPr>
          <w:rFonts w:ascii="宋体" w:hAnsi="宋体" w:cs="宋体" w:eastAsia="宋体" w:hint="default"/>
        </w:rPr>
        <w:t>15,350</w:t>
      </w:r>
      <w:r>
        <w:rPr>
          <w:rFonts w:ascii="宋体" w:hAnsi="宋体" w:cs="宋体" w:eastAsia="宋体" w:hint="default"/>
          <w:spacing w:val="-43"/>
        </w:rPr>
        <w:t> </w:t>
      </w:r>
      <w:r>
        <w:rPr>
          <w:spacing w:val="-7"/>
        </w:rPr>
        <w:t>万元，持股</w:t>
      </w:r>
      <w:r>
        <w:rPr>
          <w:w w:val="100"/>
        </w:rPr>
        <w:t> </w:t>
      </w:r>
      <w:r>
        <w:rPr/>
        <w:t>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100</w:t>
      </w:r>
      <w:r>
        <w:rPr>
          <w:rFonts w:ascii="宋体" w:hAnsi="宋体" w:cs="宋体" w:eastAsia="宋体" w:hint="default"/>
          <w:spacing w:val="-54"/>
        </w:rPr>
        <w:t> </w:t>
      </w:r>
      <w:r>
        <w:rPr/>
        <w:t>万元，自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月起将其纳入合并财务报表范围。</w:t>
      </w:r>
    </w:p>
    <w:p>
      <w:pPr>
        <w:pStyle w:val="BodyText"/>
        <w:spacing w:line="272" w:lineRule="exact" w:before="1"/>
        <w:ind w:left="378" w:right="235" w:firstLine="419"/>
        <w:jc w:val="left"/>
      </w:pPr>
      <w:r>
        <w:rPr/>
        <w:t>注</w:t>
      </w:r>
      <w:r>
        <w:rPr>
          <w:spacing w:val="-53"/>
        </w:rPr>
        <w:t> </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月，本公司之控股子公司东软医疗产业园发展有限公司出资设立沈阳东软久</w:t>
      </w:r>
      <w:r>
        <w:rPr>
          <w:w w:val="100"/>
        </w:rPr>
        <w:t> </w:t>
      </w:r>
      <w:r>
        <w:rPr/>
        <w:t>和医疗企业管理有限公司，注册资本</w:t>
      </w:r>
      <w:r>
        <w:rPr>
          <w:spacing w:val="-53"/>
        </w:rPr>
        <w:t> </w:t>
      </w:r>
      <w:r>
        <w:rPr>
          <w:rFonts w:ascii="宋体" w:hAnsi="宋体" w:cs="宋体" w:eastAsia="宋体" w:hint="default"/>
        </w:rPr>
        <w:t>500</w:t>
      </w:r>
      <w:r>
        <w:rPr>
          <w:rFonts w:ascii="宋体" w:hAnsi="宋体" w:cs="宋体" w:eastAsia="宋体" w:hint="default"/>
          <w:spacing w:val="-56"/>
        </w:rPr>
        <w:t> </w:t>
      </w:r>
      <w:r>
        <w:rPr/>
        <w:t>万元，持股比例</w:t>
      </w:r>
      <w:r>
        <w:rPr>
          <w:spacing w:val="-54"/>
        </w:rPr>
        <w:t> </w:t>
      </w:r>
      <w:r>
        <w:rPr>
          <w:rFonts w:ascii="宋体" w:hAnsi="宋体" w:cs="宋体" w:eastAsia="宋体" w:hint="default"/>
        </w:rPr>
        <w:t>60%</w:t>
      </w:r>
      <w:r>
        <w:rPr/>
        <w:t>，报告期内实际出资</w:t>
      </w:r>
      <w:r>
        <w:rPr>
          <w:spacing w:val="-53"/>
        </w:rPr>
        <w:t> </w:t>
      </w:r>
      <w:r>
        <w:rPr>
          <w:rFonts w:ascii="宋体" w:hAnsi="宋体" w:cs="宋体" w:eastAsia="宋体" w:hint="default"/>
        </w:rPr>
        <w:t>300</w:t>
      </w:r>
      <w:r>
        <w:rPr>
          <w:rFonts w:ascii="宋体" w:hAnsi="宋体" w:cs="宋体" w:eastAsia="宋体" w:hint="default"/>
          <w:spacing w:val="-56"/>
        </w:rPr>
        <w:t> </w:t>
      </w:r>
      <w:r>
        <w:rPr/>
        <w:t>万元，自</w:t>
      </w:r>
    </w:p>
    <w:p>
      <w:pPr>
        <w:pStyle w:val="BodyText"/>
        <w:spacing w:line="247" w:lineRule="exact"/>
        <w:ind w:left="378" w:right="114"/>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月起将其纳入合并财务报表范围。</w:t>
      </w:r>
    </w:p>
    <w:p>
      <w:pPr>
        <w:pStyle w:val="BodyText"/>
        <w:spacing w:line="240" w:lineRule="auto"/>
        <w:ind w:left="378" w:right="114" w:firstLine="419"/>
        <w:jc w:val="left"/>
      </w:pPr>
      <w:r>
        <w:rPr/>
        <w:t>注</w:t>
      </w:r>
      <w:r>
        <w:rPr>
          <w:spacing w:val="-38"/>
        </w:rPr>
        <w:t> </w:t>
      </w:r>
      <w:r>
        <w:rPr>
          <w:rFonts w:ascii="宋体" w:hAnsi="宋体" w:cs="宋体" w:eastAsia="宋体" w:hint="default"/>
          <w:spacing w:val="-5"/>
        </w:rPr>
        <w:t>5</w:t>
      </w:r>
      <w:r>
        <w:rPr>
          <w:spacing w:val="-5"/>
        </w:rPr>
        <w:t>：</w:t>
      </w:r>
      <w:r>
        <w:rPr>
          <w:rFonts w:ascii="宋体" w:hAnsi="宋体" w:cs="宋体" w:eastAsia="宋体" w:hint="default"/>
          <w:spacing w:val="-5"/>
        </w:rPr>
        <w:t>2017</w:t>
      </w:r>
      <w:r>
        <w:rPr>
          <w:rFonts w:ascii="宋体" w:hAnsi="宋体" w:cs="宋体" w:eastAsia="宋体" w:hint="default"/>
          <w:spacing w:val="-40"/>
        </w:rPr>
        <w:t> </w:t>
      </w:r>
      <w:r>
        <w:rPr/>
        <w:t>年</w:t>
      </w:r>
      <w:r>
        <w:rPr>
          <w:spacing w:val="-38"/>
        </w:rPr>
        <w:t> </w:t>
      </w:r>
      <w:r>
        <w:rPr>
          <w:rFonts w:ascii="宋体" w:hAnsi="宋体" w:cs="宋体" w:eastAsia="宋体" w:hint="default"/>
        </w:rPr>
        <w:t>10</w:t>
      </w:r>
      <w:r>
        <w:rPr>
          <w:rFonts w:ascii="宋体" w:hAnsi="宋体" w:cs="宋体" w:eastAsia="宋体" w:hint="default"/>
          <w:spacing w:val="-40"/>
        </w:rPr>
        <w:t> </w:t>
      </w:r>
      <w:r>
        <w:rPr>
          <w:spacing w:val="-4"/>
        </w:rPr>
        <w:t>月，本公司之全资子公司东软集团（广州）有限公司出资设立广州东软科技</w:t>
      </w:r>
      <w:r>
        <w:rPr>
          <w:w w:val="100"/>
        </w:rPr>
        <w:t> </w:t>
      </w:r>
      <w:r>
        <w:rPr/>
        <w:t>企业孵化器有限公司，注册资本</w:t>
      </w:r>
      <w:r>
        <w:rPr>
          <w:spacing w:val="-55"/>
        </w:rPr>
        <w:t> </w:t>
      </w:r>
      <w:r>
        <w:rPr>
          <w:rFonts w:ascii="宋体" w:hAnsi="宋体" w:cs="宋体" w:eastAsia="宋体" w:hint="default"/>
        </w:rPr>
        <w:t>15,909</w:t>
      </w:r>
      <w:r>
        <w:rPr>
          <w:rFonts w:ascii="宋体" w:hAnsi="宋体" w:cs="宋体" w:eastAsia="宋体" w:hint="default"/>
          <w:spacing w:val="-57"/>
        </w:rPr>
        <w:t> </w:t>
      </w:r>
      <w:r>
        <w:rPr/>
        <w:t>万元，持股比例</w:t>
      </w:r>
      <w:r>
        <w:rPr>
          <w:spacing w:val="-55"/>
        </w:rPr>
        <w:t> </w:t>
      </w:r>
      <w:r>
        <w:rPr>
          <w:rFonts w:ascii="宋体" w:hAnsi="宋体" w:cs="宋体" w:eastAsia="宋体" w:hint="default"/>
        </w:rPr>
        <w:t>100%</w:t>
      </w:r>
      <w:r>
        <w:rPr/>
        <w:t>，报告期内尚未完成出资。</w:t>
      </w:r>
    </w:p>
    <w:p>
      <w:pPr>
        <w:pStyle w:val="BodyText"/>
        <w:spacing w:line="274" w:lineRule="exact" w:before="22"/>
        <w:ind w:left="378" w:right="125" w:firstLine="419"/>
        <w:jc w:val="left"/>
      </w:pPr>
      <w:r>
        <w:rPr/>
        <w:t>注</w:t>
      </w:r>
      <w:r>
        <w:rPr>
          <w:spacing w:val="-53"/>
        </w:rPr>
        <w:t> </w:t>
      </w: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月，本公司出资设立大连东软共创科技有限公司，注册资本为</w:t>
      </w:r>
      <w:r>
        <w:rPr>
          <w:spacing w:val="-52"/>
        </w:rPr>
        <w:t> </w:t>
      </w:r>
      <w:r>
        <w:rPr>
          <w:rFonts w:ascii="宋体" w:hAnsi="宋体" w:cs="宋体" w:eastAsia="宋体" w:hint="default"/>
        </w:rPr>
        <w:t>5,520</w:t>
      </w:r>
      <w:r>
        <w:rPr>
          <w:rFonts w:ascii="宋体" w:hAnsi="宋体" w:cs="宋体" w:eastAsia="宋体" w:hint="default"/>
          <w:spacing w:val="-50"/>
        </w:rPr>
        <w:t> </w:t>
      </w:r>
      <w:r>
        <w:rPr/>
        <w:t>万元，</w:t>
      </w:r>
      <w:r>
        <w:rPr>
          <w:w w:val="100"/>
        </w:rPr>
        <w:t> </w:t>
      </w:r>
      <w:r>
        <w:rPr/>
        <w:t>持股比例</w:t>
      </w:r>
      <w:r>
        <w:rPr>
          <w:spacing w:val="-46"/>
        </w:rPr>
        <w:t> </w:t>
      </w:r>
      <w:r>
        <w:rPr>
          <w:rFonts w:ascii="宋体" w:hAnsi="宋体" w:cs="宋体" w:eastAsia="宋体" w:hint="default"/>
        </w:rPr>
        <w:t>100%</w:t>
      </w:r>
      <w:r>
        <w:rPr/>
        <w:t>，报告期内实际出资</w:t>
      </w:r>
      <w:r>
        <w:rPr>
          <w:spacing w:val="-45"/>
        </w:rPr>
        <w:t> </w:t>
      </w:r>
      <w:r>
        <w:rPr>
          <w:rFonts w:ascii="宋体" w:hAnsi="宋体" w:cs="宋体" w:eastAsia="宋体" w:hint="default"/>
        </w:rPr>
        <w:t>5,520</w:t>
      </w:r>
      <w:r>
        <w:rPr>
          <w:rFonts w:ascii="宋体" w:hAnsi="宋体" w:cs="宋体" w:eastAsia="宋体" w:hint="default"/>
          <w:spacing w:val="-46"/>
        </w:rPr>
        <w:t> </w:t>
      </w:r>
      <w:r>
        <w:rPr/>
        <w:t>万元，自</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月起将其纳入合并财务报表范围。</w:t>
      </w:r>
    </w:p>
    <w:p>
      <w:pPr>
        <w:spacing w:line="240" w:lineRule="auto" w:before="4"/>
        <w:rPr>
          <w:rFonts w:ascii="宋体" w:hAnsi="宋体" w:cs="宋体" w:eastAsia="宋体" w:hint="default"/>
          <w:sz w:val="24"/>
          <w:szCs w:val="24"/>
        </w:rPr>
      </w:pPr>
    </w:p>
    <w:p>
      <w:pPr>
        <w:pStyle w:val="Heading2"/>
        <w:spacing w:line="240" w:lineRule="auto" w:before="0"/>
        <w:ind w:left="378" w:right="114"/>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tabs>
          <w:tab w:pos="1220" w:val="left" w:leader="none"/>
        </w:tabs>
        <w:spacing w:line="240" w:lineRule="auto" w:before="64"/>
        <w:ind w:left="378" w:right="114"/>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63"/>
        <w:ind w:left="0" w:right="230" w:firstLine="0"/>
        <w:jc w:val="right"/>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198</w:t>
      </w:r>
      <w:r>
        <w:rPr>
          <w:rFonts w:ascii="Calibri"/>
          <w:sz w:val="18"/>
        </w:rPr>
      </w:r>
    </w:p>
    <w:p>
      <w:pPr>
        <w:spacing w:after="0"/>
        <w:jc w:val="right"/>
        <w:rPr>
          <w:rFonts w:ascii="Calibri" w:hAnsi="Calibri" w:cs="Calibri" w:eastAsia="Calibri" w:hint="default"/>
          <w:sz w:val="18"/>
          <w:szCs w:val="18"/>
        </w:rPr>
        <w:sectPr>
          <w:headerReference w:type="default" r:id="rId120"/>
          <w:footerReference w:type="default" r:id="rId121"/>
          <w:pgSz w:w="11910" w:h="16840"/>
          <w:pgMar w:header="0" w:footer="1033" w:top="840" w:bottom="1220" w:left="1420" w:right="1040"/>
        </w:sectPr>
      </w:pP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9"/>
          <w:szCs w:val="19"/>
        </w:rPr>
      </w:pPr>
    </w:p>
    <w:p>
      <w:pPr>
        <w:pStyle w:val="Heading2"/>
        <w:spacing w:line="283" w:lineRule="auto"/>
        <w:ind w:left="140" w:right="11348"/>
        <w:jc w:val="left"/>
        <w:rPr>
          <w:b w:val="0"/>
          <w:bCs w:val="0"/>
        </w:rPr>
      </w:pPr>
      <w:r>
        <w:rPr/>
        <w:t>九、在其他主体中的权益</w:t>
      </w:r>
      <w:r>
        <w:rPr>
          <w:w w:val="99"/>
        </w:rPr>
        <w:t> </w:t>
      </w:r>
      <w:r>
        <w:rPr>
          <w:rFonts w:ascii="宋体" w:hAnsi="宋体" w:cs="宋体" w:eastAsia="宋体" w:hint="default"/>
        </w:rPr>
        <w:t>1</w:t>
      </w:r>
      <w:r>
        <w:rPr/>
        <w:t>、在子公司中的权益</w:t>
      </w:r>
      <w:r>
        <w:rPr>
          <w:w w:val="99"/>
        </w:rPr>
        <w:t> </w:t>
      </w:r>
      <w:r>
        <w:rPr>
          <w:rFonts w:ascii="宋体" w:hAnsi="宋体" w:cs="宋体" w:eastAsia="宋体" w:hint="default"/>
        </w:rPr>
        <w:t>(1).</w:t>
      </w:r>
      <w:r>
        <w:rPr/>
        <w:t>企业集团的构成</w:t>
      </w:r>
      <w:r>
        <w:rPr>
          <w:b w:val="0"/>
          <w:bCs w:val="0"/>
        </w:rPr>
      </w:r>
    </w:p>
    <w:p>
      <w:pPr>
        <w:pStyle w:val="BodyText"/>
        <w:spacing w:line="240" w:lineRule="auto" w:before="21"/>
        <w:ind w:left="140" w:right="3316"/>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33"/>
        <w:gridCol w:w="816"/>
        <w:gridCol w:w="850"/>
        <w:gridCol w:w="4362"/>
        <w:gridCol w:w="982"/>
        <w:gridCol w:w="840"/>
        <w:gridCol w:w="2050"/>
      </w:tblGrid>
      <w:tr>
        <w:trPr>
          <w:trHeight w:val="257" w:hRule="exact"/>
        </w:trPr>
        <w:tc>
          <w:tcPr>
            <w:tcW w:w="4033" w:type="dxa"/>
            <w:vMerge w:val="restart"/>
            <w:tcBorders>
              <w:top w:val="single" w:sz="4" w:space="0" w:color="000000"/>
              <w:left w:val="single" w:sz="4" w:space="0" w:color="000000"/>
              <w:right w:val="single" w:sz="4" w:space="0" w:color="000000"/>
            </w:tcBorders>
          </w:tcPr>
          <w:p>
            <w:pPr>
              <w:pStyle w:val="TableParagraph"/>
              <w:spacing w:line="232" w:lineRule="exact" w:before="30"/>
              <w:ind w:left="1740" w:right="1742"/>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16" w:type="dxa"/>
            <w:vMerge w:val="restart"/>
            <w:tcBorders>
              <w:top w:val="single" w:sz="4" w:space="0" w:color="000000"/>
              <w:left w:val="single" w:sz="4" w:space="0" w:color="000000"/>
              <w:right w:val="single" w:sz="4" w:space="0" w:color="000000"/>
            </w:tcBorders>
          </w:tcPr>
          <w:p>
            <w:pPr>
              <w:pStyle w:val="TableParagraph"/>
              <w:spacing w:line="232" w:lineRule="exact" w:before="30"/>
              <w:ind w:left="314" w:right="41"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1"/>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362" w:type="dxa"/>
            <w:vMerge w:val="restart"/>
            <w:tcBorders>
              <w:top w:val="single" w:sz="4" w:space="0" w:color="000000"/>
              <w:left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0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050" w:type="dxa"/>
            <w:vMerge w:val="restart"/>
            <w:tcBorders>
              <w:top w:val="single" w:sz="4" w:space="0" w:color="000000"/>
              <w:left w:val="single" w:sz="4" w:space="0" w:color="000000"/>
              <w:right w:val="single" w:sz="4" w:space="0" w:color="000000"/>
            </w:tcBorders>
          </w:tcPr>
          <w:p>
            <w:pPr>
              <w:pStyle w:val="TableParagraph"/>
              <w:spacing w:line="232" w:lineRule="exact" w:before="30"/>
              <w:ind w:left="840" w:right="838"/>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4033"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362" w:type="dxa"/>
            <w:vMerge/>
            <w:tcBorders>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0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50" w:type="dxa"/>
            <w:vMerge/>
            <w:tcBorders>
              <w:left w:val="single" w:sz="4" w:space="0" w:color="000000"/>
              <w:bottom w:val="single" w:sz="4" w:space="0" w:color="000000"/>
              <w:right w:val="single" w:sz="4" w:space="0" w:color="000000"/>
            </w:tcBorders>
          </w:tcPr>
          <w:p>
            <w:pP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深圳市东软软件有限公司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东软集团（北京）有限公司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经营计算机软硬件，及相关货物；出租办公用房；物业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管理；施工总承包</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山东东软系统集成有限公司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湖南东软软件有限公司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成都东软系统集成有限公司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西安东软系统集成有限公司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武汉东软信息技术有限公司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沈阳逐日数码广告传播有限公司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广告制作、发布、房产租赁、物业服务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东软（香港）有限公司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计算机软件开发、销售、咨询</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河北东软软件有限公司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秦皇岛</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计算机软件开发、网络集成</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85.00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上海东软时代数码技术有限公司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北京兰瑞科创信息技术有限公司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计算机软件开发、设计、制作与销售</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沈阳东软系统集成技术有限公司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东软集团（广州）有限公司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东软集团（上海）有限公司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东软集团（大连）有限公司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东软云科技有限公司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沈阳东软物业管理有限公司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物业管理及服务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杭州东软软件有限公司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东软集团（天津）有限公司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东软集团（唐山）有限公司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东软集团（海南）有限公司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澄迈</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东软集团（无锡）有限公司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东软集团（芜湖）有限公司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bl>
    <w:p>
      <w:pPr>
        <w:spacing w:after="0" w:line="208" w:lineRule="exact"/>
        <w:jc w:val="center"/>
        <w:rPr>
          <w:rFonts w:ascii="宋体" w:hAnsi="宋体" w:cs="宋体" w:eastAsia="宋体" w:hint="default"/>
          <w:sz w:val="18"/>
          <w:szCs w:val="18"/>
        </w:rPr>
        <w:sectPr>
          <w:headerReference w:type="default" r:id="rId122"/>
          <w:footerReference w:type="default" r:id="rId123"/>
          <w:pgSz w:w="16840" w:h="11910" w:orient="landscape"/>
          <w:pgMar w:header="946" w:footer="1228" w:top="1300" w:bottom="1420" w:left="1300" w:right="1380"/>
          <w:pgNumType w:start="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4033"/>
        <w:gridCol w:w="816"/>
        <w:gridCol w:w="850"/>
        <w:gridCol w:w="4362"/>
        <w:gridCol w:w="982"/>
        <w:gridCol w:w="840"/>
        <w:gridCol w:w="2050"/>
      </w:tblGrid>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东软集团南京有限公司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计算机软、硬件，开发、销售、技术咨询等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沈阳东软交通信息技术有限公司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计算机服务、咨询等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技术开发咨询服务及产品销售</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61.67</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东软集团（郑州）有限公司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东软集团（南昌）有限公司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计算机硬件开发、研制、技术咨询、服务等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东软集团重庆有限公司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东软集团（宁波）有限公司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东软集团（徐州）有限公司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瑞士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瑞士</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东软集团（克拉玛依）有限公司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克拉玛依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克拉玛依</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东软集团（长春）有限公司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东软管理咨询（上海）有限公司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企业管理咨询、商务信息咨询、投资咨询、人才信息咨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710"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东软集团（宜昌）有限公司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宜昌</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计算机、软件、硬件、机电一体机产品开发、销售、安</w:t>
            </w:r>
          </w:p>
          <w:p>
            <w:pPr>
              <w:pStyle w:val="TableParagraph"/>
              <w:spacing w:line="232" w:lineRule="exact" w:before="24"/>
              <w:ind w:left="24" w:right="6"/>
              <w:jc w:val="left"/>
              <w:rPr>
                <w:rFonts w:ascii="宋体" w:hAnsi="宋体" w:cs="宋体" w:eastAsia="宋体" w:hint="default"/>
                <w:sz w:val="18"/>
                <w:szCs w:val="18"/>
              </w:rPr>
            </w:pPr>
            <w:r>
              <w:rPr>
                <w:rFonts w:ascii="宋体" w:hAnsi="宋体" w:cs="宋体" w:eastAsia="宋体" w:hint="default"/>
                <w:sz w:val="18"/>
                <w:szCs w:val="18"/>
              </w:rPr>
              <w:t>装；计算机软件技术开发、技术转让、技术咨询服务； 场地租赁；计算机软、硬件租赁等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94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东软睿驰汽车技术（上海）有限公司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电动汽车动力系统、高级驾驶辅助系统、汽车自动驾驶</w:t>
            </w:r>
          </w:p>
          <w:p>
            <w:pPr>
              <w:pStyle w:val="TableParagraph"/>
              <w:spacing w:line="234" w:lineRule="exact" w:before="23"/>
              <w:ind w:left="24" w:right="23"/>
              <w:jc w:val="both"/>
              <w:rPr>
                <w:rFonts w:ascii="宋体" w:hAnsi="宋体" w:cs="宋体" w:eastAsia="宋体" w:hint="default"/>
                <w:sz w:val="18"/>
                <w:szCs w:val="18"/>
              </w:rPr>
            </w:pPr>
            <w:r>
              <w:rPr>
                <w:rFonts w:ascii="宋体" w:hAnsi="宋体" w:cs="宋体" w:eastAsia="宋体" w:hint="default"/>
                <w:spacing w:val="-1"/>
                <w:sz w:val="18"/>
                <w:szCs w:val="18"/>
              </w:rPr>
              <w:t>系统等车联网相关产品、技术、软件的研发、批发、售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后服务、技术支持；电动汽车充电桩的研发、批发、安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
              <w:jc w:val="right"/>
              <w:rPr>
                <w:rFonts w:ascii="宋体" w:hAnsi="宋体" w:cs="宋体" w:eastAsia="宋体" w:hint="default"/>
                <w:sz w:val="18"/>
                <w:szCs w:val="18"/>
              </w:rPr>
            </w:pPr>
            <w:r>
              <w:rPr>
                <w:rFonts w:ascii="宋体"/>
                <w:sz w:val="18"/>
              </w:rPr>
              <w:t>41.00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东软西藏软件有限公司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计算机软、硬件，开发、销售、技术咨询等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60.00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东软医疗产业园发展有限公司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房地产开发、销售；自有房屋租赁；产业园区规划、设</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计、开发、管理</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74.63</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东软集团（南宁）有限公司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东软集团（襄阳）有限公司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襄阳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襄阳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计算机软硬件、技术咨询、房租租赁、交通控制系统、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安防工程</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沈阳智医科技有限公司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计算机技术开发、转让、咨询、服务；软件开发、设计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和制作；计算机软硬件销售</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71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大连东软共创科技有限公司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自有房屋租赁、计算机技术开发、技术转让、技术咨询</w:t>
            </w:r>
          </w:p>
          <w:p>
            <w:pPr>
              <w:pStyle w:val="TableParagraph"/>
              <w:spacing w:line="232" w:lineRule="exact" w:before="23"/>
              <w:ind w:left="24" w:right="20"/>
              <w:jc w:val="left"/>
              <w:rPr>
                <w:rFonts w:ascii="宋体" w:hAnsi="宋体" w:cs="宋体" w:eastAsia="宋体" w:hint="default"/>
                <w:sz w:val="18"/>
                <w:szCs w:val="18"/>
              </w:rPr>
            </w:pPr>
            <w:r>
              <w:rPr>
                <w:rFonts w:ascii="宋体" w:hAnsi="宋体" w:cs="宋体" w:eastAsia="宋体" w:hint="default"/>
                <w:spacing w:val="-1"/>
                <w:sz w:val="18"/>
                <w:szCs w:val="18"/>
              </w:rPr>
              <w:t>技术服务、软件外包服务、计算机辅助设备销售、计算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机信息技术咨询服务、物业管理、停车场管理服务等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left="405" w:right="0"/>
              <w:jc w:val="lef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合肥东软信息技术有限公司（注</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计算机软硬件、系统集成、技术咨询服务</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大连东软商业流程咨询服务有限公司（注</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东软云科技（沈阳）有限公司（注</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信息技术服务与咨询；计算机软硬件开发与制造；计算</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机数据处理服务；自营和代理各类商品和技术的进出口</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bl>
    <w:p>
      <w:pPr>
        <w:spacing w:after="0" w:line="240" w:lineRule="auto"/>
        <w:jc w:val="center"/>
        <w:rPr>
          <w:rFonts w:ascii="宋体" w:hAnsi="宋体" w:cs="宋体" w:eastAsia="宋体" w:hint="default"/>
          <w:sz w:val="18"/>
          <w:szCs w:val="18"/>
        </w:rPr>
        <w:sectPr>
          <w:headerReference w:type="default" r:id="rId124"/>
          <w:pgSz w:w="16840" w:h="11910" w:orient="landscape"/>
          <w:pgMar w:header="946" w:footer="1228" w:top="1300" w:bottom="142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266" w:type="dxa"/>
        <w:tblLayout w:type="fixed"/>
        <w:tblCellMar>
          <w:top w:w="0" w:type="dxa"/>
          <w:left w:w="0" w:type="dxa"/>
          <w:bottom w:w="0" w:type="dxa"/>
          <w:right w:w="0" w:type="dxa"/>
        </w:tblCellMar>
        <w:tblLook w:val="01E0"/>
      </w:tblPr>
      <w:tblGrid>
        <w:gridCol w:w="4033"/>
        <w:gridCol w:w="816"/>
        <w:gridCol w:w="850"/>
        <w:gridCol w:w="4362"/>
        <w:gridCol w:w="982"/>
        <w:gridCol w:w="840"/>
        <w:gridCol w:w="2050"/>
      </w:tblGrid>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东软睿驰汽车技术（沈阳）有限公司（注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电动汽车动力系统、高级驾驶辅助系统、汽车自动驾驶</w:t>
            </w:r>
          </w:p>
          <w:p>
            <w:pPr>
              <w:pStyle w:val="TableParagraph"/>
              <w:spacing w:line="232" w:lineRule="exact" w:before="24"/>
              <w:ind w:left="24" w:right="20"/>
              <w:jc w:val="both"/>
              <w:rPr>
                <w:rFonts w:ascii="宋体" w:hAnsi="宋体" w:cs="宋体" w:eastAsia="宋体" w:hint="default"/>
                <w:sz w:val="18"/>
                <w:szCs w:val="18"/>
              </w:rPr>
            </w:pPr>
            <w:r>
              <w:rPr>
                <w:rFonts w:ascii="宋体" w:hAnsi="宋体" w:cs="宋体" w:eastAsia="宋体" w:hint="default"/>
                <w:spacing w:val="-1"/>
                <w:sz w:val="18"/>
                <w:szCs w:val="18"/>
              </w:rPr>
              <w:t>系统等车联网相关产品、技术、软件的研发、批发、售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后服务、技术支持；电动汽车动力电池组、充电桩的生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睿驰达新能源汽车科技有限公司（注</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电动车充电设施领域内的技术服务、电动车充电设施的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安装与运营等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沈阳东软久和医疗企业管理有限公司（注</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医疗企业管理；医疗产业投资与管理咨询；医疗技术、</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康复技术研发，技术推广，技术服务</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60.00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478"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睿驰新能源动力系统（武汉）有限公司（注</w:t>
            </w:r>
            <w:r>
              <w:rPr>
                <w:rFonts w:ascii="宋体" w:hAnsi="宋体" w:cs="宋体" w:eastAsia="宋体" w:hint="default"/>
                <w:spacing w:val="-43"/>
                <w:sz w:val="18"/>
                <w:szCs w:val="18"/>
              </w:rPr>
              <w:t> </w:t>
            </w:r>
            <w:r>
              <w:rPr>
                <w:rFonts w:ascii="宋体" w:hAnsi="宋体" w:cs="宋体" w:eastAsia="宋体" w:hint="default"/>
                <w:sz w:val="18"/>
                <w:szCs w:val="18"/>
              </w:rPr>
              <w:t>7</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新能源汽车动力电池模组、电池包与充电机的开发、设</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计、生产、销售，维修服务、技术咨询等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广州东软科技企业孵化器有限公司（注</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科技推广及应用服务业</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设立或投资等方式</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Neusoft Technology Solutions GmbH</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Neusoft Mobile Solutions Oy</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芬兰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芬兰</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2"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Neusoft EDC SRL</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罗马尼亚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罗马尼亚</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5"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Neusoft GmbH</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德国</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9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6"/>
        <w:rPr>
          <w:rFonts w:ascii="Times New Roman" w:hAnsi="Times New Roman" w:cs="Times New Roman" w:eastAsia="Times New Roman" w:hint="default"/>
          <w:sz w:val="8"/>
          <w:szCs w:val="8"/>
        </w:rPr>
      </w:pPr>
    </w:p>
    <w:p>
      <w:pPr>
        <w:pStyle w:val="BodyText"/>
        <w:spacing w:line="240" w:lineRule="auto" w:before="36"/>
        <w:ind w:left="720" w:right="0" w:hanging="421"/>
        <w:jc w:val="left"/>
      </w:pPr>
      <w:r>
        <w:rPr/>
        <w:t>在子公司的持股比例不同于表决权比例的说明：</w:t>
      </w:r>
      <w:r>
        <w:rPr>
          <w:w w:val="100"/>
        </w:rPr>
        <w:t> </w:t>
      </w:r>
      <w:r>
        <w:rPr>
          <w:spacing w:val="-5"/>
        </w:rPr>
        <w:t>本公司对东软睿驰汽车技术（上海）有限公司的持股比例虽在半数以下，但是本公司派出董事在董事会中占有半数以上席位，对其拥有实质控制权。</w:t>
      </w:r>
    </w:p>
    <w:p>
      <w:pPr>
        <w:pStyle w:val="BodyText"/>
        <w:spacing w:line="272" w:lineRule="exact"/>
        <w:ind w:left="300" w:right="0"/>
        <w:jc w:val="left"/>
      </w:pPr>
      <w:r>
        <w:rPr/>
        <w:t>其他说明：</w:t>
      </w:r>
    </w:p>
    <w:p>
      <w:pPr>
        <w:spacing w:line="240" w:lineRule="auto" w:before="8"/>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4279"/>
      </w:tblGrid>
      <w:tr>
        <w:trPr>
          <w:trHeight w:val="514"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09"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z w:val="21"/>
                <w:szCs w:val="21"/>
              </w:rPr>
              <w:t>：合肥东软信息技术有限公司为本公司之子公司上海东软时代数码技术有限公司出资设立，持股比例为</w:t>
            </w:r>
            <w:r>
              <w:rPr>
                <w:rFonts w:ascii="宋体" w:hAnsi="宋体" w:cs="宋体" w:eastAsia="宋体" w:hint="default"/>
                <w:spacing w:val="-62"/>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w:t>
            </w:r>
            <w:r>
              <w:rPr>
                <w:rFonts w:ascii="宋体" w:hAnsi="宋体" w:cs="宋体" w:eastAsia="宋体" w:hint="default"/>
                <w:spacing w:val="-3"/>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年本公司之子公司东软集团</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（上海）有限公司购买上海东软时代数码技术有限公司持有的合肥东软信息技术有限公司的全部股权，持股比例不变；</w:t>
            </w:r>
          </w:p>
        </w:tc>
      </w:tr>
      <w:tr>
        <w:trPr>
          <w:trHeight w:val="272"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2"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z w:val="21"/>
                <w:szCs w:val="21"/>
              </w:rPr>
              <w:t>：大连东软商业流程咨询服务有限公司为本公司之子公司东软云科技有限公司出资设立，持股比例为</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545"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：东软云科技（沈阳）有限公司为本公司之子公司东软云科技有限公司出资设立，持股比例为</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6"/>
                <w:sz w:val="21"/>
                <w:szCs w:val="21"/>
              </w:rPr>
              <w:t> </w:t>
            </w:r>
            <w:r>
              <w:rPr>
                <w:rFonts w:ascii="宋体" w:hAnsi="宋体" w:cs="宋体" w:eastAsia="宋体" w:hint="default"/>
                <w:sz w:val="21"/>
                <w:szCs w:val="21"/>
              </w:rPr>
              <w:t>日由沈阳东软云技术服务</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有限公司更名为现名；</w:t>
            </w:r>
          </w:p>
        </w:tc>
      </w:tr>
      <w:tr>
        <w:trPr>
          <w:trHeight w:val="272"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1" w:lineRule="exact"/>
              <w:ind w:left="620" w:right="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2"/>
                <w:sz w:val="21"/>
                <w:szCs w:val="21"/>
              </w:rPr>
              <w:t>4</w:t>
            </w:r>
            <w:r>
              <w:rPr>
                <w:rFonts w:ascii="宋体" w:hAnsi="宋体" w:cs="宋体" w:eastAsia="宋体" w:hint="default"/>
                <w:spacing w:val="-2"/>
                <w:sz w:val="21"/>
                <w:szCs w:val="21"/>
              </w:rPr>
              <w:t>：东软睿驰汽车技术（沈阳）有限公司为本公司之控股子公司东软睿驰汽车技术（上海）有限公司出资设立，持股比例为</w:t>
            </w:r>
            <w:r>
              <w:rPr>
                <w:rFonts w:ascii="宋体" w:hAnsi="宋体" w:cs="宋体" w:eastAsia="宋体" w:hint="default"/>
                <w:spacing w:val="-6"/>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273"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2" w:lineRule="exact"/>
              <w:ind w:left="620" w:right="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2"/>
                <w:sz w:val="21"/>
                <w:szCs w:val="21"/>
              </w:rPr>
              <w:t>5</w:t>
            </w:r>
            <w:r>
              <w:rPr>
                <w:rFonts w:ascii="宋体" w:hAnsi="宋体" w:cs="宋体" w:eastAsia="宋体" w:hint="default"/>
                <w:spacing w:val="-2"/>
                <w:sz w:val="21"/>
                <w:szCs w:val="21"/>
              </w:rPr>
              <w:t>：睿驰达新能源汽车科技有限公司为本公司之控股子公司东软睿驰汽车技术（上海）有限公司出资设立，持股比例为</w:t>
            </w:r>
            <w:r>
              <w:rPr>
                <w:rFonts w:ascii="宋体" w:hAnsi="宋体" w:cs="宋体" w:eastAsia="宋体" w:hint="default"/>
                <w:spacing w:val="-4"/>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w:t>
            </w:r>
          </w:p>
        </w:tc>
      </w:tr>
      <w:tr>
        <w:trPr>
          <w:trHeight w:val="273"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1" w:lineRule="exact"/>
              <w:ind w:left="620" w:right="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2"/>
                <w:sz w:val="21"/>
                <w:szCs w:val="21"/>
              </w:rPr>
              <w:t>6</w:t>
            </w:r>
            <w:r>
              <w:rPr>
                <w:rFonts w:ascii="宋体" w:hAnsi="宋体" w:cs="宋体" w:eastAsia="宋体" w:hint="default"/>
                <w:spacing w:val="-2"/>
                <w:sz w:val="21"/>
                <w:szCs w:val="21"/>
              </w:rPr>
              <w:t>：沈阳东软久和医疗企业管理有限公司为本公司之子公司东软医疗产业园发展股份有限公司出资设立，持股比例为</w:t>
            </w:r>
            <w:r>
              <w:rPr>
                <w:rFonts w:ascii="宋体" w:hAnsi="宋体" w:cs="宋体" w:eastAsia="宋体" w:hint="default"/>
                <w:spacing w:val="-8"/>
                <w:sz w:val="21"/>
                <w:szCs w:val="21"/>
              </w:rPr>
              <w:t> </w:t>
            </w:r>
            <w:r>
              <w:rPr>
                <w:rFonts w:ascii="宋体" w:hAnsi="宋体" w:cs="宋体" w:eastAsia="宋体" w:hint="default"/>
                <w:spacing w:val="-1"/>
                <w:sz w:val="21"/>
                <w:szCs w:val="21"/>
              </w:rPr>
              <w:t>60%</w:t>
            </w:r>
            <w:r>
              <w:rPr>
                <w:rFonts w:ascii="宋体" w:hAnsi="宋体" w:cs="宋体" w:eastAsia="宋体" w:hint="default"/>
                <w:spacing w:val="-1"/>
                <w:sz w:val="21"/>
                <w:szCs w:val="21"/>
              </w:rPr>
              <w:t>；</w:t>
            </w:r>
          </w:p>
        </w:tc>
      </w:tr>
      <w:tr>
        <w:trPr>
          <w:trHeight w:val="272"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2" w:lineRule="exact"/>
              <w:ind w:left="620" w:right="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2"/>
                <w:sz w:val="21"/>
                <w:szCs w:val="21"/>
              </w:rPr>
              <w:t>7</w:t>
            </w:r>
            <w:r>
              <w:rPr>
                <w:rFonts w:ascii="宋体" w:hAnsi="宋体" w:cs="宋体" w:eastAsia="宋体" w:hint="default"/>
                <w:spacing w:val="-2"/>
                <w:sz w:val="21"/>
                <w:szCs w:val="21"/>
              </w:rPr>
              <w:t>：睿驰新能源动力系统（武汉）有限公司为本公司之控股子公司东软睿驰汽车技术（沈阳）有限公司出资设立，持股比例为</w:t>
            </w:r>
            <w:r>
              <w:rPr>
                <w:rFonts w:ascii="宋体" w:hAnsi="宋体" w:cs="宋体" w:eastAsia="宋体" w:hint="default"/>
                <w:sz w:val="21"/>
                <w:szCs w:val="21"/>
              </w:rPr>
              <w:t> </w:t>
            </w:r>
            <w:r>
              <w:rPr>
                <w:rFonts w:ascii="宋体" w:hAnsi="宋体" w:cs="宋体" w:eastAsia="宋体" w:hint="default"/>
                <w:spacing w:val="-1"/>
                <w:sz w:val="21"/>
                <w:szCs w:val="21"/>
              </w:rPr>
              <w:t>100%</w:t>
            </w:r>
            <w:r>
              <w:rPr>
                <w:rFonts w:ascii="宋体" w:hAnsi="宋体" w:cs="宋体" w:eastAsia="宋体" w:hint="default"/>
                <w:spacing w:val="-1"/>
                <w:sz w:val="21"/>
                <w:szCs w:val="21"/>
              </w:rPr>
              <w:t>；</w:t>
            </w:r>
          </w:p>
        </w:tc>
      </w:tr>
      <w:tr>
        <w:trPr>
          <w:trHeight w:val="272"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1"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z w:val="21"/>
                <w:szCs w:val="21"/>
              </w:rPr>
              <w:t>：广州东软科技企业孵化器有限公司为本公司之子公司东软集团（广州）有限公司出资设立，持股比例为</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272"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2"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Neusoft</w:t>
            </w:r>
            <w:r>
              <w:rPr>
                <w:rFonts w:ascii="宋体" w:hAnsi="宋体" w:cs="宋体" w:eastAsia="宋体" w:hint="default"/>
                <w:spacing w:val="-4"/>
                <w:sz w:val="21"/>
                <w:szCs w:val="21"/>
              </w:rPr>
              <w:t> </w:t>
            </w:r>
            <w:r>
              <w:rPr>
                <w:rFonts w:ascii="宋体" w:hAnsi="宋体" w:cs="宋体" w:eastAsia="宋体" w:hint="default"/>
                <w:sz w:val="21"/>
                <w:szCs w:val="21"/>
              </w:rPr>
              <w:t>Technology</w:t>
            </w:r>
            <w:r>
              <w:rPr>
                <w:rFonts w:ascii="宋体" w:hAnsi="宋体" w:cs="宋体" w:eastAsia="宋体" w:hint="default"/>
                <w:spacing w:val="-2"/>
                <w:sz w:val="21"/>
                <w:szCs w:val="21"/>
              </w:rPr>
              <w:t> </w:t>
            </w:r>
            <w:r>
              <w:rPr>
                <w:rFonts w:ascii="宋体" w:hAnsi="宋体" w:cs="宋体" w:eastAsia="宋体" w:hint="default"/>
                <w:sz w:val="21"/>
                <w:szCs w:val="21"/>
              </w:rPr>
              <w:t>Solutions</w:t>
            </w:r>
            <w:r>
              <w:rPr>
                <w:rFonts w:ascii="宋体" w:hAnsi="宋体" w:cs="宋体" w:eastAsia="宋体" w:hint="default"/>
                <w:spacing w:val="-2"/>
                <w:sz w:val="21"/>
                <w:szCs w:val="21"/>
              </w:rPr>
              <w:t> </w:t>
            </w:r>
            <w:r>
              <w:rPr>
                <w:rFonts w:ascii="宋体" w:hAnsi="宋体" w:cs="宋体" w:eastAsia="宋体" w:hint="default"/>
                <w:sz w:val="21"/>
                <w:szCs w:val="21"/>
              </w:rPr>
              <w:t>GmbH</w:t>
            </w:r>
            <w:r>
              <w:rPr>
                <w:rFonts w:ascii="宋体" w:hAnsi="宋体" w:cs="宋体" w:eastAsia="宋体" w:hint="default"/>
                <w:spacing w:val="-56"/>
                <w:sz w:val="21"/>
                <w:szCs w:val="21"/>
              </w:rPr>
              <w:t> </w:t>
            </w:r>
            <w:r>
              <w:rPr>
                <w:rFonts w:ascii="宋体" w:hAnsi="宋体" w:cs="宋体" w:eastAsia="宋体" w:hint="default"/>
                <w:sz w:val="21"/>
                <w:szCs w:val="21"/>
              </w:rPr>
              <w:t>为本公司之子公司东软（欧洲）有限公司出资收购，持股比例为</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271"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1"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Neusoft</w:t>
            </w:r>
            <w:r>
              <w:rPr>
                <w:rFonts w:ascii="宋体" w:hAnsi="宋体" w:cs="宋体" w:eastAsia="宋体" w:hint="default"/>
                <w:spacing w:val="-3"/>
                <w:sz w:val="21"/>
                <w:szCs w:val="21"/>
              </w:rPr>
              <w:t> </w:t>
            </w:r>
            <w:r>
              <w:rPr>
                <w:rFonts w:ascii="宋体" w:hAnsi="宋体" w:cs="宋体" w:eastAsia="宋体" w:hint="default"/>
                <w:sz w:val="21"/>
                <w:szCs w:val="21"/>
              </w:rPr>
              <w:t>Mobile</w:t>
            </w:r>
            <w:r>
              <w:rPr>
                <w:rFonts w:ascii="宋体" w:hAnsi="宋体" w:cs="宋体" w:eastAsia="宋体" w:hint="default"/>
                <w:spacing w:val="-3"/>
                <w:sz w:val="21"/>
                <w:szCs w:val="21"/>
              </w:rPr>
              <w:t> </w:t>
            </w:r>
            <w:r>
              <w:rPr>
                <w:rFonts w:ascii="宋体" w:hAnsi="宋体" w:cs="宋体" w:eastAsia="宋体" w:hint="default"/>
                <w:sz w:val="21"/>
                <w:szCs w:val="21"/>
              </w:rPr>
              <w:t>Solutions</w:t>
            </w:r>
            <w:r>
              <w:rPr>
                <w:rFonts w:ascii="宋体" w:hAnsi="宋体" w:cs="宋体" w:eastAsia="宋体" w:hint="default"/>
                <w:spacing w:val="-2"/>
                <w:sz w:val="21"/>
                <w:szCs w:val="21"/>
              </w:rPr>
              <w:t> </w:t>
            </w:r>
            <w:r>
              <w:rPr>
                <w:rFonts w:ascii="宋体" w:hAnsi="宋体" w:cs="宋体" w:eastAsia="宋体" w:hint="default"/>
                <w:sz w:val="21"/>
                <w:szCs w:val="21"/>
              </w:rPr>
              <w:t>Oy</w:t>
            </w:r>
            <w:r>
              <w:rPr>
                <w:rFonts w:ascii="宋体" w:hAnsi="宋体" w:cs="宋体" w:eastAsia="宋体" w:hint="default"/>
                <w:spacing w:val="-54"/>
                <w:sz w:val="21"/>
                <w:szCs w:val="21"/>
              </w:rPr>
              <w:t> </w:t>
            </w:r>
            <w:r>
              <w:rPr>
                <w:rFonts w:ascii="宋体" w:hAnsi="宋体" w:cs="宋体" w:eastAsia="宋体" w:hint="default"/>
                <w:sz w:val="21"/>
                <w:szCs w:val="21"/>
              </w:rPr>
              <w:t>为本公司之子公司东软（欧洲）有限公司出资购买，持股比例为</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241" w:hRule="exact"/>
        </w:trPr>
        <w:tc>
          <w:tcPr>
            <w:tcW w:w="14279" w:type="dxa"/>
            <w:tcBorders>
              <w:top w:val="nil" w:sz="6" w:space="0" w:color="auto"/>
              <w:left w:val="nil" w:sz="6" w:space="0" w:color="auto"/>
              <w:bottom w:val="nil" w:sz="6" w:space="0" w:color="auto"/>
              <w:right w:val="nil" w:sz="6" w:space="0" w:color="auto"/>
            </w:tcBorders>
          </w:tcPr>
          <w:p>
            <w:pPr>
              <w:pStyle w:val="TableParagraph"/>
              <w:spacing w:line="241" w:lineRule="exact"/>
              <w:ind w:left="62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Neusoft</w:t>
            </w:r>
            <w:r>
              <w:rPr>
                <w:rFonts w:ascii="宋体" w:hAnsi="宋体" w:cs="宋体" w:eastAsia="宋体" w:hint="default"/>
                <w:spacing w:val="-2"/>
                <w:sz w:val="21"/>
                <w:szCs w:val="21"/>
              </w:rPr>
              <w:t> </w:t>
            </w:r>
            <w:r>
              <w:rPr>
                <w:rFonts w:ascii="宋体" w:hAnsi="宋体" w:cs="宋体" w:eastAsia="宋体" w:hint="default"/>
                <w:sz w:val="21"/>
                <w:szCs w:val="21"/>
              </w:rPr>
              <w:t>EDC</w:t>
            </w:r>
            <w:r>
              <w:rPr>
                <w:rFonts w:ascii="宋体" w:hAnsi="宋体" w:cs="宋体" w:eastAsia="宋体" w:hint="default"/>
                <w:spacing w:val="-2"/>
                <w:sz w:val="21"/>
                <w:szCs w:val="21"/>
              </w:rPr>
              <w:t> </w:t>
            </w:r>
            <w:r>
              <w:rPr>
                <w:rFonts w:ascii="宋体" w:hAnsi="宋体" w:cs="宋体" w:eastAsia="宋体" w:hint="default"/>
                <w:sz w:val="21"/>
                <w:szCs w:val="21"/>
              </w:rPr>
              <w:t>SRL</w:t>
            </w:r>
            <w:r>
              <w:rPr>
                <w:rFonts w:ascii="宋体" w:hAnsi="宋体" w:cs="宋体" w:eastAsia="宋体" w:hint="default"/>
                <w:spacing w:val="-55"/>
                <w:sz w:val="21"/>
                <w:szCs w:val="21"/>
              </w:rPr>
              <w:t> </w:t>
            </w:r>
            <w:r>
              <w:rPr>
                <w:rFonts w:ascii="宋体" w:hAnsi="宋体" w:cs="宋体" w:eastAsia="宋体" w:hint="default"/>
                <w:sz w:val="21"/>
                <w:szCs w:val="21"/>
              </w:rPr>
              <w:t>为本公司之子公司东软（欧洲）有限公司出资购买，持股比例为</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6840" w:h="11910" w:orient="landscape"/>
          <w:pgMar w:header="946" w:footer="1228" w:top="1300" w:bottom="1420" w:left="1140" w:right="12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tabs>
          <w:tab w:pos="5037" w:val="left" w:leader="none"/>
          <w:tab w:pos="5563" w:val="left" w:leader="none"/>
          <w:tab w:pos="5969" w:val="left" w:leader="none"/>
          <w:tab w:pos="6494" w:val="left" w:leader="none"/>
          <w:tab w:pos="11823" w:val="left" w:leader="none"/>
          <w:tab w:pos="12347" w:val="left" w:leader="none"/>
        </w:tabs>
        <w:spacing w:line="272" w:lineRule="exact"/>
        <w:ind w:left="100" w:right="99" w:firstLine="420"/>
        <w:jc w:val="left"/>
      </w:pPr>
      <w:r>
        <w:rPr/>
        <w:t>注</w:t>
      </w:r>
      <w:r>
        <w:rPr>
          <w:spacing w:val="-50"/>
        </w:rPr>
        <w:t> </w:t>
      </w:r>
      <w:r>
        <w:rPr>
          <w:rFonts w:ascii="宋体" w:hAnsi="宋体" w:cs="宋体" w:eastAsia="宋体" w:hint="default"/>
          <w:spacing w:val="-3"/>
        </w:rPr>
        <w:t>12</w:t>
      </w:r>
      <w:r>
        <w:rPr>
          <w:spacing w:val="-3"/>
        </w:rPr>
        <w:t>：</w:t>
      </w:r>
      <w:r>
        <w:rPr>
          <w:rFonts w:ascii="宋体" w:hAnsi="宋体" w:cs="宋体" w:eastAsia="宋体" w:hint="default"/>
          <w:spacing w:val="-3"/>
        </w:rPr>
        <w:t>Neusoft</w:t>
      </w:r>
      <w:r>
        <w:rPr>
          <w:rFonts w:ascii="宋体" w:hAnsi="宋体" w:cs="宋体" w:eastAsia="宋体" w:hint="default"/>
          <w:spacing w:val="-50"/>
        </w:rPr>
        <w:t> </w:t>
      </w:r>
      <w:r>
        <w:rPr>
          <w:rFonts w:ascii="宋体" w:hAnsi="宋体" w:cs="宋体" w:eastAsia="宋体" w:hint="default"/>
        </w:rPr>
        <w:t>GmbH</w:t>
      </w:r>
      <w:r>
        <w:rPr>
          <w:rFonts w:ascii="宋体" w:hAnsi="宋体" w:cs="宋体" w:eastAsia="宋体" w:hint="default"/>
          <w:spacing w:val="-52"/>
        </w:rPr>
        <w:t> </w:t>
      </w:r>
      <w:r>
        <w:rPr/>
        <w:t>为本公司之间接控股子公司</w:t>
      </w:r>
      <w:r>
        <w:rPr>
          <w:spacing w:val="-49"/>
        </w:rPr>
        <w:t> </w:t>
      </w:r>
      <w:r>
        <w:rPr>
          <w:rFonts w:ascii="宋体" w:hAnsi="宋体" w:cs="宋体" w:eastAsia="宋体" w:hint="default"/>
        </w:rPr>
        <w:t>Neusoft</w:t>
        <w:tab/>
        <w:t>EDC</w:t>
        <w:tab/>
        <w:t>SRL</w:t>
      </w:r>
      <w:r>
        <w:rPr>
          <w:rFonts w:ascii="宋体" w:hAnsi="宋体" w:cs="宋体" w:eastAsia="宋体" w:hint="default"/>
          <w:spacing w:val="-50"/>
        </w:rPr>
        <w:t> </w:t>
      </w:r>
      <w:r>
        <w:rPr>
          <w:spacing w:val="-3"/>
        </w:rPr>
        <w:t>出资购买，持股比例为</w:t>
      </w:r>
      <w:r>
        <w:rPr>
          <w:spacing w:val="-50"/>
        </w:rPr>
        <w:t> </w:t>
      </w:r>
      <w:r>
        <w:rPr>
          <w:rFonts w:ascii="宋体" w:hAnsi="宋体" w:cs="宋体" w:eastAsia="宋体" w:hint="default"/>
          <w:spacing w:val="-3"/>
        </w:rPr>
        <w:t>100%</w:t>
      </w:r>
      <w:r>
        <w:rPr>
          <w:spacing w:val="-3"/>
        </w:rPr>
        <w:t>；</w:t>
      </w:r>
      <w:r>
        <w:rPr>
          <w:rFonts w:ascii="宋体" w:hAnsi="宋体" w:cs="宋体" w:eastAsia="宋体" w:hint="default"/>
          <w:spacing w:val="-3"/>
        </w:rPr>
        <w:t>2016</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Neusoft</w:t>
        <w:tab/>
        <w:t>EDC</w:t>
        <w:tab/>
        <w:t>SRL</w:t>
      </w:r>
      <w:r>
        <w:rPr>
          <w:rFonts w:ascii="宋体" w:hAnsi="宋体" w:cs="宋体" w:eastAsia="宋体" w:hint="default"/>
          <w:spacing w:val="-53"/>
        </w:rPr>
        <w:t> </w:t>
      </w:r>
      <w:r>
        <w:rPr/>
        <w:t>将持有的全部</w:t>
      </w:r>
      <w:r>
        <w:rPr>
          <w:w w:val="100"/>
        </w:rPr>
        <w:t> </w:t>
      </w:r>
      <w:r>
        <w:rPr>
          <w:spacing w:val="-2"/>
        </w:rPr>
        <w:t>股权转让给母公司东软（欧洲）有限公司，</w:t>
      </w:r>
      <w:r>
        <w:rPr>
          <w:rFonts w:ascii="宋体" w:hAnsi="宋体" w:cs="宋体" w:eastAsia="宋体" w:hint="default"/>
          <w:spacing w:val="-2"/>
        </w:rPr>
        <w:t>Neusoft</w:t>
        <w:tab/>
      </w:r>
      <w:r>
        <w:rPr>
          <w:rFonts w:ascii="宋体" w:hAnsi="宋体" w:cs="宋体" w:eastAsia="宋体" w:hint="default"/>
        </w:rPr>
        <w:t>EDC</w:t>
        <w:tab/>
      </w:r>
      <w:r>
        <w:rPr>
          <w:rFonts w:ascii="宋体" w:hAnsi="宋体" w:cs="宋体" w:eastAsia="宋体" w:hint="default"/>
          <w:spacing w:val="-1"/>
        </w:rPr>
        <w:t>SRL</w:t>
      </w:r>
      <w:r>
        <w:rPr>
          <w:rFonts w:ascii="宋体" w:hAnsi="宋体" w:cs="宋体" w:eastAsia="宋体" w:hint="default"/>
          <w:spacing w:val="-19"/>
        </w:rPr>
        <w:t> </w:t>
      </w:r>
      <w:r>
        <w:rPr>
          <w:spacing w:val="-2"/>
        </w:rPr>
        <w:t>变为东软（欧洲）有限公司的全资子公司。</w:t>
      </w:r>
    </w:p>
    <w:p>
      <w:pPr>
        <w:spacing w:after="0" w:line="272" w:lineRule="exact"/>
        <w:jc w:val="left"/>
        <w:sectPr>
          <w:pgSz w:w="16840" w:h="11910" w:orient="landscape"/>
          <w:pgMar w:header="946" w:footer="1228" w:top="1300" w:bottom="1420" w:left="1340" w:right="14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946" w:footer="1228" w:top="1300" w:bottom="1420" w:left="1220" w:right="1300"/>
        </w:sectPr>
      </w:pPr>
    </w:p>
    <w:p>
      <w:pPr>
        <w:pStyle w:val="Heading2"/>
        <w:spacing w:line="240" w:lineRule="auto"/>
        <w:ind w:left="220" w:right="-19"/>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61"/>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65" w:val="left" w:leader="none"/>
        </w:tabs>
        <w:spacing w:line="240" w:lineRule="auto" w:before="152"/>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00"/>
          <w:cols w:num="2" w:equalWidth="0">
            <w:col w:w="2874" w:space="8900"/>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90"/>
        <w:gridCol w:w="1954"/>
        <w:gridCol w:w="2823"/>
        <w:gridCol w:w="3255"/>
        <w:gridCol w:w="2369"/>
      </w:tblGrid>
      <w:tr>
        <w:trPr>
          <w:trHeight w:val="283"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少数股东持股比例</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
              <w:jc w:val="right"/>
              <w:rPr>
                <w:rFonts w:ascii="宋体" w:hAnsi="宋体" w:cs="宋体" w:eastAsia="宋体" w:hint="default"/>
                <w:sz w:val="21"/>
                <w:szCs w:val="21"/>
              </w:rPr>
            </w:pPr>
            <w:r>
              <w:rPr>
                <w:rFonts w:ascii="宋体" w:hAnsi="宋体" w:cs="宋体" w:eastAsia="宋体" w:hint="default"/>
                <w:spacing w:val="-2"/>
                <w:sz w:val="21"/>
                <w:szCs w:val="21"/>
              </w:rPr>
              <w:t>本期归属于少数股东的损益</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本期向少数股东宣告分派的股利</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期末少数股东权益余额</w:t>
            </w:r>
          </w:p>
        </w:tc>
      </w:tr>
      <w:tr>
        <w:trPr>
          <w:trHeight w:val="283"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59.00%</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-112,696,852</w:t>
            </w:r>
          </w:p>
        </w:tc>
        <w:tc>
          <w:tcPr>
            <w:tcW w:w="3255"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107,461,166</w:t>
            </w:r>
          </w:p>
        </w:tc>
      </w:tr>
    </w:tbl>
    <w:p>
      <w:pPr>
        <w:spacing w:line="240" w:lineRule="auto" w:before="5"/>
        <w:rPr>
          <w:rFonts w:ascii="宋体" w:hAnsi="宋体" w:cs="宋体" w:eastAsia="宋体" w:hint="default"/>
          <w:sz w:val="15"/>
          <w:szCs w:val="15"/>
        </w:rPr>
      </w:pPr>
    </w:p>
    <w:p>
      <w:pPr>
        <w:pStyle w:val="BodyText"/>
        <w:spacing w:line="274" w:lineRule="exact" w:before="36"/>
        <w:ind w:left="220" w:right="0"/>
        <w:jc w:val="left"/>
      </w:pPr>
      <w:r>
        <w:rPr/>
        <w:t>子公司少数股东的持股比例不同于表决权比例的说明：</w:t>
      </w:r>
    </w:p>
    <w:p>
      <w:pPr>
        <w:pStyle w:val="BodyText"/>
        <w:spacing w:line="272" w:lineRule="exact" w:before="27"/>
        <w:ind w:left="640" w:right="10468" w:hanging="421"/>
        <w:jc w:val="left"/>
      </w:pPr>
      <w:r>
        <w:rPr/>
        <w:t>√适用</w:t>
      </w:r>
      <w:r>
        <w:rPr>
          <w:spacing w:val="-2"/>
        </w:rPr>
        <w:t> </w:t>
      </w:r>
      <w:r>
        <w:rPr/>
        <w:t>□不适用</w:t>
      </w:r>
      <w:r>
        <w:rPr>
          <w:spacing w:val="-103"/>
        </w:rPr>
        <w:t> </w:t>
      </w:r>
      <w:r>
        <w:rPr>
          <w:spacing w:val="-103"/>
        </w:rPr>
      </w:r>
      <w:r>
        <w:rPr>
          <w:spacing w:val="-2"/>
        </w:rPr>
        <w:t>详见附注九、</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w:t>
      </w:r>
    </w:p>
    <w:p>
      <w:pPr>
        <w:spacing w:line="240" w:lineRule="auto" w:before="10"/>
        <w:rPr>
          <w:rFonts w:ascii="宋体" w:hAnsi="宋体" w:cs="宋体" w:eastAsia="宋体" w:hint="default"/>
          <w:sz w:val="18"/>
          <w:szCs w:val="18"/>
        </w:rPr>
      </w:pPr>
    </w:p>
    <w:p>
      <w:pPr>
        <w:pStyle w:val="BodyText"/>
        <w:spacing w:line="274" w:lineRule="exact"/>
        <w:ind w:left="220" w:right="0"/>
        <w:jc w:val="left"/>
      </w:pPr>
      <w:r>
        <w:rPr/>
        <w:t>其他说明：</w:t>
      </w:r>
    </w:p>
    <w:p>
      <w:pPr>
        <w:pStyle w:val="BodyText"/>
        <w:spacing w:line="274" w:lineRule="exact"/>
        <w:ind w:left="220" w:right="0"/>
        <w:jc w:val="left"/>
      </w:pPr>
      <w:r>
        <w:rPr/>
        <w:t>□适用 √不适用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580" w:bottom="280" w:left="1220" w:right="1300"/>
        </w:sectPr>
      </w:pPr>
    </w:p>
    <w:p>
      <w:pPr>
        <w:pStyle w:val="Heading2"/>
        <w:spacing w:line="240" w:lineRule="auto"/>
        <w:ind w:left="220" w:right="-20"/>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61"/>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65" w:val="left" w:leader="none"/>
        </w:tabs>
        <w:spacing w:line="240" w:lineRule="auto" w:before="152"/>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00"/>
          <w:cols w:num="2" w:equalWidth="0">
            <w:col w:w="4319" w:space="7455"/>
            <w:col w:w="2546"/>
          </w:cols>
        </w:sectPr>
      </w:pP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2146"/>
        <w:gridCol w:w="1046"/>
        <w:gridCol w:w="1047"/>
        <w:gridCol w:w="1046"/>
        <w:gridCol w:w="1044"/>
        <w:gridCol w:w="867"/>
        <w:gridCol w:w="1049"/>
        <w:gridCol w:w="1046"/>
        <w:gridCol w:w="1047"/>
        <w:gridCol w:w="1044"/>
        <w:gridCol w:w="958"/>
        <w:gridCol w:w="634"/>
        <w:gridCol w:w="958"/>
      </w:tblGrid>
      <w:tr>
        <w:trPr>
          <w:trHeight w:val="252" w:hRule="exact"/>
        </w:trPr>
        <w:tc>
          <w:tcPr>
            <w:tcW w:w="214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0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146" w:type="dxa"/>
            <w:vMerge/>
            <w:tcBorders>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9"/>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left"/>
              <w:rPr>
                <w:rFonts w:ascii="宋体" w:hAnsi="宋体" w:cs="宋体" w:eastAsia="宋体" w:hint="default"/>
                <w:sz w:val="18"/>
                <w:szCs w:val="18"/>
              </w:rPr>
            </w:pPr>
            <w:r>
              <w:rPr>
                <w:rFonts w:ascii="宋体" w:hAnsi="宋体" w:cs="宋体" w:eastAsia="宋体" w:hint="default"/>
                <w:sz w:val="18"/>
                <w:szCs w:val="18"/>
              </w:rPr>
              <w:t>非流动负</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0"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pacing w:val="28"/>
                <w:sz w:val="18"/>
                <w:szCs w:val="18"/>
              </w:rPr>
              <w:t> </w:t>
            </w:r>
            <w:r>
              <w:rPr>
                <w:rFonts w:ascii="宋体" w:hAnsi="宋体" w:cs="宋体" w:eastAsia="宋体" w:hint="default"/>
                <w:sz w:val="18"/>
                <w:szCs w:val="18"/>
              </w:rPr>
              <w:t>负债合计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hanging="92"/>
              <w:jc w:val="left"/>
              <w:rPr>
                <w:rFonts w:ascii="宋体" w:hAnsi="宋体" w:cs="宋体" w:eastAsia="宋体" w:hint="default"/>
                <w:sz w:val="18"/>
                <w:szCs w:val="18"/>
              </w:rPr>
            </w:pPr>
            <w:r>
              <w:rPr>
                <w:rFonts w:ascii="宋体" w:hAnsi="宋体" w:cs="宋体" w:eastAsia="宋体" w:hint="default"/>
                <w:sz w:val="18"/>
                <w:szCs w:val="18"/>
              </w:rPr>
              <w:t>非流动</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5"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48"/>
              <w:jc w:val="left"/>
              <w:rPr>
                <w:rFonts w:ascii="宋体" w:hAnsi="宋体" w:cs="宋体" w:eastAsia="宋体" w:hint="default"/>
                <w:sz w:val="18"/>
                <w:szCs w:val="18"/>
              </w:rPr>
            </w:pPr>
            <w:r>
              <w:rPr>
                <w:rFonts w:ascii="宋体" w:hAnsi="宋体" w:cs="宋体" w:eastAsia="宋体" w:hint="default"/>
                <w:sz w:val="18"/>
                <w:szCs w:val="18"/>
              </w:rPr>
              <w:t>东软睿驰汽车技术（上海）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198,539,861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178,833,229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377,373,090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126,446,020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sz w:val="18"/>
              </w:rPr>
              <w:t>4,850,000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sz w:val="18"/>
              </w:rPr>
              <w:t>131,296,020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275,554,066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141,487,391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417,041,457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13,150,556</w:t>
            </w:r>
          </w:p>
        </w:tc>
        <w:tc>
          <w:tcPr>
            <w:tcW w:w="63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13,150,556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86" w:type="dxa"/>
        <w:tblLayout w:type="fixed"/>
        <w:tblCellMar>
          <w:top w:w="0" w:type="dxa"/>
          <w:left w:w="0" w:type="dxa"/>
          <w:bottom w:w="0" w:type="dxa"/>
          <w:right w:w="0" w:type="dxa"/>
        </w:tblCellMar>
        <w:tblLook w:val="01E0"/>
      </w:tblPr>
      <w:tblGrid>
        <w:gridCol w:w="3120"/>
        <w:gridCol w:w="1126"/>
        <w:gridCol w:w="1306"/>
        <w:gridCol w:w="1308"/>
        <w:gridCol w:w="1668"/>
        <w:gridCol w:w="1126"/>
        <w:gridCol w:w="1309"/>
        <w:gridCol w:w="1306"/>
        <w:gridCol w:w="1664"/>
      </w:tblGrid>
      <w:tr>
        <w:trPr>
          <w:trHeight w:val="278" w:hRule="exact"/>
        </w:trPr>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106"/>
              <w:ind w:left="1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4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4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8" w:hRule="exact"/>
        </w:trPr>
        <w:tc>
          <w:tcPr>
            <w:tcW w:w="3120"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27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东软睿驰汽车技术（上海）有限公司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sz w:val="18"/>
              </w:rPr>
              <w:t>29,654,369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2" w:right="0"/>
              <w:jc w:val="left"/>
              <w:rPr>
                <w:rFonts w:ascii="宋体" w:hAnsi="宋体" w:cs="宋体" w:eastAsia="宋体" w:hint="default"/>
                <w:sz w:val="18"/>
                <w:szCs w:val="18"/>
              </w:rPr>
            </w:pPr>
            <w:r>
              <w:rPr>
                <w:rFonts w:ascii="宋体"/>
                <w:sz w:val="18"/>
              </w:rPr>
              <w:t>-192,320,587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sz w:val="18"/>
              </w:rPr>
              <w:t>-192,320,587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4" w:right="0"/>
              <w:jc w:val="left"/>
              <w:rPr>
                <w:rFonts w:ascii="宋体" w:hAnsi="宋体" w:cs="宋体" w:eastAsia="宋体" w:hint="default"/>
                <w:sz w:val="18"/>
                <w:szCs w:val="18"/>
              </w:rPr>
            </w:pPr>
            <w:r>
              <w:rPr>
                <w:rFonts w:ascii="宋体"/>
                <w:sz w:val="18"/>
              </w:rPr>
              <w:t>-165,617,496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2" w:right="0"/>
              <w:jc w:val="left"/>
              <w:rPr>
                <w:rFonts w:ascii="宋体" w:hAnsi="宋体" w:cs="宋体" w:eastAsia="宋体" w:hint="default"/>
                <w:sz w:val="18"/>
                <w:szCs w:val="18"/>
              </w:rPr>
            </w:pPr>
            <w:r>
              <w:rPr>
                <w:rFonts w:ascii="宋体"/>
                <w:sz w:val="18"/>
              </w:rPr>
              <w:t>13,960,558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sz w:val="18"/>
              </w:rPr>
              <w:t>-108,451,218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sz w:val="18"/>
              </w:rPr>
              <w:t>-108,451,218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0" w:right="0"/>
              <w:jc w:val="left"/>
              <w:rPr>
                <w:rFonts w:ascii="宋体" w:hAnsi="宋体" w:cs="宋体" w:eastAsia="宋体" w:hint="default"/>
                <w:sz w:val="18"/>
                <w:szCs w:val="18"/>
              </w:rPr>
            </w:pPr>
            <w:r>
              <w:rPr>
                <w:rFonts w:ascii="宋体"/>
                <w:sz w:val="18"/>
              </w:rPr>
              <w:t>-94,192,677</w:t>
            </w:r>
          </w:p>
        </w:tc>
      </w:tr>
    </w:tbl>
    <w:p>
      <w:pPr>
        <w:spacing w:after="0" w:line="204" w:lineRule="exact"/>
        <w:jc w:val="left"/>
        <w:rPr>
          <w:rFonts w:ascii="宋体" w:hAnsi="宋体" w:cs="宋体" w:eastAsia="宋体" w:hint="default"/>
          <w:sz w:val="18"/>
          <w:szCs w:val="18"/>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ind w:left="138" w:right="23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64"/>
        <w:ind w:left="138" w:right="23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23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80" w:val="left" w:leader="none"/>
        </w:tabs>
        <w:spacing w:line="240" w:lineRule="auto" w:before="61"/>
        <w:ind w:left="138" w:right="23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38" w:right="230"/>
        <w:jc w:val="left"/>
      </w:pPr>
      <w:r>
        <w:rPr/>
        <w:t>其他说明：</w:t>
      </w:r>
    </w:p>
    <w:p>
      <w:pPr>
        <w:pStyle w:val="BodyText"/>
        <w:spacing w:line="274" w:lineRule="exact"/>
        <w:ind w:left="138" w:right="23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230"/>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pStyle w:val="BodyText"/>
        <w:spacing w:line="240" w:lineRule="auto" w:before="62"/>
        <w:ind w:left="138" w:right="230"/>
        <w:jc w:val="left"/>
      </w:pPr>
      <w:r>
        <w:rPr/>
        <w:t>√适用</w:t>
      </w:r>
      <w:r>
        <w:rPr>
          <w:spacing w:val="-1"/>
        </w:rPr>
        <w:t> </w:t>
      </w:r>
      <w:r>
        <w:rPr/>
        <w:t>□不适用</w:t>
      </w:r>
    </w:p>
    <w:p>
      <w:pPr>
        <w:pStyle w:val="Heading2"/>
        <w:spacing w:line="240" w:lineRule="auto" w:before="52"/>
        <w:ind w:left="138" w:right="230"/>
        <w:jc w:val="left"/>
        <w:rPr>
          <w:b w:val="0"/>
          <w:bCs w:val="0"/>
        </w:rPr>
      </w:pPr>
      <w:r>
        <w:rPr>
          <w:rFonts w:ascii="宋体" w:hAnsi="宋体" w:cs="宋体" w:eastAsia="宋体" w:hint="default"/>
        </w:rPr>
        <w:t>(1).</w:t>
      </w:r>
      <w:r>
        <w:rPr/>
        <w:t>在子公司所有者权益份额的变化情况的说明：</w:t>
      </w:r>
      <w:r>
        <w:rPr>
          <w:b w:val="0"/>
          <w:bCs w:val="0"/>
        </w:rPr>
      </w:r>
    </w:p>
    <w:p>
      <w:pPr>
        <w:pStyle w:val="BodyText"/>
        <w:tabs>
          <w:tab w:pos="980" w:val="left" w:leader="none"/>
        </w:tabs>
        <w:spacing w:line="274" w:lineRule="exact" w:before="61"/>
        <w:ind w:left="138" w:right="230"/>
        <w:jc w:val="left"/>
      </w:pPr>
      <w:r>
        <w:rPr>
          <w:spacing w:val="-1"/>
        </w:rPr>
        <w:t>√适用</w:t>
        <w:tab/>
      </w:r>
      <w:r>
        <w:rPr>
          <w:spacing w:val="-2"/>
        </w:rPr>
        <w:t>□不适用</w:t>
      </w:r>
    </w:p>
    <w:p>
      <w:pPr>
        <w:pStyle w:val="BodyText"/>
        <w:spacing w:line="237" w:lineRule="auto" w:before="2"/>
        <w:ind w:left="138" w:right="99" w:firstLine="419"/>
        <w:jc w:val="left"/>
      </w:pPr>
      <w:r>
        <w:rPr>
          <w:rFonts w:ascii="宋体" w:hAnsi="宋体" w:cs="宋体" w:eastAsia="宋体" w:hint="default"/>
          <w:w w:val="100"/>
        </w:rPr>
        <w:t>2017</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12</w:t>
      </w:r>
      <w:r>
        <w:rPr>
          <w:rFonts w:ascii="宋体" w:hAnsi="宋体" w:cs="宋体" w:eastAsia="宋体" w:hint="default"/>
          <w:spacing w:val="-69"/>
          <w:w w:val="100"/>
        </w:rPr>
        <w:t> </w:t>
      </w:r>
      <w:r>
        <w:rPr>
          <w:spacing w:val="-7"/>
          <w:w w:val="100"/>
        </w:rPr>
        <w:t>月，本公司原全资子公司沈阳东软交通信息技术有限公司（以下简称“东软交通”）</w:t>
      </w:r>
      <w:r>
        <w:rPr>
          <w:w w:val="100"/>
        </w:rPr>
        <w:t> </w:t>
      </w:r>
      <w:r>
        <w:rPr/>
        <w:t>由于其他方股东增资，使本公司持股比例下降至</w:t>
      </w:r>
      <w:r>
        <w:rPr>
          <w:spacing w:val="-48"/>
        </w:rPr>
        <w:t> </w:t>
      </w:r>
      <w:r>
        <w:rPr>
          <w:rFonts w:ascii="宋体" w:hAnsi="宋体" w:cs="宋体" w:eastAsia="宋体" w:hint="default"/>
          <w:spacing w:val="-3"/>
        </w:rPr>
        <w:t>80.00%</w:t>
      </w:r>
      <w:r>
        <w:rPr>
          <w:spacing w:val="-3"/>
        </w:rPr>
        <w:t>，本公司仍对其拥有控制权，仍将其纳入</w:t>
      </w:r>
      <w:r>
        <w:rPr>
          <w:spacing w:val="-91"/>
        </w:rPr>
        <w:t> </w:t>
      </w:r>
      <w:r>
        <w:rPr>
          <w:spacing w:val="-91"/>
        </w:rPr>
      </w:r>
      <w:r>
        <w:rPr/>
        <w:t>合并财务报表范围。东软交通现为本公司控股子公司。</w:t>
      </w:r>
    </w:p>
    <w:p>
      <w:pPr>
        <w:pStyle w:val="BodyText"/>
        <w:spacing w:line="274" w:lineRule="exact" w:before="22"/>
        <w:ind w:left="138" w:right="230" w:firstLine="419"/>
        <w:jc w:val="left"/>
      </w:pPr>
      <w:r>
        <w:rPr>
          <w:spacing w:val="-2"/>
        </w:rPr>
        <w:t>东软交通其他方股东增资，本公司将应享有东软交通净资产份额的变动计入资本公积</w:t>
      </w:r>
      <w:r>
        <w:rPr>
          <w:w w:val="100"/>
        </w:rPr>
        <w:t> </w:t>
      </w:r>
      <w:r>
        <w:rPr>
          <w:rFonts w:ascii="宋体" w:hAnsi="宋体" w:cs="宋体" w:eastAsia="宋体" w:hint="default"/>
        </w:rPr>
        <w:t>7,142,388</w:t>
      </w:r>
      <w:r>
        <w:rPr>
          <w:rFonts w:ascii="宋体" w:hAnsi="宋体" w:cs="宋体" w:eastAsia="宋体" w:hint="default"/>
          <w:spacing w:val="-51"/>
        </w:rPr>
        <w:t> </w:t>
      </w:r>
      <w:r>
        <w:rPr/>
        <w:t>元。</w:t>
      </w:r>
    </w:p>
    <w:p>
      <w:pPr>
        <w:spacing w:line="240" w:lineRule="auto" w:before="11"/>
        <w:rPr>
          <w:rFonts w:ascii="宋体" w:hAnsi="宋体" w:cs="宋体" w:eastAsia="宋体" w:hint="default"/>
          <w:sz w:val="22"/>
          <w:szCs w:val="22"/>
        </w:rPr>
      </w:pPr>
    </w:p>
    <w:p>
      <w:pPr>
        <w:pStyle w:val="Heading2"/>
        <w:spacing w:line="240" w:lineRule="auto" w:before="0"/>
        <w:ind w:left="138" w:right="23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80" w:val="left" w:leader="none"/>
        </w:tabs>
        <w:spacing w:line="240" w:lineRule="auto" w:before="62"/>
        <w:ind w:left="138" w:right="230"/>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25"/>
          <w:footerReference w:type="default" r:id="rId126"/>
          <w:pgSz w:w="11910" w:h="16840"/>
          <w:pgMar w:header="946" w:footer="1248" w:top="1300" w:bottom="1440" w:left="1660" w:right="1060"/>
          <w:pgNumType w:start="165"/>
        </w:sectPr>
      </w:pPr>
    </w:p>
    <w:p>
      <w:pPr>
        <w:pStyle w:val="Heading2"/>
        <w:spacing w:line="240" w:lineRule="auto"/>
        <w:ind w:left="138" w:right="0"/>
        <w:jc w:val="left"/>
        <w:rPr>
          <w:b w:val="0"/>
          <w:bCs w:val="0"/>
        </w:rPr>
      </w:pPr>
      <w:r>
        <w:rPr>
          <w:rFonts w:ascii="宋体" w:hAnsi="宋体" w:cs="宋体" w:eastAsia="宋体" w:hint="default"/>
          <w:w w:val="95"/>
        </w:rPr>
        <w:t>3</w:t>
      </w:r>
      <w:r>
        <w:rPr>
          <w:w w:val="95"/>
        </w:rPr>
        <w:t>、在合营企业或联营企业中的权益</w:t>
      </w:r>
      <w:r>
        <w:rPr>
          <w:b w:val="0"/>
          <w:bCs w:val="0"/>
        </w:rPr>
      </w:r>
    </w:p>
    <w:p>
      <w:pPr>
        <w:pStyle w:val="BodyText"/>
        <w:spacing w:line="240" w:lineRule="auto" w:before="64"/>
        <w:ind w:left="138" w:right="0"/>
        <w:jc w:val="left"/>
      </w:pPr>
      <w:r>
        <w:rPr/>
        <w:t>√适用</w:t>
      </w:r>
      <w:r>
        <w:rPr>
          <w:spacing w:val="-1"/>
        </w:rPr>
        <w:t> </w:t>
      </w:r>
      <w:r>
        <w:rPr/>
        <w:t>□不适用</w:t>
      </w:r>
    </w:p>
    <w:p>
      <w:pPr>
        <w:pStyle w:val="Heading2"/>
        <w:spacing w:line="240" w:lineRule="auto" w:before="52"/>
        <w:ind w:left="138" w:right="0"/>
        <w:jc w:val="left"/>
        <w:rPr>
          <w:b w:val="0"/>
          <w:bCs w:val="0"/>
        </w:rPr>
      </w:pPr>
      <w:r>
        <w:rPr>
          <w:rFonts w:ascii="宋体" w:hAnsi="宋体" w:cs="宋体" w:eastAsia="宋体" w:hint="default"/>
        </w:rPr>
        <w:t>(1).</w:t>
      </w:r>
      <w:r>
        <w:rPr/>
        <w:t>重要的合营企业或联营企业</w:t>
      </w:r>
      <w:r>
        <w:rPr>
          <w:b w:val="0"/>
          <w:bCs w:val="0"/>
        </w:rPr>
      </w:r>
    </w:p>
    <w:p>
      <w:pPr>
        <w:pStyle w:val="BodyText"/>
        <w:tabs>
          <w:tab w:pos="980" w:val="left" w:leader="none"/>
        </w:tabs>
        <w:spacing w:line="240" w:lineRule="auto" w:before="61"/>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060"/>
          <w:cols w:num="2" w:equalWidth="0">
            <w:col w:w="3874" w:space="2859"/>
            <w:col w:w="24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57"/>
        <w:gridCol w:w="523"/>
        <w:gridCol w:w="566"/>
        <w:gridCol w:w="2979"/>
        <w:gridCol w:w="708"/>
        <w:gridCol w:w="709"/>
        <w:gridCol w:w="1349"/>
      </w:tblGrid>
      <w:tr>
        <w:trPr>
          <w:trHeight w:val="461" w:hRule="exact"/>
        </w:trPr>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523" w:type="dxa"/>
            <w:vMerge w:val="restart"/>
            <w:tcBorders>
              <w:top w:val="single" w:sz="4" w:space="0" w:color="000000"/>
              <w:left w:val="single" w:sz="4" w:space="0" w:color="000000"/>
              <w:right w:val="single" w:sz="4" w:space="0" w:color="000000"/>
            </w:tcBorders>
          </w:tcPr>
          <w:p>
            <w:pPr>
              <w:pStyle w:val="TableParagraph"/>
              <w:spacing w:line="237" w:lineRule="auto"/>
              <w:ind w:left="74" w:right="77"/>
              <w:jc w:val="both"/>
              <w:rPr>
                <w:rFonts w:ascii="宋体" w:hAnsi="宋体" w:cs="宋体" w:eastAsia="宋体" w:hint="default"/>
                <w:sz w:val="18"/>
                <w:szCs w:val="18"/>
              </w:rPr>
            </w:pPr>
            <w:r>
              <w:rPr>
                <w:rFonts w:ascii="宋体" w:hAnsi="宋体" w:cs="宋体" w:eastAsia="宋体" w:hint="default"/>
                <w:sz w:val="18"/>
                <w:szCs w:val="18"/>
              </w:rPr>
              <w:t>主要 经营 地</w:t>
            </w:r>
          </w:p>
        </w:tc>
        <w:tc>
          <w:tcPr>
            <w:tcW w:w="566" w:type="dxa"/>
            <w:vMerge w:val="restart"/>
            <w:tcBorders>
              <w:top w:val="single" w:sz="4" w:space="0" w:color="000000"/>
              <w:left w:val="single" w:sz="4" w:space="0" w:color="000000"/>
              <w:right w:val="single" w:sz="4" w:space="0" w:color="000000"/>
            </w:tcBorders>
          </w:tcPr>
          <w:p>
            <w:pPr>
              <w:pStyle w:val="TableParagraph"/>
              <w:spacing w:line="232" w:lineRule="exact" w:before="131"/>
              <w:ind w:left="187" w:right="98"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349" w:type="dxa"/>
            <w:vMerge w:val="restart"/>
            <w:tcBorders>
              <w:top w:val="single" w:sz="4" w:space="0" w:color="000000"/>
              <w:left w:val="single" w:sz="4" w:space="0" w:color="000000"/>
              <w:right w:val="single" w:sz="4" w:space="0" w:color="000000"/>
            </w:tcBorders>
          </w:tcPr>
          <w:p>
            <w:pPr>
              <w:pStyle w:val="TableParagraph"/>
              <w:spacing w:line="237" w:lineRule="auto"/>
              <w:ind w:left="38" w:right="38"/>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288" w:hRule="exact"/>
        </w:trPr>
        <w:tc>
          <w:tcPr>
            <w:tcW w:w="2057" w:type="dxa"/>
            <w:vMerge/>
            <w:tcBorders>
              <w:left w:val="single" w:sz="4" w:space="0" w:color="000000"/>
              <w:bottom w:val="single" w:sz="4" w:space="0" w:color="000000"/>
              <w:right w:val="single" w:sz="4" w:space="0" w:color="000000"/>
            </w:tcBorders>
          </w:tcPr>
          <w:p>
            <w:pPr/>
          </w:p>
        </w:tc>
        <w:tc>
          <w:tcPr>
            <w:tcW w:w="52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97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6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6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49" w:type="dxa"/>
            <w:vMerge/>
            <w:tcBorders>
              <w:left w:val="single" w:sz="4" w:space="0" w:color="000000"/>
              <w:bottom w:val="single" w:sz="4" w:space="0" w:color="000000"/>
              <w:right w:val="single" w:sz="4" w:space="0" w:color="000000"/>
            </w:tcBorders>
          </w:tcPr>
          <w:p>
            <w:pPr/>
          </w:p>
        </w:tc>
      </w:tr>
      <w:tr>
        <w:trPr>
          <w:trHeight w:val="24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5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76"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诺基亚东软通信技术有限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公司（“诺基亚东软”）</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大连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hAnsi="宋体" w:cs="宋体" w:eastAsia="宋体" w:hint="default"/>
                <w:sz w:val="18"/>
                <w:szCs w:val="18"/>
              </w:rPr>
              <w:t>大连</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无线应用产品及解决方案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z w:val="18"/>
              </w:rPr>
              <w:t>46.00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7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沈阳东软系统集成工程有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限公司（“沈阳工程”）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沈阳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沈阳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计算机软件开发、销售及技术咨询等</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26.67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7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辽宁东软创业投资有限公</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司（“东软创投”）</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大连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大连</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对中小企业投资及管理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48.99</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78"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沈阳东软医疗系统有限公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司（“东软医疗”）</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沈阳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沈阳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经营医疗器械的生产、销售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29.94</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7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7"/>
                <w:sz w:val="18"/>
                <w:szCs w:val="18"/>
              </w:rPr>
              <w:t>东软熙康控股</w:t>
            </w:r>
            <w:r>
              <w:rPr>
                <w:rFonts w:ascii="宋体" w:hAnsi="宋体" w:cs="宋体" w:eastAsia="宋体" w:hint="default"/>
                <w:spacing w:val="-62"/>
                <w:sz w:val="18"/>
                <w:szCs w:val="18"/>
              </w:rPr>
              <w:t> </w:t>
            </w:r>
            <w:r>
              <w:rPr>
                <w:rFonts w:ascii="宋体" w:hAnsi="宋体" w:cs="宋体" w:eastAsia="宋体" w:hint="default"/>
                <w:spacing w:val="15"/>
                <w:sz w:val="18"/>
                <w:szCs w:val="18"/>
              </w:rPr>
              <w:t>有限公司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（“熙康”）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hAnsi="宋体" w:cs="宋体" w:eastAsia="宋体" w:hint="default"/>
                <w:sz w:val="18"/>
                <w:szCs w:val="18"/>
              </w:rPr>
              <w:t>开曼</w:t>
            </w:r>
          </w:p>
          <w:p>
            <w:pPr>
              <w:pStyle w:val="TableParagraph"/>
              <w:spacing w:line="234" w:lineRule="exact"/>
              <w:ind w:left="74" w:right="0"/>
              <w:jc w:val="left"/>
              <w:rPr>
                <w:rFonts w:ascii="宋体" w:hAnsi="宋体" w:cs="宋体" w:eastAsia="宋体" w:hint="default"/>
                <w:sz w:val="18"/>
                <w:szCs w:val="18"/>
              </w:rPr>
            </w:pPr>
            <w:r>
              <w:rPr>
                <w:rFonts w:ascii="宋体" w:hAnsi="宋体" w:cs="宋体" w:eastAsia="宋体" w:hint="default"/>
                <w:sz w:val="18"/>
                <w:szCs w:val="18"/>
              </w:rPr>
              <w:t>群岛</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z w:val="18"/>
                <w:szCs w:val="18"/>
              </w:rPr>
              <w:t>开曼</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群岛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3"/>
                <w:sz w:val="18"/>
                <w:szCs w:val="18"/>
              </w:rPr>
              <w:t> </w:t>
            </w:r>
            <w:r>
              <w:rPr>
                <w:rFonts w:ascii="宋体" w:hAnsi="宋体" w:cs="宋体" w:eastAsia="宋体" w:hint="default"/>
                <w:sz w:val="18"/>
                <w:szCs w:val="18"/>
              </w:rPr>
              <w:t>及相关咨询服务</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3" w:right="0"/>
              <w:jc w:val="left"/>
              <w:rPr>
                <w:rFonts w:ascii="宋体" w:hAnsi="宋体" w:cs="宋体" w:eastAsia="宋体" w:hint="default"/>
                <w:sz w:val="18"/>
                <w:szCs w:val="18"/>
              </w:rPr>
            </w:pPr>
            <w:r>
              <w:rPr>
                <w:rFonts w:ascii="宋体"/>
                <w:sz w:val="18"/>
              </w:rPr>
              <w:t>29.25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0"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22"/>
              <w:jc w:val="left"/>
              <w:rPr>
                <w:rFonts w:ascii="宋体" w:hAnsi="宋体" w:cs="宋体" w:eastAsia="宋体" w:hint="default"/>
                <w:sz w:val="18"/>
                <w:szCs w:val="18"/>
              </w:rPr>
            </w:pPr>
            <w:r>
              <w:rPr>
                <w:rFonts w:ascii="宋体" w:hAnsi="宋体" w:cs="宋体" w:eastAsia="宋体" w:hint="default"/>
                <w:sz w:val="18"/>
                <w:szCs w:val="18"/>
              </w:rPr>
              <w:t>北京东软望海科技有限公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司（“东软望海”）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北京</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开发、生产计算机软件；销售自产产</w:t>
            </w:r>
            <w:r>
              <w:rPr>
                <w:rFonts w:ascii="宋体" w:hAnsi="宋体" w:cs="宋体" w:eastAsia="宋体" w:hint="default"/>
                <w:sz w:val="18"/>
                <w:szCs w:val="18"/>
              </w:rPr>
            </w:r>
          </w:p>
          <w:p>
            <w:pPr>
              <w:pStyle w:val="TableParagraph"/>
              <w:spacing w:line="232" w:lineRule="exact" w:before="24"/>
              <w:ind w:left="23" w:right="20"/>
              <w:jc w:val="left"/>
              <w:rPr>
                <w:rFonts w:ascii="宋体" w:hAnsi="宋体" w:cs="宋体" w:eastAsia="宋体" w:hint="default"/>
                <w:sz w:val="18"/>
                <w:szCs w:val="18"/>
              </w:rPr>
            </w:pPr>
            <w:r>
              <w:rPr>
                <w:rFonts w:ascii="宋体" w:hAnsi="宋体" w:cs="宋体" w:eastAsia="宋体" w:hint="default"/>
                <w:spacing w:val="2"/>
                <w:sz w:val="18"/>
                <w:szCs w:val="18"/>
              </w:rPr>
              <w:t>品；技术支持服务；计算机软硬件产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品的批发、佣金代理进出口业务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34.79</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1" w:lineRule="exact"/>
        <w:ind w:left="558" w:right="230"/>
        <w:jc w:val="left"/>
      </w:pPr>
      <w:r>
        <w:rPr/>
        <w:t>说明：本期没有重要的合营企业。</w:t>
      </w:r>
    </w:p>
    <w:p>
      <w:pPr>
        <w:spacing w:after="0" w:line="241" w:lineRule="exact"/>
        <w:jc w:val="left"/>
        <w:sectPr>
          <w:type w:val="continuous"/>
          <w:pgSz w:w="11910" w:h="16840"/>
          <w:pgMar w:top="1580" w:bottom="280" w:left="1660" w:right="1060"/>
        </w:sectPr>
      </w:pPr>
    </w:p>
    <w:p>
      <w:pPr>
        <w:spacing w:line="240" w:lineRule="auto" w:before="6"/>
        <w:rPr>
          <w:rFonts w:ascii="宋体" w:hAnsi="宋体" w:cs="宋体" w:eastAsia="宋体" w:hint="default"/>
          <w:sz w:val="11"/>
          <w:szCs w:val="11"/>
        </w:rPr>
      </w:pPr>
    </w:p>
    <w:p>
      <w:pPr>
        <w:pStyle w:val="Heading2"/>
        <w:spacing w:line="240" w:lineRule="auto"/>
        <w:ind w:left="118"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after="0" w:line="240" w:lineRule="auto"/>
        <w:jc w:val="left"/>
        <w:sectPr>
          <w:pgSz w:w="11910" w:h="16840"/>
          <w:pgMar w:header="946" w:footer="1248" w:top="1300" w:bottom="1440" w:left="1680" w:right="11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27"/>
          <w:footerReference w:type="default" r:id="rId128"/>
          <w:pgSz w:w="16840" w:h="11910" w:orient="landscape"/>
          <w:pgMar w:header="946" w:footer="1248" w:top="1300" w:bottom="1440" w:left="1300" w:right="1380"/>
          <w:pgNumType w:start="167"/>
        </w:sectPr>
      </w:pPr>
    </w:p>
    <w:p>
      <w:pPr>
        <w:pStyle w:val="Heading2"/>
        <w:spacing w:line="240" w:lineRule="auto"/>
        <w:ind w:left="140" w:right="-20"/>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982" w:val="left" w:leader="none"/>
        </w:tabs>
        <w:spacing w:line="240" w:lineRule="auto" w:before="64"/>
        <w:ind w:left="140"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91" w:val="left" w:leader="none"/>
        </w:tabs>
        <w:spacing w:line="240" w:lineRule="auto" w:before="152"/>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380"/>
          <w:cols w:num="2" w:equalWidth="0">
            <w:col w:w="3757" w:space="7806"/>
            <w:col w:w="259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82"/>
        <w:gridCol w:w="1046"/>
        <w:gridCol w:w="1045"/>
        <w:gridCol w:w="1046"/>
        <w:gridCol w:w="1226"/>
        <w:gridCol w:w="1136"/>
        <w:gridCol w:w="1334"/>
        <w:gridCol w:w="1046"/>
        <w:gridCol w:w="1047"/>
        <w:gridCol w:w="1046"/>
        <w:gridCol w:w="1226"/>
        <w:gridCol w:w="1150"/>
      </w:tblGrid>
      <w:tr>
        <w:trPr>
          <w:trHeight w:val="245" w:hRule="exact"/>
        </w:trPr>
        <w:tc>
          <w:tcPr>
            <w:tcW w:w="1582" w:type="dxa"/>
            <w:vMerge w:val="restart"/>
            <w:tcBorders>
              <w:top w:val="single" w:sz="4" w:space="0" w:color="000000"/>
              <w:left w:val="single" w:sz="4" w:space="0" w:color="000000"/>
              <w:right w:val="single" w:sz="6" w:space="0" w:color="000000"/>
            </w:tcBorders>
          </w:tcPr>
          <w:p>
            <w:pPr/>
          </w:p>
        </w:tc>
        <w:tc>
          <w:tcPr>
            <w:tcW w:w="6834" w:type="dxa"/>
            <w:gridSpan w:val="6"/>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5516" w:type="dxa"/>
            <w:gridSpan w:val="5"/>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50" w:hRule="exact"/>
        </w:trPr>
        <w:tc>
          <w:tcPr>
            <w:tcW w:w="1582" w:type="dxa"/>
            <w:vMerge/>
            <w:tcBorders>
              <w:left w:val="single" w:sz="4"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
              <w:jc w:val="right"/>
              <w:rPr>
                <w:rFonts w:ascii="宋体" w:hAnsi="宋体" w:cs="宋体" w:eastAsia="宋体" w:hint="default"/>
                <w:sz w:val="18"/>
                <w:szCs w:val="18"/>
              </w:rPr>
            </w:pPr>
            <w:r>
              <w:rPr>
                <w:rFonts w:ascii="宋体" w:hAnsi="宋体" w:cs="宋体" w:eastAsia="宋体" w:hint="default"/>
                <w:sz w:val="18"/>
                <w:szCs w:val="18"/>
              </w:rPr>
              <w:t>诺基亚东软</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东软创投</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东软医疗</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熙康</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6"/>
              <w:jc w:val="right"/>
              <w:rPr>
                <w:rFonts w:ascii="宋体" w:hAnsi="宋体" w:cs="宋体" w:eastAsia="宋体" w:hint="default"/>
                <w:sz w:val="18"/>
                <w:szCs w:val="18"/>
              </w:rPr>
            </w:pPr>
            <w:r>
              <w:rPr>
                <w:rFonts w:ascii="宋体" w:hAnsi="宋体" w:cs="宋体" w:eastAsia="宋体" w:hint="default"/>
                <w:sz w:val="18"/>
                <w:szCs w:val="18"/>
              </w:rPr>
              <w:t>东软望海（注）</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诺基亚东软</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沈阳工程</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东软创投</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东软医疗</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熙康</w:t>
            </w: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509,177,567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392,975,658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257,611,505</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2,987,079,704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585,387,130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1,741,122,902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502,370,405</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367,222,591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251,550,821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1,897,387,365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297,797,856</w:t>
            </w: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3,741,555</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10,130,254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94,973,007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1,867,008,675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227,889,776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13,092,677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712,721</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10,781,373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74,630,169</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1,560,755,337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331,381,210</w:t>
            </w:r>
          </w:p>
        </w:tc>
      </w:tr>
      <w:tr>
        <w:trPr>
          <w:trHeight w:val="248"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512,919,122</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403,105,912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352,584,512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4,854,088,379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813,276,906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1,754,215,579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503,083,126</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378,003,964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326,180,990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3,458,142,702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629,179,066</w:t>
            </w: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329,240,535</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269,477,154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97,757,667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2,199,384,436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134,831,124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61,894,841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336,674,692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268,981,386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67,760,885</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1,270,803,899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243,425,126</w:t>
            </w: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76,629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2,152,193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42,370,790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140,831,453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386,609,767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980,848</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2,158,522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23,643,382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233,267,699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244,948,367</w:t>
            </w: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329,317,164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271,629,347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140,128,457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2,340,215,889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521,440,891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62,875,689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336,674,692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271,139,908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91,404,267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1,504,071,598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488,373,493</w:t>
            </w: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37,237,664</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37,215,269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23,517,902</w:t>
            </w: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42,913,697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37,108,204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8,345,517</w:t>
            </w:r>
          </w:p>
        </w:tc>
      </w:tr>
      <w:tr>
        <w:trPr>
          <w:trHeight w:val="482"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183,601,958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131,476,565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175,218,391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2,476,657,221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268,318,113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1,691,339,890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sz w:val="18"/>
              </w:rPr>
              <w:t>166,408,434</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106,864,056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191,863,026</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1,916,962,900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132,460,056</w:t>
            </w:r>
          </w:p>
        </w:tc>
      </w:tr>
      <w:tr>
        <w:trPr>
          <w:trHeight w:val="482"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按持股比例计算的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净资产份额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84,456,900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35,060,417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85,839,488</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741,599,043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78,477,443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588,318,174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76,547,878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28,497,082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93,993,696</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639,240,879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47,146,800</w:t>
            </w: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-115,369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-3,376,530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471,164,427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358,677,069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420,422,124</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-412,831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-3,376,530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473,325,526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389,570,030</w:t>
            </w: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-115,369</w:t>
            </w: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-412,831</w:t>
            </w: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-3,376,530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471,164,427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358,677,069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420,422,124</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-3,376,530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473,325,526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389,570,030</w:t>
            </w:r>
          </w:p>
        </w:tc>
      </w:tr>
      <w:tr>
        <w:trPr>
          <w:trHeight w:val="482"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对联营企业权益投</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资的账面价值</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84,456,900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34,945,048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82,462,958</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1,212,763,470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437,154,512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1,008,740,298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76,547,879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28,084,251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90,617,166</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1,112,566,405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436,716,830</w:t>
            </w:r>
          </w:p>
        </w:tc>
      </w:tr>
      <w:tr>
        <w:trPr>
          <w:trHeight w:val="715"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存在公开报价的联</w:t>
            </w:r>
          </w:p>
          <w:p>
            <w:pPr>
              <w:pStyle w:val="TableParagraph"/>
              <w:spacing w:line="240" w:lineRule="auto"/>
              <w:ind w:left="23" w:right="105"/>
              <w:jc w:val="left"/>
              <w:rPr>
                <w:rFonts w:ascii="宋体" w:hAnsi="宋体" w:cs="宋体" w:eastAsia="宋体" w:hint="default"/>
                <w:sz w:val="18"/>
                <w:szCs w:val="18"/>
              </w:rPr>
            </w:pPr>
            <w:r>
              <w:rPr>
                <w:rFonts w:ascii="宋体" w:hAnsi="宋体" w:cs="宋体" w:eastAsia="宋体" w:hint="default"/>
                <w:sz w:val="18"/>
                <w:szCs w:val="18"/>
              </w:rPr>
              <w:t>营企业权益投资的 公允价值</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434,630,938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389,637,028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269,258,191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1,428,400,716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257,480,756</w:t>
            </w: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430,024,838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351,164,773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340,671,368</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792,691,542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128,001,483</w:t>
            </w: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17,193,524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24,192,124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-19,382,121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73,624,886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-217,209,651</w:t>
            </w: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13,522,430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21,443,138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5,591,392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4,660,003</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-116,190,698</w:t>
            </w:r>
          </w:p>
        </w:tc>
      </w:tr>
      <w:tr>
        <w:trPr>
          <w:trHeight w:val="248"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46"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-9,075,299</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3,192,196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-52,789,390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-6,306,443</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-1,813,844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18,407,990</w:t>
            </w:r>
          </w:p>
        </w:tc>
      </w:tr>
      <w:tr>
        <w:trPr>
          <w:trHeight w:val="247"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17,193,524</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24,192,124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-28,457,420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76,817,082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-269,999,041</w:t>
            </w:r>
          </w:p>
        </w:tc>
        <w:tc>
          <w:tcPr>
            <w:tcW w:w="1334"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13,522,430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21,443,138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-715,051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2,846,159</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-97,782,708</w:t>
            </w:r>
          </w:p>
        </w:tc>
      </w:tr>
      <w:tr>
        <w:trPr>
          <w:trHeight w:val="480" w:hRule="exact"/>
        </w:trPr>
        <w:tc>
          <w:tcPr>
            <w:tcW w:w="1582"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本年度收到的来自</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联营企业的股利</w:t>
            </w:r>
          </w:p>
        </w:tc>
        <w:tc>
          <w:tcPr>
            <w:tcW w:w="1046" w:type="dxa"/>
            <w:tcBorders>
              <w:top w:val="single" w:sz="6" w:space="0" w:color="000000"/>
              <w:left w:val="single" w:sz="6" w:space="0" w:color="000000"/>
              <w:bottom w:val="single" w:sz="4" w:space="0" w:color="000000"/>
              <w:right w:val="single" w:sz="6" w:space="0" w:color="000000"/>
            </w:tcBorders>
          </w:tcPr>
          <w:p>
            <w:pPr/>
          </w:p>
        </w:tc>
        <w:tc>
          <w:tcPr>
            <w:tcW w:w="1045" w:type="dxa"/>
            <w:tcBorders>
              <w:top w:val="single" w:sz="6" w:space="0" w:color="000000"/>
              <w:left w:val="single" w:sz="6" w:space="0" w:color="000000"/>
              <w:bottom w:val="single" w:sz="4" w:space="0" w:color="000000"/>
              <w:right w:val="single" w:sz="6" w:space="0" w:color="000000"/>
            </w:tcBorders>
          </w:tcPr>
          <w:p>
            <w:pPr/>
          </w:p>
        </w:tc>
        <w:tc>
          <w:tcPr>
            <w:tcW w:w="1046" w:type="dxa"/>
            <w:tcBorders>
              <w:top w:val="single" w:sz="6" w:space="0" w:color="000000"/>
              <w:left w:val="single" w:sz="6" w:space="0" w:color="000000"/>
              <w:bottom w:val="single" w:sz="4" w:space="0" w:color="000000"/>
              <w:right w:val="single" w:sz="6" w:space="0" w:color="000000"/>
            </w:tcBorders>
          </w:tcPr>
          <w:p>
            <w:pPr/>
          </w:p>
        </w:tc>
        <w:tc>
          <w:tcPr>
            <w:tcW w:w="1226" w:type="dxa"/>
            <w:tcBorders>
              <w:top w:val="single" w:sz="6" w:space="0" w:color="000000"/>
              <w:left w:val="single" w:sz="6" w:space="0" w:color="000000"/>
              <w:bottom w:val="single" w:sz="4" w:space="0" w:color="000000"/>
              <w:right w:val="single" w:sz="6" w:space="0" w:color="000000"/>
            </w:tcBorders>
          </w:tcPr>
          <w:p>
            <w:pPr/>
          </w:p>
        </w:tc>
        <w:tc>
          <w:tcPr>
            <w:tcW w:w="1136"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046" w:type="dxa"/>
            <w:tcBorders>
              <w:top w:val="single" w:sz="6" w:space="0" w:color="000000"/>
              <w:left w:val="single" w:sz="6" w:space="0" w:color="000000"/>
              <w:bottom w:val="single" w:sz="4" w:space="0" w:color="000000"/>
              <w:right w:val="single" w:sz="6" w:space="0" w:color="000000"/>
            </w:tcBorders>
          </w:tcPr>
          <w:p>
            <w:pPr/>
          </w:p>
        </w:tc>
        <w:tc>
          <w:tcPr>
            <w:tcW w:w="104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4,656,203</w:t>
            </w:r>
          </w:p>
        </w:tc>
        <w:tc>
          <w:tcPr>
            <w:tcW w:w="1046" w:type="dxa"/>
            <w:tcBorders>
              <w:top w:val="single" w:sz="6" w:space="0" w:color="000000"/>
              <w:left w:val="single" w:sz="6" w:space="0" w:color="000000"/>
              <w:bottom w:val="single" w:sz="4" w:space="0" w:color="000000"/>
              <w:right w:val="single" w:sz="6" w:space="0" w:color="000000"/>
            </w:tcBorders>
          </w:tcPr>
          <w:p>
            <w:pPr/>
          </w:p>
        </w:tc>
        <w:tc>
          <w:tcPr>
            <w:tcW w:w="1226" w:type="dxa"/>
            <w:tcBorders>
              <w:top w:val="single" w:sz="6" w:space="0" w:color="000000"/>
              <w:left w:val="single" w:sz="6" w:space="0" w:color="000000"/>
              <w:bottom w:val="single" w:sz="4" w:space="0" w:color="000000"/>
              <w:right w:val="single" w:sz="6" w:space="0" w:color="000000"/>
            </w:tcBorders>
          </w:tcPr>
          <w:p>
            <w:pPr/>
          </w:p>
        </w:tc>
        <w:tc>
          <w:tcPr>
            <w:tcW w:w="1150"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140" w:right="3316"/>
        <w:jc w:val="left"/>
      </w:pPr>
      <w:r>
        <w:rPr/>
        <w:t>其他说明</w:t>
      </w:r>
    </w:p>
    <w:p>
      <w:pPr>
        <w:spacing w:after="0" w:line="241" w:lineRule="exact"/>
        <w:jc w:val="left"/>
        <w:sectPr>
          <w:type w:val="continuous"/>
          <w:pgSz w:w="16840" w:h="11910" w:orient="landscape"/>
          <w:pgMar w:top="1580" w:bottom="280" w:left="1300" w:right="1380"/>
        </w:sectPr>
      </w:pPr>
    </w:p>
    <w:p>
      <w:pPr>
        <w:spacing w:line="240" w:lineRule="auto" w:before="4"/>
        <w:rPr>
          <w:rFonts w:ascii="宋体" w:hAnsi="宋体" w:cs="宋体" w:eastAsia="宋体" w:hint="default"/>
          <w:sz w:val="20"/>
          <w:szCs w:val="20"/>
        </w:rPr>
      </w:pPr>
    </w:p>
    <w:p>
      <w:pPr>
        <w:pStyle w:val="BodyText"/>
        <w:spacing w:line="240" w:lineRule="auto" w:before="36"/>
        <w:ind w:left="520" w:right="0"/>
        <w:jc w:val="left"/>
      </w:pPr>
      <w:r>
        <w:rPr/>
        <w:t>注：</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月末起，本公司不再将东软望海纳入合并财务报表范围，作为联营公司核算，因此东软望海本期利润表相关项目金额为</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r>
    </w:p>
    <w:p>
      <w:pPr>
        <w:spacing w:after="0" w:line="240" w:lineRule="auto"/>
        <w:jc w:val="left"/>
        <w:sectPr>
          <w:pgSz w:w="16840" w:h="11910" w:orient="landscape"/>
          <w:pgMar w:header="946" w:footer="1248" w:top="1300" w:bottom="1440" w:left="1340" w:right="14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129"/>
          <w:footerReference w:type="default" r:id="rId130"/>
          <w:pgSz w:w="11910" w:h="16840"/>
          <w:pgMar w:header="946" w:footer="1248" w:top="1300" w:bottom="1440" w:left="1580" w:right="1040"/>
          <w:pgNumType w:start="16"/>
        </w:sectPr>
      </w:pPr>
    </w:p>
    <w:p>
      <w:pPr>
        <w:pStyle w:val="Heading2"/>
        <w:spacing w:line="240" w:lineRule="auto"/>
        <w:ind w:right="0"/>
        <w:jc w:val="left"/>
        <w:rPr>
          <w:b w:val="0"/>
          <w:bCs w:val="0"/>
        </w:rPr>
      </w:pPr>
      <w:r>
        <w:rPr>
          <w:rFonts w:ascii="宋体" w:hAnsi="宋体" w:cs="宋体" w:eastAsia="宋体" w:hint="default"/>
          <w:w w:val="95"/>
        </w:rPr>
        <w:t>(4).</w:t>
      </w:r>
      <w:r>
        <w:rPr>
          <w:w w:val="95"/>
        </w:rPr>
        <w:t>不重要的合营企业和联营企业的汇总财务信息</w:t>
      </w:r>
      <w:r>
        <w:rPr>
          <w:b w:val="0"/>
          <w:bCs w:val="0"/>
        </w:rPr>
      </w:r>
    </w:p>
    <w:p>
      <w:pPr>
        <w:pStyle w:val="BodyText"/>
        <w:tabs>
          <w:tab w:pos="1060" w:val="left" w:leader="none"/>
        </w:tabs>
        <w:spacing w:line="240" w:lineRule="auto" w:before="6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521" w:space="10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57"/>
        <w:gridCol w:w="2643"/>
        <w:gridCol w:w="2650"/>
      </w:tblGrid>
      <w:tr>
        <w:trPr>
          <w:trHeight w:val="281" w:hRule="exact"/>
        </w:trPr>
        <w:tc>
          <w:tcPr>
            <w:tcW w:w="3757"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5,544,836</w:t>
            </w: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-2,455,164</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-1,105,523</w:t>
            </w:r>
          </w:p>
        </w:tc>
      </w:tr>
      <w:tr>
        <w:trPr>
          <w:trHeight w:val="281"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-2,455,164</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-1,105,523</w:t>
            </w:r>
          </w:p>
        </w:tc>
      </w:tr>
      <w:tr>
        <w:trPr>
          <w:trHeight w:val="284" w:hRule="exact"/>
        </w:trPr>
        <w:tc>
          <w:tcPr>
            <w:tcW w:w="3757"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100,882,028</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48,849,518</w:t>
            </w: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-5,199,620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-2,697,342</w:t>
            </w: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4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-5,199,620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-2,697,342</w:t>
            </w:r>
          </w:p>
        </w:tc>
      </w:tr>
    </w:tbl>
    <w:p>
      <w:pPr>
        <w:spacing w:line="240" w:lineRule="auto" w:before="3"/>
        <w:rPr>
          <w:rFonts w:ascii="宋体" w:hAnsi="宋体" w:cs="宋体" w:eastAsia="宋体" w:hint="default"/>
          <w:sz w:val="20"/>
          <w:szCs w:val="20"/>
        </w:rPr>
      </w:pPr>
    </w:p>
    <w:p>
      <w:pPr>
        <w:pStyle w:val="Heading2"/>
        <w:spacing w:line="240" w:lineRule="auto"/>
        <w:ind w:right="226"/>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7"/>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4</w:t>
      </w:r>
      <w:r>
        <w:rPr/>
        <w:t>、重要的共同经营</w:t>
      </w:r>
      <w:r>
        <w:rPr>
          <w:b w:val="0"/>
          <w:bCs w:val="0"/>
        </w:rPr>
      </w:r>
    </w:p>
    <w:p>
      <w:pPr>
        <w:pStyle w:val="BodyText"/>
        <w:spacing w:line="240" w:lineRule="auto" w:before="62"/>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5</w:t>
      </w:r>
      <w:r>
        <w:rPr/>
        <w:t>、在未纳入合并财务报表范围的结构化主体中的权益</w:t>
      </w:r>
      <w:r>
        <w:rPr>
          <w:b w:val="0"/>
          <w:bCs w:val="0"/>
        </w:rPr>
      </w:r>
    </w:p>
    <w:p>
      <w:pPr>
        <w:pStyle w:val="BodyText"/>
        <w:spacing w:line="274" w:lineRule="exact" w:before="64"/>
        <w:ind w:right="2760"/>
        <w:jc w:val="left"/>
      </w:pPr>
      <w:r>
        <w:rPr/>
        <w:t>未纳入合并财务报表范围的结构化主体的相关说明：</w:t>
      </w:r>
    </w:p>
    <w:p>
      <w:pPr>
        <w:pStyle w:val="BodyText"/>
        <w:spacing w:line="274" w:lineRule="exact"/>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6</w:t>
      </w:r>
      <w:r>
        <w:rPr/>
        <w:t>、其他</w:t>
      </w:r>
      <w:r>
        <w:rPr>
          <w:b w:val="0"/>
          <w:bCs w:val="0"/>
        </w:rPr>
      </w:r>
    </w:p>
    <w:p>
      <w:pPr>
        <w:pStyle w:val="BodyText"/>
        <w:tabs>
          <w:tab w:pos="1060" w:val="left" w:leader="none"/>
        </w:tabs>
        <w:spacing w:line="240" w:lineRule="auto" w:before="61"/>
        <w:ind w:right="2760"/>
        <w:jc w:val="left"/>
      </w:pPr>
      <w:r>
        <w:rPr>
          <w:spacing w:val="-1"/>
        </w:rPr>
        <w:t>□适用</w:t>
        <w:tab/>
      </w:r>
      <w:r>
        <w:rPr>
          <w:spacing w:val="-2"/>
        </w:rPr>
        <w:t>√不适用</w:t>
      </w:r>
    </w:p>
    <w:p>
      <w:pPr>
        <w:spacing w:after="0" w:line="240" w:lineRule="auto"/>
        <w:jc w:val="left"/>
        <w:sectPr>
          <w:type w:val="continuous"/>
          <w:pgSz w:w="11910" w:h="16840"/>
          <w:pgMar w:top="1580" w:bottom="280" w:left="1580" w:right="1040"/>
        </w:sectPr>
      </w:pPr>
    </w:p>
    <w:p>
      <w:pPr>
        <w:spacing w:line="240" w:lineRule="auto" w:before="6"/>
        <w:rPr>
          <w:rFonts w:ascii="宋体" w:hAnsi="宋体" w:cs="宋体" w:eastAsia="宋体" w:hint="default"/>
          <w:sz w:val="11"/>
          <w:szCs w:val="11"/>
        </w:rPr>
      </w:pPr>
    </w:p>
    <w:p>
      <w:pPr>
        <w:pStyle w:val="Heading2"/>
        <w:spacing w:line="240" w:lineRule="auto"/>
        <w:ind w:right="0"/>
        <w:jc w:val="both"/>
        <w:rPr>
          <w:b w:val="0"/>
          <w:bCs w:val="0"/>
        </w:rPr>
      </w:pPr>
      <w:r>
        <w:rPr/>
        <w:t>十、与金融工具相关的风险</w:t>
      </w:r>
      <w:r>
        <w:rPr>
          <w:b w:val="0"/>
          <w:bCs w:val="0"/>
        </w:rPr>
      </w:r>
    </w:p>
    <w:p>
      <w:pPr>
        <w:pStyle w:val="BodyText"/>
        <w:spacing w:line="240" w:lineRule="auto" w:before="64"/>
        <w:ind w:left="638" w:right="226" w:hanging="420"/>
        <w:jc w:val="left"/>
      </w:pPr>
      <w:r>
        <w:rPr/>
        <w:t>√适用</w:t>
      </w:r>
      <w:r>
        <w:rPr>
          <w:spacing w:val="-2"/>
        </w:rPr>
        <w:t> </w:t>
      </w:r>
      <w:r>
        <w:rPr/>
        <w:t>□不适用</w:t>
      </w:r>
      <w:r>
        <w:rPr>
          <w:w w:val="100"/>
        </w:rPr>
        <w:t> </w:t>
      </w:r>
      <w:r>
        <w:rPr>
          <w:spacing w:val="-2"/>
        </w:rPr>
        <w:t>本公司在经营过程中面临各种金融风险：信用风险、市场风险和流动性风险。公司董事会全</w:t>
      </w:r>
    </w:p>
    <w:p>
      <w:pPr>
        <w:pStyle w:val="BodyText"/>
        <w:spacing w:line="237" w:lineRule="auto"/>
        <w:ind w:right="237"/>
        <w:jc w:val="both"/>
      </w:pPr>
      <w:r>
        <w:rPr>
          <w:spacing w:val="-2"/>
        </w:rPr>
        <w:t>面负责风险管理目标和政策的确定，并对风险管理目标和政策承担最终责任，董事会已授权本公</w:t>
      </w:r>
      <w:r>
        <w:rPr>
          <w:spacing w:val="-25"/>
        </w:rPr>
        <w:t> </w:t>
      </w:r>
      <w:r>
        <w:rPr>
          <w:spacing w:val="-25"/>
        </w:rPr>
      </w:r>
      <w:r>
        <w:rPr>
          <w:spacing w:val="-2"/>
        </w:rPr>
        <w:t>司管理层设计和实施能确保风险管理目标和政策得以有效执行的程序。董事会通过财务部门递交</w:t>
      </w:r>
      <w:r>
        <w:rPr>
          <w:spacing w:val="-25"/>
        </w:rPr>
        <w:t> </w:t>
      </w:r>
      <w:r>
        <w:rPr>
          <w:spacing w:val="-25"/>
        </w:rPr>
      </w:r>
      <w:r>
        <w:rPr>
          <w:spacing w:val="-2"/>
        </w:rPr>
        <w:t>的月度报告来审查风险管理目标和政策的合理性及已执行程序的有效性。本公司的内部审计师也</w:t>
      </w:r>
      <w:r>
        <w:rPr>
          <w:spacing w:val="-25"/>
        </w:rPr>
        <w:t> </w:t>
      </w:r>
      <w:r>
        <w:rPr>
          <w:spacing w:val="-25"/>
        </w:rPr>
      </w:r>
      <w:r>
        <w:rPr>
          <w:spacing w:val="-2"/>
        </w:rPr>
        <w:t>会审计风险管理的政策、程序及其执行情况。本公司风险管理的总体目标是在不过度影响公司竞</w:t>
      </w:r>
      <w:r>
        <w:rPr>
          <w:spacing w:val="-25"/>
        </w:rPr>
        <w:t> </w:t>
      </w:r>
      <w:r>
        <w:rPr>
          <w:spacing w:val="-25"/>
        </w:rPr>
      </w:r>
      <w:r>
        <w:rPr/>
        <w:t>争力和应变力的情况下，制定全面系统降低风险的风险管理政策。</w:t>
      </w:r>
    </w:p>
    <w:p>
      <w:pPr>
        <w:spacing w:line="240" w:lineRule="auto" w:before="10"/>
        <w:rPr>
          <w:rFonts w:ascii="宋体" w:hAnsi="宋体" w:cs="宋体" w:eastAsia="宋体" w:hint="default"/>
          <w:sz w:val="22"/>
          <w:szCs w:val="22"/>
        </w:rPr>
      </w:pPr>
    </w:p>
    <w:p>
      <w:pPr>
        <w:pStyle w:val="BodyText"/>
        <w:spacing w:line="272" w:lineRule="exact"/>
        <w:ind w:left="638" w:right="226"/>
        <w:jc w:val="left"/>
      </w:pPr>
      <w:r>
        <w:rPr/>
        <w:t>（一）</w:t>
      </w:r>
      <w:r>
        <w:rPr>
          <w:spacing w:val="-2"/>
        </w:rPr>
        <w:t> </w:t>
      </w:r>
      <w:r>
        <w:rPr/>
        <w:t>信用风险</w:t>
      </w:r>
      <w:r>
        <w:rPr>
          <w:spacing w:val="-103"/>
        </w:rPr>
        <w:t> </w:t>
      </w:r>
      <w:r>
        <w:rPr>
          <w:spacing w:val="-103"/>
        </w:rPr>
      </w:r>
      <w:r>
        <w:rPr>
          <w:spacing w:val="-2"/>
        </w:rPr>
        <w:t>信用风险是指金融工具的一方不履行义务，造成另一方发生财务损失的风险。本公司主要面</w:t>
      </w:r>
    </w:p>
    <w:p>
      <w:pPr>
        <w:pStyle w:val="BodyText"/>
        <w:spacing w:line="272" w:lineRule="exact" w:before="1"/>
        <w:ind w:right="237"/>
        <w:jc w:val="both"/>
      </w:pPr>
      <w:r>
        <w:rPr>
          <w:spacing w:val="-2"/>
        </w:rPr>
        <w:t>临赊销导致的客户信用风险。在签订新合同之前，本公司会对新客户的信用风险进行评估，包括</w:t>
      </w:r>
      <w:r>
        <w:rPr>
          <w:spacing w:val="-25"/>
        </w:rPr>
        <w:t> </w:t>
      </w:r>
      <w:r>
        <w:rPr>
          <w:spacing w:val="-25"/>
        </w:rPr>
      </w:r>
      <w:r>
        <w:rPr/>
        <w:t>外部信用评级和在某些情况下的银行资信证明（当此信息可获取时）。</w:t>
      </w:r>
    </w:p>
    <w:p>
      <w:pPr>
        <w:pStyle w:val="BodyText"/>
        <w:spacing w:line="272" w:lineRule="exact" w:before="1"/>
        <w:ind w:right="228"/>
        <w:jc w:val="both"/>
      </w:pPr>
      <w:r>
        <w:rPr>
          <w:spacing w:val="-2"/>
        </w:rPr>
        <w:t>公司通过对已有客户信用评级的季度监控以及应收账款账龄分析的审核来确保公司的整体信用风</w:t>
      </w:r>
      <w:r>
        <w:rPr>
          <w:spacing w:val="-25"/>
        </w:rPr>
        <w:t> </w:t>
      </w:r>
      <w:r>
        <w:rPr>
          <w:spacing w:val="-25"/>
        </w:rPr>
      </w:r>
      <w:r>
        <w:rPr>
          <w:spacing w:val="-6"/>
        </w:rPr>
        <w:t>险在可控的范围内。在监控客户的信用风险时，按照客户的信用特征对其分组。被评为“高风险”</w:t>
      </w:r>
    </w:p>
    <w:p>
      <w:pPr>
        <w:pStyle w:val="BodyText"/>
        <w:spacing w:line="272" w:lineRule="exact" w:before="1"/>
        <w:ind w:right="237"/>
        <w:jc w:val="both"/>
      </w:pPr>
      <w:r>
        <w:rPr>
          <w:spacing w:val="-2"/>
        </w:rPr>
        <w:t>级别的客户会放在受限制客户名单里，并且只有在额外批准的前提下，公司才可在未来期间内对</w:t>
      </w:r>
      <w:r>
        <w:rPr>
          <w:spacing w:val="-25"/>
        </w:rPr>
        <w:t> </w:t>
      </w:r>
      <w:r>
        <w:rPr>
          <w:spacing w:val="-25"/>
        </w:rPr>
      </w:r>
      <w:r>
        <w:rPr/>
        <w:t>其赊销，否则要求其预付相应款项。</w:t>
      </w:r>
    </w:p>
    <w:p>
      <w:pPr>
        <w:spacing w:line="240" w:lineRule="auto" w:before="10"/>
        <w:rPr>
          <w:rFonts w:ascii="宋体" w:hAnsi="宋体" w:cs="宋体" w:eastAsia="宋体" w:hint="default"/>
          <w:sz w:val="18"/>
          <w:szCs w:val="18"/>
        </w:rPr>
      </w:pPr>
    </w:p>
    <w:p>
      <w:pPr>
        <w:pStyle w:val="BodyText"/>
        <w:spacing w:line="240" w:lineRule="auto"/>
        <w:ind w:left="638" w:right="226"/>
        <w:jc w:val="left"/>
      </w:pPr>
      <w:r>
        <w:rPr/>
        <w:t>（二）市场风险</w:t>
      </w:r>
      <w:r>
        <w:rPr>
          <w:spacing w:val="-103"/>
        </w:rPr>
        <w:t> </w:t>
      </w:r>
      <w:r>
        <w:rPr>
          <w:spacing w:val="-103"/>
        </w:rPr>
      </w:r>
      <w:r>
        <w:rPr>
          <w:spacing w:val="-2"/>
        </w:rPr>
        <w:t>金融工具的市场风险，是指金融工具的公允价值或未来现金流量因市场价格变动而发生波动</w:t>
      </w:r>
    </w:p>
    <w:p>
      <w:pPr>
        <w:pStyle w:val="BodyText"/>
        <w:spacing w:line="271" w:lineRule="exact"/>
        <w:ind w:right="0"/>
        <w:jc w:val="both"/>
      </w:pPr>
      <w:r>
        <w:rPr/>
        <w:t>的风险，包括汇率风险、利率风险和其他价格风险。</w:t>
      </w:r>
    </w:p>
    <w:p>
      <w:pPr>
        <w:pStyle w:val="BodyText"/>
        <w:spacing w:line="272" w:lineRule="exact" w:before="27"/>
        <w:ind w:left="638" w:right="226"/>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w:t>
      </w:r>
    </w:p>
    <w:p>
      <w:pPr>
        <w:pStyle w:val="BodyText"/>
        <w:spacing w:line="247" w:lineRule="exact"/>
        <w:ind w:right="0"/>
        <w:jc w:val="both"/>
      </w:pPr>
      <w:r>
        <w:rPr>
          <w:spacing w:val="-3"/>
        </w:rPr>
        <w:t>公司面临的市场风险主要与本公司以浮动利率计息的借款有关。截至</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11"/>
        </w:rPr>
        <w:t>日，公司短</w:t>
      </w:r>
    </w:p>
    <w:p>
      <w:pPr>
        <w:pStyle w:val="BodyText"/>
        <w:spacing w:line="273" w:lineRule="exact"/>
        <w:ind w:right="0"/>
        <w:jc w:val="both"/>
      </w:pPr>
      <w:r>
        <w:rPr/>
        <w:t>期借款折合人民币共计</w:t>
      </w:r>
      <w:r>
        <w:rPr>
          <w:spacing w:val="-54"/>
        </w:rPr>
        <w:t> </w:t>
      </w:r>
      <w:r>
        <w:rPr>
          <w:rFonts w:ascii="宋体" w:hAnsi="宋体" w:cs="宋体" w:eastAsia="宋体" w:hint="default"/>
        </w:rPr>
        <w:t>119,398,350</w:t>
      </w:r>
      <w:r>
        <w:rPr>
          <w:rFonts w:ascii="宋体" w:hAnsi="宋体" w:cs="宋体" w:eastAsia="宋体" w:hint="default"/>
          <w:spacing w:val="-57"/>
        </w:rPr>
        <w:t> </w:t>
      </w:r>
      <w:r>
        <w:rPr/>
        <w:t>元，长期借款</w:t>
      </w:r>
      <w:r>
        <w:rPr>
          <w:spacing w:val="-57"/>
        </w:rPr>
        <w:t> </w:t>
      </w:r>
      <w:r>
        <w:rPr>
          <w:rFonts w:ascii="宋体" w:hAnsi="宋体" w:cs="宋体" w:eastAsia="宋体" w:hint="default"/>
        </w:rPr>
        <w:t>600,000,000</w:t>
      </w:r>
      <w:r>
        <w:rPr>
          <w:rFonts w:ascii="宋体" w:hAnsi="宋体" w:cs="宋体" w:eastAsia="宋体" w:hint="default"/>
          <w:spacing w:val="-55"/>
        </w:rPr>
        <w:t> </w:t>
      </w:r>
      <w:r>
        <w:rPr/>
        <w:t>元，将于一年内到期的长期借款</w:t>
      </w:r>
    </w:p>
    <w:p>
      <w:pPr>
        <w:pStyle w:val="BodyText"/>
        <w:spacing w:line="272" w:lineRule="exact" w:before="27"/>
        <w:ind w:right="290"/>
        <w:jc w:val="both"/>
      </w:pPr>
      <w:r>
        <w:rPr>
          <w:rFonts w:ascii="宋体" w:hAnsi="宋体" w:cs="宋体" w:eastAsia="宋体" w:hint="default"/>
          <w:spacing w:val="-1"/>
        </w:rPr>
        <w:t>300,000,000</w:t>
      </w:r>
      <w:r>
        <w:rPr>
          <w:rFonts w:ascii="宋体" w:hAnsi="宋体" w:cs="宋体" w:eastAsia="宋体" w:hint="default"/>
        </w:rPr>
        <w:t> </w:t>
      </w:r>
      <w:r>
        <w:rPr>
          <w:spacing w:val="-2"/>
        </w:rPr>
        <w:t>元，在其他变量不变的假设下，利率发生合理变动对当期损益和股东权益的税前影</w:t>
      </w:r>
      <w:r>
        <w:rPr>
          <w:spacing w:val="-79"/>
        </w:rPr>
        <w:t> </w:t>
      </w:r>
      <w:r>
        <w:rPr>
          <w:spacing w:val="-79"/>
        </w:rPr>
      </w:r>
      <w:r>
        <w:rPr/>
        <w:t>响如下：</w:t>
      </w:r>
    </w:p>
    <w:tbl>
      <w:tblPr>
        <w:tblW w:w="0" w:type="auto"/>
        <w:jc w:val="left"/>
        <w:tblInd w:w="105" w:type="dxa"/>
        <w:tblLayout w:type="fixed"/>
        <w:tblCellMar>
          <w:top w:w="0" w:type="dxa"/>
          <w:left w:w="0" w:type="dxa"/>
          <w:bottom w:w="0" w:type="dxa"/>
          <w:right w:w="0" w:type="dxa"/>
        </w:tblCellMar>
        <w:tblLook w:val="01E0"/>
      </w:tblPr>
      <w:tblGrid>
        <w:gridCol w:w="2643"/>
        <w:gridCol w:w="1766"/>
        <w:gridCol w:w="2352"/>
        <w:gridCol w:w="2288"/>
      </w:tblGrid>
      <w:tr>
        <w:trPr>
          <w:trHeight w:val="283" w:hRule="exact"/>
        </w:trPr>
        <w:tc>
          <w:tcPr>
            <w:tcW w:w="2643"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7"/>
              <w:ind w:left="456"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4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1"/>
                <w:sz w:val="21"/>
                <w:szCs w:val="21"/>
              </w:rPr>
              <w:t> </w:t>
            </w:r>
            <w:r>
              <w:rPr>
                <w:rFonts w:ascii="宋体" w:hAnsi="宋体" w:cs="宋体" w:eastAsia="宋体" w:hint="default"/>
                <w:sz w:val="21"/>
                <w:szCs w:val="21"/>
              </w:rPr>
              <w:t>月</w:t>
            </w:r>
          </w:p>
        </w:tc>
      </w:tr>
      <w:tr>
        <w:trPr>
          <w:trHeight w:val="283" w:hRule="exact"/>
        </w:trPr>
        <w:tc>
          <w:tcPr>
            <w:tcW w:w="2643"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-140,044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-140,044</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140,044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140,044</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-397,500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-397,500</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397,500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397,500</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-821,500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-821,500</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821,500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821,500</w:t>
            </w:r>
          </w:p>
        </w:tc>
      </w:tr>
    </w:tbl>
    <w:p>
      <w:pPr>
        <w:spacing w:after="0" w:line="241" w:lineRule="exact"/>
        <w:jc w:val="right"/>
        <w:rPr>
          <w:rFonts w:ascii="宋体" w:hAnsi="宋体" w:cs="宋体" w:eastAsia="宋体" w:hint="default"/>
          <w:sz w:val="21"/>
          <w:szCs w:val="21"/>
        </w:rPr>
        <w:sectPr>
          <w:pgSz w:w="11910" w:h="16840"/>
          <w:pgMar w:header="946" w:footer="1248" w:top="1300" w:bottom="1440" w:left="1580" w:right="1040"/>
        </w:sectPr>
      </w:pPr>
    </w:p>
    <w:p>
      <w:pPr>
        <w:spacing w:line="240" w:lineRule="auto" w:before="1"/>
        <w:rPr>
          <w:rFonts w:ascii="宋体" w:hAnsi="宋体" w:cs="宋体" w:eastAsia="宋体" w:hint="default"/>
          <w:sz w:val="6"/>
          <w:szCs w:val="6"/>
        </w:rPr>
      </w:pPr>
    </w:p>
    <w:p>
      <w:pPr>
        <w:spacing w:line="360" w:lineRule="exact"/>
        <w:ind w:left="622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640" w:right="0"/>
        <w:jc w:val="left"/>
      </w:pPr>
      <w:r>
        <w:rPr/>
        <w:t>（</w:t>
      </w:r>
      <w:r>
        <w:rPr>
          <w:rFonts w:ascii="宋体" w:hAnsi="宋体" w:cs="宋体" w:eastAsia="宋体" w:hint="default"/>
        </w:rPr>
        <w:t>2</w:t>
      </w:r>
      <w:r>
        <w:rPr/>
        <w:t>）汇率风险</w:t>
      </w:r>
      <w:r>
        <w:rPr>
          <w:w w:val="100"/>
        </w:rPr>
        <w:t> </w:t>
      </w:r>
      <w:r>
        <w:rPr>
          <w:spacing w:val="-2"/>
        </w:rPr>
        <w:t>汇率风险，是指金融工具的公允价值或未来现金流量因外汇汇率变动而发生波动的风险。本公司尽可能将外币收入与外币支出相匹配以降</w:t>
      </w:r>
    </w:p>
    <w:p>
      <w:pPr>
        <w:pStyle w:val="BodyText"/>
        <w:spacing w:line="271" w:lineRule="exact"/>
        <w:ind w:left="220" w:right="0"/>
        <w:jc w:val="left"/>
      </w:pPr>
      <w:r>
        <w:rPr/>
        <w:t>低汇率风险。</w:t>
      </w:r>
    </w:p>
    <w:p>
      <w:pPr>
        <w:pStyle w:val="BodyText"/>
        <w:spacing w:line="274" w:lineRule="exact"/>
        <w:ind w:left="640" w:right="0"/>
        <w:jc w:val="left"/>
      </w:pPr>
      <w:r>
        <w:rPr/>
        <w:t>本公司面临的汇率风险主要来源于以外币计价的金融资产和金融负债，公司期末外币金融资产和外币金融负债列示见下表：</w:t>
      </w:r>
    </w:p>
    <w:p>
      <w:pPr>
        <w:pStyle w:val="BodyText"/>
        <w:spacing w:line="271" w:lineRule="exact"/>
        <w:ind w:left="0" w:right="222"/>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13"/>
        <w:gridCol w:w="1628"/>
        <w:gridCol w:w="1483"/>
        <w:gridCol w:w="1061"/>
        <w:gridCol w:w="1923"/>
        <w:gridCol w:w="1483"/>
        <w:gridCol w:w="1189"/>
        <w:gridCol w:w="1776"/>
        <w:gridCol w:w="1335"/>
      </w:tblGrid>
      <w:tr>
        <w:trPr>
          <w:trHeight w:val="281" w:hRule="exact"/>
        </w:trPr>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4" w:hRule="exact"/>
        </w:trPr>
        <w:tc>
          <w:tcPr>
            <w:tcW w:w="2213"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比索</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53,906,280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3,403,802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679,085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2,075,805,341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1,546,480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161,050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1,563,766</w:t>
            </w: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8,276,505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3,277,250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2,113,458,052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1,035,485</w:t>
            </w: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44,419</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5,534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168,921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105,088,025</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112,624</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123,626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79,752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55,637</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12,960,000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74,922,809</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62,311,945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6,929,725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679,085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4,382,234,227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2,581,965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373,730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1,563,766</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3,754,120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94,827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31,040,993</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66,845</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348,570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444,413,944</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406</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425,565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79,455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14,528,255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7,335,428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477,254,937</w:t>
            </w:r>
          </w:p>
        </w:tc>
        <w:tc>
          <w:tcPr>
            <w:tcW w:w="1483"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67,251</w:t>
            </w: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0.8359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0.057883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4.8831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6.6779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1.6662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0.1309</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312,228,187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-3,165,417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567,647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226,031,916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12,607,993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26,491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510,655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204,697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31"/>
          <w:footerReference w:type="default" r:id="rId132"/>
          <w:pgSz w:w="16840" w:h="11910" w:orient="landscape"/>
          <w:pgMar w:header="0" w:footer="0" w:top="86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171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9"/>
          <w:szCs w:val="19"/>
        </w:rPr>
      </w:pPr>
    </w:p>
    <w:p>
      <w:pPr>
        <w:pStyle w:val="BodyText"/>
        <w:spacing w:line="272" w:lineRule="exact"/>
        <w:ind w:right="226" w:firstLine="419"/>
        <w:jc w:val="left"/>
      </w:pPr>
      <w:r>
        <w:rPr>
          <w:spacing w:val="-2"/>
        </w:rPr>
        <w:t>下表为外汇风险敏感性分析，反映了在其他变量不变的情况下，汇率可能发生的合理变动对</w:t>
      </w:r>
      <w:r>
        <w:rPr>
          <w:w w:val="100"/>
        </w:rPr>
        <w:t> </w:t>
      </w:r>
      <w:r>
        <w:rPr/>
        <w:t>当期损益和股东权益的税前影响。</w:t>
      </w:r>
    </w:p>
    <w:p>
      <w:pPr>
        <w:pStyle w:val="BodyText"/>
        <w:spacing w:line="249" w:lineRule="exact"/>
        <w:ind w:left="0" w:right="662"/>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7"/>
        <w:gridCol w:w="1968"/>
        <w:gridCol w:w="2544"/>
        <w:gridCol w:w="2420"/>
      </w:tblGrid>
      <w:tr>
        <w:trPr>
          <w:trHeight w:val="283" w:hRule="exact"/>
        </w:trPr>
        <w:tc>
          <w:tcPr>
            <w:tcW w:w="2117"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114"/>
              <w:ind w:left="559"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4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95" w:hRule="exact"/>
        </w:trPr>
        <w:tc>
          <w:tcPr>
            <w:tcW w:w="2117" w:type="dxa"/>
            <w:vMerge/>
            <w:tcBorders>
              <w:left w:val="single" w:sz="4" w:space="0" w:color="000000"/>
              <w:bottom w:val="single" w:sz="4" w:space="0" w:color="000000"/>
              <w:right w:val="single" w:sz="4" w:space="0" w:color="000000"/>
            </w:tcBorders>
          </w:tcPr>
          <w:p>
            <w:pPr/>
          </w:p>
        </w:tc>
        <w:tc>
          <w:tcPr>
            <w:tcW w:w="1968" w:type="dxa"/>
            <w:vMerge/>
            <w:tcBorders>
              <w:left w:val="single" w:sz="4" w:space="0" w:color="000000"/>
              <w:bottom w:val="single" w:sz="4" w:space="0" w:color="000000"/>
              <w:right w:val="single" w:sz="4" w:space="0" w:color="000000"/>
            </w:tcBorders>
          </w:tcPr>
          <w:p>
            <w:pP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4"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4"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15,611,409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15,611,409</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-15,611,409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-15,611,409</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-158,271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-158,271</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158,271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158,271</w:t>
            </w:r>
          </w:p>
        </w:tc>
      </w:tr>
      <w:tr>
        <w:trPr>
          <w:trHeight w:val="29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28,382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28,382</w:t>
            </w:r>
          </w:p>
        </w:tc>
      </w:tr>
      <w:tr>
        <w:trPr>
          <w:trHeight w:val="296"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-28,382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-28,382</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11,301,596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11,301,596</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-11,301,596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-11,301,596</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630,400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630,400</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-630,400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-630,400</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1,325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1,325</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-1,325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-1,325</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25,533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25,533</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-25,533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-25,533</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10,235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10,235</w:t>
            </w:r>
          </w:p>
        </w:tc>
      </w:tr>
      <w:tr>
        <w:trPr>
          <w:trHeight w:val="295"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-10,235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-10,235</w:t>
            </w:r>
          </w:p>
        </w:tc>
      </w:tr>
    </w:tbl>
    <w:p>
      <w:pPr>
        <w:spacing w:line="240" w:lineRule="auto" w:before="6"/>
        <w:rPr>
          <w:rFonts w:ascii="宋体" w:hAnsi="宋体" w:cs="宋体" w:eastAsia="宋体" w:hint="default"/>
          <w:sz w:val="14"/>
          <w:szCs w:val="14"/>
        </w:rPr>
      </w:pPr>
    </w:p>
    <w:p>
      <w:pPr>
        <w:pStyle w:val="BodyText"/>
        <w:spacing w:line="273" w:lineRule="exact" w:before="36"/>
        <w:ind w:left="638" w:right="2760"/>
        <w:jc w:val="left"/>
      </w:pPr>
      <w:r>
        <w:rPr/>
        <w:t>（</w:t>
      </w:r>
      <w:r>
        <w:rPr>
          <w:rFonts w:ascii="宋体" w:hAnsi="宋体" w:cs="宋体" w:eastAsia="宋体" w:hint="default"/>
        </w:rPr>
        <w:t>3</w:t>
      </w:r>
      <w:r>
        <w:rPr/>
        <w:t>）其他价格风险</w:t>
      </w:r>
    </w:p>
    <w:p>
      <w:pPr>
        <w:pStyle w:val="BodyText"/>
        <w:spacing w:line="237" w:lineRule="auto"/>
        <w:ind w:right="230" w:firstLine="419"/>
        <w:jc w:val="both"/>
      </w:pPr>
      <w:r>
        <w:rPr>
          <w:rFonts w:ascii="宋体" w:hAnsi="宋体" w:cs="宋体" w:eastAsia="宋体" w:hint="default"/>
        </w:rPr>
        <w:t>2017</w:t>
      </w:r>
      <w:r>
        <w:rPr>
          <w:rFonts w:ascii="宋体" w:hAnsi="宋体" w:cs="宋体" w:eastAsia="宋体" w:hint="default"/>
          <w:spacing w:val="-38"/>
        </w:rPr>
        <w:t> </w:t>
      </w:r>
      <w:r>
        <w:rPr/>
        <w:t>年</w:t>
      </w:r>
      <w:r>
        <w:rPr>
          <w:spacing w:val="-35"/>
        </w:rPr>
        <w:t> </w:t>
      </w:r>
      <w:r>
        <w:rPr>
          <w:rFonts w:ascii="宋体" w:hAnsi="宋体" w:cs="宋体" w:eastAsia="宋体" w:hint="default"/>
        </w:rPr>
        <w:t>3</w:t>
      </w:r>
      <w:r>
        <w:rPr>
          <w:rFonts w:ascii="宋体" w:hAnsi="宋体" w:cs="宋体" w:eastAsia="宋体" w:hint="default"/>
          <w:spacing w:val="-38"/>
        </w:rPr>
        <w:t> </w:t>
      </w:r>
      <w:r>
        <w:rPr>
          <w:spacing w:val="-3"/>
        </w:rPr>
        <w:t>月，本公司之全资子公司—东软（香港）有限公司作为锚定投资者，参与弘和仁爱</w:t>
      </w:r>
      <w:r>
        <w:rPr>
          <w:w w:val="100"/>
        </w:rPr>
        <w:t> </w:t>
      </w:r>
      <w:r>
        <w:rPr>
          <w:spacing w:val="-2"/>
        </w:rPr>
        <w:t>医疗集团有限公司（以下简称“弘和仁爱医疗”）在香港联合交易所的首次公开发行，以自有资</w:t>
      </w:r>
      <w:r>
        <w:rPr>
          <w:spacing w:val="-25"/>
        </w:rPr>
        <w:t> </w:t>
      </w:r>
      <w:r>
        <w:rPr>
          <w:spacing w:val="-25"/>
        </w:rPr>
      </w:r>
      <w:r>
        <w:rPr/>
        <w:t>金</w:t>
      </w:r>
      <w:r>
        <w:rPr>
          <w:spacing w:val="-54"/>
        </w:rPr>
        <w:t> </w:t>
      </w:r>
      <w:r>
        <w:rPr>
          <w:rFonts w:ascii="宋体" w:hAnsi="宋体" w:cs="宋体" w:eastAsia="宋体" w:hint="default"/>
        </w:rPr>
        <w:t>500</w:t>
      </w:r>
      <w:r>
        <w:rPr>
          <w:rFonts w:ascii="宋体" w:hAnsi="宋体" w:cs="宋体" w:eastAsia="宋体" w:hint="default"/>
          <w:spacing w:val="-56"/>
        </w:rPr>
        <w:t> </w:t>
      </w:r>
      <w:r>
        <w:rPr/>
        <w:t>万美元，按弘和仁爱医疗在香港联合交易所首次公开发行价格进行认购。</w:t>
      </w:r>
    </w:p>
    <w:p>
      <w:pPr>
        <w:pStyle w:val="BodyText"/>
        <w:spacing w:line="274" w:lineRule="exact"/>
        <w:ind w:left="638" w:right="2760"/>
        <w:jc w:val="left"/>
      </w:pPr>
      <w:r>
        <w:rPr/>
        <w:t>本公司持有的上市公司权益投资列示如下：</w:t>
      </w:r>
    </w:p>
    <w:p>
      <w:pPr>
        <w:pStyle w:val="BodyText"/>
        <w:spacing w:line="271" w:lineRule="exact"/>
        <w:ind w:left="0" w:right="23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36"/>
        <w:gridCol w:w="2662"/>
        <w:gridCol w:w="1952"/>
      </w:tblGrid>
      <w:tr>
        <w:trPr>
          <w:trHeight w:val="28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89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34,192,490</w:t>
            </w: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89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34,192,490</w:t>
            </w:r>
          </w:p>
        </w:tc>
        <w:tc>
          <w:tcPr>
            <w:tcW w:w="19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5" w:lineRule="exact" w:before="36"/>
        <w:ind w:left="638" w:right="2760"/>
        <w:jc w:val="left"/>
      </w:pPr>
      <w:r>
        <w:rPr/>
        <w:t>其中可供出售金融资产明细如下：</w:t>
      </w:r>
    </w:p>
    <w:p>
      <w:pPr>
        <w:pStyle w:val="BodyText"/>
        <w:spacing w:line="275" w:lineRule="exact"/>
        <w:ind w:left="0" w:right="347"/>
        <w:jc w:val="right"/>
      </w:pPr>
      <w:r>
        <w:rPr/>
        <w:t>单位：元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7"/>
        <w:gridCol w:w="1167"/>
        <w:gridCol w:w="1462"/>
        <w:gridCol w:w="1460"/>
        <w:gridCol w:w="1315"/>
        <w:gridCol w:w="877"/>
        <w:gridCol w:w="1313"/>
      </w:tblGrid>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证券代码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firstLine="50"/>
              <w:jc w:val="left"/>
              <w:rPr>
                <w:rFonts w:ascii="宋体" w:hAnsi="宋体" w:cs="宋体" w:eastAsia="宋体" w:hint="default"/>
                <w:sz w:val="21"/>
                <w:szCs w:val="21"/>
              </w:rPr>
            </w:pPr>
            <w:r>
              <w:rPr>
                <w:rFonts w:ascii="宋体" w:hAnsi="宋体" w:cs="宋体" w:eastAsia="宋体" w:hint="default"/>
                <w:sz w:val="21"/>
                <w:szCs w:val="21"/>
              </w:rPr>
              <w:t>占该公司股</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r>
              <w:rPr>
                <w:rFonts w:ascii="宋体" w:hAnsi="宋体" w:cs="宋体" w:eastAsia="宋体" w:hint="default"/>
                <w:sz w:val="21"/>
                <w:szCs w:val="21"/>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报告期所有</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者权益变动</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HK03869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弘和仁爱</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医疗</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34,762,373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4" w:right="0"/>
              <w:jc w:val="left"/>
              <w:rPr>
                <w:rFonts w:ascii="宋体" w:hAnsi="宋体" w:cs="宋体" w:eastAsia="宋体" w:hint="default"/>
                <w:sz w:val="21"/>
                <w:szCs w:val="21"/>
              </w:rPr>
            </w:pPr>
            <w:r>
              <w:rPr>
                <w:rFonts w:ascii="宋体"/>
                <w:sz w:val="21"/>
              </w:rPr>
              <w:t>2.19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sz w:val="21"/>
              </w:rPr>
              <w:t>34,192,490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-569,883</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34,762,373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 w:right="0"/>
              <w:jc w:val="center"/>
              <w:rPr>
                <w:rFonts w:ascii="宋体" w:hAnsi="宋体" w:cs="宋体" w:eastAsia="宋体" w:hint="default"/>
                <w:sz w:val="21"/>
                <w:szCs w:val="21"/>
              </w:rPr>
            </w:pPr>
            <w:r>
              <w:rPr>
                <w:rFonts w:ascii="宋体"/>
                <w:sz w:val="21"/>
              </w:rPr>
              <w:t>34,192,490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-569,883</w:t>
            </w:r>
          </w:p>
        </w:tc>
      </w:tr>
    </w:tbl>
    <w:p>
      <w:pPr>
        <w:spacing w:line="240" w:lineRule="auto" w:before="7"/>
        <w:rPr>
          <w:rFonts w:ascii="宋体" w:hAnsi="宋体" w:cs="宋体" w:eastAsia="宋体" w:hint="default"/>
          <w:sz w:val="15"/>
          <w:szCs w:val="15"/>
        </w:rPr>
      </w:pPr>
    </w:p>
    <w:p>
      <w:pPr>
        <w:pStyle w:val="BodyText"/>
        <w:spacing w:line="272" w:lineRule="exact" w:before="64"/>
        <w:ind w:left="638" w:right="226"/>
        <w:jc w:val="left"/>
      </w:pPr>
      <w:r>
        <w:rPr>
          <w:rFonts w:ascii="宋体" w:hAnsi="宋体" w:cs="宋体" w:eastAsia="宋体" w:hint="default"/>
        </w:rPr>
        <w:t>(</w:t>
      </w:r>
      <w:r>
        <w:rPr/>
        <w:t>三</w:t>
      </w:r>
      <w:r>
        <w:rPr>
          <w:rFonts w:ascii="宋体" w:hAnsi="宋体" w:cs="宋体" w:eastAsia="宋体" w:hint="default"/>
        </w:rPr>
        <w:t>)</w:t>
      </w:r>
      <w:r>
        <w:rPr/>
        <w:t>流动性风险</w:t>
      </w:r>
      <w:r>
        <w:rPr>
          <w:spacing w:val="-103"/>
        </w:rPr>
        <w:t> </w:t>
      </w:r>
      <w:r>
        <w:rPr>
          <w:spacing w:val="-103"/>
        </w:rPr>
      </w:r>
      <w:r>
        <w:rPr>
          <w:spacing w:val="-2"/>
        </w:rPr>
        <w:t>流动风险，是指企业在履行以交付现金或其他金融资产的方式结算的义务时发生资金短缺的</w:t>
      </w:r>
    </w:p>
    <w:p>
      <w:pPr>
        <w:pStyle w:val="BodyText"/>
        <w:spacing w:line="272" w:lineRule="exact" w:before="1"/>
        <w:ind w:right="227"/>
        <w:jc w:val="left"/>
      </w:pPr>
      <w:r>
        <w:rPr>
          <w:spacing w:val="-2"/>
        </w:rPr>
        <w:t>风险。本公司的政策是确保拥有充足的现金以偿还到期债务。流动性风险由本公司的财务部门集</w:t>
      </w:r>
      <w:r>
        <w:rPr>
          <w:spacing w:val="-25"/>
        </w:rPr>
        <w:t> </w:t>
      </w:r>
      <w:r>
        <w:rPr>
          <w:spacing w:val="-25"/>
        </w:rPr>
      </w:r>
      <w:r>
        <w:rPr>
          <w:spacing w:val="-4"/>
        </w:rPr>
        <w:t>中控制。财务部门通过监控银行存款余额以及对未来 </w:t>
      </w:r>
      <w:r>
        <w:rPr>
          <w:rFonts w:ascii="宋体" w:hAnsi="宋体" w:cs="宋体" w:eastAsia="宋体" w:hint="default"/>
        </w:rPr>
        <w:t>12</w:t>
      </w:r>
      <w:r>
        <w:rPr>
          <w:rFonts w:ascii="宋体" w:hAnsi="宋体" w:cs="宋体" w:eastAsia="宋体" w:hint="default"/>
          <w:spacing w:val="-23"/>
        </w:rPr>
        <w:t> </w:t>
      </w:r>
      <w:r>
        <w:rPr>
          <w:spacing w:val="-5"/>
        </w:rPr>
        <w:t>个月现金流量的滚动预测，确保公司在所</w:t>
      </w:r>
    </w:p>
    <w:p>
      <w:pPr>
        <w:pStyle w:val="BodyText"/>
        <w:spacing w:line="272" w:lineRule="exact" w:before="1"/>
        <w:ind w:left="638" w:right="226" w:hanging="420"/>
        <w:jc w:val="left"/>
      </w:pPr>
      <w:r>
        <w:rPr/>
        <w:t>有合理预测的情况下拥有充足的资金偿还债务。</w:t>
      </w:r>
      <w:r>
        <w:rPr>
          <w:w w:val="100"/>
        </w:rPr>
        <w:t> </w:t>
      </w:r>
      <w:r>
        <w:rPr>
          <w:spacing w:val="-2"/>
        </w:rPr>
        <w:t>本公司在资金正常和紧张的情况下，确保有足够的流动性来履行到期债务，且与金融机构进</w:t>
      </w:r>
    </w:p>
    <w:p>
      <w:pPr>
        <w:pStyle w:val="BodyText"/>
        <w:spacing w:line="272" w:lineRule="exact" w:before="1"/>
        <w:ind w:left="638" w:right="226" w:hanging="420"/>
        <w:jc w:val="left"/>
      </w:pPr>
      <w:r>
        <w:rPr/>
        <w:t>行融资磋商，保持一定水平的备用授信额度以降低流动性风险。</w:t>
      </w:r>
      <w:r>
        <w:rPr>
          <w:w w:val="100"/>
        </w:rPr>
        <w:t> </w:t>
      </w:r>
      <w:r>
        <w:rPr>
          <w:spacing w:val="-2"/>
        </w:rPr>
        <w:t>下表概括了金融负债按未折现的合同现金流量所作的到期期限分析：</w:t>
      </w:r>
    </w:p>
    <w:p>
      <w:pPr>
        <w:spacing w:after="0" w:line="272" w:lineRule="exact"/>
        <w:jc w:val="left"/>
        <w:sectPr>
          <w:footerReference w:type="default" r:id="rId133"/>
          <w:pgSz w:w="11910" w:h="16840"/>
          <w:pgMar w:footer="1248" w:header="0" w:top="1300" w:bottom="1440" w:left="1580" w:right="1040"/>
          <w:pgNumType w:start="172"/>
        </w:sectPr>
      </w:pPr>
    </w:p>
    <w:p>
      <w:pPr>
        <w:spacing w:line="240" w:lineRule="auto" w:before="2"/>
        <w:rPr>
          <w:rFonts w:ascii="宋体" w:hAnsi="宋体" w:cs="宋体" w:eastAsia="宋体" w:hint="default"/>
          <w:sz w:val="11"/>
          <w:szCs w:val="11"/>
        </w:rPr>
      </w:pPr>
    </w:p>
    <w:p>
      <w:pPr>
        <w:pStyle w:val="BodyText"/>
        <w:spacing w:line="240" w:lineRule="auto" w:before="36"/>
        <w:ind w:left="0" w:right="23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5"/>
        <w:gridCol w:w="1634"/>
        <w:gridCol w:w="1632"/>
        <w:gridCol w:w="1510"/>
        <w:gridCol w:w="1507"/>
      </w:tblGrid>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119,398,350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657,668,510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67,883,720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14,251,034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75,028,190</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171,343,911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64,883,537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14,189,523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51,207,489</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sz w:val="21"/>
              </w:rPr>
              <w:t>14,501,075</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333,857,545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32,067,809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6,794,345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20,894,920</w:t>
            </w: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300,000,000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600,000,000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300" w:bottom="1440" w:left="1580" w:right="1040"/>
        </w:sectPr>
      </w:pPr>
    </w:p>
    <w:p>
      <w:pPr>
        <w:pStyle w:val="Heading2"/>
        <w:spacing w:line="240" w:lineRule="auto"/>
        <w:ind w:right="-18"/>
        <w:jc w:val="left"/>
        <w:rPr>
          <w:b w:val="0"/>
          <w:bCs w:val="0"/>
        </w:rPr>
      </w:pPr>
      <w:r>
        <w:rPr/>
        <w:t>十一、公允价值的披露</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tabs>
          <w:tab w:pos="1060" w:val="left" w:leader="none"/>
        </w:tabs>
        <w:spacing w:line="240" w:lineRule="auto" w:before="64"/>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461" w:space="1272"/>
            <w:col w:w="2557"/>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572"/>
        <w:gridCol w:w="1421"/>
        <w:gridCol w:w="1274"/>
        <w:gridCol w:w="1419"/>
        <w:gridCol w:w="1205"/>
      </w:tblGrid>
      <w:tr>
        <w:trPr>
          <w:trHeight w:val="283" w:hRule="exact"/>
        </w:trPr>
        <w:tc>
          <w:tcPr>
            <w:tcW w:w="35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3572"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（一）以公允价值计量且变动计入当期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指定以公允价值计量且其变动计入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34,192,490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34,192,490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34,192,490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34,192,490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持有并准备增值后转让的土地使用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34,192,490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34,192,490</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（六）指定为以公允价值计量且变动计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3572"/>
        <w:gridCol w:w="1421"/>
        <w:gridCol w:w="1274"/>
        <w:gridCol w:w="1419"/>
        <w:gridCol w:w="1205"/>
      </w:tblGrid>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240" w:lineRule="auto"/>
        <w:ind w:left="138" w:right="146"/>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tabs>
          <w:tab w:pos="980" w:val="left" w:leader="none"/>
        </w:tabs>
        <w:spacing w:line="240" w:lineRule="auto" w:before="61"/>
        <w:ind w:left="558" w:right="157" w:hanging="420"/>
        <w:jc w:val="left"/>
      </w:pPr>
      <w:r>
        <w:rPr>
          <w:spacing w:val="-1"/>
        </w:rPr>
        <w:t>√适用</w:t>
        <w:tab/>
      </w:r>
      <w:r>
        <w:rPr>
          <w:spacing w:val="-2"/>
        </w:rPr>
        <w:t>□不适用</w:t>
      </w:r>
      <w:r>
        <w:rPr>
          <w:spacing w:val="-99"/>
        </w:rPr>
        <w:t> </w:t>
      </w:r>
      <w:r>
        <w:rPr>
          <w:spacing w:val="-99"/>
        </w:rPr>
      </w:r>
      <w:r>
        <w:rPr>
          <w:spacing w:val="-2"/>
        </w:rPr>
        <w:t>以公允价值计量且变动计入当期损益的金融资产和可供出售金融资产参考可获得的市价计算</w:t>
      </w:r>
    </w:p>
    <w:p>
      <w:pPr>
        <w:pStyle w:val="BodyText"/>
        <w:spacing w:line="274" w:lineRule="exact" w:before="22"/>
        <w:ind w:left="138" w:right="146"/>
        <w:jc w:val="left"/>
      </w:pPr>
      <w:r>
        <w:rPr>
          <w:spacing w:val="-2"/>
        </w:rPr>
        <w:t>其公允价值。对于上市权益工具投资，本公司以证券交易所的、在本年最接近资产负债表日的交</w:t>
      </w:r>
      <w:r>
        <w:rPr>
          <w:spacing w:val="-25"/>
        </w:rPr>
        <w:t> </w:t>
      </w:r>
      <w:r>
        <w:rPr>
          <w:spacing w:val="-25"/>
        </w:rPr>
      </w:r>
      <w:r>
        <w:rPr/>
        <w:t>易日的收盘时的市场价格作为确定公允价值的依据。</w:t>
      </w:r>
    </w:p>
    <w:p>
      <w:pPr>
        <w:spacing w:line="240" w:lineRule="auto" w:before="4"/>
        <w:rPr>
          <w:rFonts w:ascii="宋体" w:hAnsi="宋体" w:cs="宋体" w:eastAsia="宋体" w:hint="default"/>
          <w:sz w:val="25"/>
          <w:szCs w:val="25"/>
        </w:rPr>
      </w:pPr>
    </w:p>
    <w:p>
      <w:pPr>
        <w:pStyle w:val="Heading2"/>
        <w:spacing w:line="310" w:lineRule="exact" w:before="0"/>
        <w:ind w:left="562" w:right="13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tabs>
          <w:tab w:pos="980" w:val="left" w:leader="none"/>
        </w:tabs>
        <w:spacing w:line="240" w:lineRule="auto" w:before="36"/>
        <w:ind w:left="138" w:right="146"/>
        <w:jc w:val="left"/>
      </w:pPr>
      <w:r>
        <w:rPr>
          <w:spacing w:val="-1"/>
        </w:rPr>
        <w:t>□适用</w:t>
        <w:tab/>
      </w:r>
      <w:r>
        <w:rPr>
          <w:spacing w:val="-2"/>
        </w:rPr>
        <w:t>√不适用</w:t>
      </w:r>
    </w:p>
    <w:p>
      <w:pPr>
        <w:spacing w:line="240" w:lineRule="auto" w:before="1"/>
        <w:rPr>
          <w:rFonts w:ascii="宋体" w:hAnsi="宋体" w:cs="宋体" w:eastAsia="宋体" w:hint="default"/>
          <w:sz w:val="27"/>
          <w:szCs w:val="27"/>
        </w:rPr>
      </w:pPr>
    </w:p>
    <w:p>
      <w:pPr>
        <w:pStyle w:val="Heading2"/>
        <w:spacing w:line="312" w:lineRule="exact" w:before="0"/>
        <w:ind w:left="562" w:right="13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tabs>
          <w:tab w:pos="980" w:val="left" w:leader="none"/>
        </w:tabs>
        <w:spacing w:line="240" w:lineRule="auto" w:before="33"/>
        <w:ind w:left="138" w:right="146"/>
        <w:jc w:val="left"/>
      </w:pPr>
      <w:r>
        <w:rPr>
          <w:spacing w:val="-1"/>
        </w:rPr>
        <w:t>□适用</w:t>
        <w:tab/>
      </w:r>
      <w:r>
        <w:rPr>
          <w:spacing w:val="-2"/>
        </w:rPr>
        <w:t>√不适用</w:t>
      </w:r>
    </w:p>
    <w:p>
      <w:pPr>
        <w:spacing w:line="240" w:lineRule="auto" w:before="1"/>
        <w:rPr>
          <w:rFonts w:ascii="宋体" w:hAnsi="宋体" w:cs="宋体" w:eastAsia="宋体" w:hint="default"/>
          <w:sz w:val="27"/>
          <w:szCs w:val="27"/>
        </w:rPr>
      </w:pPr>
    </w:p>
    <w:p>
      <w:pPr>
        <w:pStyle w:val="Heading2"/>
        <w:spacing w:line="312" w:lineRule="exact" w:before="0"/>
        <w:ind w:left="562" w:right="13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980" w:val="left" w:leader="none"/>
        </w:tabs>
        <w:spacing w:line="240" w:lineRule="auto" w:before="36"/>
        <w:ind w:left="138" w:right="146"/>
        <w:jc w:val="left"/>
      </w:pPr>
      <w:r>
        <w:rPr>
          <w:spacing w:val="-1"/>
        </w:rPr>
        <w:t>□适用</w:t>
        <w:tab/>
      </w:r>
      <w:r>
        <w:rPr>
          <w:spacing w:val="-2"/>
        </w:rPr>
        <w:t>√不适用</w:t>
      </w:r>
    </w:p>
    <w:p>
      <w:pPr>
        <w:spacing w:line="240" w:lineRule="auto" w:before="3"/>
        <w:rPr>
          <w:rFonts w:ascii="宋体" w:hAnsi="宋体" w:cs="宋体" w:eastAsia="宋体" w:hint="default"/>
          <w:sz w:val="27"/>
          <w:szCs w:val="27"/>
        </w:rPr>
      </w:pPr>
    </w:p>
    <w:p>
      <w:pPr>
        <w:pStyle w:val="Heading2"/>
        <w:spacing w:line="310" w:lineRule="exact" w:before="0"/>
        <w:ind w:left="562" w:right="13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tabs>
          <w:tab w:pos="980" w:val="left" w:leader="none"/>
        </w:tabs>
        <w:spacing w:line="240" w:lineRule="auto" w:before="36"/>
        <w:ind w:left="138" w:right="146"/>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146"/>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tabs>
          <w:tab w:pos="980" w:val="left" w:leader="none"/>
        </w:tabs>
        <w:spacing w:line="240" w:lineRule="auto" w:before="64"/>
        <w:ind w:left="138" w:right="146"/>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146"/>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tabs>
          <w:tab w:pos="980" w:val="left" w:leader="none"/>
        </w:tabs>
        <w:spacing w:line="240" w:lineRule="auto" w:before="62"/>
        <w:ind w:left="138" w:right="146"/>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146"/>
        <w:jc w:val="left"/>
        <w:rPr>
          <w:b w:val="0"/>
          <w:bCs w:val="0"/>
        </w:rPr>
      </w:pPr>
      <w:r>
        <w:rPr>
          <w:rFonts w:ascii="宋体" w:hAnsi="宋体" w:cs="宋体" w:eastAsia="宋体" w:hint="default"/>
        </w:rPr>
        <w:t>9</w:t>
      </w:r>
      <w:r>
        <w:rPr/>
        <w:t>、</w:t>
      </w:r>
      <w:r>
        <w:rPr>
          <w:spacing w:val="-57"/>
        </w:rPr>
        <w:t> </w:t>
      </w:r>
      <w:r>
        <w:rPr/>
        <w:t>其他</w:t>
      </w:r>
      <w:r>
        <w:rPr>
          <w:b w:val="0"/>
          <w:bCs w:val="0"/>
        </w:rPr>
      </w:r>
    </w:p>
    <w:p>
      <w:pPr>
        <w:pStyle w:val="BodyText"/>
        <w:tabs>
          <w:tab w:pos="980" w:val="left" w:leader="none"/>
        </w:tabs>
        <w:spacing w:line="240" w:lineRule="auto" w:before="64"/>
        <w:ind w:left="138" w:right="146"/>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85" w:lineRule="auto" w:before="0"/>
        <w:ind w:left="138" w:right="6318"/>
        <w:jc w:val="left"/>
        <w:rPr>
          <w:b w:val="0"/>
          <w:bCs w:val="0"/>
        </w:rPr>
      </w:pPr>
      <w:r>
        <w:rPr/>
        <w:t>十二、关联方及关联交易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tabs>
          <w:tab w:pos="980" w:val="left" w:leader="none"/>
        </w:tabs>
        <w:spacing w:line="240" w:lineRule="auto" w:before="18"/>
        <w:ind w:left="138" w:right="146"/>
        <w:jc w:val="left"/>
      </w:pPr>
      <w:r>
        <w:rPr>
          <w:spacing w:val="-1"/>
        </w:rPr>
        <w:t>□适用</w:t>
        <w:tab/>
      </w:r>
      <w:r>
        <w:rPr>
          <w:spacing w:val="-2"/>
        </w:rPr>
        <w:t>√不适用</w:t>
      </w:r>
    </w:p>
    <w:p>
      <w:pPr>
        <w:spacing w:after="0" w:line="240" w:lineRule="auto"/>
        <w:jc w:val="left"/>
        <w:sectPr>
          <w:pgSz w:w="11910" w:h="16840"/>
          <w:pgMar w:header="0" w:footer="1248" w:top="1300" w:bottom="144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ind w:right="2760"/>
        <w:jc w:val="left"/>
        <w:rPr>
          <w:b w:val="0"/>
          <w:bCs w:val="0"/>
        </w:rPr>
      </w:pPr>
      <w:r>
        <w:rPr>
          <w:rFonts w:ascii="宋体" w:hAnsi="宋体" w:cs="宋体" w:eastAsia="宋体" w:hint="default"/>
        </w:rPr>
        <w:t>2</w:t>
      </w:r>
      <w:r>
        <w:rPr/>
        <w:t>、</w:t>
      </w:r>
      <w:r>
        <w:rPr>
          <w:spacing w:val="-60"/>
        </w:rPr>
        <w:t> </w:t>
      </w:r>
      <w:r>
        <w:rPr/>
        <w:t>本企业的子公司情况</w:t>
      </w:r>
      <w:r>
        <w:rPr>
          <w:b w:val="0"/>
          <w:bCs w:val="0"/>
        </w:rPr>
      </w:r>
    </w:p>
    <w:p>
      <w:pPr>
        <w:pStyle w:val="BodyText"/>
        <w:tabs>
          <w:tab w:pos="1060" w:val="left" w:leader="none"/>
        </w:tabs>
        <w:spacing w:line="272" w:lineRule="exact" w:before="92"/>
        <w:ind w:left="638" w:right="2760" w:hanging="420"/>
        <w:jc w:val="left"/>
      </w:pPr>
      <w:r>
        <w:rPr>
          <w:spacing w:val="-1"/>
        </w:rPr>
        <w:t>√适用</w:t>
        <w:tab/>
      </w:r>
      <w:r>
        <w:rPr>
          <w:spacing w:val="-2"/>
        </w:rPr>
        <w:t>□不适用</w:t>
      </w:r>
      <w:r>
        <w:rPr>
          <w:spacing w:val="-99"/>
        </w:rPr>
        <w:t> </w:t>
      </w:r>
      <w:r>
        <w:rPr>
          <w:spacing w:val="-99"/>
        </w:rPr>
      </w:r>
      <w:r>
        <w:rPr>
          <w:spacing w:val="-2"/>
        </w:rPr>
        <w:t>本企业的子公司情况详见本附注“九、在其他主体中的权益”。</w:t>
      </w:r>
    </w:p>
    <w:p>
      <w:pPr>
        <w:spacing w:line="240" w:lineRule="auto" w:before="11"/>
        <w:rPr>
          <w:rFonts w:ascii="宋体" w:hAnsi="宋体" w:cs="宋体" w:eastAsia="宋体" w:hint="default"/>
          <w:sz w:val="22"/>
          <w:szCs w:val="22"/>
        </w:rPr>
      </w:pPr>
    </w:p>
    <w:p>
      <w:pPr>
        <w:pStyle w:val="Heading2"/>
        <w:spacing w:line="240" w:lineRule="auto" w:before="0"/>
        <w:ind w:right="2760"/>
        <w:jc w:val="left"/>
        <w:rPr>
          <w:b w:val="0"/>
          <w:bCs w:val="0"/>
        </w:rPr>
      </w:pPr>
      <w:r>
        <w:rPr>
          <w:rFonts w:ascii="宋体" w:hAnsi="宋体" w:cs="宋体" w:eastAsia="宋体" w:hint="default"/>
        </w:rPr>
        <w:t>3</w:t>
      </w:r>
      <w:r>
        <w:rPr/>
        <w:t>、</w:t>
      </w:r>
      <w:r>
        <w:rPr>
          <w:spacing w:val="-61"/>
        </w:rPr>
        <w:t> </w:t>
      </w:r>
      <w:r>
        <w:rPr/>
        <w:t>本企业合营和联营企业情况</w:t>
      </w:r>
      <w:r>
        <w:rPr>
          <w:b w:val="0"/>
          <w:bCs w:val="0"/>
        </w:rPr>
      </w:r>
    </w:p>
    <w:p>
      <w:pPr>
        <w:pStyle w:val="BodyText"/>
        <w:spacing w:line="273" w:lineRule="exact" w:before="64"/>
        <w:ind w:right="226"/>
        <w:jc w:val="left"/>
      </w:pPr>
      <w:r>
        <w:rPr/>
        <w:t>本企业重要的合营或联营企业详见附注“九、在其他主体中的权益”。</w:t>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right="226"/>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ind w:right="276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30"/>
        <w:gridCol w:w="2420"/>
      </w:tblGrid>
      <w:tr>
        <w:trPr>
          <w:trHeight w:val="29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诺基亚东软通信技术有限公司（“诺基亚东软”）</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日电东软信息技术有限公司（“日电东软”）</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沈阳东软系统集成工程有限公司(“沈阳工程”)</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辽宁东软创业投资有限公司（“东软创投”）</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邯郸云计算中心有限公司（“邯郸云计算”）</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沈阳东软医疗系统有限公司（“东软医疗”）</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东软熙康控股有限公司（“熙康”）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睿驰达新能源汽车运营服务邯郸有限公司（“睿驰达邯郸”）</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汉朗网络信息科技（北京）有限公司（“汉朗”）</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天津天任大数据科技有限公司（“天津天任”）</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北京东软望海科技有限公司（“东软望海”）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上海硕元健康管理有限公司（“上海硕元”）</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熙康之合营企业</w:t>
            </w:r>
          </w:p>
        </w:tc>
      </w:tr>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上海蓝熙健康服务有限公司（“上海蓝熙”）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熙康之联营企业</w:t>
            </w: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其他说明</w:t>
      </w:r>
    </w:p>
    <w:p>
      <w:pPr>
        <w:pStyle w:val="BodyText"/>
        <w:spacing w:line="274" w:lineRule="exact"/>
        <w:ind w:right="2760"/>
        <w:jc w:val="left"/>
      </w:pPr>
      <w:r>
        <w:rPr/>
        <w:t>□适用</w:t>
      </w:r>
      <w:r>
        <w:rPr>
          <w:spacing w:val="-1"/>
        </w:rPr>
        <w:t> </w:t>
      </w:r>
      <w:r>
        <w:rPr/>
        <w:t>√不适用</w:t>
      </w:r>
    </w:p>
    <w:p>
      <w:pPr>
        <w:pStyle w:val="Heading2"/>
        <w:spacing w:line="240" w:lineRule="auto" w:before="50"/>
        <w:ind w:right="2760"/>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64"/>
        <w:ind w:right="276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东北大学科技产业集团有限公司（“东北大学”）</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阿尔</w:t>
            </w:r>
            <w:r>
              <w:rPr>
                <w:rFonts w:ascii="宋体" w:hAnsi="宋体" w:cs="宋体" w:eastAsia="宋体" w:hint="default"/>
                <w:spacing w:val="-3"/>
                <w:w w:val="100"/>
                <w:sz w:val="21"/>
                <w:szCs w:val="21"/>
              </w:rPr>
              <w:t>派</w:t>
            </w:r>
            <w:r>
              <w:rPr>
                <w:rFonts w:ascii="宋体" w:hAnsi="宋体" w:cs="宋体" w:eastAsia="宋体" w:hint="default"/>
                <w:w w:val="100"/>
                <w:sz w:val="21"/>
                <w:szCs w:val="21"/>
              </w:rPr>
              <w:t>株</w:t>
            </w:r>
            <w:r>
              <w:rPr>
                <w:rFonts w:ascii="宋体" w:hAnsi="宋体" w:cs="宋体" w:eastAsia="宋体" w:hint="default"/>
                <w:spacing w:val="-3"/>
                <w:w w:val="100"/>
                <w:sz w:val="21"/>
                <w:szCs w:val="21"/>
              </w:rPr>
              <w:t>式</w:t>
            </w:r>
            <w:r>
              <w:rPr>
                <w:rFonts w:ascii="宋体" w:hAnsi="宋体" w:cs="宋体" w:eastAsia="宋体" w:hint="default"/>
                <w:w w:val="100"/>
                <w:sz w:val="21"/>
                <w:szCs w:val="21"/>
              </w:rPr>
              <w:t>会</w:t>
            </w:r>
            <w:r>
              <w:rPr>
                <w:rFonts w:ascii="宋体" w:hAnsi="宋体" w:cs="宋体" w:eastAsia="宋体" w:hint="default"/>
                <w:spacing w:val="-3"/>
                <w:w w:val="100"/>
                <w:sz w:val="21"/>
                <w:szCs w:val="21"/>
              </w:rPr>
              <w:t>社</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阿</w:t>
            </w:r>
            <w:r>
              <w:rPr>
                <w:rFonts w:ascii="宋体" w:hAnsi="宋体" w:cs="宋体" w:eastAsia="宋体" w:hint="default"/>
                <w:w w:val="100"/>
                <w:sz w:val="21"/>
                <w:szCs w:val="21"/>
              </w:rPr>
              <w:t>尔</w:t>
            </w:r>
            <w:r>
              <w:rPr>
                <w:rFonts w:ascii="宋体" w:hAnsi="宋体" w:cs="宋体" w:eastAsia="宋体" w:hint="default"/>
                <w:spacing w:val="-3"/>
                <w:w w:val="100"/>
                <w:sz w:val="21"/>
                <w:szCs w:val="21"/>
              </w:rPr>
              <w:t>派电</w:t>
            </w:r>
            <w:r>
              <w:rPr>
                <w:rFonts w:ascii="宋体" w:hAnsi="宋体" w:cs="宋体" w:eastAsia="宋体" w:hint="default"/>
                <w:spacing w:val="-89"/>
                <w:w w:val="100"/>
                <w:sz w:val="21"/>
                <w:szCs w:val="21"/>
              </w:rPr>
              <w:t>子</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92"/>
                <w:w w:val="100"/>
                <w:sz w:val="21"/>
                <w:szCs w:val="21"/>
              </w:rPr>
              <w:t>）</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spacing w:val="-89"/>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阿</w:t>
            </w:r>
            <w:r>
              <w:rPr>
                <w:rFonts w:ascii="宋体" w:hAnsi="宋体" w:cs="宋体" w:eastAsia="宋体" w:hint="default"/>
                <w:w w:val="100"/>
                <w:sz w:val="21"/>
                <w:szCs w:val="21"/>
              </w:rPr>
              <w:t>尔派</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大连东软控股有限公司(“东软控股”)</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东芝解决方案株式会社、株式会社东芝（“东芝”）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其子公司与本公司同一董事</w:t>
            </w:r>
          </w:p>
        </w:tc>
      </w:tr>
      <w:tr>
        <w:trPr>
          <w:trHeight w:val="557"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大连东软思维科技发展有限公司（“大连思维”）</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本公司董事长为其控股股东的执行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事务合伙人委派代表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248" w:top="1300" w:bottom="144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61"/>
        </w:rPr>
        <w:t> </w:t>
      </w:r>
      <w:r>
        <w:rPr/>
        <w:t>关联交易情况</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9"/>
        </w:rPr>
        <w:t> </w:t>
      </w:r>
      <w:r>
        <w:rPr/>
        <w:t>购销商品、提供和接受劳务的关联交易</w:t>
      </w:r>
      <w:r>
        <w:rPr>
          <w:b w:val="0"/>
          <w:bCs w:val="0"/>
        </w:rPr>
      </w:r>
    </w:p>
    <w:p>
      <w:pPr>
        <w:pStyle w:val="BodyText"/>
        <w:spacing w:line="274" w:lineRule="exact" w:before="61"/>
        <w:ind w:right="-18"/>
        <w:jc w:val="left"/>
      </w:pPr>
      <w:r>
        <w:rPr/>
        <w:t>采购商品</w:t>
      </w:r>
      <w:r>
        <w:rPr>
          <w:rFonts w:ascii="宋体" w:hAnsi="宋体" w:cs="宋体" w:eastAsia="宋体" w:hint="default"/>
        </w:rPr>
        <w:t>/</w:t>
      </w:r>
      <w:r>
        <w:rPr/>
        <w:t>接受劳务情况表</w:t>
      </w:r>
    </w:p>
    <w:p>
      <w:pPr>
        <w:pStyle w:val="BodyText"/>
        <w:spacing w:line="274"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930" w:space="1591"/>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53"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127,255,126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74,975,308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9,279,949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9,628,397</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11,304,780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3,139,330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774,187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4,050,952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425,139,874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534,269,027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98,552,268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30,721,265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26,062,190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4,993,561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5,536,285</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1,844,700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3,799,790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支付培训费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2,351,241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4,580,046</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支付物业管理费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1,652,954</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248" w:top="1300" w:bottom="1440" w:left="1660" w:right="1120"/>
        </w:sectPr>
      </w:pPr>
    </w:p>
    <w:p>
      <w:pPr>
        <w:pStyle w:val="BodyText"/>
        <w:spacing w:line="274"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556" w:space="3966"/>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434"/>
        <w:gridCol w:w="1865"/>
        <w:gridCol w:w="218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188,110,727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136,229,648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114,163,793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129,033,474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96,163,013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106,521,388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62,151,795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62,140,513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22,927,379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8,938,905</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上海蓝熙</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7,651,627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6,376,037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6,701,764</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2,059,541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3,960,008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10,768,416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3,374,122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176,282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365,673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汉朗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2,564,103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上海硕元</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118,974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233,302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30,102</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日电东软</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27,555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151,850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天津天任</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470,085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睿驰达邯郸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系统集成或软件</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385,051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6,856,023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6,369,265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6,108,985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5,344,226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10,248,426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5,020,229</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1,407,182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847,488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212,857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364,446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62,893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210,187</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管理服务收入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17,713,208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8,197,736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管理服务收入</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1,433,652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834,945</w:t>
            </w:r>
          </w:p>
        </w:tc>
      </w:tr>
    </w:tbl>
    <w:p>
      <w:pPr>
        <w:pStyle w:val="BodyText"/>
        <w:spacing w:line="240" w:lineRule="exact"/>
        <w:ind w:left="138" w:right="146"/>
        <w:jc w:val="left"/>
      </w:pPr>
      <w:r>
        <w:rPr/>
        <w:t>购销商品、提供和接受劳务的关联交易说明</w:t>
      </w:r>
    </w:p>
    <w:p>
      <w:pPr>
        <w:pStyle w:val="BodyText"/>
        <w:spacing w:line="274" w:lineRule="exact"/>
        <w:ind w:left="138" w:right="146"/>
        <w:jc w:val="left"/>
      </w:pPr>
      <w:r>
        <w:rPr/>
        <w:t>□适用</w:t>
      </w:r>
      <w:r>
        <w:rPr>
          <w:spacing w:val="-1"/>
        </w:rPr>
        <w:t> </w:t>
      </w:r>
      <w:r>
        <w:rPr/>
        <w:t>√不适用</w:t>
      </w:r>
    </w:p>
    <w:p>
      <w:pPr>
        <w:pStyle w:val="Heading2"/>
        <w:spacing w:line="240" w:lineRule="auto" w:before="50"/>
        <w:ind w:left="138" w:right="146"/>
        <w:jc w:val="left"/>
        <w:rPr>
          <w:b w:val="0"/>
          <w:bCs w:val="0"/>
        </w:rPr>
      </w:pPr>
      <w:r>
        <w:rPr>
          <w:rFonts w:ascii="宋体" w:hAnsi="宋体" w:cs="宋体" w:eastAsia="宋体" w:hint="default"/>
        </w:rPr>
        <w:t>(2).</w:t>
      </w:r>
      <w:r>
        <w:rPr>
          <w:rFonts w:ascii="宋体" w:hAnsi="宋体" w:cs="宋体" w:eastAsia="宋体" w:hint="default"/>
          <w:spacing w:val="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3" w:lineRule="exact" w:before="44"/>
        <w:ind w:left="138" w:right="146"/>
        <w:jc w:val="left"/>
      </w:pPr>
      <w:r>
        <w:rPr/>
        <w:t>本公司受托管理</w:t>
      </w:r>
      <w:r>
        <w:rPr>
          <w:rFonts w:ascii="宋体" w:hAnsi="宋体" w:cs="宋体" w:eastAsia="宋体" w:hint="default"/>
        </w:rPr>
        <w:t>/</w:t>
      </w:r>
      <w:r>
        <w:rPr/>
        <w:t>承包情况表：</w:t>
      </w:r>
    </w:p>
    <w:p>
      <w:pPr>
        <w:pStyle w:val="BodyText"/>
        <w:spacing w:line="273" w:lineRule="exact"/>
        <w:ind w:left="138" w:right="146"/>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138" w:right="146"/>
        <w:jc w:val="left"/>
      </w:pPr>
      <w:r>
        <w:rPr/>
        <w:t>关联托管</w:t>
      </w:r>
      <w:r>
        <w:rPr>
          <w:rFonts w:ascii="宋体" w:hAnsi="宋体" w:cs="宋体" w:eastAsia="宋体" w:hint="default"/>
        </w:rPr>
        <w:t>/</w:t>
      </w:r>
      <w:r>
        <w:rPr/>
        <w:t>承包情况说明</w:t>
      </w:r>
    </w:p>
    <w:p>
      <w:pPr>
        <w:pStyle w:val="BodyText"/>
        <w:spacing w:line="274" w:lineRule="exact"/>
        <w:ind w:left="138" w:right="146"/>
        <w:jc w:val="left"/>
      </w:pPr>
      <w:r>
        <w:rPr/>
        <w:t>□适用</w:t>
      </w:r>
      <w:r>
        <w:rPr>
          <w:spacing w:val="-1"/>
        </w:rPr>
        <w:t> </w:t>
      </w:r>
      <w:r>
        <w:rPr/>
        <w:t>√不适用</w:t>
      </w:r>
    </w:p>
    <w:p>
      <w:pPr>
        <w:spacing w:after="0" w:line="274" w:lineRule="exact"/>
        <w:jc w:val="left"/>
        <w:sectPr>
          <w:type w:val="continuous"/>
          <w:pgSz w:w="11910" w:h="16840"/>
          <w:pgMar w:top="1580" w:bottom="280" w:left="166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3" w:lineRule="exact"/>
        <w:ind w:right="2760"/>
        <w:jc w:val="left"/>
      </w:pPr>
      <w:r>
        <w:rPr/>
        <w:t>本公司委托管理</w:t>
      </w:r>
      <w:r>
        <w:rPr>
          <w:rFonts w:ascii="宋体" w:hAnsi="宋体" w:cs="宋体" w:eastAsia="宋体" w:hint="default"/>
        </w:rPr>
        <w:t>/</w:t>
      </w:r>
      <w:r>
        <w:rPr/>
        <w:t>出包情况表：</w:t>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关联管理</w:t>
      </w:r>
      <w:r>
        <w:rPr>
          <w:rFonts w:ascii="宋体" w:hAnsi="宋体" w:cs="宋体" w:eastAsia="宋体" w:hint="default"/>
        </w:rPr>
        <w:t>/</w:t>
      </w:r>
      <w:r>
        <w:rPr/>
        <w:t>出包情况说明</w:t>
      </w:r>
    </w:p>
    <w:p>
      <w:pPr>
        <w:pStyle w:val="BodyText"/>
        <w:spacing w:line="274" w:lineRule="exact"/>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48" w:top="1300" w:bottom="144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9"/>
        </w:rPr>
        <w:t> </w:t>
      </w:r>
      <w:r>
        <w:rPr/>
        <w:t>关联租赁情况</w:t>
      </w:r>
      <w:r>
        <w:rPr>
          <w:b w:val="0"/>
          <w:bCs w:val="0"/>
        </w:rPr>
      </w:r>
    </w:p>
    <w:p>
      <w:pPr>
        <w:pStyle w:val="BodyText"/>
        <w:spacing w:line="274" w:lineRule="exact" w:before="61"/>
        <w:ind w:right="-19"/>
        <w:jc w:val="left"/>
      </w:pPr>
      <w:r>
        <w:rPr/>
        <w:t>本公司作为出租方：</w:t>
      </w:r>
    </w:p>
    <w:p>
      <w:pPr>
        <w:pStyle w:val="BodyText"/>
        <w:spacing w:line="274" w:lineRule="exact"/>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1"/>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280" w:space="4242"/>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34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5,361,418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6,069,800</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10,248,426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5,020,229</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5,121,825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4,620,145</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1,381,580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847,488</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212,857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341,350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62,893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210,187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80" w:right="1040"/>
        </w:sectPr>
      </w:pPr>
    </w:p>
    <w:p>
      <w:pPr>
        <w:pStyle w:val="BodyText"/>
        <w:spacing w:line="274" w:lineRule="exact" w:before="36"/>
        <w:ind w:right="-8"/>
        <w:jc w:val="left"/>
      </w:pPr>
      <w:r>
        <w:rPr>
          <w:spacing w:val="-1"/>
        </w:rPr>
        <w:t>本公司作为承租方：</w:t>
      </w:r>
    </w:p>
    <w:p>
      <w:pPr>
        <w:pStyle w:val="BodyText"/>
        <w:spacing w:line="274"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2005"/>
        <w:gridCol w:w="2460"/>
        <w:gridCol w:w="2665"/>
      </w:tblGrid>
      <w:tr>
        <w:trPr>
          <w:trHeight w:val="32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1" w:right="0"/>
              <w:jc w:val="left"/>
              <w:rPr>
                <w:rFonts w:ascii="宋体" w:hAnsi="宋体" w:cs="宋体" w:eastAsia="宋体" w:hint="default"/>
                <w:sz w:val="21"/>
                <w:szCs w:val="21"/>
              </w:rPr>
            </w:pPr>
            <w:r>
              <w:rPr>
                <w:rFonts w:ascii="宋体"/>
                <w:sz w:val="21"/>
              </w:rPr>
              <w:t>1,401,476</w:t>
            </w: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760"/>
        <w:jc w:val="left"/>
      </w:pPr>
      <w:r>
        <w:rPr/>
        <w:t>关联租赁情况说明</w:t>
      </w:r>
    </w:p>
    <w:p>
      <w:pPr>
        <w:pStyle w:val="BodyText"/>
        <w:spacing w:line="274" w:lineRule="exact"/>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(4).</w:t>
      </w:r>
      <w:r>
        <w:rPr>
          <w:rFonts w:ascii="宋体" w:hAnsi="宋体" w:cs="宋体" w:eastAsia="宋体" w:hint="default"/>
          <w:spacing w:val="9"/>
        </w:rPr>
        <w:t> </w:t>
      </w:r>
      <w:r>
        <w:rPr/>
        <w:t>关联担保情况</w:t>
      </w:r>
      <w:r>
        <w:rPr>
          <w:b w:val="0"/>
          <w:bCs w:val="0"/>
        </w:rPr>
      </w:r>
    </w:p>
    <w:p>
      <w:pPr>
        <w:pStyle w:val="BodyText"/>
        <w:spacing w:line="273" w:lineRule="exact" w:before="64"/>
        <w:ind w:right="2760"/>
        <w:jc w:val="left"/>
      </w:pPr>
      <w:r>
        <w:rPr/>
        <w:t>本公司作为担保方</w:t>
      </w:r>
    </w:p>
    <w:p>
      <w:pPr>
        <w:pStyle w:val="BodyText"/>
        <w:spacing w:line="273" w:lineRule="exact"/>
        <w:ind w:right="2760"/>
        <w:jc w:val="left"/>
      </w:pPr>
      <w:r>
        <w:rPr/>
        <w:t>□适用</w:t>
      </w:r>
      <w:r>
        <w:rPr>
          <w:spacing w:val="-1"/>
        </w:rPr>
        <w:t> </w:t>
      </w:r>
      <w:r>
        <w:rPr/>
        <w:t>√不适用</w:t>
      </w:r>
    </w:p>
    <w:p>
      <w:pPr>
        <w:spacing w:line="240" w:lineRule="auto" w:before="8"/>
        <w:rPr>
          <w:rFonts w:ascii="宋体" w:hAnsi="宋体" w:cs="宋体" w:eastAsia="宋体" w:hint="default"/>
          <w:sz w:val="18"/>
          <w:szCs w:val="18"/>
        </w:rPr>
      </w:pPr>
    </w:p>
    <w:p>
      <w:pPr>
        <w:pStyle w:val="BodyText"/>
        <w:spacing w:line="274" w:lineRule="exact"/>
        <w:ind w:right="2760"/>
        <w:jc w:val="left"/>
      </w:pPr>
      <w:r>
        <w:rPr/>
        <w:t>本公司作为被担保方</w:t>
      </w:r>
    </w:p>
    <w:p>
      <w:pPr>
        <w:pStyle w:val="BodyText"/>
        <w:spacing w:line="274" w:lineRule="exact"/>
        <w:ind w:right="2760"/>
        <w:jc w:val="left"/>
      </w:pPr>
      <w:r>
        <w:rPr/>
        <w:t>□适用</w:t>
      </w:r>
      <w:r>
        <w:rPr>
          <w:spacing w:val="-1"/>
        </w:rPr>
        <w:t> </w:t>
      </w:r>
      <w:r>
        <w:rPr/>
        <w:t>√不适用</w:t>
      </w:r>
    </w:p>
    <w:p>
      <w:pPr>
        <w:spacing w:line="240" w:lineRule="auto" w:before="9"/>
        <w:rPr>
          <w:rFonts w:ascii="宋体" w:hAnsi="宋体" w:cs="宋体" w:eastAsia="宋体" w:hint="default"/>
          <w:sz w:val="18"/>
          <w:szCs w:val="18"/>
        </w:rPr>
      </w:pPr>
    </w:p>
    <w:p>
      <w:pPr>
        <w:pStyle w:val="BodyText"/>
        <w:spacing w:line="273" w:lineRule="exact"/>
        <w:ind w:right="2760"/>
        <w:jc w:val="left"/>
      </w:pPr>
      <w:r>
        <w:rPr/>
        <w:t>关联担保情况说明</w:t>
      </w:r>
    </w:p>
    <w:p>
      <w:pPr>
        <w:pStyle w:val="BodyText"/>
        <w:spacing w:line="273" w:lineRule="exact"/>
        <w:ind w:right="2760"/>
        <w:jc w:val="left"/>
      </w:pPr>
      <w:r>
        <w:rPr/>
        <w:t>□适用</w:t>
      </w:r>
      <w:r>
        <w:rPr>
          <w:spacing w:val="-1"/>
        </w:rPr>
        <w:t> </w:t>
      </w:r>
      <w:r>
        <w:rPr/>
        <w:t>√不适用</w:t>
      </w:r>
    </w:p>
    <w:p>
      <w:pPr>
        <w:pStyle w:val="Heading2"/>
        <w:spacing w:line="240" w:lineRule="auto" w:before="52"/>
        <w:ind w:right="2760"/>
        <w:jc w:val="left"/>
        <w:rPr>
          <w:b w:val="0"/>
          <w:bCs w:val="0"/>
        </w:rPr>
      </w:pPr>
      <w:r>
        <w:rPr>
          <w:rFonts w:ascii="宋体" w:hAnsi="宋体" w:cs="宋体" w:eastAsia="宋体" w:hint="default"/>
        </w:rPr>
        <w:t>(5).</w:t>
      </w:r>
      <w:r>
        <w:rPr>
          <w:rFonts w:ascii="宋体" w:hAnsi="宋体" w:cs="宋体" w:eastAsia="宋体" w:hint="default"/>
          <w:spacing w:val="10"/>
        </w:rPr>
        <w:t> </w:t>
      </w:r>
      <w:r>
        <w:rPr/>
        <w:t>关联方资金拆借</w:t>
      </w:r>
      <w:r>
        <w:rPr>
          <w:b w:val="0"/>
          <w:bCs w:val="0"/>
        </w:rPr>
      </w:r>
    </w:p>
    <w:p>
      <w:pPr>
        <w:pStyle w:val="BodyText"/>
        <w:spacing w:line="240" w:lineRule="auto" w:before="61"/>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10"/>
        </w:rPr>
        <w:t> </w:t>
      </w:r>
      <w:r>
        <w:rPr/>
        <w:t>关联方资产转让、债务重组情况</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208" w:space="2313"/>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3828"/>
        <w:gridCol w:w="1417"/>
        <w:gridCol w:w="1428"/>
      </w:tblGrid>
      <w:tr>
        <w:trPr>
          <w:trHeight w:val="3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本公司转让所持有的东软望海</w:t>
            </w:r>
            <w:r>
              <w:rPr>
                <w:rFonts w:ascii="宋体" w:hAnsi="宋体" w:cs="宋体" w:eastAsia="宋体" w:hint="default"/>
                <w:spacing w:val="-63"/>
                <w:sz w:val="21"/>
                <w:szCs w:val="21"/>
              </w:rPr>
              <w:t> </w:t>
            </w:r>
            <w:r>
              <w:rPr>
                <w:rFonts w:ascii="宋体" w:hAnsi="宋体" w:cs="宋体" w:eastAsia="宋体" w:hint="default"/>
                <w:sz w:val="21"/>
                <w:szCs w:val="21"/>
              </w:rPr>
              <w:t>11.06%</w:t>
            </w:r>
            <w:r>
              <w:rPr>
                <w:rFonts w:ascii="宋体" w:hAnsi="宋体" w:cs="宋体" w:eastAsia="宋体" w:hint="default"/>
                <w:sz w:val="21"/>
                <w:szCs w:val="21"/>
              </w:rPr>
              <w:t>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0" w:right="0"/>
              <w:jc w:val="left"/>
              <w:rPr>
                <w:rFonts w:ascii="宋体" w:hAnsi="宋体" w:cs="宋体" w:eastAsia="宋体" w:hint="default"/>
                <w:sz w:val="21"/>
                <w:szCs w:val="21"/>
              </w:rPr>
            </w:pPr>
            <w:r>
              <w:rPr>
                <w:rFonts w:ascii="宋体"/>
                <w:sz w:val="21"/>
              </w:rPr>
              <w:t>111,510,000</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本公司转让所持有的东软医疗</w:t>
            </w:r>
            <w:r>
              <w:rPr>
                <w:rFonts w:ascii="宋体" w:hAnsi="宋体" w:cs="宋体" w:eastAsia="宋体" w:hint="default"/>
                <w:spacing w:val="-64"/>
                <w:sz w:val="21"/>
                <w:szCs w:val="21"/>
              </w:rPr>
              <w:t> </w:t>
            </w:r>
            <w:r>
              <w:rPr>
                <w:rFonts w:ascii="宋体" w:hAnsi="宋体" w:cs="宋体" w:eastAsia="宋体" w:hint="default"/>
                <w:sz w:val="21"/>
                <w:szCs w:val="21"/>
              </w:rPr>
              <w:t>14.45%</w:t>
            </w:r>
            <w:r>
              <w:rPr>
                <w:rFonts w:ascii="宋体" w:hAnsi="宋体" w:cs="宋体" w:eastAsia="宋体" w:hint="default"/>
                <w:sz w:val="21"/>
                <w:szCs w:val="21"/>
              </w:rPr>
              <w:t>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411,595,248</w:t>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377"/>
        <w:gridCol w:w="3828"/>
        <w:gridCol w:w="1417"/>
        <w:gridCol w:w="1428"/>
      </w:tblGrid>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大连东软控股有限公司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本公司之子公司东软集团（大连）有限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公司转让定制项目土地及地上建筑物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sz w:val="21"/>
              </w:rPr>
              <w:t>107,090,000</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37" w:lineRule="auto" w:before="38"/>
        <w:ind w:right="230" w:firstLine="419"/>
        <w:jc w:val="both"/>
      </w:pPr>
      <w:r>
        <w:rPr/>
        <w:t>注：于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日召开的公司六届十六次董事会审议通过了《关于与大连东软控股有</w:t>
      </w:r>
      <w:r>
        <w:rPr>
          <w:w w:val="100"/>
        </w:rPr>
        <w:t> </w:t>
      </w:r>
      <w:r>
        <w:rPr>
          <w:spacing w:val="-6"/>
        </w:rPr>
        <w:t>限公司签订</w:t>
      </w:r>
      <w:r>
        <w:rPr>
          <w:rFonts w:ascii="宋体" w:hAnsi="宋体" w:cs="宋体" w:eastAsia="宋体" w:hint="default"/>
          <w:spacing w:val="-6"/>
        </w:rPr>
        <w:t>&lt;</w:t>
      </w:r>
      <w:r>
        <w:rPr>
          <w:spacing w:val="-6"/>
        </w:rPr>
        <w:t>定制项目联合建设及转让协议</w:t>
      </w:r>
      <w:r>
        <w:rPr>
          <w:rFonts w:ascii="宋体" w:hAnsi="宋体" w:cs="宋体" w:eastAsia="宋体" w:hint="default"/>
          <w:spacing w:val="-6"/>
        </w:rPr>
        <w:t>&gt;</w:t>
      </w:r>
      <w:r>
        <w:rPr>
          <w:spacing w:val="-6"/>
        </w:rPr>
        <w:t>的议案》。董事会同意东软集团（大连）有限公司（以</w:t>
      </w:r>
      <w:r>
        <w:rPr>
          <w:spacing w:val="-50"/>
        </w:rPr>
        <w:t> </w:t>
      </w:r>
      <w:r>
        <w:rPr>
          <w:spacing w:val="-50"/>
        </w:rPr>
      </w:r>
      <w:r>
        <w:rPr>
          <w:spacing w:val="-2"/>
        </w:rPr>
        <w:t>下简称“东软大连”）与东软控股于大连市签署《定制项目联合建设及转让协议》。在实际执行</w:t>
      </w:r>
      <w:r>
        <w:rPr>
          <w:spacing w:val="-26"/>
        </w:rPr>
        <w:t> </w:t>
      </w:r>
      <w:r>
        <w:rPr>
          <w:spacing w:val="-26"/>
        </w:rPr>
      </w:r>
      <w:r>
        <w:rPr>
          <w:spacing w:val="-4"/>
        </w:rPr>
        <w:t>中，东软大连在“大连河口东软国际软件园”区内提供了约</w:t>
      </w:r>
      <w:r>
        <w:rPr>
          <w:spacing w:val="-19"/>
        </w:rPr>
        <w:t> </w:t>
      </w:r>
      <w:r>
        <w:rPr>
          <w:rFonts w:ascii="宋体" w:hAnsi="宋体" w:cs="宋体" w:eastAsia="宋体" w:hint="default"/>
        </w:rPr>
        <w:t>11,798</w:t>
      </w:r>
      <w:r>
        <w:rPr>
          <w:rFonts w:ascii="宋体" w:hAnsi="宋体" w:cs="宋体" w:eastAsia="宋体" w:hint="default"/>
          <w:spacing w:val="-21"/>
        </w:rPr>
        <w:t> </w:t>
      </w:r>
      <w:r>
        <w:rPr>
          <w:spacing w:val="-6"/>
        </w:rPr>
        <w:t>平方米土地作为项目用地，并</w:t>
      </w:r>
      <w:r>
        <w:rPr>
          <w:spacing w:val="-93"/>
        </w:rPr>
        <w:t> </w:t>
      </w:r>
      <w:r>
        <w:rPr>
          <w:spacing w:val="-93"/>
        </w:rPr>
      </w:r>
      <w:r>
        <w:rPr>
          <w:spacing w:val="-2"/>
        </w:rPr>
        <w:t>根据东软控股的需求进行“东软控股大厦—河口园区客户服务中心”的定制化建设。报告期内，</w:t>
      </w:r>
      <w:r>
        <w:rPr>
          <w:spacing w:val="-25"/>
        </w:rPr>
        <w:t> </w:t>
      </w:r>
      <w:r>
        <w:rPr>
          <w:spacing w:val="-25"/>
        </w:rPr>
      </w:r>
      <w:r>
        <w:rPr>
          <w:spacing w:val="-2"/>
        </w:rPr>
        <w:t>东软大连已按上述协议将土地及地上建筑物转让给东软控股，本次转让交易价格依据经双方认可</w:t>
      </w:r>
      <w:r>
        <w:rPr>
          <w:spacing w:val="-25"/>
        </w:rPr>
        <w:t> </w:t>
      </w:r>
      <w:r>
        <w:rPr>
          <w:spacing w:val="-25"/>
        </w:rPr>
      </w:r>
      <w:r>
        <w:rPr>
          <w:spacing w:val="-3"/>
        </w:rPr>
        <w:t>的第三方评估报告的评估值和决算报告金额确定，最终确定交易总金额为 </w:t>
      </w:r>
      <w:r>
        <w:rPr>
          <w:rFonts w:ascii="宋体" w:hAnsi="宋体" w:cs="宋体" w:eastAsia="宋体" w:hint="default"/>
        </w:rPr>
        <w:t>10,709</w:t>
      </w:r>
      <w:r>
        <w:rPr>
          <w:rFonts w:ascii="宋体" w:hAnsi="宋体" w:cs="宋体" w:eastAsia="宋体" w:hint="default"/>
          <w:spacing w:val="-54"/>
        </w:rPr>
        <w:t> </w:t>
      </w:r>
      <w:r>
        <w:rPr>
          <w:spacing w:val="-8"/>
        </w:rPr>
        <w:t>万元。其他具体</w:t>
      </w:r>
    </w:p>
    <w:p>
      <w:pPr>
        <w:pStyle w:val="BodyText"/>
        <w:spacing w:line="271" w:lineRule="exact"/>
        <w:ind w:right="0"/>
        <w:jc w:val="left"/>
      </w:pPr>
      <w:r>
        <w:rPr/>
        <w:t>内容，详见本公司于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日刊登在《中国证券报》、《上海证券报》上的相关公告。</w:t>
      </w:r>
    </w:p>
    <w:p>
      <w:pPr>
        <w:pStyle w:val="Heading2"/>
        <w:spacing w:line="240" w:lineRule="auto" w:before="53"/>
        <w:ind w:right="2760"/>
        <w:jc w:val="left"/>
        <w:rPr>
          <w:b w:val="0"/>
          <w:bCs w:val="0"/>
        </w:rPr>
      </w:pPr>
      <w:r>
        <w:rPr>
          <w:rFonts w:ascii="宋体" w:hAnsi="宋体" w:cs="宋体" w:eastAsia="宋体" w:hint="default"/>
        </w:rPr>
        <w:t>(7).</w:t>
      </w:r>
      <w:r>
        <w:rPr>
          <w:rFonts w:ascii="宋体" w:hAnsi="宋体" w:cs="宋体" w:eastAsia="宋体" w:hint="default"/>
          <w:spacing w:val="9"/>
        </w:rPr>
        <w:t> </w:t>
      </w:r>
      <w:r>
        <w:rPr/>
        <w:t>关键管理人员报酬</w:t>
      </w:r>
      <w:r>
        <w:rPr>
          <w:b w:val="0"/>
          <w:bCs w:val="0"/>
        </w:rPr>
      </w:r>
    </w:p>
    <w:p>
      <w:pPr>
        <w:pStyle w:val="BodyText"/>
        <w:spacing w:line="240" w:lineRule="auto" w:before="61"/>
        <w:ind w:right="2760"/>
        <w:jc w:val="left"/>
      </w:pPr>
      <w:r>
        <w:rPr/>
        <w:t>√适用</w:t>
      </w:r>
      <w:r>
        <w:rPr>
          <w:spacing w:val="-1"/>
        </w:rPr>
        <w:t> </w:t>
      </w:r>
      <w:r>
        <w:rPr/>
        <w:t>□不适用</w:t>
      </w:r>
    </w:p>
    <w:p>
      <w:pPr>
        <w:pStyle w:val="BodyText"/>
        <w:tabs>
          <w:tab w:pos="1260" w:val="left" w:leader="none"/>
        </w:tabs>
        <w:spacing w:line="274" w:lineRule="exact"/>
        <w:ind w:left="0" w:right="232"/>
        <w:jc w:val="right"/>
      </w:pPr>
      <w:r>
        <w:rPr>
          <w:spacing w:val="-1"/>
        </w:rPr>
        <w:t>单位：万元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3,004</w:t>
            </w:r>
          </w:p>
        </w:tc>
      </w:tr>
    </w:tbl>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rFonts w:ascii="宋体" w:hAnsi="宋体" w:cs="宋体" w:eastAsia="宋体" w:hint="default"/>
        </w:rPr>
        <w:t>(8).</w:t>
      </w:r>
      <w:r>
        <w:rPr>
          <w:rFonts w:ascii="宋体" w:hAnsi="宋体" w:cs="宋体" w:eastAsia="宋体" w:hint="default"/>
          <w:spacing w:val="9"/>
        </w:rPr>
        <w:t> </w:t>
      </w:r>
      <w:r>
        <w:rPr/>
        <w:t>其他关联交易</w:t>
      </w:r>
      <w:r>
        <w:rPr>
          <w:b w:val="0"/>
          <w:bCs w:val="0"/>
        </w:rPr>
      </w:r>
    </w:p>
    <w:p>
      <w:pPr>
        <w:pStyle w:val="BodyText"/>
        <w:spacing w:line="273" w:lineRule="exact" w:before="64"/>
        <w:ind w:right="0"/>
        <w:jc w:val="both"/>
      </w:pPr>
      <w:r>
        <w:rPr/>
        <w:t>√适用</w:t>
      </w:r>
      <w:r>
        <w:rPr>
          <w:spacing w:val="104"/>
        </w:rPr>
        <w:t> </w:t>
      </w:r>
      <w:r>
        <w:rPr/>
        <w:t>□不适用</w:t>
      </w:r>
    </w:p>
    <w:p>
      <w:pPr>
        <w:pStyle w:val="BodyText"/>
        <w:spacing w:line="237" w:lineRule="auto"/>
        <w:ind w:right="227" w:firstLine="419"/>
        <w:jc w:val="both"/>
      </w:pPr>
      <w:r>
        <w:rPr>
          <w:rFonts w:ascii="宋体" w:hAnsi="宋体" w:cs="宋体" w:eastAsia="宋体" w:hint="default"/>
          <w:spacing w:val="-16"/>
        </w:rPr>
        <w:t>1</w:t>
      </w:r>
      <w:r>
        <w:rPr>
          <w:spacing w:val="-16"/>
        </w:rPr>
        <w:t>、于</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3"/>
        </w:rPr>
        <w:t>日召开的公司八届三次董事会审议通过了《关于对东软医疗产业园发展</w:t>
      </w:r>
      <w:r>
        <w:rPr>
          <w:w w:val="100"/>
        </w:rPr>
        <w:t> </w:t>
      </w:r>
      <w:r>
        <w:rPr>
          <w:spacing w:val="-2"/>
        </w:rPr>
        <w:t>有限公司增资的议案》，董事会同意本公司与东软医疗、东软医疗产业园发展有限公司（以下简</w:t>
      </w:r>
      <w:r>
        <w:rPr>
          <w:spacing w:val="-25"/>
        </w:rPr>
        <w:t> </w:t>
      </w:r>
      <w:r>
        <w:rPr>
          <w:spacing w:val="-25"/>
        </w:rPr>
      </w:r>
      <w:r>
        <w:rPr>
          <w:spacing w:val="-2"/>
        </w:rPr>
        <w:t>称“医疗产业园公司”）签订《增资协议》。根据协议约定本，公司以货币方式认缴医疗产业园</w:t>
      </w:r>
      <w:r>
        <w:rPr>
          <w:spacing w:val="-26"/>
        </w:rPr>
        <w:t> </w:t>
      </w:r>
      <w:r>
        <w:rPr>
          <w:spacing w:val="-26"/>
        </w:rPr>
      </w:r>
      <w:r>
        <w:rPr/>
        <w:t>公司</w:t>
      </w:r>
      <w:r>
        <w:rPr>
          <w:spacing w:val="-54"/>
        </w:rPr>
        <w:t> </w:t>
      </w:r>
      <w:r>
        <w:rPr>
          <w:rFonts w:ascii="宋体" w:hAnsi="宋体" w:cs="宋体" w:eastAsia="宋体" w:hint="default"/>
        </w:rPr>
        <w:t>10,000</w:t>
      </w:r>
      <w:r>
        <w:rPr>
          <w:rFonts w:ascii="宋体" w:hAnsi="宋体" w:cs="宋体" w:eastAsia="宋体" w:hint="default"/>
          <w:spacing w:val="-54"/>
        </w:rPr>
        <w:t> </w:t>
      </w:r>
      <w:r>
        <w:rPr/>
        <w:t>万元新增注册资本出资额，增资价格为</w:t>
      </w:r>
      <w:r>
        <w:rPr>
          <w:spacing w:val="-56"/>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股（</w:t>
      </w:r>
      <w:r>
        <w:rPr>
          <w:rFonts w:ascii="宋体" w:hAnsi="宋体" w:cs="宋体" w:eastAsia="宋体" w:hint="default"/>
        </w:rPr>
        <w:t>1</w:t>
      </w:r>
      <w:r>
        <w:rPr>
          <w:rFonts w:ascii="宋体" w:hAnsi="宋体" w:cs="宋体" w:eastAsia="宋体" w:hint="default"/>
          <w:spacing w:val="-56"/>
        </w:rPr>
        <w:t> </w:t>
      </w:r>
      <w:r>
        <w:rPr/>
        <w:t>股等于</w:t>
      </w:r>
      <w:r>
        <w:rPr>
          <w:spacing w:val="-54"/>
        </w:rPr>
        <w:t> </w:t>
      </w:r>
      <w:r>
        <w:rPr>
          <w:rFonts w:ascii="宋体" w:hAnsi="宋体" w:cs="宋体" w:eastAsia="宋体" w:hint="default"/>
        </w:rPr>
        <w:t>1</w:t>
      </w:r>
      <w:r>
        <w:rPr>
          <w:rFonts w:ascii="宋体" w:hAnsi="宋体" w:cs="宋体" w:eastAsia="宋体" w:hint="default"/>
          <w:spacing w:val="-56"/>
        </w:rPr>
        <w:t> </w:t>
      </w:r>
      <w:r>
        <w:rPr/>
        <w:t>元注册资本），增资总</w:t>
      </w:r>
    </w:p>
    <w:p>
      <w:pPr>
        <w:pStyle w:val="BodyText"/>
        <w:spacing w:line="237" w:lineRule="auto"/>
        <w:ind w:right="128"/>
        <w:jc w:val="both"/>
      </w:pPr>
      <w:r>
        <w:rPr>
          <w:w w:val="100"/>
        </w:rPr>
        <w:t>额为</w:t>
      </w:r>
      <w:r>
        <w:rPr>
          <w:spacing w:val="-68"/>
          <w:w w:val="100"/>
        </w:rPr>
        <w:t> </w:t>
      </w:r>
      <w:r>
        <w:rPr>
          <w:rFonts w:ascii="宋体" w:hAnsi="宋体" w:cs="宋体" w:eastAsia="宋体" w:hint="default"/>
          <w:spacing w:val="-1"/>
          <w:w w:val="100"/>
        </w:rPr>
        <w:t>10,000</w:t>
      </w:r>
      <w:r>
        <w:rPr>
          <w:rFonts w:ascii="宋体" w:hAnsi="宋体" w:cs="宋体" w:eastAsia="宋体" w:hint="default"/>
          <w:spacing w:val="-68"/>
          <w:w w:val="100"/>
        </w:rPr>
        <w:t> </w:t>
      </w:r>
      <w:r>
        <w:rPr>
          <w:spacing w:val="-11"/>
          <w:w w:val="100"/>
        </w:rPr>
        <w:t>万元。本次增资完成后，医疗产业园公司注册资本由</w:t>
      </w:r>
      <w:r>
        <w:rPr>
          <w:spacing w:val="-67"/>
          <w:w w:val="100"/>
        </w:rPr>
        <w:t> </w:t>
      </w:r>
      <w:r>
        <w:rPr>
          <w:rFonts w:ascii="宋体" w:hAnsi="宋体" w:cs="宋体" w:eastAsia="宋体" w:hint="default"/>
          <w:spacing w:val="-1"/>
          <w:w w:val="100"/>
        </w:rPr>
        <w:t>10,100</w:t>
      </w:r>
      <w:r>
        <w:rPr>
          <w:rFonts w:ascii="宋体" w:hAnsi="宋体" w:cs="宋体" w:eastAsia="宋体" w:hint="default"/>
          <w:spacing w:val="-68"/>
          <w:w w:val="100"/>
        </w:rPr>
        <w:t> </w:t>
      </w:r>
      <w:r>
        <w:rPr>
          <w:spacing w:val="-2"/>
          <w:w w:val="100"/>
        </w:rPr>
        <w:t>万元变更为</w:t>
      </w:r>
      <w:r>
        <w:rPr>
          <w:spacing w:val="-67"/>
          <w:w w:val="100"/>
        </w:rPr>
        <w:t> </w:t>
      </w:r>
      <w:r>
        <w:rPr>
          <w:rFonts w:ascii="宋体" w:hAnsi="宋体" w:cs="宋体" w:eastAsia="宋体" w:hint="default"/>
          <w:spacing w:val="-1"/>
          <w:w w:val="100"/>
        </w:rPr>
        <w:t>20,100</w:t>
      </w:r>
      <w:r>
        <w:rPr>
          <w:rFonts w:ascii="宋体" w:hAnsi="宋体" w:cs="宋体" w:eastAsia="宋体" w:hint="default"/>
          <w:spacing w:val="-68"/>
          <w:w w:val="100"/>
        </w:rPr>
        <w:t> </w:t>
      </w:r>
      <w:r>
        <w:rPr>
          <w:spacing w:val="-1"/>
          <w:w w:val="100"/>
        </w:rPr>
        <w:t>万元，</w:t>
      </w:r>
      <w:r>
        <w:rPr>
          <w:spacing w:val="-97"/>
          <w:w w:val="100"/>
        </w:rPr>
        <w:t> </w:t>
      </w:r>
      <w:r>
        <w:rPr>
          <w:spacing w:val="-97"/>
          <w:w w:val="100"/>
        </w:rPr>
      </w:r>
      <w:r>
        <w:rPr/>
        <w:t>医疗产业园公司仍为本公司控股子公司，持股比例为</w:t>
      </w:r>
      <w:r>
        <w:rPr>
          <w:spacing w:val="-49"/>
        </w:rPr>
        <w:t> </w:t>
      </w:r>
      <w:r>
        <w:rPr>
          <w:rFonts w:ascii="宋体" w:hAnsi="宋体" w:cs="宋体" w:eastAsia="宋体" w:hint="default"/>
          <w:spacing w:val="-3"/>
        </w:rPr>
        <w:t>74.63%</w:t>
      </w:r>
      <w:r>
        <w:rPr>
          <w:spacing w:val="-3"/>
        </w:rPr>
        <w:t>。因东软医疗尚未实缴出资，根据医</w:t>
      </w:r>
      <w:r>
        <w:rPr>
          <w:spacing w:val="-95"/>
        </w:rPr>
        <w:t> </w:t>
      </w:r>
      <w:r>
        <w:rPr>
          <w:spacing w:val="-95"/>
        </w:rPr>
      </w:r>
      <w:r>
        <w:rPr/>
        <w:t>疗产业园公司章程及本公司与东软医疗协商，双方确认东软医疗对本次增资不享有优先认缴权。</w:t>
      </w:r>
      <w:r>
        <w:rPr>
          <w:w w:val="100"/>
        </w:rPr>
        <w:t> </w:t>
      </w:r>
      <w:r>
        <w:rPr/>
        <w:t>具体内容详见本公司于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日刊登在《中国证券报》、《上海证券报》上的相关公告。</w:t>
      </w:r>
    </w:p>
    <w:p>
      <w:pPr>
        <w:spacing w:line="240" w:lineRule="auto" w:before="11"/>
        <w:rPr>
          <w:rFonts w:ascii="宋体" w:hAnsi="宋体" w:cs="宋体" w:eastAsia="宋体" w:hint="default"/>
          <w:sz w:val="20"/>
          <w:szCs w:val="20"/>
        </w:rPr>
      </w:pPr>
    </w:p>
    <w:p>
      <w:pPr>
        <w:pStyle w:val="BodyText"/>
        <w:spacing w:line="237" w:lineRule="auto"/>
        <w:ind w:right="237" w:firstLine="419"/>
        <w:jc w:val="both"/>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月，本公司与辽宁东软创业投资有限公司（以下简称“东软创投”）共同参与</w:t>
      </w:r>
      <w:r>
        <w:rPr>
          <w:w w:val="100"/>
        </w:rPr>
        <w:t> </w:t>
      </w:r>
      <w:r>
        <w:rPr/>
        <w:t>汉朗的</w:t>
      </w:r>
      <w:r>
        <w:rPr>
          <w:spacing w:val="-55"/>
        </w:rPr>
        <w:t> </w:t>
      </w:r>
      <w:r>
        <w:rPr>
          <w:rFonts w:ascii="宋体" w:hAnsi="宋体" w:cs="宋体" w:eastAsia="宋体" w:hint="default"/>
        </w:rPr>
        <w:t>B</w:t>
      </w:r>
      <w:r>
        <w:rPr>
          <w:rFonts w:ascii="宋体" w:hAnsi="宋体" w:cs="宋体" w:eastAsia="宋体" w:hint="default"/>
          <w:spacing w:val="-55"/>
        </w:rPr>
        <w:t> </w:t>
      </w:r>
      <w:r>
        <w:rPr/>
        <w:t>轮融资，认购其新增发行的注册资本额。本公司出资</w:t>
      </w:r>
      <w:r>
        <w:rPr>
          <w:spacing w:val="-55"/>
        </w:rPr>
        <w:t> </w:t>
      </w:r>
      <w:r>
        <w:rPr>
          <w:rFonts w:ascii="宋体" w:hAnsi="宋体" w:cs="宋体" w:eastAsia="宋体" w:hint="default"/>
        </w:rPr>
        <w:t>1,500</w:t>
      </w:r>
      <w:r>
        <w:rPr>
          <w:rFonts w:ascii="宋体" w:hAnsi="宋体" w:cs="宋体" w:eastAsia="宋体" w:hint="default"/>
          <w:spacing w:val="-55"/>
        </w:rPr>
        <w:t> </w:t>
      </w:r>
      <w:r>
        <w:rPr/>
        <w:t>万元，认购其新增发行的注</w:t>
      </w:r>
      <w:r>
        <w:rPr>
          <w:w w:val="100"/>
        </w:rPr>
        <w:t> </w:t>
      </w:r>
      <w:r>
        <w:rPr/>
        <w:t>册资本</w:t>
      </w:r>
      <w:r>
        <w:rPr>
          <w:spacing w:val="-54"/>
        </w:rPr>
        <w:t> </w:t>
      </w:r>
      <w:r>
        <w:rPr>
          <w:rFonts w:ascii="宋体" w:hAnsi="宋体" w:cs="宋体" w:eastAsia="宋体" w:hint="default"/>
        </w:rPr>
        <w:t>1,020,833</w:t>
      </w:r>
      <w:r>
        <w:rPr>
          <w:rFonts w:ascii="宋体" w:hAnsi="宋体" w:cs="宋体" w:eastAsia="宋体" w:hint="default"/>
          <w:spacing w:val="-54"/>
        </w:rPr>
        <w:t> </w:t>
      </w:r>
      <w:r>
        <w:rPr/>
        <w:t>元，占汉朗（融资后）注册资本的</w:t>
      </w:r>
      <w:r>
        <w:rPr>
          <w:spacing w:val="-53"/>
        </w:rPr>
        <w:t> </w:t>
      </w:r>
      <w:r>
        <w:rPr>
          <w:rFonts w:ascii="宋体" w:hAnsi="宋体" w:cs="宋体" w:eastAsia="宋体" w:hint="default"/>
        </w:rPr>
        <w:t>6.83%</w:t>
      </w:r>
      <w:r>
        <w:rPr/>
        <w:t>；东软创投出资</w:t>
      </w:r>
      <w:r>
        <w:rPr>
          <w:spacing w:val="-56"/>
        </w:rPr>
        <w:t> </w:t>
      </w:r>
      <w:r>
        <w:rPr>
          <w:rFonts w:ascii="宋体" w:hAnsi="宋体" w:cs="宋体" w:eastAsia="宋体" w:hint="default"/>
        </w:rPr>
        <w:t>1,500</w:t>
      </w:r>
      <w:r>
        <w:rPr>
          <w:rFonts w:ascii="宋体" w:hAnsi="宋体" w:cs="宋体" w:eastAsia="宋体" w:hint="default"/>
          <w:spacing w:val="-56"/>
        </w:rPr>
        <w:t> </w:t>
      </w:r>
      <w:r>
        <w:rPr/>
        <w:t>万元，认购其</w:t>
      </w:r>
      <w:r>
        <w:rPr>
          <w:w w:val="100"/>
        </w:rPr>
        <w:t> </w:t>
      </w:r>
      <w:r>
        <w:rPr/>
        <w:t>新增发行的注册资本</w:t>
      </w:r>
      <w:r>
        <w:rPr>
          <w:spacing w:val="-55"/>
        </w:rPr>
        <w:t> </w:t>
      </w:r>
      <w:r>
        <w:rPr>
          <w:rFonts w:ascii="宋体" w:hAnsi="宋体" w:cs="宋体" w:eastAsia="宋体" w:hint="default"/>
        </w:rPr>
        <w:t>1,020,833</w:t>
      </w:r>
      <w:r>
        <w:rPr>
          <w:rFonts w:ascii="宋体" w:hAnsi="宋体" w:cs="宋体" w:eastAsia="宋体" w:hint="default"/>
          <w:spacing w:val="-57"/>
        </w:rPr>
        <w:t> </w:t>
      </w:r>
      <w:r>
        <w:rPr/>
        <w:t>元，占汉朗注册资本（融资后）的</w:t>
      </w:r>
      <w:r>
        <w:rPr>
          <w:spacing w:val="-55"/>
        </w:rPr>
        <w:t> </w:t>
      </w:r>
      <w:r>
        <w:rPr>
          <w:rFonts w:ascii="宋体" w:hAnsi="宋体" w:cs="宋体" w:eastAsia="宋体" w:hint="default"/>
        </w:rPr>
        <w:t>6.83%</w:t>
      </w:r>
      <w:r>
        <w:rPr/>
        <w:t>。上述认购款项分三期</w:t>
      </w:r>
      <w:r>
        <w:rPr>
          <w:w w:val="100"/>
        </w:rPr>
        <w:t> </w:t>
      </w:r>
      <w:r>
        <w:rPr/>
        <w:t>支付，截至本报告期末，本公司已支付第一期认购款项</w:t>
      </w:r>
      <w:r>
        <w:rPr>
          <w:spacing w:val="-54"/>
        </w:rPr>
        <w:t> </w:t>
      </w:r>
      <w:r>
        <w:rPr>
          <w:rFonts w:ascii="宋体" w:hAnsi="宋体" w:cs="宋体" w:eastAsia="宋体" w:hint="default"/>
        </w:rPr>
        <w:t>750</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248" w:top="1300" w:bottom="1440" w:left="1580" w:right="1040"/>
        </w:sectPr>
      </w:pPr>
    </w:p>
    <w:p>
      <w:pPr>
        <w:pStyle w:val="Heading2"/>
        <w:spacing w:line="283" w:lineRule="auto"/>
        <w:ind w:right="-18"/>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rFonts w:ascii="宋体" w:hAnsi="宋体" w:cs="宋体" w:eastAsia="宋体" w:hint="default"/>
          <w:spacing w:val="11"/>
        </w:rPr>
        <w:t> </w:t>
      </w:r>
      <w:r>
        <w:rPr/>
        <w:t>应收项目</w:t>
      </w:r>
      <w:r>
        <w:rPr>
          <w:b w:val="0"/>
          <w:bCs w:val="0"/>
        </w:rPr>
      </w:r>
    </w:p>
    <w:p>
      <w:pPr>
        <w:pStyle w:val="BodyText"/>
        <w:tabs>
          <w:tab w:pos="1060" w:val="left" w:leader="none"/>
        </w:tabs>
        <w:spacing w:line="240" w:lineRule="auto" w:before="18"/>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2812" w:space="392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10,376,881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103,769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20,888,586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208,886</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15,882,918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162,344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10,249,940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106,014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8,162,716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81,627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7,883,455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356,155</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4,781,750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47,818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3,769,000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37,690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1,255,861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12,558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1,061,218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10,612</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15,436,494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154,365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2,101</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208,433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2" w:right="0"/>
              <w:jc w:val="left"/>
              <w:rPr>
                <w:rFonts w:ascii="宋体" w:hAnsi="宋体" w:cs="宋体" w:eastAsia="宋体" w:hint="default"/>
                <w:sz w:val="21"/>
                <w:szCs w:val="21"/>
              </w:rPr>
            </w:pPr>
            <w:r>
              <w:rPr>
                <w:rFonts w:ascii="宋体"/>
                <w:sz w:val="21"/>
              </w:rPr>
              <w:t>2,084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2,992,680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2,265,525</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4,302,928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550,567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339,579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300" w:bottom="1440" w:left="1580" w:right="1040"/>
        </w:sectPr>
      </w:pPr>
    </w:p>
    <w:p>
      <w:pPr>
        <w:pStyle w:val="Heading2"/>
        <w:spacing w:line="240" w:lineRule="auto"/>
        <w:ind w:right="-12"/>
        <w:jc w:val="left"/>
        <w:rPr>
          <w:b w:val="0"/>
          <w:bCs w:val="0"/>
        </w:rPr>
      </w:pPr>
      <w:r>
        <w:rPr>
          <w:rFonts w:ascii="宋体" w:hAnsi="宋体" w:cs="宋体" w:eastAsia="宋体" w:hint="default"/>
        </w:rPr>
        <w:t>(2).</w:t>
      </w:r>
      <w:r>
        <w:rPr>
          <w:rFonts w:ascii="宋体" w:hAnsi="宋体" w:cs="宋体" w:eastAsia="宋体" w:hint="default"/>
          <w:spacing w:val="11"/>
        </w:rPr>
        <w:t> </w:t>
      </w:r>
      <w:r>
        <w:rPr/>
        <w:t>应付项目</w:t>
      </w:r>
      <w:r>
        <w:rPr>
          <w:b w:val="0"/>
          <w:bCs w:val="0"/>
        </w:rPr>
      </w:r>
    </w:p>
    <w:p>
      <w:pPr>
        <w:pStyle w:val="BodyText"/>
        <w:tabs>
          <w:tab w:pos="1060" w:val="left" w:leader="none"/>
        </w:tabs>
        <w:spacing w:line="240" w:lineRule="auto" w:before="61"/>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52"/>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235"/>
        <w:gridCol w:w="2485"/>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56,207,761</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24,949,242</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1,881,551</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16,475,931</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999,357</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3,002,860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8,237,700</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1,359,934</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1,455,271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275,705</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1,169,675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212,490</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241,435</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898,599</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2,958,139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91,676</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1,931,095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1,318,400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356,353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835,551</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141,163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37,531,992</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睿驰达邯郸</w:t>
            </w:r>
          </w:p>
        </w:tc>
        <w:tc>
          <w:tcPr>
            <w:tcW w:w="223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11,990,000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1,743,461</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2,079,713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2760"/>
        <w:jc w:val="left"/>
        <w:rPr>
          <w:b w:val="0"/>
          <w:bCs w:val="0"/>
        </w:rPr>
      </w:pPr>
      <w:r>
        <w:rPr>
          <w:rFonts w:ascii="宋体" w:hAnsi="宋体" w:cs="宋体" w:eastAsia="宋体" w:hint="default"/>
        </w:rPr>
        <w:t>7</w:t>
      </w:r>
      <w:r>
        <w:rPr/>
        <w:t>、</w:t>
      </w:r>
      <w:r>
        <w:rPr>
          <w:spacing w:val="-60"/>
        </w:rPr>
        <w:t> </w:t>
      </w:r>
      <w:r>
        <w:rPr/>
        <w:t>关联方承诺</w:t>
      </w:r>
      <w:r>
        <w:rPr>
          <w:b w:val="0"/>
          <w:bCs w:val="0"/>
        </w:rPr>
      </w:r>
    </w:p>
    <w:p>
      <w:pPr>
        <w:pStyle w:val="BodyText"/>
        <w:tabs>
          <w:tab w:pos="1060" w:val="left" w:leader="none"/>
        </w:tabs>
        <w:spacing w:line="272" w:lineRule="exact" w:before="92"/>
        <w:ind w:right="124"/>
        <w:jc w:val="left"/>
      </w:pPr>
      <w:r>
        <w:rPr>
          <w:spacing w:val="-1"/>
        </w:rPr>
        <w:t>√适用</w:t>
        <w:tab/>
      </w:r>
      <w:r>
        <w:rPr>
          <w:spacing w:val="-2"/>
        </w:rPr>
        <w:t>□不适用</w:t>
      </w:r>
      <w:r>
        <w:rPr>
          <w:spacing w:val="-99"/>
        </w:rPr>
        <w:t> </w:t>
      </w:r>
      <w:r>
        <w:rPr>
          <w:spacing w:val="-99"/>
        </w:rPr>
      </w:r>
      <w:r>
        <w:rPr>
          <w:spacing w:val="-4"/>
          <w:w w:val="100"/>
        </w:rPr>
        <w:t>以下为本公司于资产负债表日，已签约而尚不必在资产负债表上列示的与关联方有关的承诺事项：</w:t>
      </w:r>
    </w:p>
    <w:p>
      <w:pPr>
        <w:pStyle w:val="BodyText"/>
        <w:tabs>
          <w:tab w:pos="946" w:val="left" w:leader="none"/>
        </w:tabs>
        <w:spacing w:line="249"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阿尔派</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3,035,320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7,987,812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2,455,982</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7,987,812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5,491,302</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向关联方提供劳务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从关联方购买商品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阿尔派</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11,660,000</w:t>
            </w:r>
          </w:p>
        </w:tc>
      </w:tr>
    </w:tbl>
    <w:p>
      <w:pPr>
        <w:spacing w:line="240" w:lineRule="auto" w:before="3"/>
        <w:rPr>
          <w:rFonts w:ascii="宋体" w:hAnsi="宋体" w:cs="宋体" w:eastAsia="宋体" w:hint="default"/>
          <w:sz w:val="20"/>
          <w:szCs w:val="20"/>
        </w:rPr>
      </w:pPr>
    </w:p>
    <w:p>
      <w:pPr>
        <w:spacing w:before="26"/>
        <w:ind w:left="218" w:right="2760"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2"/>
        <w:spacing w:line="240" w:lineRule="auto"/>
        <w:ind w:right="-19"/>
        <w:jc w:val="left"/>
        <w:rPr>
          <w:b w:val="0"/>
          <w:bCs w:val="0"/>
        </w:rPr>
      </w:pPr>
      <w:r>
        <w:rPr/>
        <w:t>十三、股份支付</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580" w:bottom="280" w:left="1580" w:right="1040"/>
          <w:cols w:num="2" w:equalWidth="0">
            <w:col w:w="2570" w:space="39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197"/>
        <w:gridCol w:w="1853"/>
      </w:tblGrid>
      <w:tr>
        <w:trPr>
          <w:trHeight w:val="281"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sz w:val="21"/>
              </w:rPr>
              <w:t>5,609,847</w:t>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7197"/>
        <w:gridCol w:w="1853"/>
      </w:tblGrid>
      <w:tr>
        <w:trPr>
          <w:trHeight w:val="284"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4,647,690</w:t>
            </w:r>
          </w:p>
        </w:tc>
      </w:tr>
      <w:tr>
        <w:trPr>
          <w:trHeight w:val="283"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519,740</w:t>
            </w:r>
          </w:p>
        </w:tc>
      </w:tr>
      <w:tr>
        <w:trPr>
          <w:trHeight w:val="281"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40" w:lineRule="auto" w:before="6"/>
        <w:rPr>
          <w:rFonts w:ascii="宋体" w:hAnsi="宋体" w:cs="宋体" w:eastAsia="宋体" w:hint="default"/>
          <w:sz w:val="18"/>
          <w:szCs w:val="18"/>
        </w:rPr>
      </w:pPr>
    </w:p>
    <w:p>
      <w:pPr>
        <w:pStyle w:val="BodyText"/>
        <w:spacing w:line="273" w:lineRule="exact" w:before="36"/>
        <w:ind w:right="0"/>
        <w:jc w:val="both"/>
      </w:pPr>
      <w:r>
        <w:rPr/>
        <w:t>其他说明</w:t>
      </w:r>
    </w:p>
    <w:p>
      <w:pPr>
        <w:pStyle w:val="BodyText"/>
        <w:spacing w:line="272" w:lineRule="exact"/>
        <w:ind w:left="638" w:right="0"/>
        <w:jc w:val="left"/>
      </w:pPr>
      <w:r>
        <w:rPr>
          <w:spacing w:val="-8"/>
        </w:rPr>
        <w:t>（</w:t>
      </w:r>
      <w:r>
        <w:rPr>
          <w:rFonts w:ascii="宋体" w:hAnsi="宋体" w:cs="宋体" w:eastAsia="宋体" w:hint="default"/>
          <w:spacing w:val="-8"/>
        </w:rPr>
        <w:t>1</w:t>
      </w:r>
      <w:r>
        <w:rPr>
          <w:spacing w:val="-8"/>
        </w:rPr>
        <w:t>）本公司于</w:t>
      </w:r>
      <w:r>
        <w:rPr>
          <w:spacing w:val="-44"/>
        </w:rPr>
        <w:t> </w:t>
      </w:r>
      <w:r>
        <w:rPr>
          <w:rFonts w:ascii="宋体" w:hAnsi="宋体" w:cs="宋体" w:eastAsia="宋体" w:hint="default"/>
        </w:rPr>
        <w:t>2015</w:t>
      </w:r>
      <w:r>
        <w:rPr>
          <w:rFonts w:ascii="宋体" w:hAnsi="宋体" w:cs="宋体" w:eastAsia="宋体" w:hint="default"/>
          <w:spacing w:val="-40"/>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1"/>
        </w:rPr>
        <w:t> </w:t>
      </w:r>
      <w:r>
        <w:rPr>
          <w:rFonts w:ascii="宋体" w:hAnsi="宋体" w:cs="宋体" w:eastAsia="宋体" w:hint="default"/>
        </w:rPr>
        <w:t>21</w:t>
      </w:r>
      <w:r>
        <w:rPr>
          <w:rFonts w:ascii="宋体" w:hAnsi="宋体" w:cs="宋体" w:eastAsia="宋体" w:hint="default"/>
          <w:spacing w:val="-44"/>
        </w:rPr>
        <w:t> </w:t>
      </w:r>
      <w:r>
        <w:rPr>
          <w:spacing w:val="-4"/>
        </w:rPr>
        <w:t>日召开的公司七届十八次董事会审议通过《关于调整限制性股</w:t>
      </w:r>
    </w:p>
    <w:p>
      <w:pPr>
        <w:pStyle w:val="BodyText"/>
        <w:spacing w:line="272" w:lineRule="exact"/>
        <w:ind w:right="0"/>
        <w:jc w:val="both"/>
      </w:pPr>
      <w:r>
        <w:rPr/>
        <w:t>票激励计划激励对象的议案》、《关于限制性股票激励计划首次授予的议案》，向</w:t>
      </w:r>
      <w:r>
        <w:rPr>
          <w:spacing w:val="-53"/>
        </w:rPr>
        <w:t> </w:t>
      </w:r>
      <w:r>
        <w:rPr>
          <w:rFonts w:ascii="宋体" w:hAnsi="宋体" w:cs="宋体" w:eastAsia="宋体" w:hint="default"/>
        </w:rPr>
        <w:t>395</w:t>
      </w:r>
      <w:r>
        <w:rPr>
          <w:rFonts w:ascii="宋体" w:hAnsi="宋体" w:cs="宋体" w:eastAsia="宋体" w:hint="default"/>
          <w:spacing w:val="-56"/>
        </w:rPr>
        <w:t> </w:t>
      </w:r>
      <w:r>
        <w:rPr/>
        <w:t>名激励对</w:t>
      </w:r>
    </w:p>
    <w:p>
      <w:pPr>
        <w:pStyle w:val="BodyText"/>
        <w:spacing w:line="237" w:lineRule="auto"/>
        <w:ind w:right="228"/>
        <w:jc w:val="both"/>
      </w:pPr>
      <w:r>
        <w:rPr/>
        <w:t>象授予</w:t>
      </w:r>
      <w:r>
        <w:rPr>
          <w:spacing w:val="-51"/>
        </w:rPr>
        <w:t> </w:t>
      </w:r>
      <w:r>
        <w:rPr>
          <w:rFonts w:ascii="宋体" w:hAnsi="宋体" w:cs="宋体" w:eastAsia="宋体" w:hint="default"/>
        </w:rPr>
        <w:t>1,498.25</w:t>
      </w:r>
      <w:r>
        <w:rPr>
          <w:rFonts w:ascii="宋体" w:hAnsi="宋体" w:cs="宋体" w:eastAsia="宋体" w:hint="default"/>
          <w:spacing w:val="-51"/>
        </w:rPr>
        <w:t> </w:t>
      </w:r>
      <w:r>
        <w:rPr>
          <w:spacing w:val="-3"/>
        </w:rPr>
        <w:t>万股限制性股票，授予价格</w:t>
      </w:r>
      <w:r>
        <w:rPr>
          <w:spacing w:val="-51"/>
        </w:rPr>
        <w:t> </w:t>
      </w:r>
      <w:r>
        <w:rPr>
          <w:rFonts w:ascii="宋体" w:hAnsi="宋体" w:cs="宋体" w:eastAsia="宋体" w:hint="default"/>
        </w:rPr>
        <w:t>9.00</w:t>
      </w:r>
      <w:r>
        <w:rPr>
          <w:rFonts w:ascii="宋体" w:hAnsi="宋体" w:cs="宋体" w:eastAsia="宋体" w:hint="default"/>
          <w:spacing w:val="-50"/>
        </w:rPr>
        <w:t> </w:t>
      </w:r>
      <w:r>
        <w:rPr/>
        <w:t>元</w:t>
      </w:r>
      <w:r>
        <w:rPr>
          <w:rFonts w:ascii="宋体" w:hAnsi="宋体" w:cs="宋体" w:eastAsia="宋体" w:hint="default"/>
        </w:rPr>
        <w:t>/</w:t>
      </w:r>
      <w:r>
        <w:rPr/>
        <w:t>股。</w:t>
      </w:r>
      <w:r>
        <w:rPr>
          <w:spacing w:val="-8"/>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spacing w:val="-3"/>
        </w:rPr>
        <w:t>日，公司限制性股票</w:t>
      </w:r>
      <w:r>
        <w:rPr>
          <w:w w:val="100"/>
        </w:rPr>
        <w:t> </w:t>
      </w:r>
      <w:r>
        <w:rPr>
          <w:spacing w:val="-2"/>
        </w:rPr>
        <w:t>激励计划首次授予的登记手续办理完成，中国证券登记结算有限责任公司上海分公司出具了《证</w:t>
      </w:r>
      <w:r>
        <w:rPr>
          <w:spacing w:val="-25"/>
        </w:rPr>
        <w:t> </w:t>
      </w:r>
      <w:r>
        <w:rPr>
          <w:spacing w:val="-25"/>
        </w:rPr>
      </w:r>
      <w:r>
        <w:rPr>
          <w:spacing w:val="-3"/>
        </w:rPr>
        <w:t>券变更登记证明》。</w:t>
      </w:r>
      <w:r>
        <w:rPr>
          <w:rFonts w:ascii="宋体" w:hAnsi="宋体" w:cs="宋体" w:eastAsia="宋体" w:hint="default"/>
          <w:spacing w:val="-3"/>
        </w:rPr>
        <w:t>2016</w:t>
      </w:r>
      <w:r>
        <w:rPr>
          <w:rFonts w:ascii="宋体" w:hAnsi="宋体" w:cs="宋体" w:eastAsia="宋体" w:hint="default"/>
          <w:spacing w:val="-41"/>
        </w:rPr>
        <w:t> </w:t>
      </w:r>
      <w:r>
        <w:rPr/>
        <w:t>年</w:t>
      </w:r>
      <w:r>
        <w:rPr>
          <w:spacing w:val="-39"/>
        </w:rPr>
        <w:t> </w:t>
      </w:r>
      <w:r>
        <w:rPr>
          <w:rFonts w:ascii="宋体" w:hAnsi="宋体" w:cs="宋体" w:eastAsia="宋体" w:hint="default"/>
        </w:rPr>
        <w:t>7</w:t>
      </w:r>
      <w:r>
        <w:rPr>
          <w:rFonts w:ascii="宋体" w:hAnsi="宋体" w:cs="宋体" w:eastAsia="宋体" w:hint="default"/>
          <w:spacing w:val="-41"/>
        </w:rPr>
        <w:t> </w:t>
      </w:r>
      <w:r>
        <w:rPr/>
        <w:t>月</w:t>
      </w:r>
      <w:r>
        <w:rPr>
          <w:spacing w:val="-39"/>
        </w:rPr>
        <w:t> </w:t>
      </w:r>
      <w:r>
        <w:rPr>
          <w:rFonts w:ascii="宋体" w:hAnsi="宋体" w:cs="宋体" w:eastAsia="宋体" w:hint="default"/>
        </w:rPr>
        <w:t>6</w:t>
      </w:r>
      <w:r>
        <w:rPr>
          <w:rFonts w:ascii="宋体" w:hAnsi="宋体" w:cs="宋体" w:eastAsia="宋体" w:hint="default"/>
          <w:spacing w:val="-39"/>
        </w:rPr>
        <w:t> </w:t>
      </w:r>
      <w:r>
        <w:rPr>
          <w:spacing w:val="-3"/>
        </w:rPr>
        <w:t>日，本公司于召开的公司七届三十次董事会审议通过《关于向</w:t>
      </w:r>
    </w:p>
    <w:p>
      <w:pPr>
        <w:pStyle w:val="BodyText"/>
        <w:spacing w:line="272" w:lineRule="exact"/>
        <w:ind w:right="0"/>
        <w:jc w:val="both"/>
      </w:pPr>
      <w:r>
        <w:rPr>
          <w:spacing w:val="-6"/>
        </w:rPr>
        <w:t>激励对象授予预留限制性股票的议案》，董事会同意向</w:t>
      </w:r>
      <w:r>
        <w:rPr>
          <w:spacing w:val="-42"/>
        </w:rPr>
        <w:t> </w:t>
      </w:r>
      <w:r>
        <w:rPr>
          <w:rFonts w:ascii="宋体" w:hAnsi="宋体" w:cs="宋体" w:eastAsia="宋体" w:hint="default"/>
        </w:rPr>
        <w:t>46</w:t>
      </w:r>
      <w:r>
        <w:rPr>
          <w:rFonts w:ascii="宋体" w:hAnsi="宋体" w:cs="宋体" w:eastAsia="宋体" w:hint="default"/>
          <w:spacing w:val="-45"/>
        </w:rPr>
        <w:t> </w:t>
      </w:r>
      <w:r>
        <w:rPr/>
        <w:t>名激励对象授予</w:t>
      </w:r>
      <w:r>
        <w:rPr>
          <w:spacing w:val="-42"/>
        </w:rPr>
        <w:t> </w:t>
      </w:r>
      <w:r>
        <w:rPr>
          <w:rFonts w:ascii="宋体" w:hAnsi="宋体" w:cs="宋体" w:eastAsia="宋体" w:hint="default"/>
        </w:rPr>
        <w:t>99.15</w:t>
      </w:r>
      <w:r>
        <w:rPr>
          <w:rFonts w:ascii="宋体" w:hAnsi="宋体" w:cs="宋体" w:eastAsia="宋体" w:hint="default"/>
          <w:spacing w:val="-41"/>
        </w:rPr>
        <w:t> </w:t>
      </w:r>
      <w:r>
        <w:rPr/>
        <w:t>万股预留限制性</w:t>
      </w:r>
    </w:p>
    <w:p>
      <w:pPr>
        <w:pStyle w:val="BodyText"/>
        <w:spacing w:line="237" w:lineRule="auto" w:before="1"/>
        <w:ind w:right="237"/>
        <w:jc w:val="both"/>
      </w:pPr>
      <w:r>
        <w:rPr/>
        <w:t>股票，授予价格</w:t>
      </w:r>
      <w:r>
        <w:rPr>
          <w:spacing w:val="-53"/>
        </w:rPr>
        <w:t> </w:t>
      </w:r>
      <w:r>
        <w:rPr>
          <w:rFonts w:ascii="宋体" w:hAnsi="宋体" w:cs="宋体" w:eastAsia="宋体" w:hint="default"/>
        </w:rPr>
        <w:t>9.00</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日，公司限制性股票激励计划预留限制性股票的登</w:t>
      </w:r>
      <w:r>
        <w:rPr>
          <w:w w:val="100"/>
        </w:rPr>
        <w:t> </w:t>
      </w:r>
      <w:r>
        <w:rPr>
          <w:spacing w:val="-2"/>
        </w:rPr>
        <w:t>记手续办理完成，中国证券登记结算有限责任公司上海分公司出具了《证券变更登记证明》。本</w:t>
      </w:r>
      <w:r>
        <w:rPr>
          <w:spacing w:val="-25"/>
        </w:rPr>
        <w:t> </w:t>
      </w:r>
      <w:r>
        <w:rPr>
          <w:spacing w:val="-25"/>
        </w:rPr>
      </w:r>
      <w:r>
        <w:rPr/>
        <w:t>公司于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2"/>
        </w:rPr>
        <w:t> </w:t>
      </w:r>
      <w:r>
        <w:rPr/>
        <w:t>日召开的公司七届三十一次董事会审议通过《关于公司回购注销部分限制</w:t>
      </w:r>
    </w:p>
    <w:p>
      <w:pPr>
        <w:pStyle w:val="BodyText"/>
        <w:spacing w:line="272" w:lineRule="exact"/>
        <w:ind w:right="0"/>
        <w:jc w:val="both"/>
      </w:pPr>
      <w:r>
        <w:rPr>
          <w:spacing w:val="-6"/>
        </w:rPr>
        <w:t>性股票的议案》，董事会同意公司回购并注销</w:t>
      </w:r>
      <w:r>
        <w:rPr>
          <w:spacing w:val="-48"/>
        </w:rPr>
        <w:t> </w:t>
      </w:r>
      <w:r>
        <w:rPr>
          <w:rFonts w:ascii="宋体" w:hAnsi="宋体" w:cs="宋体" w:eastAsia="宋体" w:hint="default"/>
        </w:rPr>
        <w:t>10</w:t>
      </w:r>
      <w:r>
        <w:rPr>
          <w:rFonts w:ascii="宋体" w:hAnsi="宋体" w:cs="宋体" w:eastAsia="宋体" w:hint="default"/>
          <w:spacing w:val="-48"/>
        </w:rPr>
        <w:t> </w:t>
      </w:r>
      <w:r>
        <w:rPr/>
        <w:t>名激励对象持有的已获授但未解锁的</w:t>
      </w:r>
      <w:r>
        <w:rPr>
          <w:spacing w:val="-47"/>
        </w:rPr>
        <w:t> </w:t>
      </w:r>
      <w:r>
        <w:rPr>
          <w:rFonts w:ascii="宋体" w:hAnsi="宋体" w:cs="宋体" w:eastAsia="宋体" w:hint="default"/>
        </w:rPr>
        <w:t>37.05</w:t>
      </w:r>
      <w:r>
        <w:rPr>
          <w:rFonts w:ascii="宋体" w:hAnsi="宋体" w:cs="宋体" w:eastAsia="宋体" w:hint="default"/>
          <w:spacing w:val="-48"/>
        </w:rPr>
        <w:t> </w:t>
      </w:r>
      <w:r>
        <w:rPr>
          <w:spacing w:val="-3"/>
        </w:rPr>
        <w:t>万股</w:t>
      </w:r>
      <w:r>
        <w:rPr/>
      </w:r>
    </w:p>
    <w:p>
      <w:pPr>
        <w:pStyle w:val="BodyText"/>
        <w:spacing w:line="237" w:lineRule="auto"/>
        <w:ind w:right="230"/>
        <w:jc w:val="both"/>
        <w:rPr>
          <w:rFonts w:ascii="宋体" w:hAnsi="宋体" w:cs="宋体" w:eastAsia="宋体" w:hint="default"/>
        </w:rPr>
      </w:pPr>
      <w:r>
        <w:rPr/>
        <w:t>限制性股票，回购价格为</w:t>
      </w:r>
      <w:r>
        <w:rPr>
          <w:spacing w:val="-56"/>
        </w:rPr>
        <w:t> </w:t>
      </w:r>
      <w:r>
        <w:rPr>
          <w:rFonts w:ascii="宋体" w:hAnsi="宋体" w:cs="宋体" w:eastAsia="宋体" w:hint="default"/>
        </w:rPr>
        <w:t>8.905</w:t>
      </w:r>
      <w:r>
        <w:rPr>
          <w:rFonts w:ascii="宋体" w:hAnsi="宋体" w:cs="宋体" w:eastAsia="宋体" w:hint="default"/>
          <w:spacing w:val="-56"/>
        </w:rPr>
        <w:t> </w:t>
      </w:r>
      <w:r>
        <w:rPr/>
        <w:t>元</w:t>
      </w:r>
      <w:r>
        <w:rPr>
          <w:rFonts w:ascii="宋体" w:hAnsi="宋体" w:cs="宋体" w:eastAsia="宋体" w:hint="default"/>
        </w:rPr>
        <w:t>/</w:t>
      </w:r>
      <w:r>
        <w:rPr/>
        <w:t>股，于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日完成注销。于</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spacing w:val="-3"/>
        </w:rPr>
        <w:t>日召</w:t>
      </w:r>
      <w:r>
        <w:rPr>
          <w:spacing w:val="-3"/>
          <w:w w:val="100"/>
        </w:rPr>
        <w:t> </w:t>
      </w:r>
      <w:r>
        <w:rPr>
          <w:spacing w:val="-2"/>
        </w:rPr>
        <w:t>开的公司七届三十一次董事会审议通过《关于公司限制性股票激励计划首次授予限制性股票第一</w:t>
      </w:r>
      <w:r>
        <w:rPr>
          <w:spacing w:val="-25"/>
        </w:rPr>
        <w:t> </w:t>
      </w:r>
      <w:r>
        <w:rPr>
          <w:spacing w:val="-25"/>
        </w:rPr>
      </w:r>
      <w:r>
        <w:rPr>
          <w:spacing w:val="-2"/>
        </w:rPr>
        <w:t>个锁定期的解锁条件已达成的议案》、《关于公司限制性股票激励计划首次授予限制性股票第一</w:t>
      </w:r>
      <w:r>
        <w:rPr>
          <w:spacing w:val="-25"/>
        </w:rPr>
        <w:t> </w:t>
      </w:r>
      <w:r>
        <w:rPr>
          <w:spacing w:val="-25"/>
        </w:rPr>
      </w:r>
      <w:r>
        <w:rPr>
          <w:spacing w:val="-2"/>
        </w:rPr>
        <w:t>次解锁的议案》。董事会认为公司限制性股票激励计划首次授予限制性股票第一个锁定期的解锁</w:t>
      </w:r>
      <w:r>
        <w:rPr>
          <w:spacing w:val="-25"/>
        </w:rPr>
        <w:t> </w:t>
      </w:r>
      <w:r>
        <w:rPr>
          <w:spacing w:val="-25"/>
        </w:rPr>
      </w:r>
      <w:r>
        <w:rPr>
          <w:spacing w:val="-6"/>
        </w:rPr>
        <w:t>条件已达成。董事会同意</w:t>
      </w:r>
      <w:r>
        <w:rPr>
          <w:spacing w:val="-46"/>
        </w:rPr>
        <w:t> </w:t>
      </w:r>
      <w:r>
        <w:rPr>
          <w:rFonts w:ascii="宋体" w:hAnsi="宋体" w:cs="宋体" w:eastAsia="宋体" w:hint="default"/>
        </w:rPr>
        <w:t>385</w:t>
      </w:r>
      <w:r>
        <w:rPr>
          <w:rFonts w:ascii="宋体" w:hAnsi="宋体" w:cs="宋体" w:eastAsia="宋体" w:hint="default"/>
          <w:spacing w:val="-46"/>
        </w:rPr>
        <w:t> </w:t>
      </w:r>
      <w:r>
        <w:rPr/>
        <w:t>名激励对象获授的</w:t>
      </w:r>
      <w:r>
        <w:rPr>
          <w:spacing w:val="-46"/>
        </w:rPr>
        <w:t> </w:t>
      </w:r>
      <w:r>
        <w:rPr>
          <w:rFonts w:ascii="宋体" w:hAnsi="宋体" w:cs="宋体" w:eastAsia="宋体" w:hint="default"/>
        </w:rPr>
        <w:t>438.36</w:t>
      </w:r>
      <w:r>
        <w:rPr>
          <w:rFonts w:ascii="宋体" w:hAnsi="宋体" w:cs="宋体" w:eastAsia="宋体" w:hint="default"/>
          <w:spacing w:val="-44"/>
        </w:rPr>
        <w:t> </w:t>
      </w:r>
      <w:r>
        <w:rPr>
          <w:spacing w:val="-4"/>
        </w:rPr>
        <w:t>万股限制性股票申请解锁，并在激励对象</w:t>
      </w:r>
      <w:r>
        <w:rPr>
          <w:spacing w:val="-102"/>
        </w:rPr>
        <w:t> </w:t>
      </w:r>
      <w:r>
        <w:rPr>
          <w:spacing w:val="-102"/>
        </w:rPr>
      </w:r>
      <w:r>
        <w:rPr>
          <w:spacing w:val="-2"/>
        </w:rPr>
        <w:t>解锁申请被接受后，由公司董事会统一办理符合解锁条件的限制性股票解锁相关事宜。公司独立</w:t>
      </w:r>
      <w:r>
        <w:rPr>
          <w:spacing w:val="-25"/>
        </w:rPr>
        <w:t> </w:t>
      </w:r>
      <w:r>
        <w:rPr>
          <w:spacing w:val="-25"/>
        </w:rPr>
      </w:r>
      <w:r>
        <w:rPr/>
        <w:t>董事就相关议案发表了独立意见。上述具体内容，详见本公司于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p>
    <w:p>
      <w:pPr>
        <w:pStyle w:val="BodyText"/>
        <w:spacing w:line="274" w:lineRule="exact" w:before="22"/>
        <w:ind w:right="230"/>
        <w:jc w:val="both"/>
      </w:pPr>
      <w:r>
        <w:rPr>
          <w:w w:val="100"/>
        </w:rPr>
        <w:t>月</w:t>
      </w:r>
      <w:r>
        <w:rPr>
          <w:spacing w:val="-54"/>
          <w:w w:val="100"/>
        </w:rPr>
        <w:t> </w:t>
      </w:r>
      <w:r>
        <w:rPr>
          <w:rFonts w:ascii="宋体" w:hAnsi="宋体" w:cs="宋体" w:eastAsia="宋体" w:hint="default"/>
          <w:w w:val="100"/>
        </w:rPr>
        <w:t>15</w:t>
      </w:r>
      <w:r>
        <w:rPr>
          <w:rFonts w:ascii="宋体" w:hAnsi="宋体" w:cs="宋体" w:eastAsia="宋体" w:hint="default"/>
          <w:spacing w:val="-56"/>
          <w:w w:val="100"/>
        </w:rPr>
        <w:t> </w:t>
      </w:r>
      <w:r>
        <w:rPr>
          <w:spacing w:val="-9"/>
          <w:w w:val="100"/>
        </w:rPr>
        <w:t>日、</w:t>
      </w:r>
      <w:r>
        <w:rPr>
          <w:rFonts w:ascii="宋体" w:hAnsi="宋体" w:cs="宋体" w:eastAsia="宋体" w:hint="default"/>
          <w:spacing w:val="-9"/>
          <w:w w:val="100"/>
        </w:rPr>
        <w:t>2016</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spacing w:val="-2"/>
          <w:w w:val="100"/>
        </w:rPr>
        <w:t>23</w:t>
      </w:r>
      <w:r>
        <w:rPr>
          <w:rFonts w:ascii="宋体" w:hAnsi="宋体" w:cs="宋体" w:eastAsia="宋体" w:hint="default"/>
          <w:spacing w:val="-56"/>
          <w:w w:val="100"/>
        </w:rPr>
        <w:t> </w:t>
      </w:r>
      <w:r>
        <w:rPr>
          <w:spacing w:val="-9"/>
          <w:w w:val="100"/>
        </w:rPr>
        <w:t>日、</w:t>
      </w:r>
      <w:r>
        <w:rPr>
          <w:rFonts w:ascii="宋体" w:hAnsi="宋体" w:cs="宋体" w:eastAsia="宋体" w:hint="default"/>
          <w:spacing w:val="-9"/>
          <w:w w:val="100"/>
        </w:rPr>
        <w:t>2016</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27</w:t>
      </w:r>
      <w:r>
        <w:rPr>
          <w:rFonts w:ascii="宋体" w:hAnsi="宋体" w:cs="宋体" w:eastAsia="宋体" w:hint="default"/>
          <w:spacing w:val="-56"/>
          <w:w w:val="100"/>
        </w:rPr>
        <w:t> </w:t>
      </w:r>
      <w:r>
        <w:rPr>
          <w:w w:val="100"/>
        </w:rPr>
        <w:t>日和</w:t>
      </w:r>
      <w:r>
        <w:rPr>
          <w:spacing w:val="-56"/>
          <w:w w:val="100"/>
        </w:rPr>
        <w:t> </w:t>
      </w:r>
      <w:r>
        <w:rPr>
          <w:rFonts w:ascii="宋体" w:hAnsi="宋体" w:cs="宋体" w:eastAsia="宋体" w:hint="default"/>
          <w:spacing w:val="-1"/>
          <w:w w:val="100"/>
        </w:rPr>
        <w:t>2016</w:t>
      </w:r>
      <w:r>
        <w:rPr>
          <w:rFonts w:ascii="宋体" w:hAnsi="宋体" w:cs="宋体" w:eastAsia="宋体" w:hint="default"/>
          <w:spacing w:val="-54"/>
          <w:w w:val="100"/>
        </w:rPr>
        <w:t> </w:t>
      </w:r>
      <w:r>
        <w:rPr>
          <w:w w:val="100"/>
        </w:rPr>
        <w:t>年</w:t>
      </w:r>
      <w:r>
        <w:rPr>
          <w:spacing w:val="-56"/>
          <w:w w:val="100"/>
        </w:rPr>
        <w:t> </w:t>
      </w:r>
      <w:r>
        <w:rPr>
          <w:rFonts w:ascii="宋体" w:hAnsi="宋体" w:cs="宋体" w:eastAsia="宋体" w:hint="default"/>
          <w:w w:val="100"/>
        </w:rPr>
        <w:t>10</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24</w:t>
      </w:r>
      <w:r>
        <w:rPr>
          <w:rFonts w:ascii="宋体" w:hAnsi="宋体" w:cs="宋体" w:eastAsia="宋体" w:hint="default"/>
          <w:spacing w:val="-56"/>
          <w:w w:val="100"/>
        </w:rPr>
        <w:t> </w:t>
      </w:r>
      <w:r>
        <w:rPr>
          <w:spacing w:val="-16"/>
          <w:w w:val="100"/>
        </w:rPr>
        <w:t>日刊登在《中国证券报》、《上</w:t>
      </w:r>
      <w:r>
        <w:rPr>
          <w:w w:val="100"/>
        </w:rPr>
        <w:t> </w:t>
      </w:r>
      <w:r>
        <w:rPr/>
        <w:t>海证券报》上的相关公告。</w:t>
      </w:r>
    </w:p>
    <w:p>
      <w:pPr>
        <w:pStyle w:val="BodyText"/>
        <w:spacing w:line="245" w:lineRule="exact"/>
        <w:ind w:left="403" w:right="243"/>
        <w:jc w:val="center"/>
      </w:pPr>
      <w:r>
        <w:rPr/>
        <w:t>（</w:t>
      </w:r>
      <w:r>
        <w:rPr>
          <w:rFonts w:ascii="宋体" w:hAnsi="宋体" w:cs="宋体" w:eastAsia="宋体" w:hint="default"/>
        </w:rPr>
        <w:t>2</w:t>
      </w:r>
      <w:r>
        <w:rPr/>
        <w:t>）限制性股票激励计划首次于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3"/>
        </w:rPr>
        <w:t> </w:t>
      </w:r>
      <w:r>
        <w:rPr/>
        <w:t>日授予，增加股本人民币</w:t>
      </w:r>
      <w:r>
        <w:rPr>
          <w:spacing w:val="-54"/>
        </w:rPr>
        <w:t> </w:t>
      </w:r>
      <w:r>
        <w:rPr>
          <w:rFonts w:ascii="宋体" w:hAnsi="宋体" w:cs="宋体" w:eastAsia="宋体" w:hint="default"/>
        </w:rPr>
        <w:t>14,982,500</w:t>
      </w:r>
      <w:r>
        <w:rPr>
          <w:rFonts w:ascii="宋体" w:hAnsi="宋体" w:cs="宋体" w:eastAsia="宋体" w:hint="default"/>
          <w:spacing w:val="-56"/>
        </w:rPr>
        <w:t> </w:t>
      </w:r>
      <w:r>
        <w:rPr/>
        <w:t>元，增</w:t>
      </w:r>
    </w:p>
    <w:p>
      <w:pPr>
        <w:pStyle w:val="BodyText"/>
        <w:spacing w:line="272" w:lineRule="exact"/>
        <w:ind w:right="0"/>
        <w:jc w:val="both"/>
      </w:pPr>
      <w:r>
        <w:rPr>
          <w:w w:val="100"/>
        </w:rPr>
        <w:t>加资</w:t>
      </w:r>
      <w:r>
        <w:rPr>
          <w:spacing w:val="-3"/>
          <w:w w:val="100"/>
        </w:rPr>
        <w:t>本</w:t>
      </w:r>
      <w:r>
        <w:rPr>
          <w:w w:val="100"/>
        </w:rPr>
        <w:t>公</w:t>
      </w:r>
      <w:r>
        <w:rPr>
          <w:spacing w:val="-3"/>
          <w:w w:val="100"/>
        </w:rPr>
        <w:t>积</w:t>
      </w:r>
      <w:r>
        <w:rPr>
          <w:w w:val="100"/>
        </w:rPr>
        <w:t>人</w:t>
      </w:r>
      <w:r>
        <w:rPr>
          <w:spacing w:val="-3"/>
          <w:w w:val="100"/>
        </w:rPr>
        <w:t>民</w:t>
      </w:r>
      <w:r>
        <w:rPr>
          <w:w w:val="100"/>
        </w:rPr>
        <w:t>币</w:t>
      </w:r>
      <w:r>
        <w:rPr>
          <w:spacing w:val="-67"/>
        </w:rPr>
        <w:t> </w:t>
      </w:r>
      <w:r>
        <w:rPr>
          <w:rFonts w:ascii="宋体" w:hAnsi="宋体" w:cs="宋体" w:eastAsia="宋体" w:hint="default"/>
          <w:w w:val="100"/>
        </w:rPr>
        <w:t>11</w:t>
      </w:r>
      <w:r>
        <w:rPr>
          <w:rFonts w:ascii="宋体" w:hAnsi="宋体" w:cs="宋体" w:eastAsia="宋体" w:hint="default"/>
          <w:spacing w:val="-3"/>
          <w:w w:val="100"/>
        </w:rPr>
        <w:t>9</w:t>
      </w:r>
      <w:r>
        <w:rPr>
          <w:rFonts w:ascii="宋体" w:hAnsi="宋体" w:cs="宋体" w:eastAsia="宋体" w:hint="default"/>
          <w:w w:val="100"/>
        </w:rPr>
        <w:t>,86</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2"/>
        </w:rPr>
        <w:t> </w:t>
      </w:r>
      <w:r>
        <w:rPr>
          <w:w w:val="100"/>
        </w:rPr>
        <w:t>元</w:t>
      </w:r>
      <w:r>
        <w:rPr>
          <w:spacing w:val="-106"/>
          <w:w w:val="100"/>
        </w:rPr>
        <w:t>。</w:t>
      </w:r>
      <w:r>
        <w:rPr>
          <w:spacing w:val="-3"/>
          <w:w w:val="100"/>
        </w:rPr>
        <w:t>变</w:t>
      </w:r>
      <w:r>
        <w:rPr>
          <w:w w:val="100"/>
        </w:rPr>
        <w:t>更</w:t>
      </w:r>
      <w:r>
        <w:rPr>
          <w:spacing w:val="-3"/>
          <w:w w:val="100"/>
        </w:rPr>
        <w:t>后</w:t>
      </w:r>
      <w:r>
        <w:rPr>
          <w:w w:val="100"/>
        </w:rPr>
        <w:t>的</w:t>
      </w:r>
      <w:r>
        <w:rPr>
          <w:spacing w:val="-3"/>
          <w:w w:val="100"/>
        </w:rPr>
        <w:t>注</w:t>
      </w:r>
      <w:r>
        <w:rPr>
          <w:w w:val="100"/>
        </w:rPr>
        <w:t>册</w:t>
      </w:r>
      <w:r>
        <w:rPr>
          <w:spacing w:val="-3"/>
          <w:w w:val="100"/>
        </w:rPr>
        <w:t>资</w:t>
      </w:r>
      <w:r>
        <w:rPr>
          <w:w w:val="100"/>
        </w:rPr>
        <w:t>本为</w:t>
      </w:r>
      <w:r>
        <w:rPr>
          <w:spacing w:val="-3"/>
          <w:w w:val="100"/>
        </w:rPr>
        <w:t>人</w:t>
      </w:r>
      <w:r>
        <w:rPr>
          <w:w w:val="100"/>
        </w:rPr>
        <w:t>民币</w:t>
      </w:r>
      <w:r>
        <w:rPr>
          <w:spacing w:val="-67"/>
        </w:rPr>
        <w:t> </w:t>
      </w:r>
      <w:r>
        <w:rPr>
          <w:rFonts w:ascii="宋体" w:hAnsi="宋体" w:cs="宋体" w:eastAsia="宋体" w:hint="default"/>
          <w:spacing w:val="-3"/>
          <w:w w:val="100"/>
        </w:rPr>
        <w:t>1</w:t>
      </w:r>
      <w:r>
        <w:rPr>
          <w:rFonts w:ascii="宋体" w:hAnsi="宋体" w:cs="宋体" w:eastAsia="宋体" w:hint="default"/>
          <w:w w:val="100"/>
        </w:rPr>
        <w:t>,24</w:t>
      </w:r>
      <w:r>
        <w:rPr>
          <w:rFonts w:ascii="宋体" w:hAnsi="宋体" w:cs="宋体" w:eastAsia="宋体" w:hint="default"/>
          <w:spacing w:val="-3"/>
          <w:w w:val="100"/>
        </w:rPr>
        <w:t>2</w:t>
      </w:r>
      <w:r>
        <w:rPr>
          <w:rFonts w:ascii="宋体" w:hAnsi="宋体" w:cs="宋体" w:eastAsia="宋体" w:hint="default"/>
          <w:w w:val="100"/>
        </w:rPr>
        <w:t>,57</w:t>
      </w:r>
      <w:r>
        <w:rPr>
          <w:rFonts w:ascii="宋体" w:hAnsi="宋体" w:cs="宋体" w:eastAsia="宋体" w:hint="default"/>
          <w:spacing w:val="-3"/>
          <w:w w:val="100"/>
        </w:rPr>
        <w:t>6</w:t>
      </w:r>
      <w:r>
        <w:rPr>
          <w:rFonts w:ascii="宋体" w:hAnsi="宋体" w:cs="宋体" w:eastAsia="宋体" w:hint="default"/>
          <w:w w:val="100"/>
        </w:rPr>
        <w:t>,7</w:t>
      </w:r>
      <w:r>
        <w:rPr>
          <w:rFonts w:ascii="宋体" w:hAnsi="宋体" w:cs="宋体" w:eastAsia="宋体" w:hint="default"/>
          <w:spacing w:val="-3"/>
          <w:w w:val="100"/>
        </w:rPr>
        <w:t>4</w:t>
      </w:r>
      <w:r>
        <w:rPr>
          <w:rFonts w:ascii="宋体" w:hAnsi="宋体" w:cs="宋体" w:eastAsia="宋体" w:hint="default"/>
          <w:w w:val="100"/>
        </w:rPr>
        <w:t>5</w:t>
      </w:r>
      <w:r>
        <w:rPr>
          <w:rFonts w:ascii="宋体" w:hAnsi="宋体" w:cs="宋体" w:eastAsia="宋体" w:hint="default"/>
          <w:spacing w:val="-67"/>
        </w:rPr>
        <w:t> </w:t>
      </w:r>
      <w:r>
        <w:rPr>
          <w:w w:val="100"/>
        </w:rPr>
        <w:t>元</w:t>
      </w:r>
      <w:r>
        <w:rPr>
          <w:rFonts w:ascii="宋体" w:hAnsi="宋体" w:cs="宋体" w:eastAsia="宋体" w:hint="default"/>
          <w:w w:val="100"/>
        </w:rPr>
        <w:t>,</w:t>
      </w:r>
      <w:r>
        <w:rPr>
          <w:rFonts w:ascii="宋体" w:hAnsi="宋体" w:cs="宋体" w:eastAsia="宋体" w:hint="default"/>
        </w:rPr>
        <w:t> </w:t>
      </w:r>
      <w:r>
        <w:rPr>
          <w:spacing w:val="-3"/>
          <w:w w:val="100"/>
        </w:rPr>
        <w:t>实</w:t>
      </w:r>
      <w:r>
        <w:rPr>
          <w:w w:val="100"/>
        </w:rPr>
        <w:t>收</w:t>
      </w:r>
      <w:r>
        <w:rPr>
          <w:spacing w:val="-3"/>
          <w:w w:val="100"/>
        </w:rPr>
        <w:t>资</w:t>
      </w:r>
      <w:r>
        <w:rPr>
          <w:spacing w:val="-106"/>
          <w:w w:val="100"/>
        </w:rPr>
        <w:t>本</w:t>
      </w:r>
      <w:r>
        <w:rPr>
          <w:spacing w:val="-3"/>
          <w:w w:val="100"/>
        </w:rPr>
        <w:t>（</w:t>
      </w:r>
      <w:r>
        <w:rPr>
          <w:w w:val="100"/>
        </w:rPr>
        <w:t>股</w:t>
      </w:r>
    </w:p>
    <w:p>
      <w:pPr>
        <w:pStyle w:val="BodyText"/>
        <w:spacing w:line="272" w:lineRule="exact"/>
        <w:ind w:right="0"/>
        <w:jc w:val="both"/>
      </w:pPr>
      <w:r>
        <w:rPr/>
        <w:t>本）为人民币</w:t>
      </w:r>
      <w:r>
        <w:rPr>
          <w:spacing w:val="-57"/>
        </w:rPr>
        <w:t> </w:t>
      </w:r>
      <w:r>
        <w:rPr>
          <w:rFonts w:ascii="宋体" w:hAnsi="宋体" w:cs="宋体" w:eastAsia="宋体" w:hint="default"/>
        </w:rPr>
        <w:t>1,242,576,745</w:t>
      </w:r>
      <w:r>
        <w:rPr>
          <w:rFonts w:ascii="宋体" w:hAnsi="宋体" w:cs="宋体" w:eastAsia="宋体" w:hint="default"/>
          <w:spacing w:val="-56"/>
        </w:rPr>
        <w:t> </w:t>
      </w:r>
      <w:r>
        <w:rPr/>
        <w:t>元。同时，公司就回购义务确认负债（作收库存股处理），按照发</w:t>
      </w:r>
    </w:p>
    <w:p>
      <w:pPr>
        <w:pStyle w:val="BodyText"/>
        <w:spacing w:line="272" w:lineRule="exact" w:before="27"/>
        <w:ind w:right="237"/>
        <w:jc w:val="both"/>
      </w:pPr>
      <w:r>
        <w:rPr/>
        <w:t>行限制性股票的数量以及相应的回购价格计算确定的金额</w:t>
      </w:r>
      <w:r>
        <w:rPr>
          <w:spacing w:val="-54"/>
        </w:rPr>
        <w:t> </w:t>
      </w:r>
      <w:r>
        <w:rPr>
          <w:rFonts w:ascii="宋体" w:hAnsi="宋体" w:cs="宋体" w:eastAsia="宋体" w:hint="default"/>
        </w:rPr>
        <w:t>134,842,500</w:t>
      </w:r>
      <w:r>
        <w:rPr>
          <w:rFonts w:ascii="宋体" w:hAnsi="宋体" w:cs="宋体" w:eastAsia="宋体" w:hint="default"/>
          <w:spacing w:val="-56"/>
        </w:rPr>
        <w:t> </w:t>
      </w:r>
      <w:r>
        <w:rPr/>
        <w:t>元，同时增加“库存股”</w:t>
      </w:r>
      <w:r>
        <w:rPr>
          <w:w w:val="100"/>
        </w:rPr>
        <w:t> </w:t>
      </w:r>
      <w:r>
        <w:rPr/>
        <w:t>和“其他应付款——限制性股票回购义务”。</w:t>
      </w:r>
    </w:p>
    <w:p>
      <w:pPr>
        <w:pStyle w:val="BodyText"/>
        <w:spacing w:line="247" w:lineRule="exact"/>
        <w:ind w:left="638" w:right="0"/>
        <w:jc w:val="left"/>
      </w:pPr>
      <w:r>
        <w:rPr/>
        <w:t>预留限制性股票于</w:t>
      </w:r>
      <w:r>
        <w:rPr>
          <w:spacing w:val="-48"/>
        </w:rPr>
        <w:t> </w:t>
      </w:r>
      <w:r>
        <w:rPr>
          <w:rFonts w:ascii="宋体" w:hAnsi="宋体" w:cs="宋体" w:eastAsia="宋体" w:hint="default"/>
        </w:rPr>
        <w:t>2016</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rPr>
        <w:t>6</w:t>
      </w:r>
      <w:r>
        <w:rPr>
          <w:rFonts w:ascii="宋体" w:hAnsi="宋体" w:cs="宋体" w:eastAsia="宋体" w:hint="default"/>
          <w:spacing w:val="-49"/>
        </w:rPr>
        <w:t> </w:t>
      </w:r>
      <w:r>
        <w:rPr>
          <w:spacing w:val="-6"/>
        </w:rPr>
        <w:t>日授予，增加股本人民币</w:t>
      </w:r>
      <w:r>
        <w:rPr>
          <w:spacing w:val="-49"/>
        </w:rPr>
        <w:t> </w:t>
      </w:r>
      <w:r>
        <w:rPr>
          <w:rFonts w:ascii="宋体" w:hAnsi="宋体" w:cs="宋体" w:eastAsia="宋体" w:hint="default"/>
        </w:rPr>
        <w:t>991,500</w:t>
      </w:r>
      <w:r>
        <w:rPr>
          <w:rFonts w:ascii="宋体" w:hAnsi="宋体" w:cs="宋体" w:eastAsia="宋体" w:hint="default"/>
          <w:spacing w:val="-49"/>
        </w:rPr>
        <w:t> </w:t>
      </w:r>
      <w:r>
        <w:rPr>
          <w:spacing w:val="-6"/>
        </w:rPr>
        <w:t>元，增加资本公积人民币</w:t>
      </w:r>
    </w:p>
    <w:p>
      <w:pPr>
        <w:pStyle w:val="BodyText"/>
        <w:spacing w:line="272" w:lineRule="exact"/>
        <w:ind w:right="0"/>
        <w:jc w:val="both"/>
      </w:pPr>
      <w:r>
        <w:rPr>
          <w:rFonts w:ascii="宋体" w:hAnsi="宋体" w:cs="宋体" w:eastAsia="宋体" w:hint="default"/>
        </w:rPr>
        <w:t>7,932,000</w:t>
      </w:r>
      <w:r>
        <w:rPr>
          <w:rFonts w:ascii="宋体" w:hAnsi="宋体" w:cs="宋体" w:eastAsia="宋体" w:hint="default"/>
          <w:spacing w:val="-4"/>
        </w:rPr>
        <w:t> </w:t>
      </w:r>
      <w:r>
        <w:rPr/>
        <w:t>元。变更后的注册资本为人民币</w:t>
      </w:r>
      <w:r>
        <w:rPr>
          <w:spacing w:val="-54"/>
        </w:rPr>
        <w:t> </w:t>
      </w:r>
      <w:r>
        <w:rPr>
          <w:rFonts w:ascii="宋体" w:hAnsi="宋体" w:cs="宋体" w:eastAsia="宋体" w:hint="default"/>
        </w:rPr>
        <w:t>1,243,568,245</w:t>
      </w:r>
      <w:r>
        <w:rPr>
          <w:rFonts w:ascii="宋体" w:hAnsi="宋体" w:cs="宋体" w:eastAsia="宋体" w:hint="default"/>
          <w:spacing w:val="-54"/>
        </w:rPr>
        <w:t> </w:t>
      </w:r>
      <w:r>
        <w:rPr/>
        <w:t>元</w:t>
      </w:r>
      <w:r>
        <w:rPr>
          <w:rFonts w:ascii="宋体" w:hAnsi="宋体" w:cs="宋体" w:eastAsia="宋体" w:hint="default"/>
        </w:rPr>
        <w:t>,</w:t>
      </w:r>
      <w:r>
        <w:rPr>
          <w:rFonts w:ascii="宋体" w:hAnsi="宋体" w:cs="宋体" w:eastAsia="宋体" w:hint="default"/>
          <w:spacing w:val="-2"/>
        </w:rPr>
        <w:t> </w:t>
      </w:r>
      <w:r>
        <w:rPr/>
        <w:t>实收资本（股本）为人民币</w:t>
      </w:r>
    </w:p>
    <w:p>
      <w:pPr>
        <w:pStyle w:val="BodyText"/>
        <w:spacing w:line="272" w:lineRule="exact"/>
        <w:ind w:right="0"/>
        <w:jc w:val="both"/>
      </w:pPr>
      <w:r>
        <w:rPr>
          <w:rFonts w:ascii="宋体" w:hAnsi="宋体" w:cs="宋体" w:eastAsia="宋体" w:hint="default"/>
          <w:spacing w:val="-1"/>
        </w:rPr>
        <w:t>1,243,568,245</w:t>
      </w:r>
      <w:r>
        <w:rPr>
          <w:rFonts w:ascii="宋体" w:hAnsi="宋体" w:cs="宋体" w:eastAsia="宋体" w:hint="default"/>
          <w:spacing w:val="27"/>
        </w:rPr>
        <w:t> </w:t>
      </w:r>
      <w:r>
        <w:rPr>
          <w:spacing w:val="-2"/>
        </w:rPr>
        <w:t>元。同时，公司就回购义务确认负债（作收库存股处理），按照发行限制性股票</w:t>
      </w:r>
    </w:p>
    <w:p>
      <w:pPr>
        <w:pStyle w:val="BodyText"/>
        <w:spacing w:line="272" w:lineRule="exact"/>
        <w:ind w:right="0"/>
        <w:jc w:val="both"/>
      </w:pPr>
      <w:r>
        <w:rPr/>
        <w:t>的数量以及相应的回购价格计算确定的金额</w:t>
      </w:r>
      <w:r>
        <w:rPr>
          <w:spacing w:val="-57"/>
        </w:rPr>
        <w:t> </w:t>
      </w:r>
      <w:r>
        <w:rPr>
          <w:rFonts w:ascii="宋体" w:hAnsi="宋体" w:cs="宋体" w:eastAsia="宋体" w:hint="default"/>
        </w:rPr>
        <w:t>8,923,500</w:t>
      </w:r>
      <w:r>
        <w:rPr>
          <w:rFonts w:ascii="宋体" w:hAnsi="宋体" w:cs="宋体" w:eastAsia="宋体" w:hint="default"/>
          <w:spacing w:val="-57"/>
        </w:rPr>
        <w:t> </w:t>
      </w:r>
      <w:r>
        <w:rPr/>
        <w:t>元，同时增加“库存股”和“其他应付款</w:t>
      </w:r>
    </w:p>
    <w:p>
      <w:pPr>
        <w:pStyle w:val="BodyText"/>
        <w:spacing w:line="272" w:lineRule="exact"/>
        <w:ind w:right="0"/>
        <w:jc w:val="both"/>
      </w:pPr>
      <w:r>
        <w:rPr/>
        <w:t>——限制性股票回购义务”。</w:t>
      </w:r>
    </w:p>
    <w:p>
      <w:pPr>
        <w:pStyle w:val="BodyText"/>
        <w:spacing w:line="273" w:lineRule="exact"/>
        <w:ind w:left="118" w:right="243"/>
        <w:jc w:val="center"/>
      </w:pPr>
      <w:r>
        <w:rPr/>
        <w:t>回购限制性股票于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日完成注销，减少股本</w:t>
      </w:r>
      <w:r>
        <w:rPr>
          <w:spacing w:val="-53"/>
        </w:rPr>
        <w:t> </w:t>
      </w:r>
      <w:r>
        <w:rPr>
          <w:rFonts w:ascii="宋体" w:hAnsi="宋体" w:cs="宋体" w:eastAsia="宋体" w:hint="default"/>
        </w:rPr>
        <w:t>370,500</w:t>
      </w:r>
      <w:r>
        <w:rPr>
          <w:rFonts w:ascii="宋体" w:hAnsi="宋体" w:cs="宋体" w:eastAsia="宋体" w:hint="default"/>
          <w:spacing w:val="-53"/>
        </w:rPr>
        <w:t> </w:t>
      </w:r>
      <w:r>
        <w:rPr/>
        <w:t>元，减少资本公积</w:t>
      </w:r>
    </w:p>
    <w:p>
      <w:pPr>
        <w:pStyle w:val="BodyText"/>
        <w:spacing w:line="273" w:lineRule="exact"/>
        <w:ind w:right="0"/>
        <w:jc w:val="both"/>
      </w:pPr>
      <w:r>
        <w:rPr>
          <w:rFonts w:ascii="宋体" w:hAnsi="宋体" w:cs="宋体" w:eastAsia="宋体" w:hint="default"/>
        </w:rPr>
        <w:t>2,964,000</w:t>
      </w:r>
      <w:r>
        <w:rPr>
          <w:rFonts w:ascii="宋体" w:hAnsi="宋体" w:cs="宋体" w:eastAsia="宋体" w:hint="default"/>
          <w:spacing w:val="-57"/>
        </w:rPr>
        <w:t> </w:t>
      </w:r>
      <w:r>
        <w:rPr/>
        <w:t>元。变更后的注册资本为人民币</w:t>
      </w:r>
      <w:r>
        <w:rPr>
          <w:spacing w:val="-55"/>
        </w:rPr>
        <w:t> </w:t>
      </w:r>
      <w:r>
        <w:rPr>
          <w:rFonts w:ascii="宋体" w:hAnsi="宋体" w:cs="宋体" w:eastAsia="宋体" w:hint="default"/>
        </w:rPr>
        <w:t>1,243,197,745</w:t>
      </w:r>
      <w:r>
        <w:rPr>
          <w:rFonts w:ascii="宋体" w:hAnsi="宋体" w:cs="宋体" w:eastAsia="宋体" w:hint="default"/>
          <w:spacing w:val="-55"/>
        </w:rPr>
        <w:t> </w:t>
      </w:r>
      <w:r>
        <w:rPr/>
        <w:t>元，实收资本（股本）为人民币</w:t>
      </w:r>
    </w:p>
    <w:p>
      <w:pPr>
        <w:pStyle w:val="BodyText"/>
        <w:spacing w:line="272" w:lineRule="exact"/>
        <w:ind w:right="0"/>
        <w:jc w:val="both"/>
      </w:pPr>
      <w:r>
        <w:rPr>
          <w:rFonts w:ascii="宋体" w:hAnsi="宋体" w:cs="宋体" w:eastAsia="宋体" w:hint="default"/>
          <w:spacing w:val="-1"/>
        </w:rPr>
        <w:t>1,243,197,745</w:t>
      </w:r>
      <w:r>
        <w:rPr>
          <w:rFonts w:ascii="宋体" w:hAnsi="宋体" w:cs="宋体" w:eastAsia="宋体" w:hint="default"/>
          <w:spacing w:val="27"/>
        </w:rPr>
        <w:t> </w:t>
      </w:r>
      <w:r>
        <w:rPr>
          <w:spacing w:val="-2"/>
        </w:rPr>
        <w:t>元。同时，公司按照回购限制性股票的数量以及相应的回购价格计算确定的金额</w:t>
      </w:r>
    </w:p>
    <w:p>
      <w:pPr>
        <w:pStyle w:val="BodyText"/>
        <w:spacing w:line="272" w:lineRule="exact" w:before="27"/>
        <w:ind w:right="290"/>
        <w:jc w:val="both"/>
      </w:pPr>
      <w:r>
        <w:rPr>
          <w:rFonts w:ascii="宋体" w:hAnsi="宋体" w:cs="宋体" w:eastAsia="宋体" w:hint="default"/>
          <w:spacing w:val="-1"/>
        </w:rPr>
        <w:t>3,299,303</w:t>
      </w:r>
      <w:r>
        <w:rPr>
          <w:rFonts w:ascii="宋体" w:hAnsi="宋体" w:cs="宋体" w:eastAsia="宋体" w:hint="default"/>
        </w:rPr>
        <w:t> </w:t>
      </w:r>
      <w:r>
        <w:rPr>
          <w:spacing w:val="-2"/>
        </w:rPr>
        <w:t>元，同时冲减“库存股”和“其他应付款——限制性股票回购义务”；回购限制性股</w:t>
      </w:r>
      <w:r>
        <w:rPr>
          <w:spacing w:val="-78"/>
        </w:rPr>
        <w:t> </w:t>
      </w:r>
      <w:r>
        <w:rPr>
          <w:spacing w:val="-78"/>
        </w:rPr>
      </w:r>
      <w:r>
        <w:rPr/>
        <w:t>票对应的持有者的现金股利冲减“库存股”35,197</w:t>
      </w:r>
      <w:r>
        <w:rPr>
          <w:spacing w:val="-57"/>
        </w:rPr>
        <w:t> </w:t>
      </w:r>
      <w:r>
        <w:rPr/>
        <w:t>元。</w:t>
      </w:r>
    </w:p>
    <w:p>
      <w:pPr>
        <w:pStyle w:val="BodyText"/>
        <w:spacing w:line="272" w:lineRule="exact" w:before="1"/>
        <w:ind w:right="228" w:firstLine="419"/>
        <w:jc w:val="both"/>
      </w:pPr>
      <w:r>
        <w:rPr>
          <w:rFonts w:ascii="宋体" w:hAnsi="宋体" w:cs="宋体" w:eastAsia="宋体" w:hint="default"/>
          <w:w w:val="100"/>
        </w:rPr>
        <w:t>2016</w:t>
      </w:r>
      <w:r>
        <w:rPr>
          <w:rFonts w:ascii="宋体" w:hAnsi="宋体" w:cs="宋体" w:eastAsia="宋体" w:hint="default"/>
          <w:spacing w:val="-53"/>
          <w:w w:val="100"/>
        </w:rPr>
        <w:t> </w:t>
      </w:r>
      <w:r>
        <w:rPr>
          <w:spacing w:val="-7"/>
          <w:w w:val="100"/>
        </w:rPr>
        <w:t>年，本公司向全体股东派发现金红利</w:t>
      </w:r>
      <w:r>
        <w:rPr>
          <w:spacing w:val="-51"/>
          <w:w w:val="100"/>
        </w:rPr>
        <w:t> </w:t>
      </w:r>
      <w:r>
        <w:rPr>
          <w:rFonts w:ascii="宋体" w:hAnsi="宋体" w:cs="宋体" w:eastAsia="宋体" w:hint="default"/>
          <w:spacing w:val="-1"/>
          <w:w w:val="100"/>
        </w:rPr>
        <w:t>118,044,791</w:t>
      </w:r>
      <w:r>
        <w:rPr>
          <w:rFonts w:ascii="宋体" w:hAnsi="宋体" w:cs="宋体" w:eastAsia="宋体" w:hint="default"/>
          <w:spacing w:val="-51"/>
          <w:w w:val="100"/>
        </w:rPr>
        <w:t> </w:t>
      </w:r>
      <w:r>
        <w:rPr>
          <w:spacing w:val="-14"/>
          <w:w w:val="100"/>
        </w:rPr>
        <w:t>元，根据《企业会计准则解释第</w:t>
      </w:r>
      <w:r>
        <w:rPr>
          <w:spacing w:val="-50"/>
          <w:w w:val="100"/>
        </w:rPr>
        <w:t> </w:t>
      </w:r>
      <w:r>
        <w:rPr>
          <w:rFonts w:ascii="宋体" w:hAnsi="宋体" w:cs="宋体" w:eastAsia="宋体" w:hint="default"/>
          <w:w w:val="100"/>
        </w:rPr>
        <w:t>7</w:t>
      </w:r>
      <w:r>
        <w:rPr>
          <w:rFonts w:ascii="宋体" w:hAnsi="宋体" w:cs="宋体" w:eastAsia="宋体" w:hint="default"/>
          <w:spacing w:val="-53"/>
          <w:w w:val="100"/>
        </w:rPr>
        <w:t> </w:t>
      </w:r>
      <w:r>
        <w:rPr>
          <w:w w:val="100"/>
        </w:rPr>
        <w:t>号》 </w:t>
      </w:r>
      <w:r>
        <w:rPr>
          <w:spacing w:val="-2"/>
        </w:rPr>
        <w:t>的规定，对于预计未来可解锁限制性股票持有者，公司应分配给限制性股票持有者的现金股利应</w:t>
      </w:r>
      <w:r>
        <w:rPr>
          <w:spacing w:val="-25"/>
        </w:rPr>
        <w:t> </w:t>
      </w:r>
      <w:r>
        <w:rPr>
          <w:spacing w:val="-25"/>
        </w:rPr>
      </w:r>
      <w:r>
        <w:rPr>
          <w:spacing w:val="-2"/>
        </w:rPr>
        <w:t>当作为利润分配进行会计处理，同时减少“其他应付款——限制性股票回购义务”和“库存股”</w:t>
      </w:r>
    </w:p>
    <w:p>
      <w:pPr>
        <w:pStyle w:val="BodyText"/>
        <w:spacing w:line="272" w:lineRule="exact" w:before="1"/>
        <w:ind w:right="238"/>
        <w:jc w:val="both"/>
      </w:pPr>
      <w:r>
        <w:rPr/>
        <w:t>的余额</w:t>
      </w:r>
      <w:r>
        <w:rPr>
          <w:spacing w:val="-55"/>
        </w:rPr>
        <w:t> </w:t>
      </w:r>
      <w:r>
        <w:rPr>
          <w:rFonts w:ascii="宋体" w:hAnsi="宋体" w:cs="宋体" w:eastAsia="宋体" w:hint="default"/>
        </w:rPr>
        <w:t>1,273,887</w:t>
      </w:r>
      <w:r>
        <w:rPr>
          <w:rFonts w:ascii="宋体" w:hAnsi="宋体" w:cs="宋体" w:eastAsia="宋体" w:hint="default"/>
          <w:spacing w:val="-55"/>
        </w:rPr>
        <w:t> </w:t>
      </w:r>
      <w:r>
        <w:rPr/>
        <w:t>元；对于预计未来不可解锁限制性股票持有者，公司应分配给限制性股票持有</w:t>
      </w:r>
      <w:r>
        <w:rPr>
          <w:w w:val="100"/>
        </w:rPr>
        <w:t> </w:t>
      </w:r>
      <w:r>
        <w:rPr>
          <w:spacing w:val="-2"/>
        </w:rPr>
        <w:t>者的现金股利应当冲减负债“其他应付款——限制性股票回购义务”149,451</w:t>
      </w:r>
      <w:r>
        <w:rPr>
          <w:spacing w:val="19"/>
        </w:rPr>
        <w:t> </w:t>
      </w:r>
      <w:r>
        <w:rPr/>
        <w:t>元。</w:t>
      </w:r>
    </w:p>
    <w:p>
      <w:pPr>
        <w:pStyle w:val="BodyText"/>
        <w:spacing w:line="272" w:lineRule="exact" w:before="1"/>
        <w:ind w:right="230" w:firstLine="419"/>
        <w:jc w:val="both"/>
      </w:pPr>
      <w:r>
        <w:rPr>
          <w:rFonts w:ascii="宋体" w:hAnsi="宋体" w:cs="宋体" w:eastAsia="宋体" w:hint="default"/>
        </w:rPr>
        <w:t>2017</w:t>
      </w:r>
      <w:r>
        <w:rPr>
          <w:rFonts w:ascii="宋体" w:hAnsi="宋体" w:cs="宋体" w:eastAsia="宋体" w:hint="default"/>
          <w:spacing w:val="-42"/>
        </w:rPr>
        <w:t> </w:t>
      </w:r>
      <w:r>
        <w:rPr>
          <w:spacing w:val="-3"/>
        </w:rPr>
        <w:t>年，本公司向全体股东派发现金红利</w:t>
      </w:r>
      <w:r>
        <w:rPr>
          <w:spacing w:val="-39"/>
        </w:rPr>
        <w:t> </w:t>
      </w:r>
      <w:r>
        <w:rPr>
          <w:rFonts w:ascii="宋体" w:hAnsi="宋体" w:cs="宋体" w:eastAsia="宋体" w:hint="default"/>
        </w:rPr>
        <w:t>124,319,775</w:t>
      </w:r>
      <w:r>
        <w:rPr>
          <w:rFonts w:ascii="宋体" w:hAnsi="宋体" w:cs="宋体" w:eastAsia="宋体" w:hint="default"/>
          <w:spacing w:val="-39"/>
        </w:rPr>
        <w:t> </w:t>
      </w:r>
      <w:r>
        <w:rPr>
          <w:spacing w:val="-3"/>
        </w:rPr>
        <w:t>元，对于预计未来可解锁限制性股票</w:t>
      </w:r>
      <w:r>
        <w:rPr>
          <w:w w:val="100"/>
        </w:rPr>
        <w:t> </w:t>
      </w:r>
      <w:r>
        <w:rPr>
          <w:spacing w:val="-2"/>
        </w:rPr>
        <w:t>持有者，公司应分配给限制性股票持有者的现金股利应当作为利润分配进行会计处理，同时减少</w:t>
      </w:r>
    </w:p>
    <w:p>
      <w:pPr>
        <w:pStyle w:val="BodyText"/>
        <w:spacing w:line="272" w:lineRule="exact" w:before="1"/>
        <w:ind w:right="237"/>
        <w:jc w:val="both"/>
      </w:pPr>
      <w:r>
        <w:rPr/>
        <w:t>“其他应付款——限制性股票回购义务”和“库存股”的余额</w:t>
      </w:r>
      <w:r>
        <w:rPr>
          <w:spacing w:val="-55"/>
        </w:rPr>
        <w:t> </w:t>
      </w:r>
      <w:r>
        <w:rPr>
          <w:rFonts w:ascii="宋体" w:hAnsi="宋体" w:cs="宋体" w:eastAsia="宋体" w:hint="default"/>
        </w:rPr>
        <w:t>994,288</w:t>
      </w:r>
      <w:r>
        <w:rPr>
          <w:rFonts w:ascii="宋体" w:hAnsi="宋体" w:cs="宋体" w:eastAsia="宋体" w:hint="default"/>
          <w:spacing w:val="-57"/>
        </w:rPr>
        <w:t> </w:t>
      </w:r>
      <w:r>
        <w:rPr/>
        <w:t>元；对于预计未来不可解</w:t>
      </w:r>
      <w:r>
        <w:rPr>
          <w:w w:val="100"/>
        </w:rPr>
        <w:t> </w:t>
      </w:r>
      <w:r>
        <w:rPr/>
        <w:t>锁限制性股票持有者，公司应分配给限制性股票持有者的现金股利应当冲减负债“其他应付款</w:t>
      </w:r>
    </w:p>
    <w:p>
      <w:pPr>
        <w:pStyle w:val="BodyText"/>
        <w:spacing w:line="249" w:lineRule="exact"/>
        <w:ind w:right="0"/>
        <w:jc w:val="both"/>
      </w:pPr>
      <w:r>
        <w:rPr/>
        <w:t>——限制性股票回购义务”127,703</w:t>
      </w:r>
      <w:r>
        <w:rPr>
          <w:spacing w:val="-53"/>
        </w:rPr>
        <w:t> </w:t>
      </w:r>
      <w:r>
        <w:rPr/>
        <w:t>元。</w:t>
      </w:r>
    </w:p>
    <w:p>
      <w:pPr>
        <w:spacing w:after="0" w:line="249" w:lineRule="exact"/>
        <w:jc w:val="both"/>
        <w:sectPr>
          <w:footerReference w:type="default" r:id="rId134"/>
          <w:pgSz w:w="11910" w:h="16840"/>
          <w:pgMar w:footer="1248" w:header="0" w:top="1300" w:bottom="1440" w:left="1580" w:right="1040"/>
        </w:sectPr>
      </w:pPr>
    </w:p>
    <w:p>
      <w:pPr>
        <w:spacing w:line="240" w:lineRule="auto" w:before="2"/>
        <w:rPr>
          <w:rFonts w:ascii="宋体" w:hAnsi="宋体" w:cs="宋体" w:eastAsia="宋体" w:hint="default"/>
          <w:sz w:val="11"/>
          <w:szCs w:val="11"/>
        </w:rPr>
      </w:pPr>
    </w:p>
    <w:p>
      <w:pPr>
        <w:pStyle w:val="BodyText"/>
        <w:spacing w:line="274" w:lineRule="exact" w:before="36"/>
        <w:ind w:left="118" w:right="243"/>
        <w:jc w:val="center"/>
      </w:pPr>
      <w:r>
        <w:rPr/>
        <w:t>回购限制性股票于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日完成注销，减少股本</w:t>
      </w:r>
      <w:r>
        <w:rPr>
          <w:spacing w:val="-53"/>
        </w:rPr>
        <w:t> </w:t>
      </w:r>
      <w:r>
        <w:rPr>
          <w:rFonts w:ascii="宋体" w:hAnsi="宋体" w:cs="宋体" w:eastAsia="宋体" w:hint="default"/>
        </w:rPr>
        <w:t>519,740</w:t>
      </w:r>
      <w:r>
        <w:rPr>
          <w:rFonts w:ascii="宋体" w:hAnsi="宋体" w:cs="宋体" w:eastAsia="宋体" w:hint="default"/>
          <w:spacing w:val="-53"/>
        </w:rPr>
        <w:t> </w:t>
      </w:r>
      <w:r>
        <w:rPr/>
        <w:t>元，减少资本公积</w:t>
      </w:r>
    </w:p>
    <w:p>
      <w:pPr>
        <w:pStyle w:val="BodyText"/>
        <w:spacing w:line="272" w:lineRule="exact"/>
        <w:ind w:right="0"/>
        <w:jc w:val="both"/>
      </w:pPr>
      <w:r>
        <w:rPr>
          <w:rFonts w:ascii="宋体" w:hAnsi="宋体" w:cs="宋体" w:eastAsia="宋体" w:hint="default"/>
        </w:rPr>
        <w:t>4,157,920</w:t>
      </w:r>
      <w:r>
        <w:rPr>
          <w:rFonts w:ascii="宋体" w:hAnsi="宋体" w:cs="宋体" w:eastAsia="宋体" w:hint="default"/>
          <w:spacing w:val="-57"/>
        </w:rPr>
        <w:t> </w:t>
      </w:r>
      <w:r>
        <w:rPr/>
        <w:t>元。变更后的注册资本为人民币</w:t>
      </w:r>
      <w:r>
        <w:rPr>
          <w:spacing w:val="-55"/>
        </w:rPr>
        <w:t> </w:t>
      </w:r>
      <w:r>
        <w:rPr>
          <w:rFonts w:ascii="宋体" w:hAnsi="宋体" w:cs="宋体" w:eastAsia="宋体" w:hint="default"/>
        </w:rPr>
        <w:t>1,242,678,005</w:t>
      </w:r>
      <w:r>
        <w:rPr>
          <w:rFonts w:ascii="宋体" w:hAnsi="宋体" w:cs="宋体" w:eastAsia="宋体" w:hint="default"/>
          <w:spacing w:val="-55"/>
        </w:rPr>
        <w:t> </w:t>
      </w:r>
      <w:r>
        <w:rPr/>
        <w:t>元，实收资本（股本）为人民币</w:t>
      </w:r>
    </w:p>
    <w:p>
      <w:pPr>
        <w:pStyle w:val="BodyText"/>
        <w:spacing w:line="272" w:lineRule="exact"/>
        <w:ind w:right="0"/>
        <w:jc w:val="both"/>
      </w:pPr>
      <w:r>
        <w:rPr>
          <w:rFonts w:ascii="宋体" w:hAnsi="宋体" w:cs="宋体" w:eastAsia="宋体" w:hint="default"/>
          <w:spacing w:val="-1"/>
        </w:rPr>
        <w:t>1,242,678,005</w:t>
      </w:r>
      <w:r>
        <w:rPr>
          <w:rFonts w:ascii="宋体" w:hAnsi="宋体" w:cs="宋体" w:eastAsia="宋体" w:hint="default"/>
          <w:spacing w:val="26"/>
        </w:rPr>
        <w:t> </w:t>
      </w:r>
      <w:r>
        <w:rPr>
          <w:spacing w:val="-2"/>
        </w:rPr>
        <w:t>元。同时，公司按照回购限制性股票的数量以及相应的回购价格计算确定的金额</w:t>
      </w:r>
    </w:p>
    <w:p>
      <w:pPr>
        <w:pStyle w:val="BodyText"/>
        <w:spacing w:line="272" w:lineRule="exact" w:before="27"/>
        <w:ind w:right="290"/>
        <w:jc w:val="both"/>
      </w:pPr>
      <w:r>
        <w:rPr>
          <w:rFonts w:ascii="宋体" w:hAnsi="宋体" w:cs="宋体" w:eastAsia="宋体" w:hint="default"/>
          <w:spacing w:val="-1"/>
        </w:rPr>
        <w:t>4,576,311</w:t>
      </w:r>
      <w:r>
        <w:rPr>
          <w:rFonts w:ascii="宋体" w:hAnsi="宋体" w:cs="宋体" w:eastAsia="宋体" w:hint="default"/>
        </w:rPr>
        <w:t> </w:t>
      </w:r>
      <w:r>
        <w:rPr>
          <w:spacing w:val="-2"/>
        </w:rPr>
        <w:t>元，同时冲减“库存股”和“其他应付款——限制性股票回购义务”；回购限制性股</w:t>
      </w:r>
      <w:r>
        <w:rPr>
          <w:spacing w:val="-78"/>
        </w:rPr>
        <w:t> </w:t>
      </w:r>
      <w:r>
        <w:rPr>
          <w:spacing w:val="-78"/>
        </w:rPr>
      </w:r>
      <w:r>
        <w:rPr/>
        <w:t>票对应的持有者的现金股利冲减“库存股”101,349</w:t>
      </w:r>
      <w:r>
        <w:rPr>
          <w:spacing w:val="-53"/>
        </w:rPr>
        <w:t> </w:t>
      </w:r>
      <w:r>
        <w:rPr/>
        <w:t>元。</w:t>
      </w:r>
    </w:p>
    <w:p>
      <w:pPr>
        <w:pStyle w:val="BodyText"/>
        <w:spacing w:line="247" w:lineRule="exact"/>
        <w:ind w:left="405" w:right="243"/>
        <w:jc w:val="center"/>
      </w:pPr>
      <w:r>
        <w:rPr/>
        <w:t>（</w:t>
      </w:r>
      <w:r>
        <w:rPr>
          <w:rFonts w:ascii="宋体" w:hAnsi="宋体" w:cs="宋体" w:eastAsia="宋体" w:hint="default"/>
        </w:rPr>
        <w:t>3</w:t>
      </w:r>
      <w:r>
        <w:rPr/>
        <w:t>）首次授予的限制性股票自相应的授予日</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日起满</w:t>
      </w:r>
      <w:r>
        <w:rPr>
          <w:spacing w:val="-53"/>
        </w:rPr>
        <w:t> </w:t>
      </w:r>
      <w:r>
        <w:rPr>
          <w:rFonts w:ascii="宋体" w:hAnsi="宋体" w:cs="宋体" w:eastAsia="宋体" w:hint="default"/>
        </w:rPr>
        <w:t>12</w:t>
      </w:r>
      <w:r>
        <w:rPr>
          <w:rFonts w:ascii="宋体" w:hAnsi="宋体" w:cs="宋体" w:eastAsia="宋体" w:hint="default"/>
          <w:spacing w:val="-55"/>
        </w:rPr>
        <w:t> </w:t>
      </w:r>
      <w:r>
        <w:rPr/>
        <w:t>个月后，激励对象应在</w:t>
      </w:r>
    </w:p>
    <w:p>
      <w:pPr>
        <w:pStyle w:val="BodyText"/>
        <w:spacing w:line="272" w:lineRule="exact"/>
        <w:ind w:right="0"/>
        <w:jc w:val="both"/>
      </w:pPr>
      <w:r>
        <w:rPr/>
        <w:t>未来</w:t>
      </w:r>
      <w:r>
        <w:rPr>
          <w:spacing w:val="-48"/>
        </w:rPr>
        <w:t> </w:t>
      </w:r>
      <w:r>
        <w:rPr>
          <w:rFonts w:ascii="宋体" w:hAnsi="宋体" w:cs="宋体" w:eastAsia="宋体" w:hint="default"/>
        </w:rPr>
        <w:t>36</w:t>
      </w:r>
      <w:r>
        <w:rPr>
          <w:rFonts w:ascii="宋体" w:hAnsi="宋体" w:cs="宋体" w:eastAsia="宋体" w:hint="default"/>
          <w:spacing w:val="-48"/>
        </w:rPr>
        <w:t> </w:t>
      </w:r>
      <w:r>
        <w:rPr>
          <w:spacing w:val="-4"/>
        </w:rPr>
        <w:t>个月内分三次解锁，预留限制性股票自相应的授予日</w:t>
      </w:r>
      <w:r>
        <w:rPr>
          <w:spacing w:val="-48"/>
        </w:rPr>
        <w:t> </w:t>
      </w:r>
      <w:r>
        <w:rPr>
          <w:rFonts w:ascii="宋体" w:hAnsi="宋体" w:cs="宋体" w:eastAsia="宋体" w:hint="default"/>
        </w:rPr>
        <w:t>2016</w:t>
      </w:r>
      <w:r>
        <w:rPr>
          <w:rFonts w:ascii="宋体" w:hAnsi="宋体" w:cs="宋体" w:eastAsia="宋体" w:hint="default"/>
          <w:spacing w:val="-51"/>
        </w:rPr>
        <w:t> </w:t>
      </w:r>
      <w:r>
        <w:rPr/>
        <w:t>年</w:t>
      </w:r>
      <w:r>
        <w:rPr>
          <w:spacing w:val="-48"/>
        </w:rPr>
        <w:t> </w:t>
      </w:r>
      <w:r>
        <w:rPr>
          <w:rFonts w:ascii="宋体" w:hAnsi="宋体" w:cs="宋体" w:eastAsia="宋体" w:hint="default"/>
        </w:rPr>
        <w:t>7</w:t>
      </w:r>
      <w:r>
        <w:rPr>
          <w:rFonts w:ascii="宋体" w:hAnsi="宋体" w:cs="宋体" w:eastAsia="宋体" w:hint="default"/>
          <w:spacing w:val="-51"/>
        </w:rPr>
        <w:t> </w:t>
      </w:r>
      <w:r>
        <w:rPr/>
        <w:t>月</w:t>
      </w:r>
      <w:r>
        <w:rPr>
          <w:spacing w:val="-48"/>
        </w:rPr>
        <w:t> </w:t>
      </w:r>
      <w:r>
        <w:rPr>
          <w:rFonts w:ascii="宋体" w:hAnsi="宋体" w:cs="宋体" w:eastAsia="宋体" w:hint="default"/>
        </w:rPr>
        <w:t>6</w:t>
      </w:r>
      <w:r>
        <w:rPr>
          <w:rFonts w:ascii="宋体" w:hAnsi="宋体" w:cs="宋体" w:eastAsia="宋体" w:hint="default"/>
          <w:spacing w:val="-51"/>
        </w:rPr>
        <w:t> </w:t>
      </w:r>
      <w:r>
        <w:rPr/>
        <w:t>日起满</w:t>
      </w:r>
      <w:r>
        <w:rPr>
          <w:spacing w:val="-47"/>
        </w:rPr>
        <w:t> </w:t>
      </w:r>
      <w:r>
        <w:rPr>
          <w:rFonts w:ascii="宋体" w:hAnsi="宋体" w:cs="宋体" w:eastAsia="宋体" w:hint="default"/>
        </w:rPr>
        <w:t>12</w:t>
      </w:r>
      <w:r>
        <w:rPr>
          <w:rFonts w:ascii="宋体" w:hAnsi="宋体" w:cs="宋体" w:eastAsia="宋体" w:hint="default"/>
          <w:spacing w:val="-48"/>
        </w:rPr>
        <w:t> </w:t>
      </w:r>
      <w:r>
        <w:rPr>
          <w:spacing w:val="-11"/>
        </w:rPr>
        <w:t>个月后，激</w:t>
      </w:r>
    </w:p>
    <w:p>
      <w:pPr>
        <w:pStyle w:val="BodyText"/>
        <w:spacing w:line="272" w:lineRule="exact"/>
        <w:ind w:right="0"/>
        <w:jc w:val="both"/>
      </w:pPr>
      <w:r>
        <w:rPr>
          <w:w w:val="100"/>
        </w:rPr>
        <w:t>励对</w:t>
      </w:r>
      <w:r>
        <w:rPr>
          <w:spacing w:val="-3"/>
          <w:w w:val="100"/>
        </w:rPr>
        <w:t>象</w:t>
      </w:r>
      <w:r>
        <w:rPr>
          <w:w w:val="100"/>
        </w:rPr>
        <w:t>应</w:t>
      </w:r>
      <w:r>
        <w:rPr>
          <w:spacing w:val="-3"/>
          <w:w w:val="100"/>
        </w:rPr>
        <w:t>在未</w:t>
      </w:r>
      <w:r>
        <w:rPr>
          <w:w w:val="100"/>
        </w:rPr>
        <w:t>来</w:t>
      </w:r>
      <w:r>
        <w:rPr>
          <w:spacing w:val="-53"/>
        </w:rPr>
        <w:t> </w:t>
      </w:r>
      <w:r>
        <w:rPr>
          <w:rFonts w:ascii="宋体" w:hAnsi="宋体" w:cs="宋体" w:eastAsia="宋体" w:hint="default"/>
          <w:w w:val="100"/>
        </w:rPr>
        <w:t>24</w:t>
      </w:r>
      <w:r>
        <w:rPr>
          <w:rFonts w:ascii="宋体" w:hAnsi="宋体" w:cs="宋体" w:eastAsia="宋体" w:hint="default"/>
          <w:spacing w:val="-55"/>
        </w:rPr>
        <w:t> </w:t>
      </w:r>
      <w:r>
        <w:rPr>
          <w:w w:val="100"/>
        </w:rPr>
        <w:t>个</w:t>
      </w:r>
      <w:r>
        <w:rPr>
          <w:spacing w:val="-3"/>
          <w:w w:val="100"/>
        </w:rPr>
        <w:t>月内</w:t>
      </w:r>
      <w:r>
        <w:rPr>
          <w:w w:val="100"/>
        </w:rPr>
        <w:t>分二</w:t>
      </w:r>
      <w:r>
        <w:rPr>
          <w:spacing w:val="-3"/>
          <w:w w:val="100"/>
        </w:rPr>
        <w:t>次</w:t>
      </w:r>
      <w:r>
        <w:rPr>
          <w:w w:val="100"/>
        </w:rPr>
        <w:t>解</w:t>
      </w:r>
      <w:r>
        <w:rPr>
          <w:spacing w:val="-3"/>
          <w:w w:val="100"/>
        </w:rPr>
        <w:t>锁</w:t>
      </w:r>
      <w:r>
        <w:rPr>
          <w:spacing w:val="-94"/>
          <w:w w:val="100"/>
        </w:rPr>
        <w:t>。</w:t>
      </w:r>
      <w:r>
        <w:rPr>
          <w:w w:val="100"/>
        </w:rPr>
        <w:t>公</w:t>
      </w:r>
      <w:r>
        <w:rPr>
          <w:spacing w:val="-3"/>
          <w:w w:val="100"/>
        </w:rPr>
        <w:t>司</w:t>
      </w:r>
      <w:r>
        <w:rPr>
          <w:w w:val="100"/>
        </w:rPr>
        <w:t>限</w:t>
      </w:r>
      <w:r>
        <w:rPr>
          <w:spacing w:val="-3"/>
          <w:w w:val="100"/>
        </w:rPr>
        <w:t>制</w:t>
      </w:r>
      <w:r>
        <w:rPr>
          <w:w w:val="100"/>
        </w:rPr>
        <w:t>性</w:t>
      </w:r>
      <w:r>
        <w:rPr>
          <w:spacing w:val="-3"/>
          <w:w w:val="100"/>
        </w:rPr>
        <w:t>股</w:t>
      </w:r>
      <w:r>
        <w:rPr>
          <w:w w:val="100"/>
        </w:rPr>
        <w:t>票激</w:t>
      </w:r>
      <w:r>
        <w:rPr>
          <w:spacing w:val="-3"/>
          <w:w w:val="100"/>
        </w:rPr>
        <w:t>励</w:t>
      </w:r>
      <w:r>
        <w:rPr>
          <w:w w:val="100"/>
        </w:rPr>
        <w:t>计</w:t>
      </w:r>
      <w:r>
        <w:rPr>
          <w:spacing w:val="-3"/>
          <w:w w:val="100"/>
        </w:rPr>
        <w:t>划</w:t>
      </w:r>
      <w:r>
        <w:rPr>
          <w:w w:val="100"/>
        </w:rPr>
        <w:t>首</w:t>
      </w:r>
      <w:r>
        <w:rPr>
          <w:spacing w:val="-3"/>
          <w:w w:val="100"/>
        </w:rPr>
        <w:t>次</w:t>
      </w:r>
      <w:r>
        <w:rPr>
          <w:w w:val="100"/>
        </w:rPr>
        <w:t>授</w:t>
      </w:r>
      <w:r>
        <w:rPr>
          <w:spacing w:val="-3"/>
          <w:w w:val="100"/>
        </w:rPr>
        <w:t>予</w:t>
      </w:r>
      <w:r>
        <w:rPr>
          <w:w w:val="100"/>
        </w:rPr>
        <w:t>限</w:t>
      </w:r>
      <w:r>
        <w:rPr>
          <w:spacing w:val="-3"/>
          <w:w w:val="100"/>
        </w:rPr>
        <w:t>制</w:t>
      </w:r>
      <w:r>
        <w:rPr>
          <w:w w:val="100"/>
        </w:rPr>
        <w:t>性股</w:t>
      </w:r>
      <w:r>
        <w:rPr>
          <w:spacing w:val="-3"/>
          <w:w w:val="100"/>
        </w:rPr>
        <w:t>票</w:t>
      </w:r>
      <w:r>
        <w:rPr>
          <w:w w:val="100"/>
        </w:rPr>
        <w:t>第</w:t>
      </w:r>
      <w:r>
        <w:rPr>
          <w:spacing w:val="-3"/>
          <w:w w:val="100"/>
        </w:rPr>
        <w:t>一</w:t>
      </w:r>
      <w:r>
        <w:rPr>
          <w:w w:val="100"/>
        </w:rPr>
        <w:t>个</w:t>
      </w:r>
      <w:r>
        <w:rPr>
          <w:spacing w:val="-3"/>
          <w:w w:val="100"/>
        </w:rPr>
        <w:t>锁</w:t>
      </w:r>
      <w:r>
        <w:rPr>
          <w:w w:val="100"/>
        </w:rPr>
        <w:t>定</w:t>
      </w:r>
    </w:p>
    <w:p>
      <w:pPr>
        <w:pStyle w:val="BodyText"/>
        <w:spacing w:line="237" w:lineRule="auto"/>
        <w:ind w:right="228"/>
        <w:jc w:val="both"/>
      </w:pPr>
      <w:r>
        <w:rPr>
          <w:spacing w:val="-5"/>
        </w:rPr>
        <w:t>期的解锁条件已达成。董事会同意</w:t>
      </w:r>
      <w:r>
        <w:rPr>
          <w:spacing w:val="-44"/>
        </w:rPr>
        <w:t> </w:t>
      </w:r>
      <w:r>
        <w:rPr>
          <w:rFonts w:ascii="宋体" w:hAnsi="宋体" w:cs="宋体" w:eastAsia="宋体" w:hint="default"/>
        </w:rPr>
        <w:t>385</w:t>
      </w:r>
      <w:r>
        <w:rPr>
          <w:rFonts w:ascii="宋体" w:hAnsi="宋体" w:cs="宋体" w:eastAsia="宋体" w:hint="default"/>
          <w:spacing w:val="-44"/>
        </w:rPr>
        <w:t> </w:t>
      </w:r>
      <w:r>
        <w:rPr/>
        <w:t>名激励对象获授的</w:t>
      </w:r>
      <w:r>
        <w:rPr>
          <w:spacing w:val="-44"/>
        </w:rPr>
        <w:t> </w:t>
      </w:r>
      <w:r>
        <w:rPr>
          <w:rFonts w:ascii="宋体" w:hAnsi="宋体" w:cs="宋体" w:eastAsia="宋体" w:hint="default"/>
        </w:rPr>
        <w:t>438.36</w:t>
      </w:r>
      <w:r>
        <w:rPr>
          <w:rFonts w:ascii="宋体" w:hAnsi="宋体" w:cs="宋体" w:eastAsia="宋体" w:hint="default"/>
          <w:spacing w:val="-46"/>
        </w:rPr>
        <w:t> </w:t>
      </w:r>
      <w:r>
        <w:rPr>
          <w:spacing w:val="-5"/>
        </w:rPr>
        <w:t>万股限制性股票申请解锁，并在</w:t>
      </w:r>
      <w:r>
        <w:rPr>
          <w:spacing w:val="-101"/>
        </w:rPr>
        <w:t> </w:t>
      </w:r>
      <w:r>
        <w:rPr>
          <w:spacing w:val="-101"/>
        </w:rPr>
      </w:r>
      <w:r>
        <w:rPr>
          <w:spacing w:val="-2"/>
        </w:rPr>
        <w:t>激励对象解锁申请被接受后，由公司董事会统一办理符合解锁条件的限制性股票解锁相关事宜。</w:t>
      </w:r>
      <w:r>
        <w:rPr>
          <w:spacing w:val="-25"/>
        </w:rPr>
        <w:t> </w:t>
      </w:r>
      <w:r>
        <w:rPr>
          <w:spacing w:val="-25"/>
        </w:rPr>
      </w:r>
      <w:r>
        <w:rPr/>
        <w:t>第一次解锁的首次授予的限制性股票上市流通日为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7</w:t>
      </w:r>
      <w:r>
        <w:rPr>
          <w:rFonts w:ascii="宋体" w:hAnsi="宋体" w:cs="宋体" w:eastAsia="宋体" w:hint="default"/>
          <w:spacing w:val="-54"/>
        </w:rPr>
        <w:t> </w:t>
      </w:r>
      <w:r>
        <w:rPr>
          <w:spacing w:val="-8"/>
        </w:rPr>
        <w:t>日，</w:t>
      </w:r>
      <w:r>
        <w:rPr>
          <w:rFonts w:ascii="宋体" w:hAnsi="宋体" w:cs="宋体" w:eastAsia="宋体" w:hint="default"/>
          <w:spacing w:val="-8"/>
        </w:rPr>
        <w:t>2016</w:t>
      </w:r>
      <w:r>
        <w:rPr>
          <w:rFonts w:ascii="宋体" w:hAnsi="宋体" w:cs="宋体" w:eastAsia="宋体" w:hint="default"/>
          <w:spacing w:val="-54"/>
        </w:rPr>
        <w:t> </w:t>
      </w:r>
      <w:r>
        <w:rPr/>
        <w:t>年解锁的限制性股票</w:t>
      </w:r>
    </w:p>
    <w:p>
      <w:pPr>
        <w:pStyle w:val="BodyText"/>
        <w:spacing w:line="272" w:lineRule="exact"/>
        <w:ind w:right="0"/>
        <w:jc w:val="both"/>
        <w:rPr>
          <w:rFonts w:ascii="宋体" w:hAnsi="宋体" w:cs="宋体" w:eastAsia="宋体" w:hint="default"/>
        </w:rPr>
      </w:pPr>
      <w:r>
        <w:rPr>
          <w:w w:val="100"/>
        </w:rPr>
        <w:t>上市</w:t>
      </w:r>
      <w:r>
        <w:rPr>
          <w:spacing w:val="-3"/>
          <w:w w:val="100"/>
        </w:rPr>
        <w:t>流</w:t>
      </w:r>
      <w:r>
        <w:rPr>
          <w:w w:val="100"/>
        </w:rPr>
        <w:t>通</w:t>
      </w:r>
      <w:r>
        <w:rPr>
          <w:spacing w:val="-3"/>
          <w:w w:val="100"/>
        </w:rPr>
        <w:t>数</w:t>
      </w:r>
      <w:r>
        <w:rPr>
          <w:w w:val="100"/>
        </w:rPr>
        <w:t>量为</w:t>
      </w:r>
      <w:r>
        <w:rPr>
          <w:spacing w:val="-67"/>
        </w:rPr>
        <w:t> </w:t>
      </w:r>
      <w:r>
        <w:rPr>
          <w:rFonts w:ascii="宋体" w:hAnsi="宋体" w:cs="宋体" w:eastAsia="宋体" w:hint="default"/>
          <w:w w:val="100"/>
        </w:rPr>
        <w:t>438</w:t>
      </w:r>
      <w:r>
        <w:rPr>
          <w:rFonts w:ascii="宋体" w:hAnsi="宋体" w:cs="宋体" w:eastAsia="宋体" w:hint="default"/>
          <w:spacing w:val="-3"/>
          <w:w w:val="100"/>
        </w:rPr>
        <w:t>.</w:t>
      </w:r>
      <w:r>
        <w:rPr>
          <w:rFonts w:ascii="宋体" w:hAnsi="宋体" w:cs="宋体" w:eastAsia="宋体" w:hint="default"/>
          <w:w w:val="100"/>
        </w:rPr>
        <w:t>36</w:t>
      </w:r>
      <w:r>
        <w:rPr>
          <w:rFonts w:ascii="宋体" w:hAnsi="宋体" w:cs="宋体" w:eastAsia="宋体" w:hint="default"/>
          <w:spacing w:val="-64"/>
        </w:rPr>
        <w:t> </w:t>
      </w:r>
      <w:r>
        <w:rPr>
          <w:spacing w:val="-3"/>
          <w:w w:val="100"/>
        </w:rPr>
        <w:t>万</w:t>
      </w:r>
      <w:r>
        <w:rPr>
          <w:w w:val="100"/>
        </w:rPr>
        <w:t>股</w:t>
      </w:r>
      <w:r>
        <w:rPr>
          <w:spacing w:val="-106"/>
          <w:w w:val="100"/>
        </w:rPr>
        <w:t>。</w:t>
      </w:r>
      <w:r>
        <w:rPr>
          <w:spacing w:val="-3"/>
          <w:w w:val="100"/>
        </w:rPr>
        <w:t>第</w:t>
      </w:r>
      <w:r>
        <w:rPr>
          <w:w w:val="100"/>
        </w:rPr>
        <w:t>一</w:t>
      </w:r>
      <w:r>
        <w:rPr>
          <w:spacing w:val="-3"/>
          <w:w w:val="100"/>
        </w:rPr>
        <w:t>次</w:t>
      </w:r>
      <w:r>
        <w:rPr>
          <w:w w:val="100"/>
        </w:rPr>
        <w:t>解</w:t>
      </w:r>
      <w:r>
        <w:rPr>
          <w:spacing w:val="-3"/>
          <w:w w:val="100"/>
        </w:rPr>
        <w:t>锁</w:t>
      </w:r>
      <w:r>
        <w:rPr>
          <w:w w:val="100"/>
        </w:rPr>
        <w:t>的</w:t>
      </w:r>
      <w:r>
        <w:rPr>
          <w:spacing w:val="-3"/>
          <w:w w:val="100"/>
        </w:rPr>
        <w:t>预</w:t>
      </w:r>
      <w:r>
        <w:rPr>
          <w:w w:val="100"/>
        </w:rPr>
        <w:t>留</w:t>
      </w:r>
      <w:r>
        <w:rPr>
          <w:spacing w:val="-3"/>
          <w:w w:val="100"/>
        </w:rPr>
        <w:t>限制</w:t>
      </w:r>
      <w:r>
        <w:rPr>
          <w:w w:val="100"/>
        </w:rPr>
        <w:t>性股</w:t>
      </w:r>
      <w:r>
        <w:rPr>
          <w:spacing w:val="-3"/>
          <w:w w:val="100"/>
        </w:rPr>
        <w:t>票</w:t>
      </w:r>
      <w:r>
        <w:rPr>
          <w:w w:val="100"/>
        </w:rPr>
        <w:t>上</w:t>
      </w:r>
      <w:r>
        <w:rPr>
          <w:spacing w:val="-3"/>
          <w:w w:val="100"/>
        </w:rPr>
        <w:t>市</w:t>
      </w:r>
      <w:r>
        <w:rPr>
          <w:w w:val="100"/>
        </w:rPr>
        <w:t>流</w:t>
      </w:r>
      <w:r>
        <w:rPr>
          <w:spacing w:val="-3"/>
          <w:w w:val="100"/>
        </w:rPr>
        <w:t>通</w:t>
      </w:r>
      <w:r>
        <w:rPr>
          <w:w w:val="100"/>
        </w:rPr>
        <w:t>日为</w:t>
      </w:r>
      <w:r>
        <w:rPr>
          <w:spacing w:val="-67"/>
        </w:rPr>
        <w:t> </w:t>
      </w:r>
      <w:r>
        <w:rPr>
          <w:rFonts w:ascii="宋体" w:hAnsi="宋体" w:cs="宋体" w:eastAsia="宋体" w:hint="default"/>
          <w:w w:val="100"/>
        </w:rPr>
        <w:t>2017</w:t>
      </w:r>
      <w:r>
        <w:rPr>
          <w:rFonts w:ascii="宋体" w:hAnsi="宋体" w:cs="宋体" w:eastAsia="宋体" w:hint="default"/>
          <w:spacing w:val="-66"/>
        </w:rPr>
        <w:t> </w:t>
      </w:r>
      <w:r>
        <w:rPr>
          <w:w w:val="100"/>
        </w:rPr>
        <w:t>年</w:t>
      </w:r>
      <w:r>
        <w:rPr>
          <w:spacing w:val="-65"/>
        </w:rPr>
        <w:t> </w:t>
      </w:r>
      <w:r>
        <w:rPr>
          <w:rFonts w:ascii="宋体" w:hAnsi="宋体" w:cs="宋体" w:eastAsia="宋体" w:hint="default"/>
          <w:w w:val="100"/>
        </w:rPr>
        <w:t>7</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20</w:t>
      </w:r>
      <w:r>
        <w:rPr>
          <w:rFonts w:ascii="宋体" w:hAnsi="宋体" w:cs="宋体" w:eastAsia="宋体" w:hint="default"/>
          <w:spacing w:val="-67"/>
        </w:rPr>
        <w:t> </w:t>
      </w:r>
      <w:r>
        <w:rPr>
          <w:w w:val="100"/>
        </w:rPr>
        <w:t>日</w:t>
      </w:r>
      <w:r>
        <w:rPr>
          <w:spacing w:val="-106"/>
          <w:w w:val="100"/>
        </w:rPr>
        <w:t>，</w:t>
      </w:r>
      <w:r>
        <w:rPr>
          <w:rFonts w:ascii="宋体" w:hAnsi="宋体" w:cs="宋体" w:eastAsia="宋体" w:hint="default"/>
          <w:spacing w:val="-3"/>
          <w:w w:val="100"/>
        </w:rPr>
        <w:t>2</w:t>
      </w:r>
      <w:r>
        <w:rPr>
          <w:rFonts w:ascii="宋体" w:hAnsi="宋体" w:cs="宋体" w:eastAsia="宋体" w:hint="default"/>
          <w:w w:val="100"/>
        </w:rPr>
        <w:t>017</w:t>
      </w:r>
    </w:p>
    <w:p>
      <w:pPr>
        <w:pStyle w:val="BodyText"/>
        <w:spacing w:line="273" w:lineRule="exact"/>
        <w:ind w:right="0"/>
        <w:jc w:val="both"/>
      </w:pPr>
      <w:r>
        <w:rPr>
          <w:w w:val="100"/>
        </w:rPr>
        <w:t>年解</w:t>
      </w:r>
      <w:r>
        <w:rPr>
          <w:spacing w:val="-3"/>
          <w:w w:val="100"/>
        </w:rPr>
        <w:t>锁</w:t>
      </w:r>
      <w:r>
        <w:rPr>
          <w:w w:val="100"/>
        </w:rPr>
        <w:t>的</w:t>
      </w:r>
      <w:r>
        <w:rPr>
          <w:spacing w:val="-3"/>
          <w:w w:val="100"/>
        </w:rPr>
        <w:t>限</w:t>
      </w:r>
      <w:r>
        <w:rPr>
          <w:w w:val="100"/>
        </w:rPr>
        <w:t>制</w:t>
      </w:r>
      <w:r>
        <w:rPr>
          <w:spacing w:val="-3"/>
          <w:w w:val="100"/>
        </w:rPr>
        <w:t>性</w:t>
      </w:r>
      <w:r>
        <w:rPr>
          <w:w w:val="100"/>
        </w:rPr>
        <w:t>股</w:t>
      </w:r>
      <w:r>
        <w:rPr>
          <w:spacing w:val="-3"/>
          <w:w w:val="100"/>
        </w:rPr>
        <w:t>票</w:t>
      </w:r>
      <w:r>
        <w:rPr>
          <w:w w:val="100"/>
        </w:rPr>
        <w:t>上</w:t>
      </w:r>
      <w:r>
        <w:rPr>
          <w:spacing w:val="-3"/>
          <w:w w:val="100"/>
        </w:rPr>
        <w:t>市</w:t>
      </w:r>
      <w:r>
        <w:rPr>
          <w:w w:val="100"/>
        </w:rPr>
        <w:t>流通</w:t>
      </w:r>
      <w:r>
        <w:rPr>
          <w:spacing w:val="-3"/>
          <w:w w:val="100"/>
        </w:rPr>
        <w:t>数量</w:t>
      </w:r>
      <w:r>
        <w:rPr>
          <w:w w:val="100"/>
        </w:rPr>
        <w:t>为</w:t>
      </w:r>
      <w:r>
        <w:rPr>
          <w:spacing w:val="-53"/>
        </w:rPr>
        <w:t> </w:t>
      </w:r>
      <w:r>
        <w:rPr>
          <w:rFonts w:ascii="宋体" w:hAnsi="宋体" w:cs="宋体" w:eastAsia="宋体" w:hint="default"/>
          <w:w w:val="100"/>
        </w:rPr>
        <w:t>49</w:t>
      </w:r>
      <w:r>
        <w:rPr>
          <w:rFonts w:ascii="宋体" w:hAnsi="宋体" w:cs="宋体" w:eastAsia="宋体" w:hint="default"/>
          <w:spacing w:val="-3"/>
          <w:w w:val="100"/>
        </w:rPr>
        <w:t>.</w:t>
      </w:r>
      <w:r>
        <w:rPr>
          <w:rFonts w:ascii="宋体" w:hAnsi="宋体" w:cs="宋体" w:eastAsia="宋体" w:hint="default"/>
          <w:w w:val="100"/>
        </w:rPr>
        <w:t>575</w:t>
      </w:r>
      <w:r>
        <w:rPr>
          <w:rFonts w:ascii="宋体" w:hAnsi="宋体" w:cs="宋体" w:eastAsia="宋体" w:hint="default"/>
          <w:spacing w:val="-55"/>
        </w:rPr>
        <w:t> </w:t>
      </w:r>
      <w:r>
        <w:rPr>
          <w:w w:val="100"/>
        </w:rPr>
        <w:t>万</w:t>
      </w:r>
      <w:r>
        <w:rPr>
          <w:spacing w:val="-3"/>
          <w:w w:val="100"/>
        </w:rPr>
        <w:t>股</w:t>
      </w:r>
      <w:r>
        <w:rPr>
          <w:spacing w:val="-94"/>
          <w:w w:val="100"/>
        </w:rPr>
        <w:t>。</w:t>
      </w:r>
      <w:r>
        <w:rPr>
          <w:w w:val="100"/>
        </w:rPr>
        <w:t>第二</w:t>
      </w:r>
      <w:r>
        <w:rPr>
          <w:spacing w:val="-3"/>
          <w:w w:val="100"/>
        </w:rPr>
        <w:t>次</w:t>
      </w:r>
      <w:r>
        <w:rPr>
          <w:w w:val="100"/>
        </w:rPr>
        <w:t>解</w:t>
      </w:r>
      <w:r>
        <w:rPr>
          <w:spacing w:val="-3"/>
          <w:w w:val="100"/>
        </w:rPr>
        <w:t>锁</w:t>
      </w:r>
      <w:r>
        <w:rPr>
          <w:w w:val="100"/>
        </w:rPr>
        <w:t>的</w:t>
      </w:r>
      <w:r>
        <w:rPr>
          <w:spacing w:val="-3"/>
          <w:w w:val="100"/>
        </w:rPr>
        <w:t>首</w:t>
      </w:r>
      <w:r>
        <w:rPr>
          <w:w w:val="100"/>
        </w:rPr>
        <w:t>次</w:t>
      </w:r>
      <w:r>
        <w:rPr>
          <w:spacing w:val="-3"/>
          <w:w w:val="100"/>
        </w:rPr>
        <w:t>授</w:t>
      </w:r>
      <w:r>
        <w:rPr>
          <w:w w:val="100"/>
        </w:rPr>
        <w:t>予</w:t>
      </w:r>
      <w:r>
        <w:rPr>
          <w:spacing w:val="-3"/>
          <w:w w:val="100"/>
        </w:rPr>
        <w:t>的</w:t>
      </w:r>
      <w:r>
        <w:rPr>
          <w:w w:val="100"/>
        </w:rPr>
        <w:t>限制</w:t>
      </w:r>
      <w:r>
        <w:rPr>
          <w:spacing w:val="-3"/>
          <w:w w:val="100"/>
        </w:rPr>
        <w:t>性</w:t>
      </w:r>
      <w:r>
        <w:rPr>
          <w:w w:val="100"/>
        </w:rPr>
        <w:t>股</w:t>
      </w:r>
      <w:r>
        <w:rPr>
          <w:spacing w:val="-3"/>
          <w:w w:val="100"/>
        </w:rPr>
        <w:t>票</w:t>
      </w:r>
      <w:r>
        <w:rPr>
          <w:w w:val="100"/>
        </w:rPr>
        <w:t>上</w:t>
      </w:r>
      <w:r>
        <w:rPr>
          <w:spacing w:val="-3"/>
          <w:w w:val="100"/>
        </w:rPr>
        <w:t>市流</w:t>
      </w:r>
      <w:r>
        <w:rPr>
          <w:w w:val="100"/>
        </w:rPr>
        <w:t>通</w:t>
      </w:r>
    </w:p>
    <w:p>
      <w:pPr>
        <w:pStyle w:val="BodyText"/>
        <w:spacing w:line="272" w:lineRule="exact"/>
        <w:ind w:right="0"/>
        <w:jc w:val="both"/>
      </w:pPr>
      <w:r>
        <w:rPr/>
        <w:t>日为</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t>日，</w:t>
      </w:r>
      <w:r>
        <w:rPr>
          <w:rFonts w:ascii="宋体" w:hAnsi="宋体" w:cs="宋体" w:eastAsia="宋体" w:hint="default"/>
        </w:rPr>
        <w:t>2017</w:t>
      </w:r>
      <w:r>
        <w:rPr>
          <w:rFonts w:ascii="宋体" w:hAnsi="宋体" w:cs="宋体" w:eastAsia="宋体" w:hint="default"/>
          <w:spacing w:val="-55"/>
        </w:rPr>
        <w:t> </w:t>
      </w:r>
      <w:r>
        <w:rPr/>
        <w:t>年解锁的限制性股票上市流通数量为</w:t>
      </w:r>
      <w:r>
        <w:rPr>
          <w:spacing w:val="-53"/>
        </w:rPr>
        <w:t> </w:t>
      </w:r>
      <w:r>
        <w:rPr>
          <w:rFonts w:ascii="宋体" w:hAnsi="宋体" w:cs="宋体" w:eastAsia="宋体" w:hint="default"/>
        </w:rPr>
        <w:t>415.19</w:t>
      </w:r>
      <w:r>
        <w:rPr>
          <w:rFonts w:ascii="宋体" w:hAnsi="宋体" w:cs="宋体" w:eastAsia="宋体" w:hint="default"/>
          <w:spacing w:val="-55"/>
        </w:rPr>
        <w:t> </w:t>
      </w:r>
      <w:r>
        <w:rPr/>
        <w:t>万股。</w:t>
      </w:r>
    </w:p>
    <w:p>
      <w:pPr>
        <w:pStyle w:val="BodyText"/>
        <w:spacing w:line="272" w:lineRule="exact"/>
        <w:ind w:left="638" w:right="0"/>
        <w:jc w:val="left"/>
      </w:pPr>
      <w:r>
        <w:rPr>
          <w:spacing w:val="-5"/>
        </w:rPr>
        <w:t>根据《企业会计准则第 </w:t>
      </w:r>
      <w:r>
        <w:rPr>
          <w:rFonts w:ascii="宋体" w:hAnsi="宋体" w:cs="宋体" w:eastAsia="宋体" w:hint="default"/>
        </w:rPr>
        <w:t>11</w:t>
      </w:r>
      <w:r>
        <w:rPr>
          <w:rFonts w:ascii="宋体" w:hAnsi="宋体" w:cs="宋体" w:eastAsia="宋体" w:hint="default"/>
          <w:spacing w:val="-33"/>
        </w:rPr>
        <w:t> </w:t>
      </w:r>
      <w:r>
        <w:rPr>
          <w:spacing w:val="-4"/>
        </w:rPr>
        <w:t>号—股份支付》的规定，公司限制性股票的授予对公司相关年度的</w:t>
      </w:r>
    </w:p>
    <w:p>
      <w:pPr>
        <w:pStyle w:val="BodyText"/>
        <w:spacing w:line="272" w:lineRule="exact"/>
        <w:ind w:right="0"/>
        <w:jc w:val="both"/>
        <w:rPr>
          <w:rFonts w:ascii="宋体" w:hAnsi="宋体" w:cs="宋体" w:eastAsia="宋体" w:hint="default"/>
        </w:rPr>
      </w:pPr>
      <w:r>
        <w:rPr>
          <w:spacing w:val="-3"/>
        </w:rPr>
        <w:t>财务状况和经营成果将产生一定的影响。董事会已确定首次授予限制性股票的授予日为</w:t>
      </w:r>
      <w:r>
        <w:rPr>
          <w:spacing w:val="-29"/>
        </w:rPr>
        <w:t> </w:t>
      </w:r>
      <w:r>
        <w:rPr>
          <w:rFonts w:ascii="宋体" w:hAnsi="宋体" w:cs="宋体" w:eastAsia="宋体" w:hint="default"/>
        </w:rPr>
        <w:t>2015</w:t>
      </w:r>
      <w:r>
        <w:rPr>
          <w:rFonts w:ascii="宋体" w:hAnsi="宋体" w:cs="宋体" w:eastAsia="宋体" w:hint="default"/>
          <w:spacing w:val="-31"/>
        </w:rPr>
        <w:t> </w:t>
      </w:r>
      <w:r>
        <w:rPr/>
        <w:t>年</w:t>
      </w:r>
      <w:r>
        <w:rPr>
          <w:spacing w:val="-34"/>
        </w:rPr>
        <w:t> </w:t>
      </w:r>
      <w:r>
        <w:rPr>
          <w:rFonts w:ascii="宋体" w:hAnsi="宋体" w:cs="宋体" w:eastAsia="宋体" w:hint="default"/>
        </w:rPr>
        <w:t>8</w:t>
      </w:r>
    </w:p>
    <w:p>
      <w:pPr>
        <w:pStyle w:val="BodyText"/>
        <w:spacing w:line="272" w:lineRule="exact"/>
        <w:ind w:right="0"/>
        <w:jc w:val="both"/>
      </w:pP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日，在</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rFonts w:ascii="宋体" w:hAnsi="宋体" w:cs="宋体" w:eastAsia="宋体" w:hint="default"/>
        </w:rPr>
        <w:t>-2018</w:t>
      </w:r>
      <w:r>
        <w:rPr>
          <w:rFonts w:ascii="宋体" w:hAnsi="宋体" w:cs="宋体" w:eastAsia="宋体" w:hint="default"/>
          <w:spacing w:val="-53"/>
        </w:rPr>
        <w:t> </w:t>
      </w:r>
      <w:r>
        <w:rPr/>
        <w:t>年将按照各期限制性股票的解锁比例和授予日限制性股票的公允价值</w:t>
      </w:r>
    </w:p>
    <w:p>
      <w:pPr>
        <w:pStyle w:val="BodyText"/>
        <w:spacing w:line="272" w:lineRule="exact" w:before="27"/>
        <w:ind w:right="227"/>
        <w:jc w:val="both"/>
      </w:pPr>
      <w:r>
        <w:rPr>
          <w:spacing w:val="-4"/>
        </w:rPr>
        <w:t>总额计算并分期确认限制性股票激励成本；预留限制性股票的授予日为</w:t>
      </w:r>
      <w:r>
        <w:rPr>
          <w:spacing w:val="-46"/>
        </w:rPr>
        <w:t> </w:t>
      </w:r>
      <w:r>
        <w:rPr>
          <w:rFonts w:ascii="宋体" w:hAnsi="宋体" w:cs="宋体" w:eastAsia="宋体" w:hint="default"/>
        </w:rPr>
        <w:t>2016</w:t>
      </w:r>
      <w:r>
        <w:rPr>
          <w:rFonts w:ascii="宋体" w:hAnsi="宋体" w:cs="宋体" w:eastAsia="宋体" w:hint="default"/>
          <w:spacing w:val="-49"/>
        </w:rPr>
        <w:t> </w:t>
      </w:r>
      <w:r>
        <w:rPr/>
        <w:t>年</w:t>
      </w:r>
      <w:r>
        <w:rPr>
          <w:spacing w:val="-45"/>
        </w:rPr>
        <w:t> </w:t>
      </w:r>
      <w:r>
        <w:rPr>
          <w:rFonts w:ascii="宋体" w:hAnsi="宋体" w:cs="宋体" w:eastAsia="宋体" w:hint="default"/>
        </w:rPr>
        <w:t>7</w:t>
      </w:r>
      <w:r>
        <w:rPr>
          <w:rFonts w:ascii="宋体" w:hAnsi="宋体" w:cs="宋体" w:eastAsia="宋体" w:hint="default"/>
          <w:spacing w:val="-49"/>
        </w:rPr>
        <w:t> </w:t>
      </w:r>
      <w:r>
        <w:rPr/>
        <w:t>月</w:t>
      </w:r>
      <w:r>
        <w:rPr>
          <w:spacing w:val="-46"/>
        </w:rPr>
        <w:t> </w:t>
      </w:r>
      <w:r>
        <w:rPr>
          <w:rFonts w:ascii="宋体" w:hAnsi="宋体" w:cs="宋体" w:eastAsia="宋体" w:hint="default"/>
        </w:rPr>
        <w:t>6</w:t>
      </w:r>
      <w:r>
        <w:rPr>
          <w:rFonts w:ascii="宋体" w:hAnsi="宋体" w:cs="宋体" w:eastAsia="宋体" w:hint="default"/>
          <w:spacing w:val="-46"/>
        </w:rPr>
        <w:t> </w:t>
      </w:r>
      <w:r>
        <w:rPr>
          <w:spacing w:val="-26"/>
        </w:rPr>
        <w:t>日，在</w:t>
      </w:r>
      <w:r>
        <w:rPr>
          <w:spacing w:val="-46"/>
        </w:rPr>
        <w:t> </w:t>
      </w:r>
      <w:r>
        <w:rPr>
          <w:rFonts w:ascii="宋体" w:hAnsi="宋体" w:cs="宋体" w:eastAsia="宋体" w:hint="default"/>
        </w:rPr>
        <w:t>2016</w:t>
      </w:r>
      <w:r>
        <w:rPr>
          <w:rFonts w:ascii="宋体" w:hAnsi="宋体" w:cs="宋体" w:eastAsia="宋体" w:hint="default"/>
          <w:spacing w:val="-102"/>
        </w:rPr>
        <w:t> </w:t>
      </w:r>
      <w:r>
        <w:rPr>
          <w:rFonts w:ascii="宋体" w:hAnsi="宋体" w:cs="宋体" w:eastAsia="宋体" w:hint="default"/>
          <w:spacing w:val="-102"/>
        </w:rPr>
      </w:r>
      <w:r>
        <w:rPr/>
        <w:t>年</w:t>
      </w:r>
      <w:r>
        <w:rPr>
          <w:rFonts w:ascii="宋体" w:hAnsi="宋体" w:cs="宋体" w:eastAsia="宋体" w:hint="default"/>
        </w:rPr>
        <w:t>-2018</w:t>
      </w:r>
      <w:r>
        <w:rPr>
          <w:rFonts w:ascii="宋体" w:hAnsi="宋体" w:cs="宋体" w:eastAsia="宋体" w:hint="default"/>
          <w:spacing w:val="-55"/>
        </w:rPr>
        <w:t> </w:t>
      </w:r>
      <w:r>
        <w:rPr/>
        <w:t>年将按照各期限制性股票的解锁比例和授予日限制性股票的公允价值总额计算并分期确</w:t>
      </w:r>
      <w:r>
        <w:rPr>
          <w:w w:val="100"/>
        </w:rPr>
        <w:t> </w:t>
      </w:r>
      <w:r>
        <w:rPr/>
        <w:t>认限制性股票激励成本。</w:t>
      </w:r>
    </w:p>
    <w:p>
      <w:pPr>
        <w:pStyle w:val="BodyText"/>
        <w:spacing w:line="272" w:lineRule="exact" w:before="1"/>
        <w:ind w:right="226" w:firstLine="419"/>
        <w:jc w:val="left"/>
      </w:pPr>
      <w:r>
        <w:rPr/>
        <w:t>（</w:t>
      </w:r>
      <w:r>
        <w:rPr>
          <w:rFonts w:ascii="宋体" w:hAnsi="宋体" w:cs="宋体" w:eastAsia="宋体" w:hint="default"/>
        </w:rPr>
        <w:t>4</w:t>
      </w:r>
      <w:r>
        <w:rPr/>
        <w:t>）于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日召开的公司七届二十二次董事会审议通过了《关于子公司北京东</w:t>
      </w:r>
      <w:r>
        <w:rPr>
          <w:w w:val="100"/>
        </w:rPr>
        <w:t> </w:t>
      </w:r>
      <w:r>
        <w:rPr>
          <w:spacing w:val="-2"/>
        </w:rPr>
        <w:t>软望海科技有限公司引进投资者的议案》，董事会同意本公司、北京东软望海科技有限公司与常</w:t>
      </w:r>
    </w:p>
    <w:p>
      <w:pPr>
        <w:pStyle w:val="BodyText"/>
        <w:spacing w:line="272" w:lineRule="exact" w:before="1"/>
        <w:ind w:right="230"/>
        <w:jc w:val="both"/>
      </w:pPr>
      <w:r>
        <w:rPr>
          <w:spacing w:val="-2"/>
        </w:rPr>
        <w:t>州健腾投资合伙企业（有限合伙）（以下简称“平安健腾”）、东软控股、自然人段成惠共同签</w:t>
      </w:r>
      <w:r>
        <w:rPr>
          <w:spacing w:val="-25"/>
        </w:rPr>
        <w:t> </w:t>
      </w:r>
      <w:r>
        <w:rPr>
          <w:spacing w:val="-25"/>
        </w:rPr>
      </w:r>
      <w:r>
        <w:rPr>
          <w:spacing w:val="-3"/>
        </w:rPr>
        <w:t>订《投资协议》。本公司向平安健腾、东软控股转让其所持有的东软望海</w:t>
      </w:r>
      <w:r>
        <w:rPr>
          <w:spacing w:val="-10"/>
        </w:rPr>
        <w:t> </w:t>
      </w:r>
      <w:r>
        <w:rPr>
          <w:rFonts w:ascii="宋体" w:hAnsi="宋体" w:cs="宋体" w:eastAsia="宋体" w:hint="default"/>
        </w:rPr>
        <w:t>26.34%</w:t>
      </w:r>
      <w:r>
        <w:rPr/>
        <w:t>（本次投资完成</w:t>
      </w:r>
    </w:p>
    <w:p>
      <w:pPr>
        <w:pStyle w:val="BodyText"/>
        <w:spacing w:line="272" w:lineRule="exact" w:before="2"/>
        <w:ind w:right="228"/>
        <w:jc w:val="both"/>
        <w:rPr>
          <w:rFonts w:ascii="宋体" w:hAnsi="宋体" w:cs="宋体" w:eastAsia="宋体" w:hint="default"/>
        </w:rPr>
      </w:pPr>
      <w:r>
        <w:rPr>
          <w:spacing w:val="-5"/>
        </w:rPr>
        <w:t>前）的股权，股权转让价款合计</w:t>
      </w:r>
      <w:r>
        <w:rPr>
          <w:spacing w:val="-41"/>
        </w:rPr>
        <w:t> </w:t>
      </w:r>
      <w:r>
        <w:rPr>
          <w:rFonts w:ascii="宋体" w:hAnsi="宋体" w:cs="宋体" w:eastAsia="宋体" w:hint="default"/>
        </w:rPr>
        <w:t>2.655</w:t>
      </w:r>
      <w:r>
        <w:rPr>
          <w:rFonts w:ascii="宋体" w:hAnsi="宋体" w:cs="宋体" w:eastAsia="宋体" w:hint="default"/>
          <w:spacing w:val="-42"/>
        </w:rPr>
        <w:t> </w:t>
      </w:r>
      <w:r>
        <w:rPr>
          <w:spacing w:val="-4"/>
        </w:rPr>
        <w:t>亿元。平安健腾、东软控股向东软望海注入资本</w:t>
      </w:r>
      <w:r>
        <w:rPr>
          <w:spacing w:val="-41"/>
        </w:rPr>
        <w:t> </w:t>
      </w:r>
      <w:r>
        <w:rPr>
          <w:rFonts w:ascii="宋体" w:hAnsi="宋体" w:cs="宋体" w:eastAsia="宋体" w:hint="default"/>
        </w:rPr>
        <w:t>2.25</w:t>
      </w:r>
      <w:r>
        <w:rPr>
          <w:rFonts w:ascii="宋体" w:hAnsi="宋体" w:cs="宋体" w:eastAsia="宋体" w:hint="default"/>
          <w:spacing w:val="-42"/>
        </w:rPr>
        <w:t> </w:t>
      </w:r>
      <w:r>
        <w:rPr>
          <w:spacing w:val="-3"/>
        </w:rPr>
        <w:t>亿元</w:t>
      </w:r>
      <w:r>
        <w:rPr>
          <w:spacing w:val="-100"/>
        </w:rPr>
        <w:t> </w:t>
      </w:r>
      <w:r>
        <w:rPr>
          <w:spacing w:val="-6"/>
        </w:rPr>
        <w:t>进行增资。在上述投资完成后，东软望海应完成限制性股权计划、股权期权计划等激励安排。</w:t>
      </w:r>
      <w:r>
        <w:rPr>
          <w:rFonts w:ascii="宋体" w:hAnsi="宋体" w:cs="宋体" w:eastAsia="宋体" w:hint="default"/>
          <w:spacing w:val="-6"/>
        </w:rPr>
        <w:t>2016</w:t>
      </w:r>
    </w:p>
    <w:p>
      <w:pPr>
        <w:pStyle w:val="BodyText"/>
        <w:spacing w:line="247" w:lineRule="exact"/>
        <w:ind w:right="0"/>
        <w:jc w:val="both"/>
        <w:rPr>
          <w:rFonts w:ascii="宋体" w:hAnsi="宋体" w:cs="宋体" w:eastAsia="宋体" w:hint="default"/>
        </w:rPr>
      </w:pP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日，东软望海引进投资者的增资及股权转让的工商变更登记手续办理完成。</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p>
    <w:p>
      <w:pPr>
        <w:pStyle w:val="BodyText"/>
        <w:spacing w:line="237" w:lineRule="auto"/>
        <w:ind w:right="227"/>
        <w:jc w:val="both"/>
      </w:pPr>
      <w:r>
        <w:rPr/>
        <w:t>月</w:t>
      </w:r>
      <w:r>
        <w:rPr>
          <w:spacing w:val="-49"/>
        </w:rPr>
        <w:t> </w:t>
      </w:r>
      <w:r>
        <w:rPr>
          <w:rFonts w:ascii="宋体" w:hAnsi="宋体" w:cs="宋体" w:eastAsia="宋体" w:hint="default"/>
        </w:rPr>
        <w:t>18</w:t>
      </w:r>
      <w:r>
        <w:rPr>
          <w:rFonts w:ascii="宋体" w:hAnsi="宋体" w:cs="宋体" w:eastAsia="宋体" w:hint="default"/>
          <w:spacing w:val="-51"/>
        </w:rPr>
        <w:t> </w:t>
      </w:r>
      <w:r>
        <w:rPr/>
        <w:t>日，上述增资款已全部到位。</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spacing w:val="-3"/>
        </w:rPr>
        <w:t>月，根据前次《投资协议》，东软望海已向核心团</w:t>
      </w:r>
      <w:r>
        <w:rPr>
          <w:w w:val="100"/>
        </w:rPr>
        <w:t> </w:t>
      </w:r>
      <w:r>
        <w:rPr/>
        <w:t>队授予</w:t>
      </w:r>
      <w:r>
        <w:rPr>
          <w:spacing w:val="-55"/>
        </w:rPr>
        <w:t> </w:t>
      </w:r>
      <w:r>
        <w:rPr>
          <w:rFonts w:ascii="宋体" w:hAnsi="宋体" w:cs="宋体" w:eastAsia="宋体" w:hint="default"/>
        </w:rPr>
        <w:t>1,487,199</w:t>
      </w:r>
      <w:r>
        <w:rPr>
          <w:rFonts w:ascii="宋体" w:hAnsi="宋体" w:cs="宋体" w:eastAsia="宋体" w:hint="default"/>
          <w:spacing w:val="-55"/>
        </w:rPr>
        <w:t> </w:t>
      </w:r>
      <w:r>
        <w:rPr/>
        <w:t>股限制性股权，占前述限制性股权总数的</w:t>
      </w:r>
      <w:r>
        <w:rPr>
          <w:spacing w:val="-54"/>
        </w:rPr>
        <w:t> </w:t>
      </w:r>
      <w:r>
        <w:rPr>
          <w:rFonts w:ascii="宋体" w:hAnsi="宋体" w:cs="宋体" w:eastAsia="宋体" w:hint="default"/>
        </w:rPr>
        <w:t>70%</w:t>
      </w:r>
      <w:r>
        <w:rPr/>
        <w:t>；东软望海已向核心团队授予东</w:t>
      </w:r>
      <w:r>
        <w:rPr>
          <w:w w:val="100"/>
        </w:rPr>
        <w:t> </w:t>
      </w:r>
      <w:r>
        <w:rPr/>
        <w:t>软望海</w:t>
      </w:r>
      <w:r>
        <w:rPr>
          <w:spacing w:val="-46"/>
        </w:rPr>
        <w:t> </w:t>
      </w:r>
      <w:r>
        <w:rPr>
          <w:rFonts w:ascii="宋体" w:hAnsi="宋体" w:cs="宋体" w:eastAsia="宋体" w:hint="default"/>
        </w:rPr>
        <w:t>2,549,484</w:t>
      </w:r>
      <w:r>
        <w:rPr>
          <w:rFonts w:ascii="宋体" w:hAnsi="宋体" w:cs="宋体" w:eastAsia="宋体" w:hint="default"/>
          <w:spacing w:val="-46"/>
        </w:rPr>
        <w:t> </w:t>
      </w:r>
      <w:r>
        <w:rPr>
          <w:spacing w:val="-3"/>
        </w:rPr>
        <w:t>股的股权期权，占前述股权期权总数的</w:t>
      </w:r>
      <w:r>
        <w:rPr>
          <w:spacing w:val="-45"/>
        </w:rPr>
        <w:t> </w:t>
      </w:r>
      <w:r>
        <w:rPr>
          <w:rFonts w:ascii="宋体" w:hAnsi="宋体" w:cs="宋体" w:eastAsia="宋体" w:hint="default"/>
          <w:spacing w:val="-5"/>
        </w:rPr>
        <w:t>60%</w:t>
      </w:r>
      <w:r>
        <w:rPr>
          <w:spacing w:val="-5"/>
        </w:rPr>
        <w:t>（尚未行权）。</w:t>
      </w:r>
      <w:r>
        <w:rPr>
          <w:rFonts w:ascii="宋体" w:hAnsi="宋体" w:cs="宋体" w:eastAsia="宋体" w:hint="default"/>
          <w:spacing w:val="-5"/>
        </w:rPr>
        <w:t>2017</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spacing w:val="-6"/>
        </w:rPr>
        <w:t>月，东软</w:t>
      </w:r>
      <w:r>
        <w:rPr>
          <w:spacing w:val="-102"/>
        </w:rPr>
        <w:t> </w:t>
      </w:r>
      <w:r>
        <w:rPr>
          <w:spacing w:val="-102"/>
        </w:rPr>
      </w:r>
      <w:r>
        <w:rPr/>
        <w:t>望海同步向段成惠授予</w:t>
      </w:r>
      <w:r>
        <w:rPr>
          <w:spacing w:val="-58"/>
        </w:rPr>
        <w:t> </w:t>
      </w:r>
      <w:r>
        <w:rPr>
          <w:rFonts w:ascii="宋体" w:hAnsi="宋体" w:cs="宋体" w:eastAsia="宋体" w:hint="default"/>
        </w:rPr>
        <w:t>1,573,164</w:t>
      </w:r>
      <w:r>
        <w:rPr>
          <w:rFonts w:ascii="宋体" w:hAnsi="宋体" w:cs="宋体" w:eastAsia="宋体" w:hint="default"/>
          <w:spacing w:val="-59"/>
        </w:rPr>
        <w:t> </w:t>
      </w:r>
      <w:r>
        <w:rPr/>
        <w:t>股奖励性股权</w:t>
      </w:r>
      <w:r>
        <w:rPr>
          <w:rFonts w:ascii="宋体" w:hAnsi="宋体" w:cs="宋体" w:eastAsia="宋体" w:hint="default"/>
        </w:rPr>
        <w:t>,</w:t>
      </w:r>
      <w:r>
        <w:rPr/>
        <w:t>相关的工商变更登记手续办理完成。</w:t>
      </w:r>
    </w:p>
    <w:p>
      <w:pPr>
        <w:pStyle w:val="BodyText"/>
        <w:spacing w:line="271" w:lineRule="exact"/>
        <w:ind w:left="638" w:right="0"/>
        <w:jc w:val="left"/>
      </w:pPr>
      <w:r>
        <w:rPr/>
        <w:t>本报告期内，东软望海授予的限制性股权和股权期权共</w:t>
      </w:r>
      <w:r>
        <w:rPr>
          <w:spacing w:val="-53"/>
        </w:rPr>
        <w:t> </w:t>
      </w:r>
      <w:r>
        <w:rPr>
          <w:rFonts w:ascii="宋体" w:hAnsi="宋体" w:cs="宋体" w:eastAsia="宋体" w:hint="default"/>
        </w:rPr>
        <w:t>5,609,847</w:t>
      </w:r>
      <w:r>
        <w:rPr>
          <w:rFonts w:ascii="宋体" w:hAnsi="宋体" w:cs="宋体" w:eastAsia="宋体" w:hint="default"/>
          <w:spacing w:val="-56"/>
        </w:rPr>
        <w:t> </w:t>
      </w:r>
      <w:r>
        <w:rPr/>
        <w:t>元注册资本，其他具体内</w:t>
      </w:r>
    </w:p>
    <w:p>
      <w:pPr>
        <w:pStyle w:val="BodyText"/>
        <w:spacing w:line="272" w:lineRule="exact" w:before="27"/>
        <w:ind w:right="230"/>
        <w:jc w:val="both"/>
      </w:pPr>
      <w:r>
        <w:rPr/>
        <w:t>容详见本公司于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15</w:t>
      </w:r>
      <w:r>
        <w:rPr>
          <w:rFonts w:ascii="宋体" w:hAnsi="宋体" w:cs="宋体" w:eastAsia="宋体" w:hint="default"/>
          <w:spacing w:val="-50"/>
        </w:rPr>
        <w:t> </w:t>
      </w:r>
      <w:r>
        <w:rPr>
          <w:spacing w:val="-6"/>
        </w:rPr>
        <w:t>日、</w:t>
      </w:r>
      <w:r>
        <w:rPr>
          <w:rFonts w:ascii="宋体" w:hAnsi="宋体" w:cs="宋体" w:eastAsia="宋体" w:hint="default"/>
          <w:spacing w:val="-6"/>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23</w:t>
      </w:r>
      <w:r>
        <w:rPr>
          <w:rFonts w:ascii="宋体" w:hAnsi="宋体" w:cs="宋体" w:eastAsia="宋体" w:hint="default"/>
          <w:spacing w:val="-50"/>
        </w:rPr>
        <w:t> </w:t>
      </w:r>
      <w:r>
        <w:rPr>
          <w:spacing w:val="-8"/>
        </w:rPr>
        <w:t>日刊登在《中国证券报》、《上海证券报》</w:t>
      </w:r>
      <w:r>
        <w:rPr>
          <w:w w:val="100"/>
        </w:rPr>
        <w:t> </w:t>
      </w:r>
      <w:r>
        <w:rPr/>
        <w:t>上的相关公告。</w:t>
      </w:r>
    </w:p>
    <w:p>
      <w:pPr>
        <w:pStyle w:val="BodyText"/>
        <w:spacing w:line="249" w:lineRule="exact"/>
        <w:ind w:left="638" w:right="2760"/>
        <w:jc w:val="left"/>
        <w:rPr>
          <w:rFonts w:ascii="宋体" w:hAnsi="宋体" w:cs="宋体" w:eastAsia="宋体" w:hint="default"/>
        </w:rPr>
      </w:pPr>
      <w:r>
        <w:rPr>
          <w:rFonts w:ascii="宋体"/>
          <w:w w:val="100"/>
        </w:rPr>
        <w:t>"</w:t>
      </w:r>
    </w:p>
    <w:p>
      <w:pPr>
        <w:pStyle w:val="Heading2"/>
        <w:spacing w:line="240" w:lineRule="auto" w:before="50"/>
        <w:ind w:right="0"/>
        <w:jc w:val="both"/>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64"/>
        <w:ind w:right="0"/>
        <w:jc w:val="both"/>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55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布莱克</w:t>
            </w:r>
            <w:r>
              <w:rPr>
                <w:rFonts w:ascii="宋体" w:hAnsi="宋体" w:cs="宋体" w:eastAsia="宋体" w:hint="default"/>
                <w:sz w:val="21"/>
                <w:szCs w:val="21"/>
              </w:rPr>
              <w:t>-</w:t>
            </w:r>
            <w:r>
              <w:rPr>
                <w:rFonts w:ascii="宋体" w:hAnsi="宋体" w:cs="宋体" w:eastAsia="宋体" w:hint="default"/>
                <w:sz w:val="21"/>
                <w:szCs w:val="21"/>
              </w:rPr>
              <w:t>斯科尔斯期权定价模型</w:t>
            </w:r>
            <w:r>
              <w:rPr>
                <w:rFonts w:ascii="宋体" w:hAnsi="宋体" w:cs="宋体" w:eastAsia="宋体" w:hint="default"/>
                <w:sz w:val="21"/>
                <w:szCs w:val="21"/>
              </w:rPr>
              <w:t>/</w:t>
            </w:r>
            <w:r>
              <w:rPr>
                <w:rFonts w:ascii="宋体" w:hAnsi="宋体" w:cs="宋体" w:eastAsia="宋体" w:hint="default"/>
                <w:sz w:val="21"/>
                <w:szCs w:val="21"/>
              </w:rPr>
              <w:t>授</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予日的收盘价</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持股员工在职情况</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4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100,543,036</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50,074,781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right="2760"/>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62"/>
        <w:ind w:right="2760"/>
        <w:jc w:val="left"/>
      </w:pPr>
      <w:r>
        <w:rPr/>
        <w:t>□适用</w:t>
      </w:r>
      <w:r>
        <w:rPr>
          <w:spacing w:val="-1"/>
        </w:rPr>
        <w:t> </w:t>
      </w:r>
      <w:r>
        <w:rPr/>
        <w:t>√不适用</w:t>
      </w:r>
    </w:p>
    <w:p>
      <w:pPr>
        <w:spacing w:after="0" w:line="240" w:lineRule="auto"/>
        <w:jc w:val="left"/>
        <w:sectPr>
          <w:footerReference w:type="default" r:id="rId135"/>
          <w:pgSz w:w="11910" w:h="16840"/>
          <w:pgMar w:footer="1248" w:header="0" w:top="1300" w:bottom="1440" w:left="1580" w:right="1040"/>
          <w:pgNumType w:start="181"/>
        </w:sectPr>
      </w:pPr>
    </w:p>
    <w:p>
      <w:pPr>
        <w:spacing w:line="240" w:lineRule="auto" w:before="6"/>
        <w:rPr>
          <w:rFonts w:ascii="宋体" w:hAnsi="宋体" w:cs="宋体" w:eastAsia="宋体" w:hint="default"/>
          <w:sz w:val="11"/>
          <w:szCs w:val="11"/>
        </w:rPr>
      </w:pPr>
    </w:p>
    <w:p>
      <w:pPr>
        <w:pStyle w:val="Heading2"/>
        <w:spacing w:line="240" w:lineRule="auto"/>
        <w:ind w:left="118" w:right="0"/>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6"/>
        <w:rPr>
          <w:rFonts w:ascii="宋体" w:hAnsi="宋体" w:cs="宋体" w:eastAsia="宋体" w:hint="default"/>
          <w:sz w:val="23"/>
          <w:szCs w:val="23"/>
        </w:rPr>
      </w:pPr>
    </w:p>
    <w:p>
      <w:pPr>
        <w:pStyle w:val="Heading2"/>
        <w:spacing w:line="240" w:lineRule="auto" w:before="0"/>
        <w:ind w:left="118" w:right="0"/>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after="0" w:line="240" w:lineRule="auto"/>
        <w:jc w:val="left"/>
        <w:sectPr>
          <w:pgSz w:w="11910" w:h="16840"/>
          <w:pgMar w:header="0" w:footer="1248" w:top="1300" w:bottom="1440" w:left="1680" w:right="1160"/>
        </w:sectPr>
      </w:pPr>
    </w:p>
    <w:p>
      <w:pPr>
        <w:spacing w:line="240" w:lineRule="auto" w:before="6"/>
        <w:rPr>
          <w:rFonts w:ascii="宋体" w:hAnsi="宋体" w:cs="宋体" w:eastAsia="宋体" w:hint="default"/>
          <w:sz w:val="11"/>
          <w:szCs w:val="11"/>
        </w:rPr>
      </w:pPr>
    </w:p>
    <w:p>
      <w:pPr>
        <w:pStyle w:val="Heading2"/>
        <w:spacing w:line="283" w:lineRule="auto"/>
        <w:ind w:left="118" w:right="6619"/>
        <w:jc w:val="left"/>
        <w:rPr>
          <w:b w:val="0"/>
          <w:bCs w:val="0"/>
        </w:rPr>
      </w:pPr>
      <w:r>
        <w:rPr/>
        <w:t>十四、承诺及或有事项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272" w:lineRule="exact" w:before="48"/>
        <w:ind w:left="118" w:right="4212"/>
        <w:jc w:val="left"/>
      </w:pPr>
      <w:r>
        <w:rPr/>
        <w:t>√适用</w:t>
      </w:r>
      <w:r>
        <w:rPr>
          <w:spacing w:val="-2"/>
        </w:rPr>
        <w:t> </w:t>
      </w:r>
      <w:r>
        <w:rPr/>
        <w:t>□不适用</w:t>
      </w:r>
      <w:r>
        <w:rPr>
          <w:w w:val="100"/>
        </w:rPr>
        <w:t> </w:t>
      </w:r>
      <w:r>
        <w:rPr>
          <w:spacing w:val="-2"/>
        </w:rPr>
        <w:t>资产负债表日存在的对外重要承诺、性质、金额</w:t>
      </w:r>
    </w:p>
    <w:p>
      <w:pPr>
        <w:pStyle w:val="BodyText"/>
        <w:spacing w:line="247" w:lineRule="exact"/>
        <w:ind w:left="538" w:right="206"/>
        <w:jc w:val="left"/>
      </w:pPr>
      <w:r>
        <w:rPr>
          <w:rFonts w:ascii="宋体" w:hAnsi="宋体" w:cs="宋体" w:eastAsia="宋体" w:hint="default"/>
        </w:rPr>
        <w:t>1</w:t>
      </w:r>
      <w:r>
        <w:rPr/>
        <w:t>、资产负债表日存在的重要承诺</w:t>
      </w:r>
    </w:p>
    <w:p>
      <w:pPr>
        <w:pStyle w:val="BodyText"/>
        <w:spacing w:line="272" w:lineRule="exact"/>
        <w:ind w:left="538" w:right="96"/>
        <w:jc w:val="left"/>
      </w:pPr>
      <w:r>
        <w:rPr>
          <w:spacing w:val="-8"/>
        </w:rPr>
        <w:t>（</w:t>
      </w:r>
      <w:r>
        <w:rPr>
          <w:rFonts w:ascii="宋体" w:hAnsi="宋体" w:cs="宋体" w:eastAsia="宋体" w:hint="default"/>
          <w:spacing w:val="-8"/>
        </w:rPr>
        <w:t>1</w:t>
      </w:r>
      <w:r>
        <w:rPr>
          <w:spacing w:val="-8"/>
        </w:rPr>
        <w:t>）</w:t>
      </w:r>
      <w:r>
        <w:rPr>
          <w:rFonts w:ascii="宋体" w:hAnsi="宋体" w:cs="宋体" w:eastAsia="宋体" w:hint="default"/>
          <w:spacing w:val="-8"/>
        </w:rPr>
        <w:t>2014</w:t>
      </w:r>
      <w:r>
        <w:rPr>
          <w:rFonts w:ascii="宋体" w:hAnsi="宋体" w:cs="宋体" w:eastAsia="宋体" w:hint="default"/>
          <w:spacing w:val="-41"/>
        </w:rPr>
        <w:t> </w:t>
      </w:r>
      <w:r>
        <w:rPr/>
        <w:t>年</w:t>
      </w:r>
      <w:r>
        <w:rPr>
          <w:spacing w:val="-39"/>
        </w:rPr>
        <w:t> </w:t>
      </w:r>
      <w:r>
        <w:rPr>
          <w:rFonts w:ascii="宋体" w:hAnsi="宋体" w:cs="宋体" w:eastAsia="宋体" w:hint="default"/>
        </w:rPr>
        <w:t>9</w:t>
      </w:r>
      <w:r>
        <w:rPr>
          <w:rFonts w:ascii="宋体" w:hAnsi="宋体" w:cs="宋体" w:eastAsia="宋体" w:hint="default"/>
          <w:spacing w:val="-41"/>
        </w:rPr>
        <w:t> </w:t>
      </w:r>
      <w:r>
        <w:rPr/>
        <w:t>月</w:t>
      </w:r>
      <w:r>
        <w:rPr>
          <w:spacing w:val="-37"/>
        </w:rPr>
        <w:t> </w:t>
      </w:r>
      <w:r>
        <w:rPr>
          <w:rFonts w:ascii="宋体" w:hAnsi="宋体" w:cs="宋体" w:eastAsia="宋体" w:hint="default"/>
        </w:rPr>
        <w:t>2</w:t>
      </w:r>
      <w:r>
        <w:rPr>
          <w:rFonts w:ascii="宋体" w:hAnsi="宋体" w:cs="宋体" w:eastAsia="宋体" w:hint="default"/>
          <w:spacing w:val="-41"/>
        </w:rPr>
        <w:t> </w:t>
      </w:r>
      <w:r>
        <w:rPr>
          <w:spacing w:val="-5"/>
        </w:rPr>
        <w:t>日，本公司控股子公司河北东软软件有限公司（以下简称“河北东软”）</w:t>
      </w:r>
    </w:p>
    <w:p>
      <w:pPr>
        <w:pStyle w:val="BodyText"/>
        <w:spacing w:line="237" w:lineRule="auto" w:before="2"/>
        <w:ind w:left="118" w:right="207"/>
        <w:jc w:val="both"/>
      </w:pPr>
      <w:r>
        <w:rPr>
          <w:spacing w:val="-1"/>
          <w:w w:val="100"/>
        </w:rPr>
        <w:t>以不超过</w:t>
      </w:r>
      <w:r>
        <w:rPr>
          <w:spacing w:val="-51"/>
          <w:w w:val="100"/>
        </w:rPr>
        <w:t> </w:t>
      </w:r>
      <w:r>
        <w:rPr>
          <w:rFonts w:ascii="宋体" w:hAnsi="宋体" w:cs="宋体" w:eastAsia="宋体" w:hint="default"/>
          <w:spacing w:val="-1"/>
          <w:w w:val="100"/>
        </w:rPr>
        <w:t>1,840</w:t>
      </w:r>
      <w:r>
        <w:rPr>
          <w:rFonts w:ascii="宋体" w:hAnsi="宋体" w:cs="宋体" w:eastAsia="宋体" w:hint="default"/>
          <w:spacing w:val="-53"/>
          <w:w w:val="100"/>
        </w:rPr>
        <w:t> </w:t>
      </w:r>
      <w:r>
        <w:rPr>
          <w:spacing w:val="-7"/>
          <w:w w:val="100"/>
        </w:rPr>
        <w:t>万元收购河北中软宜康软件技术有限公司（以下简称“中软宜康”）现有的社保、</w:t>
      </w:r>
      <w:r>
        <w:rPr>
          <w:w w:val="100"/>
        </w:rPr>
        <w:t> </w:t>
      </w:r>
      <w:r>
        <w:rPr>
          <w:spacing w:val="-2"/>
        </w:rPr>
        <w:t>医疗、卫生、新农合软件业务及相关系统集成与技术服务业务（不包括卡信息采集服务类业务）</w:t>
      </w:r>
      <w:r>
        <w:rPr>
          <w:spacing w:val="-25"/>
        </w:rPr>
        <w:t> </w:t>
      </w:r>
      <w:r>
        <w:rPr>
          <w:spacing w:val="-25"/>
        </w:rPr>
      </w:r>
      <w:r>
        <w:rPr>
          <w:spacing w:val="-2"/>
        </w:rPr>
        <w:t>的全部知识产权、主要客户资源，并接收与交易业务有关的骨干员工。依据河北荣达资产评估有</w:t>
      </w:r>
      <w:r>
        <w:rPr>
          <w:spacing w:val="-25"/>
        </w:rPr>
        <w:t> </w:t>
      </w:r>
      <w:r>
        <w:rPr>
          <w:spacing w:val="-25"/>
        </w:rPr>
      </w:r>
      <w:r>
        <w:rPr>
          <w:spacing w:val="-5"/>
        </w:rPr>
        <w:t>限公司出具的“冀荣达评报字（</w:t>
      </w:r>
      <w:r>
        <w:rPr>
          <w:rFonts w:ascii="宋体" w:hAnsi="宋体" w:cs="宋体" w:eastAsia="宋体" w:hint="default"/>
          <w:spacing w:val="-5"/>
        </w:rPr>
        <w:t>2014</w:t>
      </w:r>
      <w:r>
        <w:rPr>
          <w:spacing w:val="-5"/>
        </w:rPr>
        <w:t>）第 </w:t>
      </w:r>
      <w:r>
        <w:rPr>
          <w:rFonts w:ascii="宋体" w:hAnsi="宋体" w:cs="宋体" w:eastAsia="宋体" w:hint="default"/>
        </w:rPr>
        <w:t>0424</w:t>
      </w:r>
      <w:r>
        <w:rPr>
          <w:rFonts w:ascii="宋体" w:hAnsi="宋体" w:cs="宋体" w:eastAsia="宋体" w:hint="default"/>
          <w:spacing w:val="-35"/>
        </w:rPr>
        <w:t> </w:t>
      </w:r>
      <w:r>
        <w:rPr>
          <w:spacing w:val="-3"/>
        </w:rPr>
        <w:t>号”评估报告，本次交易业务的全部知识产权的评</w:t>
      </w:r>
    </w:p>
    <w:p>
      <w:pPr>
        <w:pStyle w:val="BodyText"/>
        <w:spacing w:line="272" w:lineRule="exact"/>
        <w:ind w:left="118" w:right="0"/>
        <w:jc w:val="both"/>
      </w:pPr>
      <w:r>
        <w:rPr/>
        <w:t>估价值为</w:t>
      </w:r>
      <w:r>
        <w:rPr>
          <w:spacing w:val="-53"/>
        </w:rPr>
        <w:t> </w:t>
      </w:r>
      <w:r>
        <w:rPr>
          <w:rFonts w:ascii="宋体" w:hAnsi="宋体" w:cs="宋体" w:eastAsia="宋体" w:hint="default"/>
        </w:rPr>
        <w:t>1,840</w:t>
      </w:r>
      <w:r>
        <w:rPr>
          <w:rFonts w:ascii="宋体" w:hAnsi="宋体" w:cs="宋体" w:eastAsia="宋体" w:hint="default"/>
          <w:spacing w:val="-55"/>
        </w:rPr>
        <w:t> </w:t>
      </w:r>
      <w:r>
        <w:rPr/>
        <w:t>万元。本交易以现金形式分四期有条件支付。截至本财务报告批准报出日，河北</w:t>
      </w:r>
    </w:p>
    <w:p>
      <w:pPr>
        <w:pStyle w:val="BodyText"/>
        <w:spacing w:line="273" w:lineRule="exact"/>
        <w:ind w:left="118" w:right="0"/>
        <w:jc w:val="both"/>
      </w:pPr>
      <w:r>
        <w:rPr/>
        <w:t>东软已支付</w:t>
      </w:r>
      <w:r>
        <w:rPr>
          <w:spacing w:val="-53"/>
        </w:rPr>
        <w:t> </w:t>
      </w:r>
      <w:r>
        <w:rPr>
          <w:rFonts w:ascii="宋体" w:hAnsi="宋体" w:cs="宋体" w:eastAsia="宋体" w:hint="default"/>
        </w:rPr>
        <w:t>1,601</w:t>
      </w:r>
      <w:r>
        <w:rPr>
          <w:rFonts w:ascii="宋体" w:hAnsi="宋体" w:cs="宋体" w:eastAsia="宋体" w:hint="default"/>
          <w:spacing w:val="-53"/>
        </w:rPr>
        <w:t> </w:t>
      </w:r>
      <w:r>
        <w:rPr/>
        <w:t>万元。</w:t>
      </w:r>
    </w:p>
    <w:p>
      <w:pPr>
        <w:pStyle w:val="BodyText"/>
        <w:spacing w:line="272" w:lineRule="exact" w:before="27"/>
        <w:ind w:left="118" w:right="206" w:firstLine="419"/>
        <w:jc w:val="left"/>
      </w:pPr>
      <w:r>
        <w:rPr>
          <w:spacing w:val="-8"/>
        </w:rPr>
        <w:t>（</w:t>
      </w:r>
      <w:r>
        <w:rPr>
          <w:rFonts w:ascii="宋体" w:hAnsi="宋体" w:cs="宋体" w:eastAsia="宋体" w:hint="default"/>
          <w:spacing w:val="-8"/>
        </w:rPr>
        <w:t>2</w:t>
      </w:r>
      <w:r>
        <w:rPr>
          <w:spacing w:val="-8"/>
        </w:rPr>
        <w:t>）</w:t>
      </w:r>
      <w:r>
        <w:rPr>
          <w:rFonts w:ascii="宋体" w:hAnsi="宋体" w:cs="宋体" w:eastAsia="宋体" w:hint="default"/>
          <w:spacing w:val="-8"/>
        </w:rPr>
        <w:t>2014</w:t>
      </w:r>
      <w:r>
        <w:rPr>
          <w:rFonts w:ascii="宋体" w:hAnsi="宋体" w:cs="宋体" w:eastAsia="宋体" w:hint="default"/>
          <w:spacing w:val="-47"/>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t>月</w:t>
      </w:r>
      <w:r>
        <w:rPr>
          <w:spacing w:val="-43"/>
        </w:rPr>
        <w:t> </w:t>
      </w:r>
      <w:r>
        <w:rPr>
          <w:rFonts w:ascii="宋体" w:hAnsi="宋体" w:cs="宋体" w:eastAsia="宋体" w:hint="default"/>
        </w:rPr>
        <w:t>2</w:t>
      </w:r>
      <w:r>
        <w:rPr>
          <w:rFonts w:ascii="宋体" w:hAnsi="宋体" w:cs="宋体" w:eastAsia="宋体" w:hint="default"/>
          <w:spacing w:val="-47"/>
        </w:rPr>
        <w:t> </w:t>
      </w:r>
      <w:r>
        <w:rPr>
          <w:spacing w:val="-7"/>
        </w:rPr>
        <w:t>日，河北东软以不超过</w:t>
      </w:r>
      <w:r>
        <w:rPr>
          <w:spacing w:val="-45"/>
        </w:rPr>
        <w:t> </w:t>
      </w:r>
      <w:r>
        <w:rPr>
          <w:rFonts w:ascii="宋体" w:hAnsi="宋体" w:cs="宋体" w:eastAsia="宋体" w:hint="default"/>
        </w:rPr>
        <w:t>110</w:t>
      </w:r>
      <w:r>
        <w:rPr>
          <w:rFonts w:ascii="宋体" w:hAnsi="宋体" w:cs="宋体" w:eastAsia="宋体" w:hint="default"/>
          <w:spacing w:val="-47"/>
        </w:rPr>
        <w:t> </w:t>
      </w:r>
      <w:r>
        <w:rPr>
          <w:spacing w:val="-4"/>
        </w:rPr>
        <w:t>万元收购石家庄医患通软件技术有限公司（以</w:t>
      </w:r>
      <w:r>
        <w:rPr>
          <w:w w:val="100"/>
        </w:rPr>
        <w:t> </w:t>
      </w:r>
      <w:r>
        <w:rPr>
          <w:spacing w:val="-2"/>
        </w:rPr>
        <w:t>下简称“医患通”）现有的社保、医疗、卫生、新农合软件业务及相关系统集成与技术服务业务</w:t>
      </w:r>
    </w:p>
    <w:p>
      <w:pPr>
        <w:pStyle w:val="BodyText"/>
        <w:spacing w:line="272" w:lineRule="exact" w:before="1"/>
        <w:ind w:left="118" w:right="101"/>
        <w:jc w:val="left"/>
      </w:pPr>
      <w:r>
        <w:rPr/>
        <w:t>（不包括卡信息采集服务类业务）的全部知识产权、主要客户资源，并接收与交易业务有关的骨</w:t>
      </w:r>
      <w:r>
        <w:rPr>
          <w:w w:val="100"/>
        </w:rPr>
        <w:t> </w:t>
      </w:r>
      <w:r>
        <w:rPr/>
        <w:t>干员工。依据河北荣达资产评估有限公司出具的“冀荣达评报字（</w:t>
      </w:r>
      <w:r>
        <w:rPr>
          <w:rFonts w:ascii="宋体" w:hAnsi="宋体" w:cs="宋体" w:eastAsia="宋体" w:hint="default"/>
        </w:rPr>
        <w:t>2014</w:t>
      </w:r>
      <w:r>
        <w:rPr/>
        <w:t>）第</w:t>
      </w:r>
      <w:r>
        <w:rPr>
          <w:spacing w:val="-52"/>
        </w:rPr>
        <w:t> </w:t>
      </w:r>
      <w:r>
        <w:rPr>
          <w:rFonts w:ascii="宋体" w:hAnsi="宋体" w:cs="宋体" w:eastAsia="宋体" w:hint="default"/>
        </w:rPr>
        <w:t>0425</w:t>
      </w:r>
      <w:r>
        <w:rPr>
          <w:rFonts w:ascii="宋体" w:hAnsi="宋体" w:cs="宋体" w:eastAsia="宋体" w:hint="default"/>
          <w:spacing w:val="-51"/>
        </w:rPr>
        <w:t> </w:t>
      </w:r>
      <w:r>
        <w:rPr/>
        <w:t>号”评估报告，</w:t>
      </w:r>
    </w:p>
    <w:p>
      <w:pPr>
        <w:pStyle w:val="BodyText"/>
        <w:spacing w:line="246" w:lineRule="exact"/>
        <w:ind w:left="118" w:right="0"/>
        <w:jc w:val="both"/>
      </w:pPr>
      <w:r>
        <w:rPr/>
        <w:t>本次交易业务的全部知识产权的评估价值为</w:t>
      </w:r>
      <w:r>
        <w:rPr>
          <w:spacing w:val="-55"/>
        </w:rPr>
        <w:t> </w:t>
      </w:r>
      <w:r>
        <w:rPr>
          <w:rFonts w:ascii="宋体" w:hAnsi="宋体" w:cs="宋体" w:eastAsia="宋体" w:hint="default"/>
        </w:rPr>
        <w:t>160</w:t>
      </w:r>
      <w:r>
        <w:rPr>
          <w:rFonts w:ascii="宋体" w:hAnsi="宋体" w:cs="宋体" w:eastAsia="宋体" w:hint="default"/>
          <w:spacing w:val="-55"/>
        </w:rPr>
        <w:t> </w:t>
      </w:r>
      <w:r>
        <w:rPr/>
        <w:t>万元。本交易以现金形式分四期有条件支付。截</w:t>
      </w:r>
    </w:p>
    <w:p>
      <w:pPr>
        <w:pStyle w:val="BodyText"/>
        <w:spacing w:line="272" w:lineRule="exact"/>
        <w:ind w:left="118" w:right="0"/>
        <w:jc w:val="both"/>
      </w:pPr>
      <w:r>
        <w:rPr/>
        <w:t>至本财务报告批准报出日，河北东软已支付</w:t>
      </w:r>
      <w:r>
        <w:rPr>
          <w:spacing w:val="-54"/>
        </w:rPr>
        <w:t> </w:t>
      </w:r>
      <w:r>
        <w:rPr>
          <w:rFonts w:ascii="宋体" w:hAnsi="宋体" w:cs="宋体" w:eastAsia="宋体" w:hint="default"/>
        </w:rPr>
        <w:t>50</w:t>
      </w:r>
      <w:r>
        <w:rPr>
          <w:rFonts w:ascii="宋体" w:hAnsi="宋体" w:cs="宋体" w:eastAsia="宋体" w:hint="default"/>
          <w:spacing w:val="-54"/>
        </w:rPr>
        <w:t> </w:t>
      </w:r>
      <w:r>
        <w:rPr>
          <w:spacing w:val="-3"/>
        </w:rPr>
        <w:t>万元。</w:t>
      </w:r>
      <w:r>
        <w:rPr/>
      </w:r>
    </w:p>
    <w:p>
      <w:pPr>
        <w:pStyle w:val="BodyText"/>
        <w:spacing w:line="237" w:lineRule="auto"/>
        <w:ind w:left="118" w:right="215" w:firstLine="419"/>
        <w:jc w:val="left"/>
      </w:pPr>
      <w:r>
        <w:rPr>
          <w:spacing w:val="-16"/>
          <w:w w:val="100"/>
        </w:rPr>
        <w:t>（</w:t>
      </w:r>
      <w:r>
        <w:rPr>
          <w:rFonts w:ascii="宋体" w:hAnsi="宋体" w:cs="宋体" w:eastAsia="宋体" w:hint="default"/>
          <w:spacing w:val="-16"/>
          <w:w w:val="100"/>
        </w:rPr>
        <w:t>3</w:t>
      </w:r>
      <w:r>
        <w:rPr>
          <w:spacing w:val="-16"/>
          <w:w w:val="100"/>
        </w:rPr>
        <w:t>）</w:t>
      </w:r>
      <w:r>
        <w:rPr>
          <w:rFonts w:ascii="宋体" w:hAnsi="宋体" w:cs="宋体" w:eastAsia="宋体" w:hint="default"/>
          <w:spacing w:val="-16"/>
          <w:w w:val="100"/>
        </w:rPr>
        <w:t>2015</w:t>
      </w:r>
      <w:r>
        <w:rPr>
          <w:rFonts w:ascii="宋体" w:hAnsi="宋体" w:cs="宋体" w:eastAsia="宋体" w:hint="default"/>
          <w:spacing w:val="-59"/>
          <w:w w:val="100"/>
        </w:rPr>
        <w:t> </w:t>
      </w:r>
      <w:r>
        <w:rPr>
          <w:w w:val="100"/>
        </w:rPr>
        <w:t>年</w:t>
      </w:r>
      <w:r>
        <w:rPr>
          <w:spacing w:val="-59"/>
          <w:w w:val="100"/>
        </w:rPr>
        <w:t> </w:t>
      </w:r>
      <w:r>
        <w:rPr>
          <w:rFonts w:ascii="宋体" w:hAnsi="宋体" w:cs="宋体" w:eastAsia="宋体" w:hint="default"/>
          <w:w w:val="100"/>
        </w:rPr>
        <w:t>1</w:t>
      </w:r>
      <w:r>
        <w:rPr>
          <w:rFonts w:ascii="宋体" w:hAnsi="宋体" w:cs="宋体" w:eastAsia="宋体" w:hint="default"/>
          <w:spacing w:val="-59"/>
          <w:w w:val="100"/>
        </w:rPr>
        <w:t> </w:t>
      </w:r>
      <w:r>
        <w:rPr>
          <w:w w:val="100"/>
        </w:rPr>
        <w:t>月</w:t>
      </w:r>
      <w:r>
        <w:rPr>
          <w:spacing w:val="-57"/>
          <w:w w:val="100"/>
        </w:rPr>
        <w:t> </w:t>
      </w:r>
      <w:r>
        <w:rPr>
          <w:rFonts w:ascii="宋体" w:hAnsi="宋体" w:cs="宋体" w:eastAsia="宋体" w:hint="default"/>
          <w:spacing w:val="-2"/>
          <w:w w:val="100"/>
        </w:rPr>
        <w:t>30</w:t>
      </w:r>
      <w:r>
        <w:rPr>
          <w:rFonts w:ascii="宋体" w:hAnsi="宋体" w:cs="宋体" w:eastAsia="宋体" w:hint="default"/>
          <w:spacing w:val="-56"/>
          <w:w w:val="100"/>
        </w:rPr>
        <w:t> </w:t>
      </w:r>
      <w:r>
        <w:rPr>
          <w:spacing w:val="-15"/>
          <w:w w:val="100"/>
        </w:rPr>
        <w:t>日，本公司与江苏先联信息系统有限公司（以下简称“先联信息系统”）、</w:t>
      </w:r>
      <w:r>
        <w:rPr>
          <w:spacing w:val="-106"/>
          <w:w w:val="100"/>
        </w:rPr>
        <w:t> </w:t>
      </w:r>
      <w:r>
        <w:rPr/>
        <w:t>江苏先联信息技术有限公司 （以下简称“先联信息技术”）、昆山先联信息系统有限公司</w:t>
      </w:r>
      <w:r>
        <w:rPr>
          <w:spacing w:val="-7"/>
        </w:rPr>
        <w:t> </w:t>
      </w:r>
      <w:r>
        <w:rPr/>
        <w:t>（以</w:t>
      </w:r>
      <w:r>
        <w:rPr>
          <w:w w:val="100"/>
        </w:rPr>
        <w:t> </w:t>
      </w:r>
      <w:r>
        <w:rPr>
          <w:spacing w:val="-2"/>
        </w:rPr>
        <w:t>下简称“昆山先联”）、江苏先联数字系统有限公司（以下简称“先联数字系统”）签署《江苏</w:t>
      </w:r>
      <w:r>
        <w:rPr>
          <w:spacing w:val="-26"/>
        </w:rPr>
        <w:t> </w:t>
      </w:r>
      <w:r>
        <w:rPr>
          <w:spacing w:val="-26"/>
        </w:rPr>
      </w:r>
      <w:r>
        <w:rPr>
          <w:spacing w:val="-2"/>
        </w:rPr>
        <w:t>先联知识产权及业务收购协议》，收购先联信息系统、先联信息技术、昆山先联、先联数字系统</w:t>
      </w:r>
    </w:p>
    <w:p>
      <w:pPr>
        <w:pStyle w:val="BodyText"/>
        <w:spacing w:line="237" w:lineRule="auto"/>
        <w:ind w:left="118" w:right="207"/>
        <w:jc w:val="both"/>
      </w:pPr>
      <w:r>
        <w:rPr>
          <w:spacing w:val="-2"/>
        </w:rPr>
        <w:t>（合称“江苏先联”）现有的医疗信息化业务的全部客户资源、知识产权及前述业务的未来业务</w:t>
      </w:r>
      <w:r>
        <w:rPr>
          <w:spacing w:val="-26"/>
        </w:rPr>
        <w:t> </w:t>
      </w:r>
      <w:r>
        <w:rPr>
          <w:spacing w:val="-26"/>
        </w:rPr>
      </w:r>
      <w:r>
        <w:rPr>
          <w:spacing w:val="-2"/>
        </w:rPr>
        <w:t>机会，并接收与交易业务有关的骨干员工（昆山先联承接的昆山智慧卫生城市项目不在本次交易</w:t>
      </w:r>
      <w:r>
        <w:rPr>
          <w:spacing w:val="-25"/>
        </w:rPr>
        <w:t> </w:t>
      </w:r>
      <w:r>
        <w:rPr>
          <w:spacing w:val="-25"/>
        </w:rPr>
      </w:r>
      <w:r>
        <w:rPr/>
        <w:t>范围内）。各方以评估价值为基础，确定本次交易的基础对价为</w:t>
      </w:r>
      <w:r>
        <w:rPr>
          <w:spacing w:val="-54"/>
        </w:rPr>
        <w:t> </w:t>
      </w:r>
      <w:r>
        <w:rPr>
          <w:rFonts w:ascii="宋体" w:hAnsi="宋体" w:cs="宋体" w:eastAsia="宋体" w:hint="default"/>
        </w:rPr>
        <w:t>1,000</w:t>
      </w:r>
      <w:r>
        <w:rPr>
          <w:rFonts w:ascii="宋体" w:hAnsi="宋体" w:cs="宋体" w:eastAsia="宋体" w:hint="default"/>
          <w:spacing w:val="-56"/>
        </w:rPr>
        <w:t> </w:t>
      </w:r>
      <w:r>
        <w:rPr/>
        <w:t>万元，其中向先联信息系</w:t>
      </w:r>
      <w:r>
        <w:rPr>
          <w:w w:val="100"/>
        </w:rPr>
        <w:t> </w:t>
      </w:r>
      <w:r>
        <w:rPr/>
        <w:t>统、先联信息技术、昆山先联、先联数字系统支付的基础对价分别为</w:t>
      </w:r>
      <w:r>
        <w:rPr>
          <w:spacing w:val="-54"/>
        </w:rPr>
        <w:t> </w:t>
      </w:r>
      <w:r>
        <w:rPr>
          <w:rFonts w:ascii="宋体" w:hAnsi="宋体" w:cs="宋体" w:eastAsia="宋体" w:hint="default"/>
        </w:rPr>
        <w:t>680</w:t>
      </w:r>
      <w:r>
        <w:rPr>
          <w:rFonts w:ascii="宋体" w:hAnsi="宋体" w:cs="宋体" w:eastAsia="宋体" w:hint="default"/>
          <w:spacing w:val="-54"/>
        </w:rPr>
        <w:t> </w:t>
      </w:r>
      <w:r>
        <w:rPr/>
        <w:t>万元、</w:t>
      </w:r>
      <w:r>
        <w:rPr>
          <w:rFonts w:ascii="宋体" w:hAnsi="宋体" w:cs="宋体" w:eastAsia="宋体" w:hint="default"/>
        </w:rPr>
        <w:t>150</w:t>
      </w:r>
      <w:r>
        <w:rPr>
          <w:rFonts w:ascii="宋体" w:hAnsi="宋体" w:cs="宋体" w:eastAsia="宋体" w:hint="default"/>
          <w:spacing w:val="-54"/>
        </w:rPr>
        <w:t> </w:t>
      </w:r>
      <w:r>
        <w:rPr/>
        <w:t>万元、</w:t>
      </w:r>
      <w:r>
        <w:rPr>
          <w:rFonts w:ascii="宋体" w:hAnsi="宋体" w:cs="宋体" w:eastAsia="宋体" w:hint="default"/>
        </w:rPr>
        <w:t>20</w:t>
      </w:r>
      <w:r>
        <w:rPr>
          <w:rFonts w:ascii="宋体" w:hAnsi="宋体" w:cs="宋体" w:eastAsia="宋体" w:hint="default"/>
          <w:spacing w:val="-54"/>
        </w:rPr>
        <w:t> </w:t>
      </w:r>
      <w:r>
        <w:rPr/>
        <w:t>万</w:t>
      </w:r>
      <w:r>
        <w:rPr>
          <w:w w:val="100"/>
        </w:rPr>
        <w:t> </w:t>
      </w:r>
      <w:r>
        <w:rPr>
          <w:spacing w:val="-7"/>
        </w:rPr>
        <w:t>元、</w:t>
      </w:r>
      <w:r>
        <w:rPr>
          <w:rFonts w:ascii="宋体" w:hAnsi="宋体" w:cs="宋体" w:eastAsia="宋体" w:hint="default"/>
          <w:spacing w:val="-7"/>
        </w:rPr>
        <w:t>150</w:t>
      </w:r>
      <w:r>
        <w:rPr>
          <w:rFonts w:ascii="宋体" w:hAnsi="宋体" w:cs="宋体" w:eastAsia="宋体" w:hint="default"/>
          <w:spacing w:val="-17"/>
        </w:rPr>
        <w:t> </w:t>
      </w:r>
      <w:r>
        <w:rPr>
          <w:spacing w:val="-3"/>
        </w:rPr>
        <w:t>万元。依据南京德威资产评估事务所出具的“宁德威评报字</w:t>
      </w:r>
      <w:r>
        <w:rPr>
          <w:rFonts w:ascii="宋体" w:hAnsi="宋体" w:cs="宋体" w:eastAsia="宋体" w:hint="default"/>
          <w:spacing w:val="-3"/>
        </w:rPr>
        <w:t>[2015]107</w:t>
      </w:r>
      <w:r>
        <w:rPr>
          <w:rFonts w:ascii="宋体" w:hAnsi="宋体" w:cs="宋体" w:eastAsia="宋体" w:hint="default"/>
          <w:spacing w:val="-15"/>
        </w:rPr>
        <w:t> </w:t>
      </w:r>
      <w:r>
        <w:rPr>
          <w:spacing w:val="-6"/>
        </w:rPr>
        <w:t>号”评估报告，先</w:t>
      </w:r>
      <w:r>
        <w:rPr>
          <w:spacing w:val="-91"/>
        </w:rPr>
        <w:t> </w:t>
      </w:r>
      <w:r>
        <w:rPr>
          <w:spacing w:val="-91"/>
        </w:rPr>
      </w:r>
      <w:r>
        <w:rPr>
          <w:spacing w:val="-2"/>
          <w:w w:val="100"/>
        </w:rPr>
        <w:t>联信息系统全部知识产权的评估价值为</w:t>
      </w:r>
      <w:r>
        <w:rPr>
          <w:spacing w:val="-47"/>
          <w:w w:val="100"/>
        </w:rPr>
        <w:t> </w:t>
      </w:r>
      <w:r>
        <w:rPr>
          <w:rFonts w:ascii="宋体" w:hAnsi="宋体" w:cs="宋体" w:eastAsia="宋体" w:hint="default"/>
          <w:spacing w:val="-1"/>
          <w:w w:val="100"/>
        </w:rPr>
        <w:t>687.50</w:t>
      </w:r>
      <w:r>
        <w:rPr>
          <w:rFonts w:ascii="宋体" w:hAnsi="宋体" w:cs="宋体" w:eastAsia="宋体" w:hint="default"/>
          <w:spacing w:val="-47"/>
          <w:w w:val="100"/>
        </w:rPr>
        <w:t> </w:t>
      </w:r>
      <w:r>
        <w:rPr>
          <w:spacing w:val="-6"/>
          <w:w w:val="100"/>
        </w:rPr>
        <w:t>万元。依据南京德威资产评估事务所出具的“宁德</w:t>
      </w:r>
      <w:r>
        <w:rPr>
          <w:spacing w:val="-103"/>
          <w:w w:val="100"/>
        </w:rPr>
        <w:t> </w:t>
      </w:r>
      <w:r>
        <w:rPr>
          <w:spacing w:val="-103"/>
          <w:w w:val="100"/>
        </w:rPr>
      </w:r>
      <w:r>
        <w:rPr/>
        <w:t>威评报字</w:t>
      </w:r>
      <w:r>
        <w:rPr>
          <w:rFonts w:ascii="宋体" w:hAnsi="宋体" w:cs="宋体" w:eastAsia="宋体" w:hint="default"/>
        </w:rPr>
        <w:t>[2015]106</w:t>
      </w:r>
      <w:r>
        <w:rPr>
          <w:rFonts w:ascii="宋体" w:hAnsi="宋体" w:cs="宋体" w:eastAsia="宋体" w:hint="default"/>
          <w:spacing w:val="-39"/>
        </w:rPr>
        <w:t> </w:t>
      </w:r>
      <w:r>
        <w:rPr>
          <w:spacing w:val="-3"/>
        </w:rPr>
        <w:t>号”评估报告，先联信息技术全部知识产权的评估价值为</w:t>
      </w:r>
      <w:r>
        <w:rPr>
          <w:spacing w:val="-36"/>
        </w:rPr>
        <w:t> </w:t>
      </w:r>
      <w:r>
        <w:rPr>
          <w:rFonts w:ascii="宋体" w:hAnsi="宋体" w:cs="宋体" w:eastAsia="宋体" w:hint="default"/>
        </w:rPr>
        <w:t>157.86</w:t>
      </w:r>
      <w:r>
        <w:rPr>
          <w:rFonts w:ascii="宋体" w:hAnsi="宋体" w:cs="宋体" w:eastAsia="宋体" w:hint="default"/>
          <w:spacing w:val="-39"/>
        </w:rPr>
        <w:t> </w:t>
      </w:r>
      <w:r>
        <w:rPr>
          <w:spacing w:val="-6"/>
        </w:rPr>
        <w:t>万元。依据</w:t>
      </w:r>
      <w:r>
        <w:rPr>
          <w:spacing w:val="-97"/>
        </w:rPr>
        <w:t> </w:t>
      </w:r>
      <w:r>
        <w:rPr>
          <w:spacing w:val="-97"/>
        </w:rPr>
      </w:r>
      <w:r>
        <w:rPr/>
        <w:t>南京德威资产评估事务所出具的“宁德威评报字</w:t>
      </w:r>
      <w:r>
        <w:rPr>
          <w:rFonts w:ascii="宋体" w:hAnsi="宋体" w:cs="宋体" w:eastAsia="宋体" w:hint="default"/>
        </w:rPr>
        <w:t>[2015]108</w:t>
      </w:r>
      <w:r>
        <w:rPr>
          <w:rFonts w:ascii="宋体" w:hAnsi="宋体" w:cs="宋体" w:eastAsia="宋体" w:hint="default"/>
          <w:spacing w:val="-58"/>
        </w:rPr>
        <w:t> </w:t>
      </w:r>
      <w:r>
        <w:rPr/>
        <w:t>号”评估报告，昆山先联全部知识产</w:t>
      </w:r>
      <w:r>
        <w:rPr>
          <w:w w:val="100"/>
        </w:rPr>
        <w:t> </w:t>
      </w:r>
      <w:r>
        <w:rPr>
          <w:spacing w:val="-1"/>
          <w:w w:val="100"/>
        </w:rPr>
        <w:t>权的评估价值为</w:t>
      </w:r>
      <w:r>
        <w:rPr>
          <w:spacing w:val="-60"/>
          <w:w w:val="100"/>
        </w:rPr>
        <w:t> </w:t>
      </w:r>
      <w:r>
        <w:rPr>
          <w:rFonts w:ascii="宋体" w:hAnsi="宋体" w:cs="宋体" w:eastAsia="宋体" w:hint="default"/>
          <w:spacing w:val="-1"/>
          <w:w w:val="100"/>
        </w:rPr>
        <w:t>22.02</w:t>
      </w:r>
      <w:r>
        <w:rPr>
          <w:rFonts w:ascii="宋体" w:hAnsi="宋体" w:cs="宋体" w:eastAsia="宋体" w:hint="default"/>
          <w:spacing w:val="-60"/>
          <w:w w:val="100"/>
        </w:rPr>
        <w:t> </w:t>
      </w:r>
      <w:r>
        <w:rPr>
          <w:spacing w:val="-5"/>
          <w:w w:val="100"/>
        </w:rPr>
        <w:t>万元。依据南京德威资产评估事务所出具的“宁德威评报字</w:t>
      </w:r>
      <w:r>
        <w:rPr>
          <w:rFonts w:ascii="宋体" w:hAnsi="宋体" w:cs="宋体" w:eastAsia="宋体" w:hint="default"/>
          <w:spacing w:val="-5"/>
          <w:w w:val="100"/>
        </w:rPr>
        <w:t>[2015]105</w:t>
      </w:r>
      <w:r>
        <w:rPr>
          <w:rFonts w:ascii="宋体" w:hAnsi="宋体" w:cs="宋体" w:eastAsia="宋体" w:hint="default"/>
          <w:spacing w:val="-60"/>
          <w:w w:val="100"/>
        </w:rPr>
        <w:t> </w:t>
      </w:r>
      <w:r>
        <w:rPr>
          <w:spacing w:val="-2"/>
          <w:w w:val="100"/>
        </w:rPr>
        <w:t>号”</w:t>
      </w:r>
      <w:r>
        <w:rPr>
          <w:spacing w:val="-101"/>
          <w:w w:val="100"/>
        </w:rPr>
        <w:t> </w:t>
      </w:r>
      <w:r>
        <w:rPr>
          <w:spacing w:val="-101"/>
          <w:w w:val="100"/>
        </w:rPr>
      </w:r>
      <w:r>
        <w:rPr>
          <w:spacing w:val="-4"/>
        </w:rPr>
        <w:t>评估报告，先联数字系统全部知识产权的评估价值为 </w:t>
      </w:r>
      <w:r>
        <w:rPr>
          <w:rFonts w:ascii="宋体" w:hAnsi="宋体" w:cs="宋体" w:eastAsia="宋体" w:hint="default"/>
        </w:rPr>
        <w:t>154.82</w:t>
      </w:r>
      <w:r>
        <w:rPr>
          <w:rFonts w:ascii="宋体" w:hAnsi="宋体" w:cs="宋体" w:eastAsia="宋体" w:hint="default"/>
          <w:spacing w:val="-31"/>
        </w:rPr>
        <w:t> </w:t>
      </w:r>
      <w:r>
        <w:rPr>
          <w:spacing w:val="-5"/>
        </w:rPr>
        <w:t>万元。上述基础对价以现金形式分四</w:t>
      </w:r>
    </w:p>
    <w:p>
      <w:pPr>
        <w:pStyle w:val="BodyText"/>
        <w:spacing w:line="274" w:lineRule="exact" w:before="22"/>
        <w:ind w:left="538" w:right="2103" w:hanging="420"/>
        <w:jc w:val="left"/>
      </w:pPr>
      <w:r>
        <w:rPr/>
        <w:t>期有条件支付。截至本财务报告批准报出日，本公司已合计支付</w:t>
      </w:r>
      <w:r>
        <w:rPr>
          <w:spacing w:val="-55"/>
        </w:rPr>
        <w:t> </w:t>
      </w:r>
      <w:r>
        <w:rPr>
          <w:rFonts w:ascii="宋体" w:hAnsi="宋体" w:cs="宋体" w:eastAsia="宋体" w:hint="default"/>
        </w:rPr>
        <w:t>783</w:t>
      </w:r>
      <w:r>
        <w:rPr>
          <w:rFonts w:ascii="宋体" w:hAnsi="宋体" w:cs="宋体" w:eastAsia="宋体" w:hint="default"/>
          <w:spacing w:val="-55"/>
        </w:rPr>
        <w:t> </w:t>
      </w:r>
      <w:r>
        <w:rPr/>
        <w:t>万元。</w:t>
      </w:r>
      <w:r>
        <w:rPr>
          <w:w w:val="100"/>
        </w:rPr>
        <w:t> </w:t>
      </w:r>
      <w:r>
        <w:rPr/>
        <w:t>该事项涉及的对价补偿及奖励对价条款如下：</w:t>
      </w:r>
    </w:p>
    <w:p>
      <w:pPr>
        <w:pStyle w:val="BodyText"/>
        <w:spacing w:line="246" w:lineRule="exact"/>
        <w:ind w:left="118" w:right="96" w:firstLine="419"/>
        <w:jc w:val="left"/>
      </w:pPr>
      <w:r>
        <w:rPr>
          <w:rFonts w:ascii="宋体" w:hAnsi="宋体" w:cs="宋体" w:eastAsia="宋体" w:hint="default"/>
          <w:w w:val="100"/>
        </w:rPr>
        <w:t>a.</w:t>
      </w:r>
      <w:r>
        <w:rPr>
          <w:rFonts w:ascii="宋体" w:hAnsi="宋体" w:cs="宋体" w:eastAsia="宋体" w:hint="default"/>
        </w:rPr>
        <w:t> </w:t>
      </w:r>
      <w:r>
        <w:rPr>
          <w:spacing w:val="-3"/>
          <w:w w:val="100"/>
        </w:rPr>
        <w:t>对</w:t>
      </w:r>
      <w:r>
        <w:rPr>
          <w:w w:val="100"/>
        </w:rPr>
        <w:t>价</w:t>
      </w:r>
      <w:r>
        <w:rPr>
          <w:spacing w:val="-3"/>
          <w:w w:val="100"/>
        </w:rPr>
        <w:t>补偿</w:t>
      </w:r>
      <w:r>
        <w:rPr>
          <w:spacing w:val="-92"/>
          <w:w w:val="100"/>
        </w:rPr>
        <w:t>：</w:t>
      </w:r>
      <w:r>
        <w:rPr>
          <w:spacing w:val="-3"/>
          <w:w w:val="100"/>
        </w:rPr>
        <w:t>如</w:t>
      </w:r>
      <w:r>
        <w:rPr>
          <w:w w:val="100"/>
        </w:rPr>
        <w:t>协</w:t>
      </w:r>
      <w:r>
        <w:rPr>
          <w:spacing w:val="-3"/>
          <w:w w:val="100"/>
        </w:rPr>
        <w:t>议</w:t>
      </w:r>
      <w:r>
        <w:rPr>
          <w:w w:val="100"/>
        </w:rPr>
        <w:t>生</w:t>
      </w:r>
      <w:r>
        <w:rPr>
          <w:spacing w:val="-3"/>
          <w:w w:val="100"/>
        </w:rPr>
        <w:t>效</w:t>
      </w:r>
      <w:r>
        <w:rPr>
          <w:w w:val="100"/>
        </w:rPr>
        <w:t>之日</w:t>
      </w:r>
      <w:r>
        <w:rPr>
          <w:spacing w:val="-3"/>
          <w:w w:val="100"/>
        </w:rPr>
        <w:t>起</w:t>
      </w:r>
      <w:r>
        <w:rPr>
          <w:w w:val="100"/>
        </w:rPr>
        <w:t>三</w:t>
      </w:r>
      <w:r>
        <w:rPr>
          <w:spacing w:val="-3"/>
          <w:w w:val="100"/>
        </w:rPr>
        <w:t>年</w:t>
      </w:r>
      <w:r>
        <w:rPr>
          <w:w w:val="100"/>
        </w:rPr>
        <w:t>内</w:t>
      </w:r>
      <w:r>
        <w:rPr>
          <w:spacing w:val="-3"/>
          <w:w w:val="100"/>
        </w:rPr>
        <w:t>协</w:t>
      </w:r>
      <w:r>
        <w:rPr>
          <w:w w:val="100"/>
        </w:rPr>
        <w:t>议</w:t>
      </w:r>
      <w:r>
        <w:rPr>
          <w:spacing w:val="-3"/>
          <w:w w:val="100"/>
        </w:rPr>
        <w:t>所</w:t>
      </w:r>
      <w:r>
        <w:rPr>
          <w:w w:val="100"/>
        </w:rPr>
        <w:t>列</w:t>
      </w:r>
      <w:r>
        <w:rPr>
          <w:spacing w:val="-3"/>
          <w:w w:val="100"/>
        </w:rPr>
        <w:t>客</w:t>
      </w:r>
      <w:r>
        <w:rPr>
          <w:w w:val="100"/>
        </w:rPr>
        <w:t>户与</w:t>
      </w:r>
      <w:r>
        <w:rPr>
          <w:spacing w:val="-3"/>
          <w:w w:val="100"/>
        </w:rPr>
        <w:t>东</w:t>
      </w:r>
      <w:r>
        <w:rPr>
          <w:w w:val="100"/>
        </w:rPr>
        <w:t>软</w:t>
      </w:r>
      <w:r>
        <w:rPr>
          <w:spacing w:val="-3"/>
          <w:w w:val="100"/>
        </w:rPr>
        <w:t>集</w:t>
      </w:r>
      <w:r>
        <w:rPr>
          <w:w w:val="100"/>
        </w:rPr>
        <w:t>团</w:t>
      </w:r>
      <w:r>
        <w:rPr>
          <w:spacing w:val="-3"/>
          <w:w w:val="100"/>
        </w:rPr>
        <w:t>签</w:t>
      </w:r>
      <w:r>
        <w:rPr>
          <w:w w:val="100"/>
        </w:rPr>
        <w:t>署</w:t>
      </w:r>
      <w:r>
        <w:rPr>
          <w:spacing w:val="-3"/>
          <w:w w:val="100"/>
        </w:rPr>
        <w:t>的</w:t>
      </w:r>
      <w:r>
        <w:rPr>
          <w:w w:val="100"/>
        </w:rPr>
        <w:t>软</w:t>
      </w:r>
      <w:r>
        <w:rPr>
          <w:spacing w:val="-3"/>
          <w:w w:val="100"/>
        </w:rPr>
        <w:t>件</w:t>
      </w:r>
      <w:r>
        <w:rPr>
          <w:w w:val="100"/>
        </w:rPr>
        <w:t>及服</w:t>
      </w:r>
      <w:r>
        <w:rPr>
          <w:spacing w:val="-3"/>
          <w:w w:val="100"/>
        </w:rPr>
        <w:t>务</w:t>
      </w:r>
      <w:r>
        <w:rPr>
          <w:w w:val="100"/>
        </w:rPr>
        <w:t>合</w:t>
      </w:r>
      <w:r>
        <w:rPr>
          <w:spacing w:val="-3"/>
          <w:w w:val="100"/>
        </w:rPr>
        <w:t>同额</w:t>
      </w:r>
      <w:r>
        <w:rPr>
          <w:w w:val="100"/>
        </w:rPr>
        <w:t>未</w:t>
      </w:r>
    </w:p>
    <w:p>
      <w:pPr>
        <w:pStyle w:val="BodyText"/>
        <w:spacing w:line="272" w:lineRule="exact" w:before="27"/>
        <w:ind w:left="118" w:right="217"/>
        <w:jc w:val="both"/>
      </w:pPr>
      <w:r>
        <w:rPr/>
        <w:t>达到</w:t>
      </w:r>
      <w:r>
        <w:rPr>
          <w:spacing w:val="-54"/>
        </w:rPr>
        <w:t> </w:t>
      </w:r>
      <w:r>
        <w:rPr>
          <w:rFonts w:ascii="宋体" w:hAnsi="宋体" w:cs="宋体" w:eastAsia="宋体" w:hint="default"/>
        </w:rPr>
        <w:t>2,000</w:t>
      </w:r>
      <w:r>
        <w:rPr>
          <w:rFonts w:ascii="宋体" w:hAnsi="宋体" w:cs="宋体" w:eastAsia="宋体" w:hint="default"/>
          <w:spacing w:val="-56"/>
        </w:rPr>
        <w:t> </w:t>
      </w:r>
      <w:r>
        <w:rPr/>
        <w:t>万元，或相关合同出现客户或先联信息系统违约等无法正常履行的情况，或江苏先联</w:t>
      </w:r>
      <w:r>
        <w:rPr>
          <w:w w:val="100"/>
        </w:rPr>
        <w:t> </w:t>
      </w:r>
      <w:r>
        <w:rPr>
          <w:spacing w:val="-2"/>
        </w:rPr>
        <w:t>违约或损害东软集团利益的行为，江苏先联需向东软集团支付对价补偿，对价补偿金额为基础对</w:t>
      </w:r>
      <w:r>
        <w:rPr>
          <w:spacing w:val="-25"/>
        </w:rPr>
        <w:t> </w:t>
      </w:r>
      <w:r>
        <w:rPr>
          <w:spacing w:val="-25"/>
        </w:rPr>
      </w:r>
      <w:r>
        <w:rPr/>
        <w:t>价总额的</w:t>
      </w:r>
      <w:r>
        <w:rPr>
          <w:spacing w:val="-54"/>
        </w:rPr>
        <w:t> </w:t>
      </w:r>
      <w:r>
        <w:rPr>
          <w:rFonts w:ascii="宋体" w:hAnsi="宋体" w:cs="宋体" w:eastAsia="宋体" w:hint="default"/>
        </w:rPr>
        <w:t>20%</w:t>
      </w:r>
      <w:r>
        <w:rPr/>
        <w:t>，即</w:t>
      </w:r>
      <w:r>
        <w:rPr>
          <w:spacing w:val="-54"/>
        </w:rPr>
        <w:t> </w:t>
      </w:r>
      <w:r>
        <w:rPr>
          <w:rFonts w:ascii="宋体" w:hAnsi="宋体" w:cs="宋体" w:eastAsia="宋体" w:hint="default"/>
        </w:rPr>
        <w:t>200</w:t>
      </w:r>
      <w:r>
        <w:rPr>
          <w:rFonts w:ascii="宋体" w:hAnsi="宋体" w:cs="宋体" w:eastAsia="宋体" w:hint="default"/>
          <w:spacing w:val="-53"/>
        </w:rPr>
        <w:t> </w:t>
      </w:r>
      <w:r>
        <w:rPr/>
        <w:t>万元。</w:t>
      </w:r>
    </w:p>
    <w:p>
      <w:pPr>
        <w:pStyle w:val="BodyText"/>
        <w:spacing w:line="272" w:lineRule="exact" w:before="1"/>
        <w:ind w:left="118" w:right="206" w:firstLine="419"/>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48"/>
        </w:rPr>
        <w:t> </w:t>
      </w:r>
      <w:r>
        <w:rPr>
          <w:spacing w:val="-4"/>
        </w:rPr>
        <w:t>奖励对价：协议生效之日起三年内，若先联信息系统协助东软集团从协议所列客户获取的</w:t>
      </w:r>
      <w:r>
        <w:rPr>
          <w:w w:val="100"/>
        </w:rPr>
        <w:t> </w:t>
      </w:r>
      <w:r>
        <w:rPr>
          <w:spacing w:val="-2"/>
        </w:rPr>
        <w:t>软件和服务销售收入（即东软集团实际收到的合同回款，以下简称“三年回款额”）超过</w:t>
      </w:r>
      <w:r>
        <w:rPr>
          <w:spacing w:val="26"/>
        </w:rPr>
        <w:t> </w:t>
      </w:r>
      <w:r>
        <w:rPr>
          <w:rFonts w:ascii="宋体" w:hAnsi="宋体" w:cs="宋体" w:eastAsia="宋体" w:hint="default"/>
          <w:spacing w:val="-1"/>
        </w:rPr>
        <w:t>2,000</w:t>
      </w:r>
    </w:p>
    <w:p>
      <w:pPr>
        <w:pStyle w:val="BodyText"/>
        <w:spacing w:line="247" w:lineRule="exact"/>
        <w:ind w:left="118" w:right="0"/>
        <w:jc w:val="both"/>
        <w:rPr>
          <w:rFonts w:ascii="宋体" w:hAnsi="宋体" w:cs="宋体" w:eastAsia="宋体" w:hint="default"/>
        </w:rPr>
      </w:pPr>
      <w:r>
        <w:rPr/>
        <w:t>万元，则先联信息系统有权获得奖励对价如下：三年回款额超过</w:t>
      </w:r>
      <w:r>
        <w:rPr>
          <w:spacing w:val="-54"/>
        </w:rPr>
        <w:t> </w:t>
      </w:r>
      <w:r>
        <w:rPr>
          <w:rFonts w:ascii="宋体" w:hAnsi="宋体" w:cs="宋体" w:eastAsia="宋体" w:hint="default"/>
        </w:rPr>
        <w:t>2,000</w:t>
      </w:r>
      <w:r>
        <w:rPr>
          <w:rFonts w:ascii="宋体" w:hAnsi="宋体" w:cs="宋体" w:eastAsia="宋体" w:hint="default"/>
          <w:spacing w:val="-56"/>
        </w:rPr>
        <w:t> </w:t>
      </w:r>
      <w:r>
        <w:rPr/>
        <w:t>万元但小于、等于</w:t>
      </w:r>
      <w:r>
        <w:rPr>
          <w:spacing w:val="-53"/>
        </w:rPr>
        <w:t> </w:t>
      </w:r>
      <w:r>
        <w:rPr>
          <w:rFonts w:ascii="宋体" w:hAnsi="宋体" w:cs="宋体" w:eastAsia="宋体" w:hint="default"/>
        </w:rPr>
        <w:t>3,000</w:t>
      </w:r>
    </w:p>
    <w:p>
      <w:pPr>
        <w:pStyle w:val="BodyText"/>
        <w:spacing w:line="237" w:lineRule="auto"/>
        <w:ind w:left="118" w:right="217"/>
        <w:jc w:val="both"/>
      </w:pPr>
      <w:r>
        <w:rPr/>
        <w:t>万元时，奖励对价为超出</w:t>
      </w:r>
      <w:r>
        <w:rPr>
          <w:spacing w:val="-56"/>
        </w:rPr>
        <w:t> </w:t>
      </w:r>
      <w:r>
        <w:rPr>
          <w:rFonts w:ascii="宋体" w:hAnsi="宋体" w:cs="宋体" w:eastAsia="宋体" w:hint="default"/>
        </w:rPr>
        <w:t>2,000</w:t>
      </w:r>
      <w:r>
        <w:rPr>
          <w:rFonts w:ascii="宋体" w:hAnsi="宋体" w:cs="宋体" w:eastAsia="宋体" w:hint="default"/>
          <w:spacing w:val="-56"/>
        </w:rPr>
        <w:t> </w:t>
      </w:r>
      <w:r>
        <w:rPr/>
        <w:t>万元部分的</w:t>
      </w:r>
      <w:r>
        <w:rPr>
          <w:spacing w:val="-54"/>
        </w:rPr>
        <w:t> </w:t>
      </w:r>
      <w:r>
        <w:rPr>
          <w:rFonts w:ascii="宋体" w:hAnsi="宋体" w:cs="宋体" w:eastAsia="宋体" w:hint="default"/>
        </w:rPr>
        <w:t>35%</w:t>
      </w:r>
      <w:r>
        <w:rPr/>
        <w:t>；三年回款额超过</w:t>
      </w:r>
      <w:r>
        <w:rPr>
          <w:spacing w:val="-54"/>
        </w:rPr>
        <w:t> </w:t>
      </w:r>
      <w:r>
        <w:rPr>
          <w:rFonts w:ascii="宋体" w:hAnsi="宋体" w:cs="宋体" w:eastAsia="宋体" w:hint="default"/>
        </w:rPr>
        <w:t>3,000</w:t>
      </w:r>
      <w:r>
        <w:rPr>
          <w:rFonts w:ascii="宋体" w:hAnsi="宋体" w:cs="宋体" w:eastAsia="宋体" w:hint="default"/>
          <w:spacing w:val="-56"/>
        </w:rPr>
        <w:t> </w:t>
      </w:r>
      <w:r>
        <w:rPr/>
        <w:t>万元时，奖励对价为超</w:t>
      </w:r>
      <w:r>
        <w:rPr>
          <w:w w:val="100"/>
        </w:rPr>
        <w:t> </w:t>
      </w:r>
      <w:r>
        <w:rPr/>
        <w:t>出</w:t>
      </w:r>
      <w:r>
        <w:rPr>
          <w:spacing w:val="-54"/>
        </w:rPr>
        <w:t> </w:t>
      </w:r>
      <w:r>
        <w:rPr>
          <w:rFonts w:ascii="宋体" w:hAnsi="宋体" w:cs="宋体" w:eastAsia="宋体" w:hint="default"/>
        </w:rPr>
        <w:t>3,000</w:t>
      </w:r>
      <w:r>
        <w:rPr>
          <w:rFonts w:ascii="宋体" w:hAnsi="宋体" w:cs="宋体" w:eastAsia="宋体" w:hint="default"/>
          <w:spacing w:val="-54"/>
        </w:rPr>
        <w:t> </w:t>
      </w:r>
      <w:r>
        <w:rPr/>
        <w:t>万元部分的</w:t>
      </w:r>
      <w:r>
        <w:rPr>
          <w:spacing w:val="-54"/>
        </w:rPr>
        <w:t> </w:t>
      </w:r>
      <w:r>
        <w:rPr>
          <w:rFonts w:ascii="宋体" w:hAnsi="宋体" w:cs="宋体" w:eastAsia="宋体" w:hint="default"/>
        </w:rPr>
        <w:t>40%</w:t>
      </w:r>
      <w:r>
        <w:rPr/>
        <w:t>。协议生效之日起三年内，若先联信息系统协助东软集团在协议所列客</w:t>
      </w:r>
      <w:r>
        <w:rPr>
          <w:w w:val="100"/>
        </w:rPr>
        <w:t> </w:t>
      </w:r>
      <w:r>
        <w:rPr>
          <w:spacing w:val="-2"/>
        </w:rPr>
        <w:t>户之外的客户处获取了软件和服务销售收入，由双方根据实际项目情况，另行商定该部分的奖励</w:t>
      </w:r>
      <w:r>
        <w:rPr>
          <w:spacing w:val="-26"/>
        </w:rPr>
        <w:t> </w:t>
      </w:r>
      <w:r>
        <w:rPr>
          <w:spacing w:val="-26"/>
        </w:rPr>
      </w:r>
      <w:r>
        <w:rPr/>
        <w:t>对价的支付标准。</w:t>
      </w:r>
    </w:p>
    <w:p>
      <w:pPr>
        <w:pStyle w:val="BodyText"/>
        <w:spacing w:line="237" w:lineRule="auto"/>
        <w:ind w:left="118" w:right="207" w:firstLine="419"/>
        <w:jc w:val="both"/>
        <w:rPr>
          <w:rFonts w:ascii="宋体" w:hAnsi="宋体" w:cs="宋体" w:eastAsia="宋体" w:hint="default"/>
        </w:rPr>
      </w:pPr>
      <w:r>
        <w:rPr>
          <w:spacing w:val="-16"/>
          <w:w w:val="100"/>
        </w:rPr>
        <w:t>（</w:t>
      </w:r>
      <w:r>
        <w:rPr>
          <w:rFonts w:ascii="宋体" w:hAnsi="宋体" w:cs="宋体" w:eastAsia="宋体" w:hint="default"/>
          <w:spacing w:val="-16"/>
          <w:w w:val="100"/>
        </w:rPr>
        <w:t>4</w:t>
      </w:r>
      <w:r>
        <w:rPr>
          <w:spacing w:val="-16"/>
          <w:w w:val="100"/>
        </w:rPr>
        <w:t>）</w:t>
      </w:r>
      <w:r>
        <w:rPr>
          <w:rFonts w:ascii="宋体" w:hAnsi="宋体" w:cs="宋体" w:eastAsia="宋体" w:hint="default"/>
          <w:spacing w:val="-16"/>
          <w:w w:val="100"/>
        </w:rPr>
        <w:t>2016</w:t>
      </w:r>
      <w:r>
        <w:rPr>
          <w:rFonts w:ascii="宋体" w:hAnsi="宋体" w:cs="宋体" w:eastAsia="宋体" w:hint="default"/>
          <w:spacing w:val="-61"/>
          <w:w w:val="100"/>
        </w:rPr>
        <w:t> </w:t>
      </w:r>
      <w:r>
        <w:rPr>
          <w:w w:val="100"/>
        </w:rPr>
        <w:t>年</w:t>
      </w:r>
      <w:r>
        <w:rPr>
          <w:spacing w:val="-61"/>
          <w:w w:val="100"/>
        </w:rPr>
        <w:t> </w:t>
      </w:r>
      <w:r>
        <w:rPr>
          <w:rFonts w:ascii="宋体" w:hAnsi="宋体" w:cs="宋体" w:eastAsia="宋体" w:hint="default"/>
          <w:w w:val="100"/>
        </w:rPr>
        <w:t>1</w:t>
      </w:r>
      <w:r>
        <w:rPr>
          <w:rFonts w:ascii="宋体" w:hAnsi="宋体" w:cs="宋体" w:eastAsia="宋体" w:hint="default"/>
          <w:spacing w:val="-61"/>
          <w:w w:val="100"/>
        </w:rPr>
        <w:t> </w:t>
      </w:r>
      <w:r>
        <w:rPr>
          <w:w w:val="100"/>
        </w:rPr>
        <w:t>月</w:t>
      </w:r>
      <w:r>
        <w:rPr>
          <w:spacing w:val="-61"/>
          <w:w w:val="100"/>
        </w:rPr>
        <w:t> </w:t>
      </w:r>
      <w:r>
        <w:rPr>
          <w:rFonts w:ascii="宋体" w:hAnsi="宋体" w:cs="宋体" w:eastAsia="宋体" w:hint="default"/>
          <w:w w:val="100"/>
        </w:rPr>
        <w:t>5</w:t>
      </w:r>
      <w:r>
        <w:rPr>
          <w:rFonts w:ascii="宋体" w:hAnsi="宋体" w:cs="宋体" w:eastAsia="宋体" w:hint="default"/>
          <w:spacing w:val="-58"/>
          <w:w w:val="100"/>
        </w:rPr>
        <w:t> </w:t>
      </w:r>
      <w:r>
        <w:rPr>
          <w:spacing w:val="-8"/>
          <w:w w:val="100"/>
        </w:rPr>
        <w:t>日，本公司之控股子公司东软西藏软件有限公司（以下简称“东软西藏”）</w:t>
      </w:r>
      <w:r>
        <w:rPr>
          <w:w w:val="100"/>
        </w:rPr>
        <w:t> </w:t>
      </w:r>
      <w:r>
        <w:rPr>
          <w:spacing w:val="-2"/>
        </w:rPr>
        <w:t>与西藏珂尔信息技术有限公司（以下简称“西藏珂尔”）签订了《业务及相关资产收购协议》，</w:t>
      </w:r>
      <w:r>
        <w:rPr>
          <w:spacing w:val="-25"/>
        </w:rPr>
        <w:t> </w:t>
      </w:r>
      <w:r>
        <w:rPr>
          <w:spacing w:val="-25"/>
        </w:rPr>
      </w:r>
      <w:r>
        <w:rPr>
          <w:spacing w:val="-2"/>
        </w:rPr>
        <w:t>西藏珂尔同意将除电子商务业务之外的，现有的社保等公司全部业务及未来业务机会转让给东软</w:t>
      </w:r>
      <w:r>
        <w:rPr>
          <w:spacing w:val="-25"/>
        </w:rPr>
        <w:t> </w:t>
      </w:r>
      <w:r>
        <w:rPr>
          <w:spacing w:val="-25"/>
        </w:rPr>
      </w:r>
      <w:r>
        <w:rPr>
          <w:spacing w:val="-5"/>
        </w:rPr>
        <w:t>西藏，包括相关资产等，并将与其有关的骨干员工并入东软西藏。本次交易总对价为人民币</w:t>
      </w:r>
      <w:r>
        <w:rPr>
          <w:spacing w:val="-6"/>
        </w:rPr>
        <w:t> </w:t>
      </w:r>
      <w:r>
        <w:rPr>
          <w:rFonts w:ascii="宋体" w:hAnsi="宋体" w:cs="宋体" w:eastAsia="宋体" w:hint="default"/>
        </w:rPr>
        <w:t>2,120</w:t>
      </w:r>
    </w:p>
    <w:p>
      <w:pPr>
        <w:spacing w:after="0" w:line="237" w:lineRule="auto"/>
        <w:jc w:val="both"/>
        <w:rPr>
          <w:rFonts w:ascii="宋体" w:hAnsi="宋体" w:cs="宋体" w:eastAsia="宋体" w:hint="default"/>
        </w:rPr>
        <w:sectPr>
          <w:headerReference w:type="default" r:id="rId136"/>
          <w:pgSz w:w="11910" w:h="16840"/>
          <w:pgMar w:header="946" w:footer="1248" w:top="1300" w:bottom="1440" w:left="1680" w:right="1060"/>
        </w:sectPr>
      </w:pPr>
    </w:p>
    <w:p>
      <w:pPr>
        <w:spacing w:line="240" w:lineRule="auto" w:before="2"/>
        <w:rPr>
          <w:rFonts w:ascii="宋体" w:hAnsi="宋体" w:cs="宋体" w:eastAsia="宋体" w:hint="default"/>
          <w:sz w:val="11"/>
          <w:szCs w:val="11"/>
        </w:rPr>
      </w:pPr>
    </w:p>
    <w:p>
      <w:pPr>
        <w:pStyle w:val="BodyText"/>
        <w:spacing w:line="240" w:lineRule="auto" w:before="36"/>
        <w:ind w:right="226"/>
        <w:jc w:val="left"/>
      </w:pPr>
      <w:r>
        <w:rPr>
          <w:spacing w:val="-2"/>
        </w:rPr>
        <w:t>万元，上述对价以货币方式分五期有条件支付。截至本财务报告批准报出日，东软西藏已合计支</w:t>
      </w:r>
      <w:r>
        <w:rPr>
          <w:spacing w:val="-25"/>
        </w:rPr>
        <w:t> </w:t>
      </w:r>
      <w:r>
        <w:rPr>
          <w:spacing w:val="-25"/>
        </w:rPr>
      </w:r>
      <w:r>
        <w:rPr/>
        <w:t>付</w:t>
      </w:r>
      <w:r>
        <w:rPr>
          <w:spacing w:val="-53"/>
        </w:rPr>
        <w:t> </w:t>
      </w:r>
      <w:r>
        <w:rPr>
          <w:rFonts w:ascii="宋体" w:hAnsi="宋体" w:cs="宋体" w:eastAsia="宋体" w:hint="default"/>
        </w:rPr>
        <w:t>1,802</w:t>
      </w:r>
      <w:r>
        <w:rPr>
          <w:rFonts w:ascii="宋体" w:hAnsi="宋体" w:cs="宋体" w:eastAsia="宋体" w:hint="default"/>
          <w:spacing w:val="-53"/>
        </w:rPr>
        <w:t> </w:t>
      </w:r>
      <w:r>
        <w:rPr/>
        <w:t>万元。</w:t>
      </w:r>
    </w:p>
    <w:p>
      <w:pPr>
        <w:pStyle w:val="BodyText"/>
        <w:spacing w:line="274" w:lineRule="exact" w:before="22"/>
        <w:ind w:left="638" w:right="2760"/>
        <w:jc w:val="left"/>
      </w:pPr>
      <w:r>
        <w:rPr>
          <w:rFonts w:ascii="宋体" w:hAnsi="宋体" w:cs="宋体" w:eastAsia="宋体" w:hint="default"/>
          <w:spacing w:val="-2"/>
        </w:rPr>
        <w:t>(5)</w:t>
      </w:r>
      <w:r>
        <w:rPr>
          <w:spacing w:val="-2"/>
        </w:rPr>
        <w:t>与关联方相关的未确认承诺事项详见本附注十二、</w:t>
      </w:r>
      <w:r>
        <w:rPr>
          <w:rFonts w:ascii="宋体" w:hAnsi="宋体" w:cs="宋体" w:eastAsia="宋体" w:hint="default"/>
          <w:spacing w:val="-2"/>
        </w:rPr>
        <w:t>7</w:t>
      </w:r>
      <w:r>
        <w:rPr>
          <w:rFonts w:ascii="宋体" w:hAnsi="宋体" w:cs="宋体" w:eastAsia="宋体" w:hint="default"/>
          <w:spacing w:val="-58"/>
        </w:rPr>
        <w:t> </w:t>
      </w:r>
      <w:r>
        <w:rPr>
          <w:rFonts w:ascii="宋体" w:hAnsi="宋体" w:cs="宋体" w:eastAsia="宋体" w:hint="default"/>
        </w:rPr>
        <w:t>2</w:t>
      </w:r>
      <w:r>
        <w:rPr/>
        <w:t>、其他重大财务承诺事项</w:t>
      </w:r>
    </w:p>
    <w:p>
      <w:pPr>
        <w:pStyle w:val="BodyText"/>
        <w:spacing w:line="245" w:lineRule="exact"/>
        <w:ind w:left="638" w:right="0"/>
        <w:jc w:val="left"/>
      </w:pPr>
      <w:r>
        <w:rPr/>
        <w:t>（</w:t>
      </w:r>
      <w:r>
        <w:rPr>
          <w:rFonts w:ascii="宋体" w:hAnsi="宋体" w:cs="宋体" w:eastAsia="宋体" w:hint="default"/>
        </w:rPr>
        <w:t>1</w:t>
      </w:r>
      <w:r>
        <w:rPr/>
        <w:t>）截至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日，公司及子公司向银行申请开立的尚处在有效期内的保函全部</w:t>
      </w:r>
    </w:p>
    <w:p>
      <w:pPr>
        <w:pStyle w:val="BodyText"/>
        <w:spacing w:line="272" w:lineRule="exact"/>
        <w:ind w:right="226"/>
        <w:jc w:val="left"/>
      </w:pPr>
      <w:r>
        <w:rPr/>
        <w:t>为银行保函，其中：人民币余额为</w:t>
      </w:r>
      <w:r>
        <w:rPr>
          <w:spacing w:val="-55"/>
        </w:rPr>
        <w:t> </w:t>
      </w:r>
      <w:r>
        <w:rPr>
          <w:rFonts w:ascii="宋体" w:hAnsi="宋体" w:cs="宋体" w:eastAsia="宋体" w:hint="default"/>
        </w:rPr>
        <w:t>328,571,461</w:t>
      </w:r>
      <w:r>
        <w:rPr>
          <w:rFonts w:ascii="宋体" w:hAnsi="宋体" w:cs="宋体" w:eastAsia="宋体" w:hint="default"/>
          <w:spacing w:val="-55"/>
        </w:rPr>
        <w:t> </w:t>
      </w:r>
      <w:r>
        <w:rPr/>
        <w:t>元</w:t>
      </w:r>
      <w:r>
        <w:rPr>
          <w:rFonts w:ascii="宋体" w:hAnsi="宋体" w:cs="宋体" w:eastAsia="宋体" w:hint="default"/>
        </w:rPr>
        <w:t>,</w:t>
      </w:r>
      <w:r>
        <w:rPr/>
        <w:t>美元余额为</w:t>
      </w:r>
      <w:r>
        <w:rPr>
          <w:spacing w:val="-55"/>
        </w:rPr>
        <w:t> </w:t>
      </w:r>
      <w:r>
        <w:rPr>
          <w:rFonts w:ascii="宋体" w:hAnsi="宋体" w:cs="宋体" w:eastAsia="宋体" w:hint="default"/>
        </w:rPr>
        <w:t>10,000,000</w:t>
      </w:r>
      <w:r>
        <w:rPr>
          <w:rFonts w:ascii="宋体" w:hAnsi="宋体" w:cs="宋体" w:eastAsia="宋体" w:hint="default"/>
          <w:spacing w:val="-57"/>
        </w:rPr>
        <w:t> </w:t>
      </w:r>
      <w:r>
        <w:rPr/>
        <w:t>元</w:t>
      </w:r>
    </w:p>
    <w:p>
      <w:pPr>
        <w:pStyle w:val="BodyText"/>
        <w:spacing w:line="273" w:lineRule="exact"/>
        <w:ind w:left="638" w:right="2760"/>
        <w:jc w:val="left"/>
      </w:pPr>
      <w:r>
        <w:rPr/>
        <w:t>（</w:t>
      </w:r>
      <w:r>
        <w:rPr>
          <w:rFonts w:ascii="宋体" w:hAnsi="宋体" w:cs="宋体" w:eastAsia="宋体" w:hint="default"/>
        </w:rPr>
        <w:t>2</w:t>
      </w:r>
      <w:r>
        <w:rPr/>
        <w:t>）抵押资产情况参见附注七、</w:t>
      </w:r>
      <w:r>
        <w:rPr>
          <w:rFonts w:ascii="宋体" w:hAnsi="宋体" w:cs="宋体" w:eastAsia="宋体" w:hint="default"/>
        </w:rPr>
        <w:t>78</w:t>
      </w:r>
      <w:r>
        <w:rPr/>
        <w:t>。</w:t>
      </w:r>
    </w:p>
    <w:p>
      <w:pPr>
        <w:pStyle w:val="Heading2"/>
        <w:spacing w:line="240" w:lineRule="auto" w:before="52"/>
        <w:ind w:right="2760"/>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Heading2"/>
        <w:spacing w:line="240" w:lineRule="auto" w:before="55"/>
        <w:ind w:right="2760"/>
        <w:jc w:val="left"/>
        <w:rPr>
          <w:b w:val="0"/>
          <w:bCs w:val="0"/>
        </w:rPr>
      </w:pPr>
      <w:r>
        <w:rPr>
          <w:rFonts w:ascii="宋体" w:hAnsi="宋体" w:cs="宋体" w:eastAsia="宋体" w:hint="default"/>
        </w:rPr>
        <w:t>(1).</w:t>
      </w:r>
      <w:r>
        <w:rPr>
          <w:rFonts w:ascii="宋体" w:hAnsi="宋体" w:cs="宋体" w:eastAsia="宋体" w:hint="default"/>
          <w:spacing w:val="9"/>
        </w:rPr>
        <w:t> </w:t>
      </w:r>
      <w:r>
        <w:rPr/>
        <w:t>资产负债表日存在的重要或有事项</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(2).</w:t>
      </w:r>
      <w:r>
        <w:rPr>
          <w:rFonts w:ascii="宋体" w:hAnsi="宋体" w:cs="宋体" w:eastAsia="宋体" w:hint="default"/>
          <w:spacing w:val="7"/>
        </w:rPr>
        <w:t> </w:t>
      </w:r>
      <w:r>
        <w:rPr/>
        <w:t>公司没有需要披露的重要或有事项，也应予以说明：</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tabs>
          <w:tab w:pos="1060" w:val="left" w:leader="none"/>
        </w:tabs>
        <w:spacing w:line="274" w:lineRule="exact" w:before="61"/>
        <w:ind w:right="2760"/>
        <w:jc w:val="left"/>
      </w:pPr>
      <w:r>
        <w:rPr>
          <w:spacing w:val="-1"/>
        </w:rPr>
        <w:t>√适用</w:t>
        <w:tab/>
      </w:r>
      <w:r>
        <w:rPr>
          <w:spacing w:val="-2"/>
        </w:rPr>
        <w:t>□不适用</w:t>
      </w:r>
    </w:p>
    <w:p>
      <w:pPr>
        <w:pStyle w:val="BodyText"/>
        <w:spacing w:line="274" w:lineRule="exact"/>
        <w:ind w:left="638" w:right="226"/>
        <w:jc w:val="left"/>
      </w:pPr>
      <w:r>
        <w:rPr/>
        <w:t>期末公司已背书或贴现且在资产负债表日尚未到期的应收票据为</w:t>
      </w:r>
      <w:r>
        <w:rPr>
          <w:spacing w:val="-55"/>
        </w:rPr>
        <w:t> </w:t>
      </w:r>
      <w:r>
        <w:rPr>
          <w:rFonts w:ascii="宋体" w:hAnsi="宋体" w:cs="宋体" w:eastAsia="宋体" w:hint="default"/>
        </w:rPr>
        <w:t>75,611,367</w:t>
      </w:r>
      <w:r>
        <w:rPr>
          <w:rFonts w:ascii="宋体" w:hAnsi="宋体" w:cs="宋体" w:eastAsia="宋体" w:hint="default"/>
          <w:spacing w:val="-57"/>
        </w:rPr>
        <w:t> </w:t>
      </w:r>
      <w:r>
        <w:rPr/>
        <w:t>元。</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t>十五、资产负债表日后事项</w:t>
      </w:r>
      <w:r>
        <w:rPr>
          <w:b w:val="0"/>
          <w:bCs w:val="0"/>
        </w:rPr>
      </w:r>
    </w:p>
    <w:p>
      <w:pPr>
        <w:pStyle w:val="Heading2"/>
        <w:spacing w:line="240" w:lineRule="auto" w:before="58"/>
        <w:ind w:right="2760"/>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31"/>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46" w:footer="1248" w:top="1300" w:bottom="1440" w:left="1580" w:right="1040"/>
        </w:sectPr>
      </w:pPr>
    </w:p>
    <w:p>
      <w:pPr>
        <w:pStyle w:val="Heading2"/>
        <w:spacing w:line="240" w:lineRule="auto"/>
        <w:ind w:right="-19"/>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33"/>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111,841,020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111,841,020</w:t>
            </w:r>
          </w:p>
        </w:tc>
      </w:tr>
    </w:tbl>
    <w:p>
      <w:pPr>
        <w:pStyle w:val="BodyText"/>
        <w:spacing w:line="240" w:lineRule="exact"/>
        <w:ind w:right="0" w:firstLine="419"/>
        <w:jc w:val="left"/>
      </w:pPr>
      <w:r>
        <w:rPr>
          <w:w w:val="100"/>
        </w:rPr>
        <w:t>注</w:t>
      </w:r>
      <w:r>
        <w:rPr>
          <w:spacing w:val="-94"/>
          <w:w w:val="100"/>
        </w:rPr>
        <w:t>：</w:t>
      </w:r>
      <w:r>
        <w:rPr>
          <w:w w:val="100"/>
        </w:rPr>
        <w:t>本</w:t>
      </w:r>
      <w:r>
        <w:rPr>
          <w:spacing w:val="-3"/>
          <w:w w:val="100"/>
        </w:rPr>
        <w:t>公</w:t>
      </w:r>
      <w:r>
        <w:rPr>
          <w:w w:val="100"/>
        </w:rPr>
        <w:t>司于</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29</w:t>
      </w:r>
      <w:r>
        <w:rPr>
          <w:rFonts w:ascii="宋体" w:hAnsi="宋体" w:cs="宋体" w:eastAsia="宋体" w:hint="default"/>
          <w:spacing w:val="-53"/>
        </w:rPr>
        <w:t> </w:t>
      </w:r>
      <w:r>
        <w:rPr>
          <w:spacing w:val="-3"/>
          <w:w w:val="100"/>
        </w:rPr>
        <w:t>日</w:t>
      </w:r>
      <w:r>
        <w:rPr>
          <w:w w:val="100"/>
        </w:rPr>
        <w:t>召</w:t>
      </w:r>
      <w:r>
        <w:rPr>
          <w:spacing w:val="-3"/>
          <w:w w:val="100"/>
        </w:rPr>
        <w:t>开</w:t>
      </w:r>
      <w:r>
        <w:rPr>
          <w:w w:val="100"/>
        </w:rPr>
        <w:t>的</w:t>
      </w:r>
      <w:r>
        <w:rPr>
          <w:spacing w:val="-3"/>
          <w:w w:val="100"/>
        </w:rPr>
        <w:t>八</w:t>
      </w:r>
      <w:r>
        <w:rPr>
          <w:w w:val="100"/>
        </w:rPr>
        <w:t>届</w:t>
      </w:r>
      <w:r>
        <w:rPr>
          <w:spacing w:val="-3"/>
          <w:w w:val="100"/>
        </w:rPr>
        <w:t>十</w:t>
      </w:r>
      <w:r>
        <w:rPr>
          <w:w w:val="100"/>
        </w:rPr>
        <w:t>二</w:t>
      </w:r>
      <w:r>
        <w:rPr>
          <w:spacing w:val="-3"/>
          <w:w w:val="100"/>
        </w:rPr>
        <w:t>次董</w:t>
      </w:r>
      <w:r>
        <w:rPr>
          <w:w w:val="100"/>
        </w:rPr>
        <w:t>事会</w:t>
      </w:r>
      <w:r>
        <w:rPr>
          <w:spacing w:val="-3"/>
          <w:w w:val="100"/>
        </w:rPr>
        <w:t>建</w:t>
      </w:r>
      <w:r>
        <w:rPr>
          <w:w w:val="100"/>
        </w:rPr>
        <w:t>议</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度</w:t>
      </w:r>
      <w:r>
        <w:rPr>
          <w:w w:val="100"/>
        </w:rPr>
        <w:t>以</w:t>
      </w:r>
      <w:r>
        <w:rPr>
          <w:spacing w:val="-3"/>
          <w:w w:val="100"/>
        </w:rPr>
        <w:t>年度</w:t>
      </w:r>
      <w:r>
        <w:rPr>
          <w:w w:val="100"/>
        </w:rPr>
        <w:t>母公</w:t>
      </w:r>
      <w:r>
        <w:rPr>
          <w:spacing w:val="-3"/>
          <w:w w:val="100"/>
        </w:rPr>
        <w:t>司</w:t>
      </w:r>
      <w:r>
        <w:rPr>
          <w:w w:val="100"/>
        </w:rPr>
        <w:t>净</w:t>
      </w:r>
      <w:r>
        <w:rPr>
          <w:spacing w:val="-3"/>
          <w:w w:val="100"/>
        </w:rPr>
        <w:t>利</w:t>
      </w:r>
      <w:r>
        <w:rPr>
          <w:w w:val="100"/>
        </w:rPr>
        <w:t>润</w:t>
      </w:r>
    </w:p>
    <w:p>
      <w:pPr>
        <w:pStyle w:val="BodyText"/>
        <w:spacing w:line="272" w:lineRule="exact" w:before="27"/>
        <w:ind w:right="226"/>
        <w:jc w:val="left"/>
      </w:pPr>
      <w:r>
        <w:rPr/>
        <w:t>为基础，分别计提</w:t>
      </w:r>
      <w:r>
        <w:rPr>
          <w:spacing w:val="-56"/>
        </w:rPr>
        <w:t> </w:t>
      </w:r>
      <w:r>
        <w:rPr>
          <w:rFonts w:ascii="宋体" w:hAnsi="宋体" w:cs="宋体" w:eastAsia="宋体" w:hint="default"/>
        </w:rPr>
        <w:t>10%</w:t>
      </w:r>
      <w:r>
        <w:rPr/>
        <w:t>及</w:t>
      </w:r>
      <w:r>
        <w:rPr>
          <w:spacing w:val="-58"/>
        </w:rPr>
        <w:t> </w:t>
      </w:r>
      <w:r>
        <w:rPr>
          <w:rFonts w:ascii="宋体" w:hAnsi="宋体" w:cs="宋体" w:eastAsia="宋体" w:hint="default"/>
        </w:rPr>
        <w:t>5%</w:t>
      </w:r>
      <w:r>
        <w:rPr/>
        <w:t>的法定盈余公积金及任意盈余公积金。根据公司未来发展规划，为给</w:t>
      </w:r>
      <w:r>
        <w:rPr>
          <w:w w:val="100"/>
        </w:rPr>
        <w:t> </w:t>
      </w:r>
      <w:r>
        <w:rPr>
          <w:spacing w:val="-5"/>
        </w:rPr>
        <w:t>股东一定的回报，董事会同意以</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t>日总股本</w:t>
      </w:r>
      <w:r>
        <w:rPr>
          <w:spacing w:val="-48"/>
        </w:rPr>
        <w:t> </w:t>
      </w:r>
      <w:r>
        <w:rPr>
          <w:rFonts w:ascii="宋体" w:hAnsi="宋体" w:cs="宋体" w:eastAsia="宋体" w:hint="default"/>
        </w:rPr>
        <w:t>1,242,678,005</w:t>
      </w:r>
      <w:r>
        <w:rPr>
          <w:rFonts w:ascii="宋体" w:hAnsi="宋体" w:cs="宋体" w:eastAsia="宋体" w:hint="default"/>
          <w:spacing w:val="-49"/>
        </w:rPr>
        <w:t> </w:t>
      </w:r>
      <w:r>
        <w:rPr>
          <w:spacing w:val="-6"/>
        </w:rPr>
        <w:t>股为基数，向全体股东</w:t>
      </w:r>
    </w:p>
    <w:p>
      <w:pPr>
        <w:pStyle w:val="BodyText"/>
        <w:spacing w:line="272" w:lineRule="exact" w:before="1"/>
        <w:ind w:right="237"/>
        <w:jc w:val="left"/>
      </w:pPr>
      <w:r>
        <w:rPr/>
        <w:t>每</w:t>
      </w:r>
      <w:r>
        <w:rPr>
          <w:spacing w:val="-54"/>
        </w:rPr>
        <w:t> </w:t>
      </w:r>
      <w:r>
        <w:rPr>
          <w:rFonts w:ascii="宋体" w:hAnsi="宋体" w:cs="宋体" w:eastAsia="宋体" w:hint="default"/>
        </w:rPr>
        <w:t>10</w:t>
      </w:r>
      <w:r>
        <w:rPr>
          <w:rFonts w:ascii="宋体" w:hAnsi="宋体" w:cs="宋体" w:eastAsia="宋体" w:hint="default"/>
          <w:spacing w:val="-56"/>
        </w:rPr>
        <w:t> </w:t>
      </w:r>
      <w:r>
        <w:rPr/>
        <w:t>股派发</w:t>
      </w:r>
      <w:r>
        <w:rPr>
          <w:spacing w:val="-54"/>
        </w:rPr>
        <w:t> </w:t>
      </w:r>
      <w:r>
        <w:rPr>
          <w:rFonts w:ascii="宋体" w:hAnsi="宋体" w:cs="宋体" w:eastAsia="宋体" w:hint="default"/>
        </w:rPr>
        <w:t>0.90</w:t>
      </w:r>
      <w:r>
        <w:rPr>
          <w:rFonts w:ascii="宋体" w:hAnsi="宋体" w:cs="宋体" w:eastAsia="宋体" w:hint="default"/>
          <w:spacing w:val="-54"/>
        </w:rPr>
        <w:t> </w:t>
      </w:r>
      <w:r>
        <w:rPr/>
        <w:t>元人民币现金红利（含税），共派发现金红利</w:t>
      </w:r>
      <w:r>
        <w:rPr>
          <w:spacing w:val="-53"/>
        </w:rPr>
        <w:t> </w:t>
      </w:r>
      <w:r>
        <w:rPr>
          <w:rFonts w:ascii="宋体" w:hAnsi="宋体" w:cs="宋体" w:eastAsia="宋体" w:hint="default"/>
        </w:rPr>
        <w:t>111,841,020</w:t>
      </w:r>
      <w:r>
        <w:rPr>
          <w:rFonts w:ascii="宋体" w:hAnsi="宋体" w:cs="宋体" w:eastAsia="宋体" w:hint="default"/>
          <w:spacing w:val="-53"/>
        </w:rPr>
        <w:t> </w:t>
      </w:r>
      <w:r>
        <w:rPr/>
        <w:t>元（含税），剩余</w:t>
      </w:r>
      <w:r>
        <w:rPr>
          <w:w w:val="100"/>
        </w:rPr>
        <w:t> </w:t>
      </w:r>
      <w:r>
        <w:rPr/>
        <w:t>未分配利润结转以后年度。以上方案，待公司股东大会批准后实施。</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0"/>
        <w:ind w:right="2760"/>
        <w:jc w:val="left"/>
        <w:rPr>
          <w:b w:val="0"/>
          <w:bCs w:val="0"/>
        </w:rPr>
      </w:pPr>
      <w:r>
        <w:rPr>
          <w:rFonts w:ascii="Calibri" w:hAnsi="Calibri" w:cs="Calibri" w:eastAsia="Calibri" w:hint="default"/>
        </w:rPr>
        <w:t>3</w:t>
      </w:r>
      <w:r>
        <w:rPr/>
        <w:t>、</w:t>
      </w:r>
      <w:r>
        <w:rPr>
          <w:spacing w:val="-58"/>
        </w:rPr>
        <w:t> </w:t>
      </w:r>
      <w:r>
        <w:rPr/>
        <w:t>销售退回</w:t>
      </w:r>
      <w:r>
        <w:rPr>
          <w:b w:val="0"/>
          <w:bCs w:val="0"/>
        </w:rPr>
      </w:r>
    </w:p>
    <w:p>
      <w:pPr>
        <w:pStyle w:val="BodyText"/>
        <w:spacing w:line="240" w:lineRule="auto" w:before="31"/>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tabs>
          <w:tab w:pos="1060" w:val="left" w:leader="none"/>
        </w:tabs>
        <w:spacing w:line="283" w:lineRule="auto" w:before="33"/>
        <w:ind w:left="218" w:right="6715" w:firstLine="0"/>
        <w:jc w:val="left"/>
        <w:rPr>
          <w:rFonts w:ascii="宋体" w:hAnsi="宋体" w:cs="宋体" w:eastAsia="宋体" w:hint="default"/>
          <w:sz w:val="24"/>
          <w:szCs w:val="24"/>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pacing w:val="-2"/>
          <w:sz w:val="24"/>
          <w:szCs w:val="24"/>
        </w:rPr>
        <w:t> </w:t>
      </w:r>
      <w:r>
        <w:rPr>
          <w:rFonts w:ascii="宋体" w:hAnsi="宋体" w:cs="宋体" w:eastAsia="宋体" w:hint="default"/>
          <w:b/>
          <w:bCs/>
          <w:sz w:val="24"/>
          <w:szCs w:val="24"/>
        </w:rPr>
        <w:t>追溯重述法</w:t>
      </w:r>
      <w:r>
        <w:rPr>
          <w:rFonts w:ascii="宋体" w:hAnsi="宋体" w:cs="宋体" w:eastAsia="宋体" w:hint="default"/>
          <w:sz w:val="24"/>
          <w:szCs w:val="24"/>
        </w:rPr>
      </w:r>
    </w:p>
    <w:p>
      <w:pPr>
        <w:pStyle w:val="BodyText"/>
        <w:spacing w:line="240" w:lineRule="auto" w:before="19"/>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6"/>
        <w:rPr>
          <w:rFonts w:ascii="宋体" w:hAnsi="宋体" w:cs="宋体" w:eastAsia="宋体" w:hint="default"/>
          <w:sz w:val="11"/>
          <w:szCs w:val="11"/>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2"/>
        </w:rPr>
        <w:t> </w:t>
      </w:r>
      <w:r>
        <w:rPr/>
        <w:t>未来适用法</w:t>
      </w:r>
      <w:r>
        <w:rPr>
          <w:b w:val="0"/>
          <w:bCs w:val="0"/>
        </w:rPr>
      </w:r>
    </w:p>
    <w:p>
      <w:pPr>
        <w:pStyle w:val="BodyText"/>
        <w:spacing w:line="240" w:lineRule="auto" w:before="64"/>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left="118" w:right="0"/>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64"/>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left="118" w:right="0"/>
        <w:jc w:val="left"/>
        <w:rPr>
          <w:b w:val="0"/>
          <w:bCs w:val="0"/>
        </w:rPr>
      </w:pPr>
      <w:r>
        <w:rPr>
          <w:rFonts w:ascii="宋体" w:hAnsi="宋体" w:cs="宋体" w:eastAsia="宋体" w:hint="default"/>
        </w:rPr>
        <w:t>3</w:t>
      </w:r>
      <w:r>
        <w:rPr/>
        <w:t>、</w:t>
      </w:r>
      <w:r>
        <w:rPr>
          <w:spacing w:val="-59"/>
        </w:rPr>
        <w:t> </w:t>
      </w:r>
      <w:r>
        <w:rPr/>
        <w:t>资产置换</w:t>
      </w:r>
      <w:r>
        <w:rPr>
          <w:b w:val="0"/>
          <w:bCs w:val="0"/>
        </w:rPr>
      </w:r>
    </w:p>
    <w:p>
      <w:pPr>
        <w:pStyle w:val="Heading2"/>
        <w:spacing w:line="240" w:lineRule="auto" w:before="55"/>
        <w:ind w:left="118" w:right="0"/>
        <w:jc w:val="left"/>
        <w:rPr>
          <w:b w:val="0"/>
          <w:bCs w:val="0"/>
        </w:rPr>
      </w:pPr>
      <w:r>
        <w:rPr>
          <w:rFonts w:ascii="宋体" w:hAnsi="宋体" w:cs="宋体" w:eastAsia="宋体" w:hint="default"/>
        </w:rPr>
        <w:t>(1).</w:t>
      </w:r>
      <w:r>
        <w:rPr>
          <w:rFonts w:ascii="宋体" w:hAnsi="宋体" w:cs="宋体" w:eastAsia="宋体" w:hint="default"/>
          <w:spacing w:val="-3"/>
        </w:rPr>
        <w:t> </w:t>
      </w:r>
      <w:r>
        <w:rPr/>
        <w:t>非货币性资产交换</w:t>
      </w:r>
      <w:r>
        <w:rPr>
          <w:b w:val="0"/>
          <w:bCs w:val="0"/>
        </w:rPr>
      </w:r>
    </w:p>
    <w:p>
      <w:pPr>
        <w:pStyle w:val="BodyText"/>
        <w:tabs>
          <w:tab w:pos="960" w:val="left" w:leader="none"/>
        </w:tabs>
        <w:spacing w:line="240" w:lineRule="auto" w:before="141"/>
        <w:ind w:left="1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61"/>
        <w:ind w:left="118" w:right="0"/>
        <w:jc w:val="left"/>
        <w:rPr>
          <w:b w:val="0"/>
          <w:bCs w:val="0"/>
        </w:rPr>
      </w:pPr>
      <w:r>
        <w:rPr>
          <w:rFonts w:ascii="宋体" w:hAnsi="宋体" w:cs="宋体" w:eastAsia="宋体" w:hint="default"/>
        </w:rPr>
        <w:t>(2).</w:t>
      </w:r>
      <w:r>
        <w:rPr>
          <w:rFonts w:ascii="宋体" w:hAnsi="宋体" w:cs="宋体" w:eastAsia="宋体" w:hint="default"/>
          <w:spacing w:val="-3"/>
        </w:rPr>
        <w:t> </w:t>
      </w:r>
      <w:r>
        <w:rPr/>
        <w:t>其他资产置换</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18" w:right="0"/>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74" w:lineRule="exact" w:before="61"/>
        <w:ind w:left="118" w:right="0"/>
        <w:jc w:val="left"/>
      </w:pPr>
      <w:r>
        <w:rPr/>
        <w:t>√适用</w:t>
      </w:r>
      <w:r>
        <w:rPr>
          <w:spacing w:val="-1"/>
        </w:rPr>
        <w:t> </w:t>
      </w:r>
      <w:r>
        <w:rPr/>
        <w:t>□不适用</w:t>
      </w:r>
    </w:p>
    <w:p>
      <w:pPr>
        <w:pStyle w:val="BodyText"/>
        <w:spacing w:line="237" w:lineRule="auto" w:before="2"/>
        <w:ind w:left="118" w:right="0" w:firstLine="419"/>
        <w:jc w:val="left"/>
      </w:pPr>
      <w:r>
        <w:rPr/>
        <w:t>公司从</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月起实施了企业年金计划，与公司签订劳动合同，并为公司连续服务满</w:t>
      </w:r>
      <w:r>
        <w:rPr>
          <w:spacing w:val="-53"/>
        </w:rPr>
        <w:t> </w:t>
      </w:r>
      <w:r>
        <w:rPr>
          <w:rFonts w:ascii="宋体" w:hAnsi="宋体" w:cs="宋体" w:eastAsia="宋体" w:hint="default"/>
        </w:rPr>
        <w:t>1</w:t>
      </w:r>
      <w:r>
        <w:rPr>
          <w:rFonts w:ascii="宋体" w:hAnsi="宋体" w:cs="宋体" w:eastAsia="宋体" w:hint="default"/>
          <w:w w:val="100"/>
        </w:rPr>
        <w:t> </w:t>
      </w:r>
      <w:r>
        <w:rPr>
          <w:spacing w:val="-2"/>
        </w:rPr>
        <w:t>年且已经依法参加了基本养老保险，并且履行缴费义务的正式员工均有资格自愿参加企业年金计</w:t>
      </w:r>
      <w:r>
        <w:rPr>
          <w:spacing w:val="-25"/>
        </w:rPr>
        <w:t> </w:t>
      </w:r>
      <w:r>
        <w:rPr>
          <w:spacing w:val="-25"/>
        </w:rPr>
      </w:r>
      <w:r>
        <w:rPr>
          <w:spacing w:val="-2"/>
        </w:rPr>
        <w:t>划。本计划的资金由公司和计划参加人共同缴纳，实行按月计提，按季缴费，对于根据年金计划</w:t>
      </w:r>
      <w:r>
        <w:rPr>
          <w:spacing w:val="-25"/>
        </w:rPr>
        <w:t> </w:t>
      </w:r>
      <w:r>
        <w:rPr>
          <w:spacing w:val="-25"/>
        </w:rPr>
      </w:r>
      <w:r>
        <w:rPr>
          <w:spacing w:val="-2"/>
        </w:rPr>
        <w:t>应由公司负担的缴费的部分，直接计入相关成本费用。公司对该计划以企业年金基金形式、采用</w:t>
      </w:r>
      <w:r>
        <w:rPr>
          <w:spacing w:val="-25"/>
        </w:rPr>
        <w:t> </w:t>
      </w:r>
      <w:r>
        <w:rPr>
          <w:spacing w:val="-25"/>
        </w:rPr>
      </w:r>
      <w:r>
        <w:rPr>
          <w:spacing w:val="-2"/>
        </w:rPr>
        <w:t>信托方式实行专户管理，该企业年金基金与公司的固有资产或其他资产严格分开，不纳入公司的</w:t>
      </w:r>
      <w:r>
        <w:rPr>
          <w:spacing w:val="-25"/>
        </w:rPr>
        <w:t> </w:t>
      </w:r>
      <w:r>
        <w:rPr>
          <w:spacing w:val="-25"/>
        </w:rPr>
      </w:r>
      <w:r>
        <w:rPr/>
        <w:t>财务报表。</w:t>
      </w:r>
    </w:p>
    <w:p>
      <w:pPr>
        <w:pStyle w:val="Heading2"/>
        <w:spacing w:line="240" w:lineRule="auto" w:before="53"/>
        <w:ind w:left="118" w:right="0"/>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61"/>
        <w:ind w:left="118" w:right="0"/>
        <w:jc w:val="left"/>
      </w:pPr>
      <w:r>
        <w:rPr/>
        <w:t>□适用</w:t>
      </w:r>
      <w:r>
        <w:rPr>
          <w:spacing w:val="-1"/>
        </w:rPr>
        <w:t> </w:t>
      </w:r>
      <w:r>
        <w:rPr/>
        <w:t>√不适用</w:t>
      </w:r>
    </w:p>
    <w:p>
      <w:pPr>
        <w:spacing w:after="0" w:line="240" w:lineRule="auto"/>
        <w:jc w:val="left"/>
        <w:sectPr>
          <w:pgSz w:w="11910" w:h="16840"/>
          <w:pgMar w:header="946" w:footer="1248" w:top="1300" w:bottom="1440" w:left="16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ind w:left="138" w:right="0"/>
        <w:jc w:val="both"/>
        <w:rPr>
          <w:b w:val="0"/>
          <w:bCs w:val="0"/>
        </w:rPr>
      </w:pPr>
      <w:r>
        <w:rPr>
          <w:rFonts w:ascii="宋体" w:hAnsi="宋体" w:cs="宋体" w:eastAsia="宋体" w:hint="default"/>
        </w:rPr>
        <w:t>6</w:t>
      </w:r>
      <w:r>
        <w:rPr/>
        <w:t>、</w:t>
      </w:r>
      <w:r>
        <w:rPr>
          <w:spacing w:val="-59"/>
        </w:rPr>
        <w:t> </w:t>
      </w:r>
      <w:r>
        <w:rPr/>
        <w:t>分部信息</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35"/>
        </w:rPr>
        <w:t> </w:t>
      </w:r>
      <w:r>
        <w:rPr/>
        <w:t>报告分部的确定依据与会计政策：</w:t>
      </w:r>
      <w:r>
        <w:rPr>
          <w:b w:val="0"/>
          <w:bCs w:val="0"/>
        </w:rPr>
      </w:r>
    </w:p>
    <w:p>
      <w:pPr>
        <w:pStyle w:val="BodyText"/>
        <w:tabs>
          <w:tab w:pos="980" w:val="left" w:leader="none"/>
        </w:tabs>
        <w:spacing w:line="240" w:lineRule="auto" w:before="61"/>
        <w:ind w:left="558" w:right="230" w:hanging="420"/>
        <w:jc w:val="left"/>
      </w:pPr>
      <w:r>
        <w:rPr>
          <w:spacing w:val="-1"/>
        </w:rPr>
        <w:t>√适用</w:t>
        <w:tab/>
      </w:r>
      <w:r>
        <w:rPr>
          <w:spacing w:val="-2"/>
        </w:rPr>
        <w:t>□不适用</w:t>
      </w:r>
      <w:r>
        <w:rPr>
          <w:spacing w:val="-99"/>
        </w:rPr>
        <w:t> </w:t>
      </w:r>
      <w:r>
        <w:rPr>
          <w:spacing w:val="-99"/>
        </w:rPr>
      </w:r>
      <w:r>
        <w:rPr>
          <w:spacing w:val="-2"/>
        </w:rPr>
        <w:t>根据本集团的管理要求，本集团的经营业务划分为医疗健康及社会保障、智能汽车互联、智</w:t>
      </w:r>
    </w:p>
    <w:p>
      <w:pPr>
        <w:pStyle w:val="BodyText"/>
        <w:spacing w:line="271" w:lineRule="exact"/>
        <w:ind w:left="138" w:right="0"/>
        <w:jc w:val="both"/>
      </w:pPr>
      <w:r>
        <w:rPr/>
        <w:t>慧城市、企业互联及其他</w:t>
      </w:r>
      <w:r>
        <w:rPr>
          <w:spacing w:val="-57"/>
        </w:rPr>
        <w:t> </w:t>
      </w:r>
      <w:r>
        <w:rPr>
          <w:rFonts w:ascii="宋体" w:hAnsi="宋体" w:cs="宋体" w:eastAsia="宋体" w:hint="default"/>
        </w:rPr>
        <w:t>4</w:t>
      </w:r>
      <w:r>
        <w:rPr>
          <w:rFonts w:ascii="宋体" w:hAnsi="宋体" w:cs="宋体" w:eastAsia="宋体" w:hint="default"/>
          <w:spacing w:val="-56"/>
        </w:rPr>
        <w:t> </w:t>
      </w:r>
      <w:r>
        <w:rPr/>
        <w:t>个经营分部，本集团的管理层定期评价这些分部的经营成果，以决定</w:t>
      </w:r>
    </w:p>
    <w:p>
      <w:pPr>
        <w:pStyle w:val="BodyText"/>
        <w:spacing w:line="237" w:lineRule="auto" w:before="2"/>
        <w:ind w:left="138" w:right="217"/>
        <w:jc w:val="both"/>
      </w:pPr>
      <w:r>
        <w:rPr/>
        <w:t>向其分配资源及评价其业绩。在经营分部的基础上本集团确定了</w:t>
      </w:r>
      <w:r>
        <w:rPr>
          <w:spacing w:val="-54"/>
        </w:rPr>
        <w:t> </w:t>
      </w:r>
      <w:r>
        <w:rPr>
          <w:rFonts w:ascii="宋体" w:hAnsi="宋体" w:cs="宋体" w:eastAsia="宋体" w:hint="default"/>
        </w:rPr>
        <w:t>4</w:t>
      </w:r>
      <w:r>
        <w:rPr>
          <w:rFonts w:ascii="宋体" w:hAnsi="宋体" w:cs="宋体" w:eastAsia="宋体" w:hint="default"/>
          <w:spacing w:val="-56"/>
        </w:rPr>
        <w:t> </w:t>
      </w:r>
      <w:r>
        <w:rPr/>
        <w:t>个报告分部，这些报告分部是</w:t>
      </w:r>
      <w:r>
        <w:rPr>
          <w:w w:val="100"/>
        </w:rPr>
        <w:t> </w:t>
      </w:r>
      <w:r>
        <w:rPr>
          <w:spacing w:val="-2"/>
        </w:rPr>
        <w:t>以业务性质为基础确定的，分别为医疗健康及社会保障、智能汽车互联、智慧城市、企业互联及</w:t>
      </w:r>
      <w:r>
        <w:rPr>
          <w:spacing w:val="-25"/>
        </w:rPr>
        <w:t> </w:t>
      </w:r>
      <w:r>
        <w:rPr>
          <w:spacing w:val="-25"/>
        </w:rPr>
      </w:r>
      <w:r>
        <w:rPr/>
        <w:t>其他。</w:t>
      </w:r>
    </w:p>
    <w:p>
      <w:pPr>
        <w:pStyle w:val="BodyText"/>
        <w:spacing w:line="271" w:lineRule="exact"/>
        <w:ind w:left="558" w:right="230"/>
        <w:jc w:val="left"/>
      </w:pPr>
      <w:r>
        <w:rPr/>
        <w:t>分部报告信息采用的会计政策及计量标准与编制财务报表时的会计与计量基础保持一致。</w:t>
      </w:r>
    </w:p>
    <w:p>
      <w:pPr>
        <w:pStyle w:val="Heading2"/>
        <w:spacing w:line="240" w:lineRule="auto" w:before="52"/>
        <w:ind w:left="138" w:right="0"/>
        <w:jc w:val="both"/>
        <w:rPr>
          <w:b w:val="0"/>
          <w:bCs w:val="0"/>
        </w:rPr>
      </w:pPr>
      <w:r>
        <w:rPr>
          <w:rFonts w:ascii="宋体" w:hAnsi="宋体" w:cs="宋体" w:eastAsia="宋体" w:hint="default"/>
        </w:rPr>
        <w:t>(2).</w:t>
      </w:r>
      <w:r>
        <w:rPr>
          <w:rFonts w:ascii="宋体" w:hAnsi="宋体" w:cs="宋体" w:eastAsia="宋体" w:hint="default"/>
          <w:spacing w:val="36"/>
        </w:rPr>
        <w:t> </w:t>
      </w:r>
      <w:r>
        <w:rPr/>
        <w:t>报告分部的财务信息</w:t>
      </w:r>
      <w:r>
        <w:rPr>
          <w:b w:val="0"/>
          <w:bCs w:val="0"/>
        </w:rPr>
      </w:r>
    </w:p>
    <w:p>
      <w:pPr>
        <w:pStyle w:val="Heading3"/>
        <w:spacing w:line="240" w:lineRule="auto" w:before="56"/>
        <w:ind w:left="138" w:right="0"/>
        <w:jc w:val="both"/>
      </w:pPr>
      <w:r>
        <w:rPr/>
        <w:t>√适用</w:t>
      </w:r>
      <w:r>
        <w:rPr>
          <w:spacing w:val="119"/>
        </w:rPr>
        <w:t> </w:t>
      </w:r>
      <w:r>
        <w:rPr/>
        <w:t>□不适用</w:t>
      </w:r>
    </w:p>
    <w:p>
      <w:pPr>
        <w:pStyle w:val="Heading3"/>
        <w:tabs>
          <w:tab w:pos="1200" w:val="left" w:leader="none"/>
        </w:tabs>
        <w:spacing w:line="312" w:lineRule="exact"/>
        <w:ind w:left="0" w:right="21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71"/>
        <w:gridCol w:w="1442"/>
        <w:gridCol w:w="1561"/>
        <w:gridCol w:w="1558"/>
        <w:gridCol w:w="1560"/>
        <w:gridCol w:w="709"/>
        <w:gridCol w:w="1490"/>
      </w:tblGrid>
      <w:tr>
        <w:trPr>
          <w:trHeight w:val="47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医疗健康及社会</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保障</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0"/>
              <w:jc w:val="left"/>
              <w:rPr>
                <w:rFonts w:ascii="宋体" w:hAnsi="宋体" w:cs="宋体" w:eastAsia="宋体" w:hint="default"/>
                <w:sz w:val="18"/>
                <w:szCs w:val="18"/>
              </w:rPr>
            </w:pPr>
            <w:r>
              <w:rPr>
                <w:rFonts w:ascii="宋体" w:hAnsi="宋体" w:cs="宋体" w:eastAsia="宋体" w:hint="default"/>
                <w:sz w:val="18"/>
                <w:szCs w:val="18"/>
              </w:rPr>
              <w:t>智能汽车互联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3" w:right="0"/>
              <w:jc w:val="left"/>
              <w:rPr>
                <w:rFonts w:ascii="宋体" w:hAnsi="宋体" w:cs="宋体" w:eastAsia="宋体" w:hint="default"/>
                <w:sz w:val="18"/>
                <w:szCs w:val="18"/>
              </w:rPr>
            </w:pPr>
            <w:r>
              <w:rPr>
                <w:rFonts w:ascii="宋体" w:hAnsi="宋体" w:cs="宋体" w:eastAsia="宋体" w:hint="default"/>
                <w:sz w:val="18"/>
                <w:szCs w:val="18"/>
              </w:rPr>
              <w:t>企业互联及其他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hanging="92"/>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1,614,637,443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1,158,154,133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2,174,407,030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2,183,936,126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7,131,134,732</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996,546,516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894,537,139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1,519,443,117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1,464,854,457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4,875,381,229</w:t>
            </w:r>
          </w:p>
        </w:tc>
      </w:tr>
      <w:tr>
        <w:trPr>
          <w:trHeight w:val="47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12,909,194,213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sz w:val="18"/>
              </w:rPr>
              <w:t>12,909,194,213</w:t>
            </w:r>
          </w:p>
        </w:tc>
      </w:tr>
      <w:tr>
        <w:trPr>
          <w:trHeight w:val="47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61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3,840,288,148</w:t>
            </w:r>
          </w:p>
        </w:tc>
        <w:tc>
          <w:tcPr>
            <w:tcW w:w="70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sz w:val="18"/>
              </w:rPr>
              <w:t>3,840,288,148</w:t>
            </w:r>
          </w:p>
        </w:tc>
      </w:tr>
    </w:tbl>
    <w:p>
      <w:pPr>
        <w:spacing w:line="240" w:lineRule="auto" w:before="7"/>
        <w:rPr>
          <w:rFonts w:ascii="宋体" w:hAnsi="宋体" w:cs="宋体" w:eastAsia="宋体" w:hint="default"/>
          <w:sz w:val="15"/>
          <w:szCs w:val="15"/>
        </w:rPr>
      </w:pPr>
    </w:p>
    <w:p>
      <w:pPr>
        <w:pStyle w:val="BodyText"/>
        <w:spacing w:line="272" w:lineRule="exact" w:before="64"/>
        <w:ind w:left="138" w:right="230" w:firstLine="419"/>
        <w:jc w:val="left"/>
      </w:pPr>
      <w:r>
        <w:rPr>
          <w:spacing w:val="-2"/>
        </w:rPr>
        <w:t>注：由于上述经营分部分散于本公司及部分子公司业务中，故本集团的资产总额与负债总额</w:t>
      </w:r>
      <w:r>
        <w:rPr>
          <w:w w:val="100"/>
        </w:rPr>
        <w:t> </w:t>
      </w:r>
      <w:r>
        <w:rPr/>
        <w:t>未按报告分部进行划分。</w:t>
      </w:r>
    </w:p>
    <w:p>
      <w:pPr>
        <w:spacing w:line="240" w:lineRule="auto" w:before="2"/>
        <w:rPr>
          <w:rFonts w:ascii="宋体" w:hAnsi="宋体" w:cs="宋体" w:eastAsia="宋体" w:hint="default"/>
          <w:sz w:val="25"/>
          <w:szCs w:val="25"/>
        </w:rPr>
      </w:pPr>
    </w:p>
    <w:p>
      <w:pPr>
        <w:pStyle w:val="Heading2"/>
        <w:spacing w:line="312" w:lineRule="exact" w:before="0"/>
        <w:ind w:left="558" w:right="203" w:hanging="420"/>
        <w:jc w:val="left"/>
        <w:rPr>
          <w:b w:val="0"/>
          <w:bCs w:val="0"/>
        </w:rPr>
      </w:pPr>
      <w:r>
        <w:rPr>
          <w:rFonts w:ascii="宋体" w:hAnsi="宋体" w:cs="宋体" w:eastAsia="宋体" w:hint="default"/>
        </w:rPr>
        <w:t>(3).</w:t>
      </w:r>
      <w:r>
        <w:rPr>
          <w:rFonts w:ascii="宋体" w:hAnsi="宋体" w:cs="宋体" w:eastAsia="宋体" w:hint="default"/>
          <w:spacing w:val="28"/>
        </w:rPr>
        <w:t> </w:t>
      </w:r>
      <w:r>
        <w:rPr/>
        <w:t>公司无报告分部的，或者不能披露各报告分部的资产总额和负债总额的，应说</w:t>
      </w:r>
      <w:r>
        <w:rPr>
          <w:w w:val="99"/>
        </w:rPr>
        <w:t> </w:t>
      </w:r>
      <w:r>
        <w:rPr/>
        <w:t>明原因</w:t>
      </w:r>
      <w:r>
        <w:rPr>
          <w:b w:val="0"/>
          <w:bCs w:val="0"/>
        </w:rPr>
      </w:r>
    </w:p>
    <w:p>
      <w:pPr>
        <w:pStyle w:val="BodyText"/>
        <w:tabs>
          <w:tab w:pos="980" w:val="left" w:leader="none"/>
        </w:tabs>
        <w:spacing w:line="240" w:lineRule="auto" w:before="35"/>
        <w:ind w:left="138" w:right="23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230"/>
        <w:jc w:val="left"/>
        <w:rPr>
          <w:b w:val="0"/>
          <w:bCs w:val="0"/>
        </w:rPr>
      </w:pPr>
      <w:r>
        <w:rPr>
          <w:rFonts w:ascii="宋体" w:hAnsi="宋体" w:cs="宋体" w:eastAsia="宋体" w:hint="default"/>
        </w:rPr>
        <w:t>(4).</w:t>
      </w:r>
      <w:r>
        <w:rPr>
          <w:rFonts w:ascii="宋体" w:hAnsi="宋体" w:cs="宋体" w:eastAsia="宋体" w:hint="default"/>
          <w:spacing w:val="36"/>
        </w:rPr>
        <w:t> </w:t>
      </w:r>
      <w:r>
        <w:rPr/>
        <w:t>其他说明：</w:t>
      </w:r>
      <w:r>
        <w:rPr>
          <w:b w:val="0"/>
          <w:bCs w:val="0"/>
        </w:rPr>
      </w:r>
    </w:p>
    <w:p>
      <w:pPr>
        <w:pStyle w:val="BodyText"/>
        <w:tabs>
          <w:tab w:pos="980" w:val="left" w:leader="none"/>
        </w:tabs>
        <w:spacing w:line="240" w:lineRule="auto" w:before="61"/>
        <w:ind w:left="138" w:right="23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left="138" w:right="230"/>
        <w:jc w:val="left"/>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pStyle w:val="BodyText"/>
        <w:tabs>
          <w:tab w:pos="980" w:val="left" w:leader="none"/>
        </w:tabs>
        <w:spacing w:line="240" w:lineRule="auto" w:before="141"/>
        <w:ind w:left="138" w:right="230"/>
        <w:jc w:val="left"/>
      </w:pPr>
      <w:r>
        <w:rPr>
          <w:spacing w:val="-1"/>
        </w:rPr>
        <w:t>□适用</w:t>
        <w:tab/>
      </w:r>
      <w:r>
        <w:rPr>
          <w:spacing w:val="-2"/>
        </w:rPr>
        <w:t>√不适用</w:t>
      </w:r>
    </w:p>
    <w:p>
      <w:pPr>
        <w:spacing w:line="240" w:lineRule="auto" w:before="6"/>
        <w:rPr>
          <w:rFonts w:ascii="宋体" w:hAnsi="宋体" w:cs="宋体" w:eastAsia="宋体" w:hint="default"/>
          <w:sz w:val="25"/>
          <w:szCs w:val="25"/>
        </w:rPr>
      </w:pPr>
    </w:p>
    <w:p>
      <w:pPr>
        <w:pStyle w:val="Heading2"/>
        <w:spacing w:line="240" w:lineRule="auto" w:before="0"/>
        <w:ind w:left="138" w:right="230"/>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tabs>
          <w:tab w:pos="980" w:val="left" w:leader="none"/>
        </w:tabs>
        <w:spacing w:line="240" w:lineRule="auto" w:before="64"/>
        <w:ind w:left="560" w:right="107" w:hanging="423"/>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、根据相关协议，沈阳东软信息技术服务有限公司（现已更名为“东软云科技有限公司”）</w:t>
      </w:r>
    </w:p>
    <w:p>
      <w:pPr>
        <w:pStyle w:val="BodyText"/>
        <w:spacing w:line="237" w:lineRule="auto"/>
        <w:ind w:left="138" w:right="208"/>
        <w:jc w:val="both"/>
      </w:pPr>
      <w:r>
        <w:rPr/>
        <w:t>将其持有的大连发展</w:t>
      </w:r>
      <w:r>
        <w:rPr>
          <w:spacing w:val="-55"/>
        </w:rPr>
        <w:t> </w:t>
      </w:r>
      <w:r>
        <w:rPr>
          <w:rFonts w:ascii="宋体" w:hAnsi="宋体" w:cs="宋体" w:eastAsia="宋体" w:hint="default"/>
        </w:rPr>
        <w:t>60%</w:t>
      </w:r>
      <w:r>
        <w:rPr/>
        <w:t>的股权，以及本公司对成都东软学院、南海东软信息技术职业学院（现</w:t>
      </w:r>
      <w:r>
        <w:rPr>
          <w:w w:val="100"/>
        </w:rPr>
        <w:t> </w:t>
      </w:r>
      <w:r>
        <w:rPr>
          <w:spacing w:val="-2"/>
        </w:rPr>
        <w:t>已更名为“广东东软学院”）、大连东软信息学院、大连东软信息技术职业学院的举办者出资全</w:t>
      </w:r>
      <w:r>
        <w:rPr>
          <w:spacing w:val="-25"/>
        </w:rPr>
        <w:t> </w:t>
      </w:r>
      <w:r>
        <w:rPr>
          <w:spacing w:val="-25"/>
        </w:rPr>
      </w:r>
      <w:r>
        <w:rPr>
          <w:spacing w:val="-3"/>
        </w:rPr>
        <w:t>部转让给大连东软控股有限公司。</w:t>
      </w:r>
      <w:r>
        <w:rPr>
          <w:rFonts w:ascii="宋体" w:hAnsi="宋体" w:cs="宋体" w:eastAsia="宋体" w:hint="default"/>
          <w:spacing w:val="-3"/>
        </w:rPr>
        <w:t>2012 </w:t>
      </w:r>
      <w:r>
        <w:rPr>
          <w:spacing w:val="-3"/>
        </w:rPr>
        <w:t>年度，本公司及沈阳东软信息技术服务有限公司根据合同</w:t>
      </w:r>
      <w:r>
        <w:rPr>
          <w:spacing w:val="-71"/>
        </w:rPr>
        <w:t> </w:t>
      </w:r>
      <w:r>
        <w:rPr>
          <w:spacing w:val="-71"/>
        </w:rPr>
      </w:r>
      <w:r>
        <w:rPr/>
        <w:t>约定收到全部股权转让款</w:t>
      </w:r>
      <w:r>
        <w:rPr>
          <w:spacing w:val="-57"/>
        </w:rPr>
        <w:t> </w:t>
      </w:r>
      <w:r>
        <w:rPr>
          <w:rFonts w:ascii="宋体" w:hAnsi="宋体" w:cs="宋体" w:eastAsia="宋体" w:hint="default"/>
        </w:rPr>
        <w:t>44,234</w:t>
      </w:r>
      <w:r>
        <w:rPr>
          <w:rFonts w:ascii="宋体" w:hAnsi="宋体" w:cs="宋体" w:eastAsia="宋体" w:hint="default"/>
          <w:spacing w:val="-55"/>
        </w:rPr>
        <w:t> </w:t>
      </w:r>
      <w:r>
        <w:rPr/>
        <w:t>万元，并已办理完大连发展的股权变更登记手续。</w:t>
      </w:r>
      <w:r>
        <w:rPr>
          <w:rFonts w:ascii="宋体" w:hAnsi="宋体" w:cs="宋体" w:eastAsia="宋体" w:hint="default"/>
        </w:rPr>
        <w:t>2013</w:t>
      </w:r>
      <w:r>
        <w:rPr>
          <w:rFonts w:ascii="宋体" w:hAnsi="宋体" w:cs="宋体" w:eastAsia="宋体" w:hint="default"/>
          <w:spacing w:val="-55"/>
        </w:rPr>
        <w:t> </w:t>
      </w:r>
      <w:r>
        <w:rPr/>
        <w:t>年度，</w:t>
      </w:r>
      <w:r>
        <w:rPr>
          <w:w w:val="100"/>
        </w:rPr>
        <w:t> </w:t>
      </w:r>
      <w:r>
        <w:rPr>
          <w:spacing w:val="-2"/>
        </w:rPr>
        <w:t>本公司对南海东软信息技术职业学院、大连东软信息学院、大连东软信息技术职业学院的举办者</w:t>
      </w:r>
      <w:r>
        <w:rPr>
          <w:spacing w:val="-25"/>
        </w:rPr>
        <w:t> </w:t>
      </w:r>
      <w:r>
        <w:rPr>
          <w:spacing w:val="-25"/>
        </w:rPr>
      </w:r>
      <w:r>
        <w:rPr>
          <w:spacing w:val="-2"/>
        </w:rPr>
        <w:t>出资的变更手续办理完毕。本报告期内，本公司对成都东软学院的举办者出资的变更手续已办理</w:t>
      </w:r>
      <w:r>
        <w:rPr>
          <w:spacing w:val="-25"/>
        </w:rPr>
        <w:t> </w:t>
      </w:r>
      <w:r>
        <w:rPr>
          <w:spacing w:val="-25"/>
        </w:rPr>
      </w:r>
      <w:r>
        <w:rPr/>
        <w:t>完毕。</w:t>
      </w:r>
    </w:p>
    <w:p>
      <w:pPr>
        <w:spacing w:after="0" w:line="237" w:lineRule="auto"/>
        <w:jc w:val="both"/>
        <w:sectPr>
          <w:pgSz w:w="11910" w:h="16840"/>
          <w:pgMar w:header="946" w:footer="1248" w:top="1300" w:bottom="1440" w:left="1660" w:right="1060"/>
        </w:sectPr>
      </w:pPr>
    </w:p>
    <w:p>
      <w:pPr>
        <w:spacing w:line="240" w:lineRule="auto" w:before="2"/>
        <w:rPr>
          <w:rFonts w:ascii="宋体" w:hAnsi="宋体" w:cs="宋体" w:eastAsia="宋体" w:hint="default"/>
          <w:sz w:val="11"/>
          <w:szCs w:val="11"/>
        </w:rPr>
      </w:pPr>
    </w:p>
    <w:p>
      <w:pPr>
        <w:pStyle w:val="BodyText"/>
        <w:spacing w:line="237" w:lineRule="auto" w:before="38"/>
        <w:ind w:left="118" w:right="207" w:firstLine="419"/>
        <w:jc w:val="both"/>
      </w:pPr>
      <w:r>
        <w:rPr>
          <w:rFonts w:ascii="宋体" w:hAnsi="宋体" w:cs="宋体" w:eastAsia="宋体" w:hint="default"/>
        </w:rPr>
        <w:t>2.</w:t>
      </w:r>
      <w:r>
        <w:rPr/>
        <w:t>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5"/>
        </w:rPr>
        <w:t> </w:t>
      </w:r>
      <w:r>
        <w:rPr/>
        <w:t>日召开的公司七届三十六次董事会以现场表决方式在沈阳召开，会议审</w:t>
      </w:r>
      <w:r>
        <w:rPr>
          <w:w w:val="100"/>
        </w:rPr>
        <w:t> </w:t>
      </w:r>
      <w:r>
        <w:rPr>
          <w:spacing w:val="-2"/>
        </w:rPr>
        <w:t>议通过了《关于东软（澄迈）置业有限公司增资的议案》，董事会同意东软集团（海南）有限公</w:t>
      </w:r>
      <w:r>
        <w:rPr>
          <w:spacing w:val="-25"/>
        </w:rPr>
        <w:t> </w:t>
      </w:r>
      <w:r>
        <w:rPr>
          <w:spacing w:val="-25"/>
        </w:rPr>
      </w:r>
      <w:r>
        <w:rPr>
          <w:spacing w:val="-2"/>
        </w:rPr>
        <w:t>司（以下简称“东软海南”）、东软澄迈与大连云舍签订《增资协议》，大连云舍以货币方式认</w:t>
      </w:r>
      <w:r>
        <w:rPr>
          <w:spacing w:val="-26"/>
        </w:rPr>
        <w:t> </w:t>
      </w:r>
      <w:r>
        <w:rPr>
          <w:spacing w:val="-26"/>
        </w:rPr>
      </w:r>
      <w:r>
        <w:rPr>
          <w:spacing w:val="-1"/>
          <w:w w:val="100"/>
        </w:rPr>
        <w:t>缴东软澄迈</w:t>
      </w:r>
      <w:r>
        <w:rPr>
          <w:spacing w:val="-74"/>
          <w:w w:val="100"/>
        </w:rPr>
        <w:t> </w:t>
      </w:r>
      <w:r>
        <w:rPr>
          <w:rFonts w:ascii="宋体" w:hAnsi="宋体" w:cs="宋体" w:eastAsia="宋体" w:hint="default"/>
          <w:spacing w:val="-1"/>
          <w:w w:val="100"/>
        </w:rPr>
        <w:t>40,365,735</w:t>
      </w:r>
      <w:r>
        <w:rPr>
          <w:rFonts w:ascii="宋体" w:hAnsi="宋体" w:cs="宋体" w:eastAsia="宋体" w:hint="default"/>
          <w:spacing w:val="-76"/>
          <w:w w:val="100"/>
        </w:rPr>
        <w:t> </w:t>
      </w:r>
      <w:r>
        <w:rPr>
          <w:spacing w:val="-8"/>
          <w:w w:val="100"/>
        </w:rPr>
        <w:t>元新增注册资本出资额，增资价格为</w:t>
      </w:r>
      <w:r>
        <w:rPr>
          <w:spacing w:val="-74"/>
          <w:w w:val="100"/>
        </w:rPr>
        <w:t> </w:t>
      </w:r>
      <w:r>
        <w:rPr>
          <w:rFonts w:ascii="宋体" w:hAnsi="宋体" w:cs="宋体" w:eastAsia="宋体" w:hint="default"/>
          <w:spacing w:val="-1"/>
          <w:w w:val="100"/>
        </w:rPr>
        <w:t>1.19</w:t>
      </w:r>
      <w:r>
        <w:rPr>
          <w:rFonts w:ascii="宋体" w:hAnsi="宋体" w:cs="宋体" w:eastAsia="宋体" w:hint="default"/>
          <w:spacing w:val="-74"/>
          <w:w w:val="100"/>
        </w:rPr>
        <w:t> </w:t>
      </w:r>
      <w:r>
        <w:rPr>
          <w:spacing w:val="-22"/>
          <w:w w:val="100"/>
        </w:rPr>
        <w:t>元</w:t>
      </w:r>
      <w:r>
        <w:rPr>
          <w:rFonts w:ascii="宋体" w:hAnsi="宋体" w:cs="宋体" w:eastAsia="宋体" w:hint="default"/>
          <w:spacing w:val="-22"/>
          <w:w w:val="100"/>
        </w:rPr>
        <w:t>/</w:t>
      </w:r>
      <w:r>
        <w:rPr>
          <w:spacing w:val="-22"/>
          <w:w w:val="100"/>
        </w:rPr>
        <w:t>股（</w:t>
      </w:r>
      <w:r>
        <w:rPr>
          <w:rFonts w:ascii="宋体" w:hAnsi="宋体" w:cs="宋体" w:eastAsia="宋体" w:hint="default"/>
          <w:spacing w:val="-22"/>
          <w:w w:val="100"/>
        </w:rPr>
        <w:t>1</w:t>
      </w:r>
      <w:r>
        <w:rPr>
          <w:rFonts w:ascii="宋体" w:hAnsi="宋体" w:cs="宋体" w:eastAsia="宋体" w:hint="default"/>
          <w:spacing w:val="-77"/>
          <w:w w:val="100"/>
        </w:rPr>
        <w:t> </w:t>
      </w:r>
      <w:r>
        <w:rPr>
          <w:spacing w:val="-1"/>
          <w:w w:val="100"/>
        </w:rPr>
        <w:t>股等于</w:t>
      </w:r>
      <w:r>
        <w:rPr>
          <w:spacing w:val="-74"/>
          <w:w w:val="100"/>
        </w:rPr>
        <w:t> </w:t>
      </w:r>
      <w:r>
        <w:rPr>
          <w:rFonts w:ascii="宋体" w:hAnsi="宋体" w:cs="宋体" w:eastAsia="宋体" w:hint="default"/>
          <w:w w:val="100"/>
        </w:rPr>
        <w:t>1</w:t>
      </w:r>
      <w:r>
        <w:rPr>
          <w:rFonts w:ascii="宋体" w:hAnsi="宋体" w:cs="宋体" w:eastAsia="宋体" w:hint="default"/>
          <w:spacing w:val="-74"/>
          <w:w w:val="100"/>
        </w:rPr>
        <w:t> </w:t>
      </w:r>
      <w:r>
        <w:rPr>
          <w:spacing w:val="-16"/>
          <w:w w:val="100"/>
        </w:rPr>
        <w:t>元注册资本），</w:t>
      </w:r>
    </w:p>
    <w:p>
      <w:pPr>
        <w:pStyle w:val="BodyText"/>
        <w:spacing w:line="237" w:lineRule="auto"/>
        <w:ind w:left="118" w:right="208"/>
        <w:jc w:val="both"/>
      </w:pPr>
      <w:r>
        <w:rPr/>
        <w:t>增资总金额为</w:t>
      </w:r>
      <w:r>
        <w:rPr>
          <w:spacing w:val="-31"/>
        </w:rPr>
        <w:t> </w:t>
      </w:r>
      <w:r>
        <w:rPr>
          <w:rFonts w:ascii="宋体" w:hAnsi="宋体" w:cs="宋体" w:eastAsia="宋体" w:hint="default"/>
        </w:rPr>
        <w:t>48,144,520</w:t>
      </w:r>
      <w:r>
        <w:rPr>
          <w:rFonts w:ascii="宋体" w:hAnsi="宋体" w:cs="宋体" w:eastAsia="宋体" w:hint="default"/>
          <w:spacing w:val="-34"/>
        </w:rPr>
        <w:t> </w:t>
      </w:r>
      <w:r>
        <w:rPr>
          <w:spacing w:val="-5"/>
        </w:rPr>
        <w:t>元，超出注册资本的部分计入资本公积，东软海南放弃优先认购前述新</w:t>
      </w:r>
      <w:r>
        <w:rPr>
          <w:spacing w:val="-96"/>
        </w:rPr>
        <w:t> </w:t>
      </w:r>
      <w:r>
        <w:rPr>
          <w:spacing w:val="-96"/>
        </w:rPr>
      </w:r>
      <w:r>
        <w:rPr>
          <w:spacing w:val="-3"/>
        </w:rPr>
        <w:t>增注册资本的权利。</w:t>
      </w:r>
      <w:r>
        <w:rPr>
          <w:rFonts w:ascii="宋体" w:hAnsi="宋体" w:cs="宋体" w:eastAsia="宋体" w:hint="default"/>
          <w:spacing w:val="-3"/>
        </w:rPr>
        <w:t>2017</w:t>
      </w:r>
      <w:r>
        <w:rPr>
          <w:rFonts w:ascii="宋体" w:hAnsi="宋体" w:cs="宋体" w:eastAsia="宋体" w:hint="default"/>
          <w:spacing w:val="-33"/>
        </w:rPr>
        <w:t> </w:t>
      </w:r>
      <w:r>
        <w:rPr/>
        <w:t>年</w:t>
      </w:r>
      <w:r>
        <w:rPr>
          <w:spacing w:val="-31"/>
        </w:rPr>
        <w:t> </w:t>
      </w:r>
      <w:r>
        <w:rPr>
          <w:rFonts w:ascii="宋体" w:hAnsi="宋体" w:cs="宋体" w:eastAsia="宋体" w:hint="default"/>
        </w:rPr>
        <w:t>6</w:t>
      </w:r>
      <w:r>
        <w:rPr>
          <w:rFonts w:ascii="宋体" w:hAnsi="宋体" w:cs="宋体" w:eastAsia="宋体" w:hint="default"/>
          <w:spacing w:val="-31"/>
        </w:rPr>
        <w:t> </w:t>
      </w:r>
      <w:r>
        <w:rPr>
          <w:spacing w:val="-3"/>
        </w:rPr>
        <w:t>月初，投资者已按协议约定的数额一次性缴付增资款。至此本公司</w:t>
      </w:r>
      <w:r>
        <w:rPr>
          <w:spacing w:val="-95"/>
        </w:rPr>
        <w:t> </w:t>
      </w:r>
      <w:r>
        <w:rPr>
          <w:spacing w:val="-95"/>
        </w:rPr>
      </w:r>
      <w:r>
        <w:rPr/>
        <w:t>不再拥有对东软澄迈的控制权，不再将东软澄迈纳入公司的合并报表范围。</w:t>
      </w:r>
    </w:p>
    <w:p>
      <w:pPr>
        <w:pStyle w:val="BodyText"/>
        <w:spacing w:line="237" w:lineRule="auto" w:before="1"/>
        <w:ind w:left="118" w:right="208" w:firstLine="419"/>
        <w:jc w:val="both"/>
        <w:rPr>
          <w:rFonts w:ascii="宋体" w:hAnsi="宋体" w:cs="宋体" w:eastAsia="宋体" w:hint="default"/>
        </w:rPr>
      </w:pPr>
      <w:r>
        <w:rPr>
          <w:rFonts w:ascii="宋体" w:hAnsi="宋体" w:cs="宋体" w:eastAsia="宋体" w:hint="default"/>
        </w:rPr>
        <w:t>3.</w:t>
      </w:r>
      <w:r>
        <w:rPr/>
        <w:t>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2"/>
        </w:rPr>
        <w:t> </w:t>
      </w:r>
      <w:r>
        <w:rPr>
          <w:rFonts w:ascii="宋体" w:hAnsi="宋体" w:cs="宋体" w:eastAsia="宋体" w:hint="default"/>
        </w:rPr>
        <w:t>14</w:t>
      </w:r>
      <w:r>
        <w:rPr>
          <w:rFonts w:ascii="宋体" w:hAnsi="宋体" w:cs="宋体" w:eastAsia="宋体" w:hint="default"/>
          <w:spacing w:val="-53"/>
        </w:rPr>
        <w:t> </w:t>
      </w:r>
      <w:r>
        <w:rPr/>
        <w:t>日召开的公司八届九次董事会、于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日召开的公司</w:t>
      </w:r>
      <w:r>
        <w:rPr>
          <w:spacing w:val="-52"/>
        </w:rPr>
        <w:t> </w:t>
      </w:r>
      <w:r>
        <w:rPr>
          <w:rFonts w:ascii="宋体" w:hAnsi="宋体" w:cs="宋体" w:eastAsia="宋体" w:hint="default"/>
        </w:rPr>
        <w:t>2017</w:t>
      </w:r>
      <w:r>
        <w:rPr>
          <w:rFonts w:ascii="宋体" w:hAnsi="宋体" w:cs="宋体" w:eastAsia="宋体" w:hint="default"/>
          <w:w w:val="100"/>
        </w:rPr>
        <w:t> </w:t>
      </w:r>
      <w:r>
        <w:rPr>
          <w:spacing w:val="-2"/>
        </w:rPr>
        <w:t>年第三次临时股东大会审议通过了《关于对子公司北京东软望海科技有限公司增资的议案》，股</w:t>
      </w:r>
      <w:r>
        <w:rPr>
          <w:spacing w:val="-25"/>
        </w:rPr>
        <w:t> </w:t>
      </w:r>
      <w:r>
        <w:rPr>
          <w:spacing w:val="-25"/>
        </w:rPr>
      </w:r>
      <w:r>
        <w:rPr>
          <w:spacing w:val="-2"/>
        </w:rPr>
        <w:t>东大会同意本公司、东软望海与上海瑜锦投资合伙企业（有限合伙）、中国平安人寿保险股份有</w:t>
      </w:r>
      <w:r>
        <w:rPr>
          <w:spacing w:val="-26"/>
        </w:rPr>
        <w:t> </w:t>
      </w:r>
      <w:r>
        <w:rPr>
          <w:spacing w:val="-26"/>
        </w:rPr>
      </w:r>
      <w:r>
        <w:rPr>
          <w:spacing w:val="-6"/>
        </w:rPr>
        <w:t>限公司、泰康人寿保险有限责任公司、东软控股、天津恒曜星林管理咨询合伙企业（有限合伙）、</w:t>
      </w:r>
      <w:r>
        <w:rPr>
          <w:spacing w:val="-53"/>
        </w:rPr>
        <w:t> </w:t>
      </w:r>
      <w:r>
        <w:rPr>
          <w:spacing w:val="-53"/>
        </w:rPr>
      </w:r>
      <w:r>
        <w:rPr>
          <w:spacing w:val="-2"/>
        </w:rPr>
        <w:t>天津东蕴晨阳管理咨询合伙企业（有限合伙）、段成惠共同签订《投资协议》，对东软望海进行</w:t>
      </w:r>
      <w:r>
        <w:rPr>
          <w:spacing w:val="-25"/>
        </w:rPr>
        <w:t> </w:t>
      </w:r>
      <w:r>
        <w:rPr>
          <w:spacing w:val="-25"/>
        </w:rPr>
      </w:r>
      <w:r>
        <w:rPr/>
        <w:t>增资（“本次投资”），根据此前已签署的《补充股权激励协议》向段成惠授予</w:t>
      </w:r>
      <w:r>
        <w:rPr>
          <w:spacing w:val="-53"/>
        </w:rPr>
        <w:t> </w:t>
      </w:r>
      <w:r>
        <w:rPr>
          <w:rFonts w:ascii="宋体" w:hAnsi="宋体" w:cs="宋体" w:eastAsia="宋体" w:hint="default"/>
        </w:rPr>
        <w:t>1,573,164</w:t>
      </w:r>
      <w:r>
        <w:rPr>
          <w:rFonts w:ascii="宋体" w:hAnsi="宋体" w:cs="宋体" w:eastAsia="宋体" w:hint="default"/>
          <w:spacing w:val="-56"/>
        </w:rPr>
        <w:t> </w:t>
      </w:r>
      <w:r>
        <w:rPr/>
        <w:t>股奖</w:t>
      </w:r>
      <w:r>
        <w:rPr>
          <w:w w:val="100"/>
        </w:rPr>
        <w:t> </w:t>
      </w:r>
      <w:r>
        <w:rPr>
          <w:spacing w:val="-2"/>
        </w:rPr>
        <w:t>励性股权的事宜将同步进行。同时，本公司、上海瑜锦投资合伙企业（有限合伙）、中国平安人</w:t>
      </w:r>
      <w:r>
        <w:rPr>
          <w:spacing w:val="-24"/>
        </w:rPr>
        <w:t> </w:t>
      </w:r>
      <w:r>
        <w:rPr>
          <w:spacing w:val="-24"/>
        </w:rPr>
      </w:r>
      <w:r>
        <w:rPr>
          <w:spacing w:val="-2"/>
        </w:rPr>
        <w:t>寿保险股份有限公司、泰康人寿保险有限责任公司、东软控股同意在现有激励安排的基础上，增</w:t>
      </w:r>
      <w:r>
        <w:rPr>
          <w:spacing w:val="-25"/>
        </w:rPr>
        <w:t> </w:t>
      </w:r>
      <w:r>
        <w:rPr>
          <w:spacing w:val="-25"/>
        </w:rPr>
      </w:r>
      <w:r>
        <w:rPr/>
        <w:t>加限制性股权、股权期权、奖励性股权等激励安排。具体内容，详见本公司于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15</w:t>
      </w:r>
    </w:p>
    <w:p>
      <w:pPr>
        <w:pStyle w:val="BodyText"/>
        <w:spacing w:line="271" w:lineRule="exact"/>
        <w:ind w:left="118" w:right="96"/>
        <w:jc w:val="left"/>
      </w:pPr>
      <w:r>
        <w:rPr>
          <w:spacing w:val="-3"/>
        </w:rPr>
        <w:t>日、</w:t>
      </w:r>
      <w:r>
        <w:rPr>
          <w:rFonts w:ascii="宋体" w:hAnsi="宋体" w:cs="宋体" w:eastAsia="宋体" w:hint="default"/>
          <w:spacing w:val="-3"/>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6</w:t>
      </w:r>
      <w:r>
        <w:rPr>
          <w:rFonts w:ascii="宋体" w:hAnsi="宋体" w:cs="宋体" w:eastAsia="宋体" w:hint="default"/>
          <w:spacing w:val="-49"/>
        </w:rPr>
        <w:t> </w:t>
      </w:r>
      <w:r>
        <w:rPr>
          <w:spacing w:val="-4"/>
        </w:rPr>
        <w:t>日刊登在《中国证券报》、《上海证券报》上的相关公告。</w:t>
      </w:r>
      <w:r>
        <w:rPr>
          <w:rFonts w:ascii="宋体" w:hAnsi="宋体" w:cs="宋体" w:eastAsia="宋体" w:hint="default"/>
          <w:spacing w:val="-4"/>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spacing w:val="-5"/>
        </w:rPr>
        <w:t>月，本</w:t>
      </w:r>
    </w:p>
    <w:p>
      <w:pPr>
        <w:pStyle w:val="BodyText"/>
        <w:spacing w:line="272" w:lineRule="exact"/>
        <w:ind w:left="118" w:right="206"/>
        <w:jc w:val="left"/>
        <w:rPr>
          <w:rFonts w:ascii="宋体" w:hAnsi="宋体" w:cs="宋体" w:eastAsia="宋体" w:hint="default"/>
        </w:rPr>
      </w:pPr>
      <w:r>
        <w:rPr/>
        <w:t>次投资及东软望海同步向段成惠授予奖励性股权相关的工商变更登记手续办理完成。</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37" w:lineRule="auto"/>
        <w:ind w:left="118" w:right="104"/>
        <w:jc w:val="left"/>
      </w:pPr>
      <w:r>
        <w:rPr/>
        <w:t>月</w:t>
      </w:r>
      <w:r>
        <w:rPr>
          <w:spacing w:val="-52"/>
        </w:rPr>
        <w:t> </w:t>
      </w:r>
      <w:r>
        <w:rPr>
          <w:rFonts w:ascii="宋体" w:hAnsi="宋体" w:cs="宋体" w:eastAsia="宋体" w:hint="default"/>
        </w:rPr>
        <w:t>22</w:t>
      </w:r>
      <w:r>
        <w:rPr>
          <w:rFonts w:ascii="宋体" w:hAnsi="宋体" w:cs="宋体" w:eastAsia="宋体" w:hint="default"/>
          <w:spacing w:val="-54"/>
        </w:rPr>
        <w:t> </w:t>
      </w:r>
      <w:r>
        <w:rPr/>
        <w:t>日，本公司以及各投资人的本次增资价款均已全额支付至东软望海指定的银行账户。至此，</w:t>
      </w:r>
      <w:r>
        <w:rPr>
          <w:w w:val="100"/>
        </w:rPr>
        <w:t> </w:t>
      </w:r>
      <w:r>
        <w:rPr/>
        <w:t>本公司不再拥有对东软望海的控制权，不再将东软望海纳入公司的合并报表范围，公司对东软望</w:t>
      </w:r>
      <w:r>
        <w:rPr>
          <w:w w:val="100"/>
        </w:rPr>
        <w:t> </w:t>
      </w:r>
      <w:r>
        <w:rPr/>
        <w:t>海确认的税后视同处置收益及剩余股权按公允价值重估收益合计</w:t>
      </w:r>
      <w:r>
        <w:rPr>
          <w:spacing w:val="-54"/>
        </w:rPr>
        <w:t> </w:t>
      </w:r>
      <w:r>
        <w:rPr>
          <w:rFonts w:ascii="宋体" w:hAnsi="宋体" w:cs="宋体" w:eastAsia="宋体" w:hint="default"/>
        </w:rPr>
        <w:t>68,787</w:t>
      </w:r>
      <w:r>
        <w:rPr>
          <w:rFonts w:ascii="宋体" w:hAnsi="宋体" w:cs="宋体" w:eastAsia="宋体" w:hint="default"/>
          <w:spacing w:val="-54"/>
        </w:rPr>
        <w:t> </w:t>
      </w:r>
      <w:r>
        <w:rPr>
          <w:spacing w:val="-3"/>
        </w:rPr>
        <w:t>万元。</w:t>
      </w:r>
      <w:r>
        <w:rPr/>
      </w:r>
    </w:p>
    <w:p>
      <w:pPr>
        <w:spacing w:after="0" w:line="237" w:lineRule="auto"/>
        <w:jc w:val="left"/>
        <w:sectPr>
          <w:pgSz w:w="11910" w:h="16840"/>
          <w:pgMar w:header="946" w:footer="1248" w:top="1300" w:bottom="1440" w:left="1680" w:right="1060"/>
        </w:sectPr>
      </w:pPr>
    </w:p>
    <w:p>
      <w:pPr>
        <w:spacing w:line="240" w:lineRule="auto" w:before="1"/>
        <w:rPr>
          <w:rFonts w:ascii="宋体" w:hAnsi="宋体" w:cs="宋体" w:eastAsia="宋体" w:hint="default"/>
          <w:sz w:val="6"/>
          <w:szCs w:val="6"/>
        </w:rPr>
      </w:pPr>
    </w:p>
    <w:p>
      <w:pPr>
        <w:spacing w:line="360" w:lineRule="exact"/>
        <w:ind w:left="622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37"/>
          <w:footerReference w:type="default" r:id="rId138"/>
          <w:pgSz w:w="16840" w:h="11910" w:orient="landscape"/>
          <w:pgMar w:header="0" w:footer="0" w:top="860" w:bottom="280" w:left="1220" w:right="1300"/>
        </w:sectPr>
      </w:pPr>
    </w:p>
    <w:p>
      <w:pPr>
        <w:pStyle w:val="Heading2"/>
        <w:spacing w:line="240" w:lineRule="auto"/>
        <w:ind w:left="220" w:right="0"/>
        <w:jc w:val="left"/>
        <w:rPr>
          <w:b w:val="0"/>
          <w:bCs w:val="0"/>
        </w:rPr>
      </w:pPr>
      <w:r>
        <w:rPr/>
        <w:t>十七、母公司财务报表主要项目</w:t>
      </w:r>
      <w:r>
        <w:rPr>
          <w:b w:val="0"/>
          <w:bCs w:val="0"/>
        </w:rPr>
      </w:r>
    </w:p>
    <w:p>
      <w:pPr>
        <w:spacing w:before="55"/>
        <w:ind w:left="220" w:right="0"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spacing w:line="240" w:lineRule="auto" w:before="58"/>
        <w:ind w:left="220" w:right="0"/>
        <w:jc w:val="left"/>
        <w:rPr>
          <w:b w:val="0"/>
          <w:bCs w:val="0"/>
        </w:rPr>
      </w:pPr>
      <w:r>
        <w:rPr>
          <w:rFonts w:ascii="宋体" w:hAnsi="宋体" w:cs="宋体" w:eastAsia="宋体" w:hint="default"/>
        </w:rPr>
        <w:t>(1).</w:t>
      </w:r>
      <w:r>
        <w:rPr>
          <w:rFonts w:ascii="宋体" w:hAnsi="宋体" w:cs="宋体" w:eastAsia="宋体" w:hint="default"/>
          <w:spacing w:val="-2"/>
        </w:rPr>
        <w:t> </w:t>
      </w:r>
      <w:r>
        <w:rPr/>
        <w:t>应收账款分类披露：</w:t>
      </w:r>
      <w:r>
        <w:rPr>
          <w:b w:val="0"/>
          <w:bCs w:val="0"/>
        </w:rPr>
      </w:r>
    </w:p>
    <w:p>
      <w:pPr>
        <w:pStyle w:val="BodyText"/>
        <w:tabs>
          <w:tab w:pos="1062" w:val="left" w:leader="none"/>
        </w:tabs>
        <w:spacing w:line="240" w:lineRule="auto" w:before="64"/>
        <w:ind w:left="2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9054" w:space="2508"/>
            <w:col w:w="275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540"/>
        <w:gridCol w:w="1426"/>
        <w:gridCol w:w="698"/>
        <w:gridCol w:w="1219"/>
        <w:gridCol w:w="927"/>
        <w:gridCol w:w="1426"/>
        <w:gridCol w:w="1428"/>
        <w:gridCol w:w="701"/>
        <w:gridCol w:w="1217"/>
        <w:gridCol w:w="929"/>
        <w:gridCol w:w="1426"/>
      </w:tblGrid>
      <w:tr>
        <w:trPr>
          <w:trHeight w:val="281"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7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40" w:type="dxa"/>
            <w:vMerge/>
            <w:tcBorders>
              <w:left w:val="single" w:sz="4" w:space="0" w:color="000000"/>
              <w:right w:val="single" w:sz="4" w:space="0" w:color="000000"/>
            </w:tcBorders>
          </w:tcPr>
          <w:p>
            <w:pP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2540"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7" w:right="0"/>
              <w:jc w:val="left"/>
              <w:rPr>
                <w:rFonts w:ascii="宋体" w:hAnsi="宋体" w:cs="宋体" w:eastAsia="宋体" w:hint="default"/>
                <w:sz w:val="21"/>
                <w:szCs w:val="21"/>
              </w:rPr>
            </w:pPr>
            <w:r>
              <w:rPr>
                <w:rFonts w:ascii="宋体"/>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3"/>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7" w:right="0"/>
              <w:jc w:val="left"/>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5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379,849,897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center"/>
              <w:rPr>
                <w:rFonts w:ascii="宋体" w:hAnsi="宋体" w:cs="宋体" w:eastAsia="宋体" w:hint="default"/>
                <w:sz w:val="21"/>
                <w:szCs w:val="21"/>
              </w:rPr>
            </w:pPr>
            <w:r>
              <w:rPr>
                <w:rFonts w:ascii="宋体"/>
                <w:sz w:val="21"/>
              </w:rPr>
              <w:t>24.59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22,295,298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5.87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357,554,599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385,673,686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32.28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45,441,412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11.78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340,232,274</w:t>
            </w:r>
          </w:p>
        </w:tc>
      </w:tr>
      <w:tr>
        <w:trPr>
          <w:trHeight w:val="5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957,110,916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center"/>
              <w:rPr>
                <w:rFonts w:ascii="宋体" w:hAnsi="宋体" w:cs="宋体" w:eastAsia="宋体" w:hint="default"/>
                <w:sz w:val="21"/>
                <w:szCs w:val="21"/>
              </w:rPr>
            </w:pPr>
            <w:r>
              <w:rPr>
                <w:rFonts w:ascii="宋体"/>
                <w:sz w:val="21"/>
              </w:rPr>
              <w:t>61.97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29,516,311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927,594,605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554,389,389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46.4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8,331,074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546,058,315</w:t>
            </w:r>
          </w:p>
        </w:tc>
      </w:tr>
      <w:tr>
        <w:trPr>
          <w:trHeight w:val="557"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207,502,671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center"/>
              <w:rPr>
                <w:rFonts w:ascii="宋体" w:hAnsi="宋体" w:cs="宋体" w:eastAsia="宋体" w:hint="default"/>
                <w:sz w:val="21"/>
                <w:szCs w:val="21"/>
              </w:rPr>
            </w:pPr>
            <w:r>
              <w:rPr>
                <w:rFonts w:ascii="宋体"/>
                <w:sz w:val="21"/>
              </w:rPr>
              <w:t>13.44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74,734,335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36.02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132,768,336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254,656,025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21.32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66,495,038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26.11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188,160,987</w:t>
            </w:r>
          </w:p>
        </w:tc>
      </w:tr>
      <w:tr>
        <w:trPr>
          <w:trHeight w:val="28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1,544,463,484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126,545,944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1,417,917,540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1,194,719,100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120,267,524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1,074,451,576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580" w:bottom="280" w:left="1220" w:right="1300"/>
        </w:sectPr>
      </w:pPr>
    </w:p>
    <w:p>
      <w:pPr>
        <w:pStyle w:val="BodyText"/>
        <w:spacing w:line="240" w:lineRule="auto" w:before="36"/>
        <w:ind w:left="220" w:right="0"/>
        <w:jc w:val="left"/>
      </w:pPr>
      <w:r>
        <w:rPr>
          <w:spacing w:val="-2"/>
        </w:rPr>
        <w:t>期末单项金额重大并单项计提坏账准备的应收账款：</w:t>
      </w:r>
    </w:p>
    <w:p>
      <w:pPr>
        <w:pStyle w:val="BodyText"/>
        <w:spacing w:line="240" w:lineRule="auto" w:before="56"/>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5055" w:space="6508"/>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20"/>
        <w:gridCol w:w="2125"/>
        <w:gridCol w:w="2268"/>
        <w:gridCol w:w="2410"/>
        <w:gridCol w:w="4767"/>
      </w:tblGrid>
      <w:tr>
        <w:trPr>
          <w:trHeight w:val="283"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107"/>
              <w:ind w:left="310"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11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20" w:type="dxa"/>
            <w:vMerge/>
            <w:tcBorders>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162,985,733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8,775,064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134,851,191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5,788,121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4.29</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95%</w:t>
            </w:r>
            <w:r>
              <w:rPr>
                <w:rFonts w:ascii="宋体" w:hAnsi="宋体" w:cs="宋体" w:eastAsia="宋体" w:hint="default"/>
                <w:sz w:val="21"/>
                <w:szCs w:val="21"/>
              </w:rPr>
              <w:t>以上</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66,373,834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4,366,383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6.58</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15,639,139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3,365,730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21.52</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75%</w:t>
            </w:r>
            <w:r>
              <w:rPr>
                <w:rFonts w:ascii="宋体" w:hAnsi="宋体" w:cs="宋体" w:eastAsia="宋体" w:hint="default"/>
                <w:sz w:val="21"/>
                <w:szCs w:val="21"/>
              </w:rPr>
              <w:t>以上</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379,849,897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22,295,298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188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11"/>
        <w:rPr>
          <w:rFonts w:ascii="Calibri" w:hAnsi="Calibri" w:cs="Calibri" w:eastAsia="Calibri" w:hint="default"/>
          <w:b/>
          <w:bCs/>
          <w:sz w:val="16"/>
          <w:szCs w:val="16"/>
        </w:rPr>
      </w:pPr>
    </w:p>
    <w:p>
      <w:pPr>
        <w:spacing w:after="0" w:line="240" w:lineRule="auto"/>
        <w:rPr>
          <w:rFonts w:ascii="Calibri" w:hAnsi="Calibri" w:cs="Calibri" w:eastAsia="Calibri" w:hint="default"/>
          <w:sz w:val="16"/>
          <w:szCs w:val="16"/>
        </w:rPr>
        <w:sectPr>
          <w:headerReference w:type="default" r:id="rId139"/>
          <w:footerReference w:type="default" r:id="rId140"/>
          <w:pgSz w:w="11910" w:h="16840"/>
          <w:pgMar w:header="946" w:footer="0" w:top="1300" w:bottom="2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801,790,933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8,017,909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801,790,933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8,017,909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133,631,505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2,672,630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3,013,375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150,669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18,675,103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18,675,103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957,110,916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29,516,311</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760"/>
        <w:jc w:val="left"/>
      </w:pPr>
      <w:r>
        <w:rPr/>
        <w:t>组合中，采用余额百分比法计提坏账准备的应收账款：</w:t>
      </w:r>
    </w:p>
    <w:p>
      <w:pPr>
        <w:pStyle w:val="BodyText"/>
        <w:spacing w:line="240" w:lineRule="auto" w:before="56"/>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760"/>
        <w:jc w:val="left"/>
      </w:pPr>
      <w:r>
        <w:rPr/>
        <w:t>组合中，采用其他方法计提坏账准备的应收账款：</w:t>
      </w:r>
    </w:p>
    <w:p>
      <w:pPr>
        <w:pStyle w:val="BodyText"/>
        <w:spacing w:line="240" w:lineRule="auto" w:before="56"/>
        <w:ind w:right="2760"/>
        <w:jc w:val="left"/>
      </w:pPr>
      <w:r>
        <w:rPr/>
        <w:t>□适用</w:t>
      </w:r>
      <w:r>
        <w:rPr>
          <w:spacing w:val="-1"/>
        </w:rPr>
        <w:t> </w:t>
      </w:r>
      <w:r>
        <w:rPr/>
        <w:t>√不适用</w:t>
      </w:r>
    </w:p>
    <w:p>
      <w:pPr>
        <w:spacing w:line="240" w:lineRule="auto" w:before="5"/>
        <w:rPr>
          <w:rFonts w:ascii="宋体" w:hAnsi="宋体" w:cs="宋体" w:eastAsia="宋体" w:hint="default"/>
          <w:sz w:val="29"/>
          <w:szCs w:val="29"/>
        </w:rPr>
      </w:pPr>
    </w:p>
    <w:p>
      <w:pPr>
        <w:pStyle w:val="Heading2"/>
        <w:spacing w:line="240" w:lineRule="auto" w:before="0"/>
        <w:ind w:right="2760"/>
        <w:jc w:val="left"/>
        <w:rPr>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b w:val="0"/>
          <w:bCs w:val="0"/>
        </w:rPr>
      </w:r>
    </w:p>
    <w:p>
      <w:pPr>
        <w:pStyle w:val="BodyText"/>
        <w:spacing w:line="240" w:lineRule="auto" w:before="64"/>
        <w:ind w:left="638" w:right="226"/>
        <w:jc w:val="left"/>
      </w:pPr>
      <w:r>
        <w:rPr/>
        <w:t>本期计提坏账准备金额</w:t>
      </w:r>
      <w:r>
        <w:rPr>
          <w:spacing w:val="-54"/>
        </w:rPr>
        <w:t> </w:t>
      </w:r>
      <w:r>
        <w:rPr>
          <w:rFonts w:ascii="宋体" w:hAnsi="宋体" w:cs="宋体" w:eastAsia="宋体" w:hint="default"/>
        </w:rPr>
        <w:t>17,498,641</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11,220,221</w:t>
      </w:r>
      <w:r>
        <w:rPr>
          <w:rFonts w:ascii="宋体" w:hAnsi="宋体" w:cs="宋体" w:eastAsia="宋体" w:hint="default"/>
          <w:spacing w:val="-57"/>
        </w:rPr>
        <w:t> </w:t>
      </w:r>
      <w:r>
        <w:rPr/>
        <w:t>元。</w:t>
      </w:r>
    </w:p>
    <w:p>
      <w:pPr>
        <w:spacing w:line="240" w:lineRule="auto" w:before="8"/>
        <w:rPr>
          <w:rFonts w:ascii="宋体" w:hAnsi="宋体" w:cs="宋体" w:eastAsia="宋体" w:hint="default"/>
          <w:sz w:val="20"/>
          <w:szCs w:val="20"/>
        </w:rPr>
      </w:pPr>
    </w:p>
    <w:p>
      <w:pPr>
        <w:pStyle w:val="BodyText"/>
        <w:spacing w:line="274" w:lineRule="exact"/>
        <w:ind w:right="2760"/>
        <w:jc w:val="left"/>
      </w:pPr>
      <w:r>
        <w:rPr/>
        <w:t>其中本期坏账准备收回或转回金额重要的：</w:t>
      </w:r>
    </w:p>
    <w:p>
      <w:pPr>
        <w:pStyle w:val="BodyText"/>
        <w:spacing w:line="274" w:lineRule="exact"/>
        <w:ind w:right="2760"/>
        <w:jc w:val="left"/>
      </w:pPr>
      <w:r>
        <w:rPr/>
        <w:t>□适用</w:t>
      </w:r>
      <w:r>
        <w:rPr>
          <w:spacing w:val="-1"/>
        </w:rPr>
        <w:t> </w:t>
      </w:r>
      <w:r>
        <w:rPr/>
        <w:t>√不适用</w:t>
      </w:r>
    </w:p>
    <w:p>
      <w:pPr>
        <w:spacing w:line="240" w:lineRule="auto" w:before="7"/>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本期实际核销的应收账款情况</w:t>
      </w:r>
      <w:r>
        <w:rPr>
          <w:b w:val="0"/>
          <w:bCs w:val="0"/>
        </w:rPr>
      </w:r>
    </w:p>
    <w:p>
      <w:pPr>
        <w:pStyle w:val="BodyText"/>
        <w:spacing w:line="240" w:lineRule="auto" w:before="64"/>
        <w:ind w:right="276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right="2760"/>
        <w:jc w:val="left"/>
      </w:pPr>
      <w:r>
        <w:rPr/>
        <w:t>其中重要的应收账款核销情况</w:t>
      </w:r>
    </w:p>
    <w:p>
      <w:pPr>
        <w:pStyle w:val="BodyText"/>
        <w:spacing w:line="275" w:lineRule="exact"/>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4"/>
        </w:rPr>
        <w:t> </w:t>
      </w:r>
      <w:r>
        <w:rPr/>
        <w:t>按欠款方归集的期末余额前五名的应收账款情况：</w:t>
      </w:r>
      <w:r>
        <w:rPr>
          <w:b w:val="0"/>
          <w:bCs w:val="0"/>
        </w:rPr>
      </w:r>
    </w:p>
    <w:p>
      <w:pPr>
        <w:pStyle w:val="BodyText"/>
        <w:tabs>
          <w:tab w:pos="1060" w:val="left" w:leader="none"/>
        </w:tabs>
        <w:spacing w:line="240" w:lineRule="auto" w:before="61"/>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52"/>
        <w:ind w:right="0"/>
        <w:jc w:val="left"/>
      </w:pPr>
      <w:r>
        <w:rPr/>
        <w:t>单位：</w:t>
      </w:r>
      <w:r>
        <w:rPr>
          <w:spacing w:val="2"/>
        </w:rPr>
        <w:t> </w:t>
      </w:r>
      <w:r>
        <w:rPr/>
        <w:t>元</w:t>
        <w:tab/>
        <w:t>币种：</w:t>
      </w:r>
      <w:r>
        <w:rPr>
          <w:spacing w:val="-1"/>
        </w:rPr>
        <w:t> </w:t>
      </w:r>
      <w:r>
        <w:rPr/>
        <w:t>人民币</w:t>
      </w:r>
    </w:p>
    <w:p>
      <w:pPr>
        <w:spacing w:after="0" w:line="240" w:lineRule="auto"/>
        <w:jc w:val="left"/>
        <w:sectPr>
          <w:type w:val="continuous"/>
          <w:pgSz w:w="11910" w:h="16840"/>
          <w:pgMar w:top="1580" w:bottom="280" w:left="1580" w:right="1040"/>
          <w:cols w:num="2" w:equalWidth="0">
            <w:col w:w="6123" w:space="18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846"/>
        <w:gridCol w:w="3260"/>
        <w:gridCol w:w="1426"/>
      </w:tblGrid>
      <w:tr>
        <w:trPr>
          <w:trHeight w:val="370"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2" w:hRule="exact"/>
        </w:trPr>
        <w:tc>
          <w:tcPr>
            <w:tcW w:w="2518"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9" w:right="0"/>
              <w:jc w:val="left"/>
              <w:rPr>
                <w:rFonts w:ascii="宋体" w:hAnsi="宋体" w:cs="宋体" w:eastAsia="宋体" w:hint="default"/>
                <w:sz w:val="21"/>
                <w:szCs w:val="21"/>
              </w:rPr>
            </w:pPr>
            <w:r>
              <w:rPr>
                <w:rFonts w:ascii="宋体" w:hAnsi="宋体" w:cs="宋体" w:eastAsia="宋体" w:hint="default"/>
                <w:sz w:val="21"/>
                <w:szCs w:val="21"/>
              </w:rPr>
              <w:t>占应收账款合计数的比例</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名汇总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sz w:val="21"/>
              </w:rPr>
              <w:t>535,981,013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43,683,165</w:t>
            </w:r>
          </w:p>
        </w:tc>
      </w:tr>
    </w:tbl>
    <w:p>
      <w:pPr>
        <w:spacing w:line="240" w:lineRule="auto" w:before="6"/>
        <w:rPr>
          <w:rFonts w:ascii="宋体" w:hAnsi="宋体" w:cs="宋体" w:eastAsia="宋体" w:hint="default"/>
          <w:sz w:val="20"/>
          <w:szCs w:val="20"/>
        </w:rPr>
      </w:pPr>
    </w:p>
    <w:p>
      <w:pPr>
        <w:pStyle w:val="Heading2"/>
        <w:spacing w:line="240" w:lineRule="auto"/>
        <w:ind w:right="2760"/>
        <w:jc w:val="left"/>
        <w:rPr>
          <w:b w:val="0"/>
          <w:bCs w:val="0"/>
        </w:rPr>
      </w:pPr>
      <w:r>
        <w:rPr>
          <w:rFonts w:ascii="宋体" w:hAnsi="宋体" w:cs="宋体" w:eastAsia="宋体" w:hint="default"/>
        </w:rPr>
        <w:t>(5).</w:t>
      </w:r>
      <w:r>
        <w:rPr>
          <w:rFonts w:ascii="宋体" w:hAnsi="宋体" w:cs="宋体" w:eastAsia="宋体" w:hint="default"/>
          <w:spacing w:val="-3"/>
        </w:rPr>
        <w:t> </w:t>
      </w:r>
      <w:r>
        <w:rPr/>
        <w:t>因金融资产转移而终止确认的应收账款：</w:t>
      </w:r>
      <w:r>
        <w:rPr>
          <w:b w:val="0"/>
          <w:bCs w:val="0"/>
        </w:rPr>
      </w:r>
    </w:p>
    <w:p>
      <w:pPr>
        <w:pStyle w:val="BodyText"/>
        <w:tabs>
          <w:tab w:pos="1060" w:val="left" w:leader="none"/>
        </w:tabs>
        <w:spacing w:line="240" w:lineRule="auto" w:before="62"/>
        <w:ind w:right="2760"/>
        <w:jc w:val="left"/>
      </w:pPr>
      <w:r>
        <w:rPr>
          <w:spacing w:val="-1"/>
        </w:rPr>
        <w:t>□适用</w:t>
        <w:tab/>
      </w:r>
      <w:r>
        <w:rPr>
          <w:spacing w:val="-2"/>
        </w:rPr>
        <w:t>√不适用</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580" w:right="1040"/>
        </w:sectPr>
      </w:pPr>
    </w:p>
    <w:p>
      <w:pPr>
        <w:spacing w:line="240" w:lineRule="auto" w:before="3"/>
        <w:rPr>
          <w:rFonts w:ascii="宋体" w:hAnsi="宋体" w:cs="宋体" w:eastAsia="宋体" w:hint="default"/>
          <w:sz w:val="19"/>
          <w:szCs w:val="19"/>
        </w:rPr>
      </w:pPr>
    </w:p>
    <w:p>
      <w:pPr>
        <w:pStyle w:val="BodyText"/>
        <w:spacing w:line="240" w:lineRule="auto"/>
        <w:ind w:right="-14"/>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18" w:right="0" w:firstLine="0"/>
        <w:jc w:val="left"/>
        <w:rPr>
          <w:rFonts w:ascii="Calibri" w:hAnsi="Calibri" w:cs="Calibri" w:eastAsia="Calibri" w:hint="default"/>
          <w:sz w:val="18"/>
          <w:szCs w:val="18"/>
        </w:rPr>
      </w:pPr>
      <w:r>
        <w:rPr/>
        <w:br w:type="column"/>
      </w:r>
      <w:r>
        <w:rPr>
          <w:rFonts w:ascii="Calibri"/>
          <w:b/>
          <w:sz w:val="18"/>
        </w:rPr>
        <w:t>189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580" w:right="1040"/>
          <w:cols w:num="2" w:equalWidth="0">
            <w:col w:w="3896" w:space="4241"/>
            <w:col w:w="1153"/>
          </w:cols>
        </w:sectPr>
      </w:pPr>
    </w:p>
    <w:p>
      <w:pPr>
        <w:spacing w:line="240" w:lineRule="auto" w:before="6"/>
        <w:rPr>
          <w:rFonts w:ascii="Calibri" w:hAnsi="Calibri" w:cs="Calibri" w:eastAsia="Calibri" w:hint="default"/>
          <w:b/>
          <w:bCs/>
          <w:sz w:val="6"/>
          <w:szCs w:val="6"/>
        </w:rPr>
      </w:pPr>
    </w:p>
    <w:p>
      <w:pPr>
        <w:spacing w:line="360" w:lineRule="exact"/>
        <w:ind w:left="6140"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141"/>
          <w:footerReference w:type="default" r:id="rId142"/>
          <w:pgSz w:w="16840" w:h="11910" w:orient="landscape"/>
          <w:pgMar w:header="0" w:footer="0" w:top="860" w:bottom="280" w:left="1300" w:right="1380"/>
        </w:sectPr>
      </w:pPr>
    </w:p>
    <w:p>
      <w:pPr>
        <w:pStyle w:val="Heading2"/>
        <w:spacing w:line="240" w:lineRule="auto"/>
        <w:ind w:left="140" w:right="0"/>
        <w:jc w:val="left"/>
        <w:rPr>
          <w:b w:val="0"/>
          <w:bCs w:val="0"/>
        </w:rPr>
      </w:pPr>
      <w:r>
        <w:rPr>
          <w:rFonts w:ascii="宋体" w:hAnsi="宋体" w:cs="宋体" w:eastAsia="宋体" w:hint="default"/>
        </w:rPr>
        <w:t>(6).</w:t>
      </w:r>
      <w:r>
        <w:rPr>
          <w:rFonts w:ascii="宋体" w:hAnsi="宋体" w:cs="宋体" w:eastAsia="宋体" w:hint="default"/>
          <w:spacing w:val="-3"/>
        </w:rPr>
        <w:t> </w:t>
      </w:r>
      <w:r>
        <w:rPr/>
        <w:t>转移应收账款且继续涉入形成的资产、负债金额：</w:t>
      </w:r>
      <w:r>
        <w:rPr>
          <w:b w:val="0"/>
          <w:bCs w:val="0"/>
        </w:rPr>
      </w:r>
    </w:p>
    <w:p>
      <w:pPr>
        <w:pStyle w:val="BodyText"/>
        <w:tabs>
          <w:tab w:pos="982" w:val="left" w:leader="none"/>
        </w:tabs>
        <w:spacing w:line="240" w:lineRule="auto" w:before="61"/>
        <w:ind w:left="140" w:right="0"/>
        <w:jc w:val="left"/>
      </w:pPr>
      <w:r>
        <w:rPr/>
        <w:t>□适用</w:t>
        <w:tab/>
        <w:t>√不适用</w:t>
      </w:r>
    </w:p>
    <w:p>
      <w:pPr>
        <w:spacing w:line="240" w:lineRule="auto" w:before="6"/>
        <w:rPr>
          <w:rFonts w:ascii="宋体" w:hAnsi="宋体" w:cs="宋体" w:eastAsia="宋体" w:hint="default"/>
          <w:sz w:val="18"/>
          <w:szCs w:val="18"/>
        </w:rPr>
      </w:pPr>
    </w:p>
    <w:p>
      <w:pPr>
        <w:pStyle w:val="BodyText"/>
        <w:spacing w:line="273" w:lineRule="exact"/>
        <w:ind w:left="140" w:right="0"/>
        <w:jc w:val="left"/>
      </w:pPr>
      <w:r>
        <w:rPr/>
        <w:t>其他说明：</w:t>
      </w:r>
    </w:p>
    <w:p>
      <w:pPr>
        <w:pStyle w:val="BodyText"/>
        <w:spacing w:line="273" w:lineRule="exact"/>
        <w:ind w:left="140" w:right="0"/>
        <w:jc w:val="left"/>
      </w:pPr>
      <w:r>
        <w:rPr/>
        <w:t>□适用 √不适用</w:t>
      </w:r>
    </w:p>
    <w:p>
      <w:pPr>
        <w:spacing w:line="240" w:lineRule="auto" w:before="10"/>
        <w:rPr>
          <w:rFonts w:ascii="宋体" w:hAnsi="宋体" w:cs="宋体" w:eastAsia="宋体" w:hint="default"/>
          <w:sz w:val="24"/>
          <w:szCs w:val="24"/>
        </w:rPr>
      </w:pPr>
    </w:p>
    <w:p>
      <w:pPr>
        <w:spacing w:before="0"/>
        <w:ind w:left="140" w:right="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58"/>
        <w:ind w:left="140" w:right="0"/>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pStyle w:val="BodyText"/>
        <w:tabs>
          <w:tab w:pos="982" w:val="left" w:leader="none"/>
        </w:tabs>
        <w:spacing w:line="240" w:lineRule="auto" w:before="61"/>
        <w:ind w:left="14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580" w:bottom="280" w:left="1300" w:right="1380"/>
          <w:cols w:num="2" w:equalWidth="0">
            <w:col w:w="8974" w:space="2588"/>
            <w:col w:w="259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8"/>
        <w:gridCol w:w="1226"/>
        <w:gridCol w:w="1227"/>
        <w:gridCol w:w="1207"/>
        <w:gridCol w:w="1234"/>
        <w:gridCol w:w="1217"/>
        <w:gridCol w:w="1217"/>
        <w:gridCol w:w="1184"/>
        <w:gridCol w:w="1178"/>
        <w:gridCol w:w="1181"/>
        <w:gridCol w:w="1217"/>
      </w:tblGrid>
      <w:tr>
        <w:trPr>
          <w:trHeight w:val="293"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48" w:type="dxa"/>
            <w:vMerge/>
            <w:tcBorders>
              <w:left w:val="single" w:sz="4" w:space="0" w:color="000000"/>
              <w:right w:val="single" w:sz="4" w:space="0" w:color="000000"/>
            </w:tcBorders>
          </w:tcPr>
          <w:p>
            <w:pP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848"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c>
          <w:tcPr>
            <w:tcW w:w="121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4" w:right="0"/>
              <w:jc w:val="center"/>
              <w:rPr>
                <w:rFonts w:ascii="宋体" w:hAnsi="宋体" w:cs="宋体" w:eastAsia="宋体" w:hint="default"/>
                <w:sz w:val="21"/>
                <w:szCs w:val="21"/>
              </w:rPr>
            </w:pPr>
            <w:r>
              <w:rPr>
                <w:rFonts w:ascii="宋体"/>
                <w:sz w:val="21"/>
              </w:rPr>
              <w:t>(%)</w:t>
            </w:r>
          </w:p>
        </w:tc>
        <w:tc>
          <w:tcPr>
            <w:tcW w:w="1217" w:type="dxa"/>
            <w:vMerge/>
            <w:tcBorders>
              <w:left w:val="single" w:sz="4" w:space="0" w:color="000000"/>
              <w:bottom w:val="single" w:sz="4" w:space="0" w:color="000000"/>
              <w:right w:val="single" w:sz="4" w:space="0" w:color="000000"/>
            </w:tcBorders>
          </w:tcPr>
          <w:p>
            <w:pP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394,444,927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98.02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10,621,367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2.69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383,823,560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430,311,296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98.63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9,686,164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2.25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420,625,132</w:t>
            </w: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7,962,100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1.98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3,152,856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39.60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4,809,244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5,990,044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1.37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3,117,847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52.05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2,872,197</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402,407,027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center"/>
              <w:rPr>
                <w:rFonts w:ascii="宋体" w:hAnsi="宋体" w:cs="宋体" w:eastAsia="宋体" w:hint="default"/>
                <w:sz w:val="21"/>
                <w:szCs w:val="21"/>
              </w:rPr>
            </w:pPr>
            <w:r>
              <w:rPr>
                <w:rFonts w:ascii="宋体"/>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13,774,223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388,632,804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436,301,340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12,804,011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423,497,329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580" w:bottom="280" w:left="1300" w:right="138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190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380"/>
          <w:cols w:num="2" w:equalWidth="0">
            <w:col w:w="3818" w:space="9360"/>
            <w:col w:w="982"/>
          </w:cols>
        </w:sectPr>
      </w:pPr>
    </w:p>
    <w:p>
      <w:pPr>
        <w:spacing w:line="240" w:lineRule="auto" w:before="11"/>
        <w:rPr>
          <w:rFonts w:ascii="Calibri" w:hAnsi="Calibri" w:cs="Calibri" w:eastAsia="Calibri" w:hint="default"/>
          <w:b/>
          <w:bCs/>
          <w:sz w:val="16"/>
          <w:szCs w:val="16"/>
        </w:rPr>
      </w:pPr>
    </w:p>
    <w:p>
      <w:pPr>
        <w:pStyle w:val="BodyText"/>
        <w:spacing w:line="240" w:lineRule="auto" w:before="36"/>
        <w:ind w:right="2760"/>
        <w:jc w:val="left"/>
      </w:pPr>
      <w:r>
        <w:rPr/>
        <w:t>期末单项金额重大并单项计提坏账准备的其他应收款：</w:t>
      </w:r>
    </w:p>
    <w:p>
      <w:pPr>
        <w:pStyle w:val="BodyText"/>
        <w:spacing w:line="240" w:lineRule="auto" w:before="58"/>
        <w:ind w:right="276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43"/>
          <w:pgSz w:w="11910" w:h="16840"/>
          <w:pgMar w:footer="1248" w:header="0" w:top="1300" w:bottom="1440" w:left="1580" w:right="1040"/>
          <w:pgNumType w:start="191"/>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333,096,006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3,330,960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333,096,006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3,330,960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23,646,733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472,935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15,731,226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786,561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17,711,168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1,771,117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4,259,794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4,259,794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394,444,927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10,621,367</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760"/>
        <w:jc w:val="left"/>
      </w:pPr>
      <w:r>
        <w:rPr/>
        <w:t>确定该组合依据的说明：</w:t>
      </w:r>
    </w:p>
    <w:p>
      <w:pPr>
        <w:pStyle w:val="BodyText"/>
        <w:spacing w:line="273" w:lineRule="exact"/>
        <w:ind w:left="638" w:right="2760"/>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年以上为</w:t>
      </w:r>
      <w:r>
        <w:rPr>
          <w:spacing w:val="-52"/>
        </w:rPr>
        <w:t> </w:t>
      </w:r>
      <w:r>
        <w:rPr>
          <w:rFonts w:ascii="宋体" w:hAnsi="宋体" w:cs="宋体" w:eastAsia="宋体" w:hint="default"/>
        </w:rPr>
        <w:t>3</w:t>
      </w:r>
      <w:r>
        <w:rPr>
          <w:rFonts w:ascii="宋体" w:hAnsi="宋体" w:cs="宋体" w:eastAsia="宋体" w:hint="default"/>
          <w:spacing w:val="-53"/>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3"/>
        <w:rPr>
          <w:rFonts w:ascii="宋体" w:hAnsi="宋体" w:cs="宋体" w:eastAsia="宋体" w:hint="default"/>
          <w:sz w:val="25"/>
          <w:szCs w:val="25"/>
        </w:rPr>
      </w:pPr>
    </w:p>
    <w:p>
      <w:pPr>
        <w:pStyle w:val="BodyText"/>
        <w:spacing w:line="240" w:lineRule="auto"/>
        <w:ind w:right="2760"/>
        <w:jc w:val="left"/>
      </w:pPr>
      <w:r>
        <w:rPr/>
        <w:t>组合中，采用余额百分比法计提坏账准备的其他应收款：</w:t>
      </w:r>
    </w:p>
    <w:p>
      <w:pPr>
        <w:pStyle w:val="BodyText"/>
        <w:spacing w:line="240" w:lineRule="auto" w:before="56"/>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760"/>
        <w:jc w:val="left"/>
      </w:pPr>
      <w:r>
        <w:rPr/>
        <w:t>组合中，采用其他方法计提坏账准备的其他应收款：</w:t>
      </w:r>
    </w:p>
    <w:p>
      <w:pPr>
        <w:pStyle w:val="BodyText"/>
        <w:tabs>
          <w:tab w:pos="1060" w:val="left" w:leader="none"/>
        </w:tabs>
        <w:spacing w:line="240" w:lineRule="auto" w:before="58"/>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b w:val="0"/>
          <w:bCs w:val="0"/>
        </w:rPr>
      </w:r>
    </w:p>
    <w:p>
      <w:pPr>
        <w:pStyle w:val="BodyText"/>
        <w:spacing w:line="240" w:lineRule="auto" w:before="64"/>
        <w:ind w:left="638" w:right="226"/>
        <w:jc w:val="left"/>
      </w:pPr>
      <w:r>
        <w:rPr/>
        <w:t>本期计提坏账准备金额</w:t>
      </w:r>
      <w:r>
        <w:rPr>
          <w:spacing w:val="-55"/>
        </w:rPr>
        <w:t> </w:t>
      </w:r>
      <w:r>
        <w:rPr>
          <w:rFonts w:ascii="宋体" w:hAnsi="宋体" w:cs="宋体" w:eastAsia="宋体" w:hint="default"/>
        </w:rPr>
        <w:t>1,898,212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928,000</w:t>
      </w:r>
      <w:r>
        <w:rPr>
          <w:rFonts w:ascii="宋体" w:hAnsi="宋体" w:cs="宋体" w:eastAsia="宋体" w:hint="default"/>
          <w:spacing w:val="-55"/>
        </w:rPr>
        <w:t> </w:t>
      </w:r>
      <w:r>
        <w:rPr/>
        <w:t>元。</w:t>
      </w:r>
    </w:p>
    <w:p>
      <w:pPr>
        <w:spacing w:line="240" w:lineRule="auto" w:before="6"/>
        <w:rPr>
          <w:rFonts w:ascii="宋体" w:hAnsi="宋体" w:cs="宋体" w:eastAsia="宋体" w:hint="default"/>
          <w:sz w:val="20"/>
          <w:szCs w:val="20"/>
        </w:rPr>
      </w:pPr>
    </w:p>
    <w:p>
      <w:pPr>
        <w:pStyle w:val="BodyText"/>
        <w:spacing w:line="275" w:lineRule="exact"/>
        <w:ind w:right="2760"/>
        <w:jc w:val="left"/>
      </w:pPr>
      <w:r>
        <w:rPr/>
        <w:t>其中本期坏账准备转回或收回金额重要的：</w:t>
      </w:r>
    </w:p>
    <w:p>
      <w:pPr>
        <w:pStyle w:val="BodyText"/>
        <w:spacing w:line="275" w:lineRule="exact"/>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64"/>
        <w:ind w:right="276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BodyText"/>
        <w:spacing w:line="240" w:lineRule="auto" w:before="61"/>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196" w:space="232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暂付个人款项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7,047,427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19,309,345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16,114,674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296,147,621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379,244,926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120,844,374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402,407,027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436,301,340</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48" w:top="1300" w:bottom="144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6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6363" w:space="15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13"/>
        <w:gridCol w:w="1298"/>
        <w:gridCol w:w="1455"/>
        <w:gridCol w:w="931"/>
        <w:gridCol w:w="1359"/>
        <w:gridCol w:w="1140"/>
      </w:tblGrid>
      <w:tr>
        <w:trPr>
          <w:trHeight w:val="826"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95" w:right="41"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14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97,800,200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978,002</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87,870,000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21.84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878,700</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27,573,718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275,737</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项目筹备金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152,000</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13,235,546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132,355</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241,679,464</w:t>
            </w:r>
          </w:p>
        </w:tc>
        <w:tc>
          <w:tcPr>
            <w:tcW w:w="93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60.06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2,416,794</w:t>
            </w:r>
          </w:p>
        </w:tc>
      </w:tr>
    </w:tbl>
    <w:p>
      <w:pPr>
        <w:spacing w:line="240" w:lineRule="auto" w:before="6"/>
        <w:rPr>
          <w:rFonts w:ascii="宋体" w:hAnsi="宋体" w:cs="宋体" w:eastAsia="宋体" w:hint="default"/>
          <w:sz w:val="20"/>
          <w:szCs w:val="20"/>
        </w:rPr>
      </w:pPr>
    </w:p>
    <w:p>
      <w:pPr>
        <w:pStyle w:val="Heading2"/>
        <w:spacing w:line="240" w:lineRule="auto"/>
        <w:ind w:right="2760"/>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61"/>
        <w:ind w:right="276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(7).</w:t>
      </w:r>
      <w:r>
        <w:rPr>
          <w:rFonts w:ascii="宋体" w:hAnsi="宋体" w:cs="宋体" w:eastAsia="宋体" w:hint="default"/>
          <w:spacing w:val="-3"/>
        </w:rPr>
        <w:t> </w:t>
      </w:r>
      <w:r>
        <w:rPr/>
        <w:t>因金融资产转移而终止确认的其他应收款：</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before="0"/>
        <w:ind w:right="2760"/>
        <w:jc w:val="left"/>
        <w:rPr>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b w:val="0"/>
          <w:bCs w:val="0"/>
        </w:rPr>
      </w:r>
    </w:p>
    <w:p>
      <w:pPr>
        <w:pStyle w:val="BodyText"/>
        <w:tabs>
          <w:tab w:pos="1060" w:val="left" w:leader="none"/>
        </w:tabs>
        <w:spacing w:line="240" w:lineRule="auto" w:before="64"/>
        <w:ind w:right="276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760"/>
        <w:jc w:val="left"/>
      </w:pPr>
      <w:r>
        <w:rPr/>
        <w:t>其他说明：</w:t>
      </w:r>
    </w:p>
    <w:p>
      <w:pPr>
        <w:pStyle w:val="BodyText"/>
        <w:tabs>
          <w:tab w:pos="1060" w:val="left" w:leader="none"/>
        </w:tabs>
        <w:spacing w:line="273" w:lineRule="exact"/>
        <w:ind w:right="2760"/>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3</w:t>
      </w:r>
      <w:r>
        <w:rPr/>
        <w:t>、</w:t>
      </w:r>
      <w:r>
        <w:rPr>
          <w:spacing w:val="4"/>
        </w:rPr>
        <w:t> </w:t>
      </w:r>
      <w:r>
        <w:rPr/>
        <w:t>其他流动资产</w:t>
      </w:r>
      <w:r>
        <w:rPr>
          <w:b w:val="0"/>
          <w:bCs w:val="0"/>
        </w:rPr>
      </w:r>
    </w:p>
    <w:p>
      <w:pPr>
        <w:pStyle w:val="BodyText"/>
        <w:tabs>
          <w:tab w:pos="1049" w:val="left" w:leader="none"/>
        </w:tabs>
        <w:spacing w:line="240" w:lineRule="auto" w:before="58"/>
        <w:ind w:left="0" w:right="347"/>
        <w:jc w:val="right"/>
      </w:pPr>
      <w:r>
        <w:rPr>
          <w:spacing w:val="-2"/>
        </w:rPr>
        <w:t>单位：元</w:t>
        <w:tab/>
      </w:r>
      <w:r>
        <w:rPr>
          <w:spacing w:val="-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600,656,849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680,263,479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待摊房产税</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189,422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176,544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1,287,715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1,337,089</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602,133,986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681,777,112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20"/>
        <w:jc w:val="left"/>
        <w:rPr>
          <w:b w:val="0"/>
          <w:bCs w:val="0"/>
        </w:rPr>
      </w:pPr>
      <w:r>
        <w:rPr>
          <w:rFonts w:ascii="宋体" w:hAnsi="宋体" w:cs="宋体" w:eastAsia="宋体" w:hint="default"/>
        </w:rPr>
        <w:t>4</w:t>
      </w:r>
      <w:r>
        <w:rPr/>
        <w:t>、</w:t>
      </w:r>
      <w:r>
        <w:rPr>
          <w:spacing w:val="4"/>
        </w:rPr>
        <w:t> </w:t>
      </w:r>
      <w:r>
        <w:rPr/>
        <w:t>长期股权投资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2"/>
        <w:gridCol w:w="1429"/>
        <w:gridCol w:w="1111"/>
        <w:gridCol w:w="1426"/>
        <w:gridCol w:w="1428"/>
        <w:gridCol w:w="632"/>
        <w:gridCol w:w="1428"/>
      </w:tblGrid>
      <w:tr>
        <w:trPr>
          <w:trHeight w:val="283" w:hRule="exact"/>
        </w:trPr>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442"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3,541,930,909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11,265,778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3,530,665,131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3,162,489,395</w:t>
            </w:r>
          </w:p>
        </w:tc>
        <w:tc>
          <w:tcPr>
            <w:tcW w:w="6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3,162,489,395</w:t>
            </w:r>
          </w:p>
        </w:tc>
      </w:tr>
      <w:tr>
        <w:trPr>
          <w:trHeight w:val="5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对联营</w:t>
            </w:r>
            <w:r>
              <w:rPr>
                <w:rFonts w:ascii="宋体" w:hAnsi="宋体" w:cs="宋体" w:eastAsia="宋体" w:hint="default"/>
                <w:spacing w:val="-94"/>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1,631,119,589</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1,631,119,589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1,096,283,035</w:t>
            </w:r>
          </w:p>
        </w:tc>
        <w:tc>
          <w:tcPr>
            <w:tcW w:w="6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1,096,283,035</w:t>
            </w:r>
          </w:p>
        </w:tc>
      </w:tr>
      <w:tr>
        <w:trPr>
          <w:trHeight w:val="28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5,173,050,498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11,265,778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5,161,784,720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4,258,772,430</w:t>
            </w:r>
          </w:p>
        </w:tc>
        <w:tc>
          <w:tcPr>
            <w:tcW w:w="63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4,258,772,430</w:t>
            </w:r>
          </w:p>
        </w:tc>
      </w:tr>
    </w:tbl>
    <w:p>
      <w:pPr>
        <w:spacing w:after="0" w:line="241" w:lineRule="exact"/>
        <w:jc w:val="center"/>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248" w:top="1300" w:bottom="1440" w:left="1660" w:right="1120"/>
        </w:sectPr>
      </w:pPr>
    </w:p>
    <w:p>
      <w:pPr>
        <w:pStyle w:val="Heading4"/>
        <w:spacing w:line="240" w:lineRule="auto" w:before="36"/>
        <w:ind w:left="13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1831" w:space="4691"/>
            <w:col w:w="260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001"/>
        <w:gridCol w:w="1226"/>
        <w:gridCol w:w="1047"/>
        <w:gridCol w:w="427"/>
        <w:gridCol w:w="1277"/>
        <w:gridCol w:w="958"/>
        <w:gridCol w:w="955"/>
      </w:tblGrid>
      <w:tr>
        <w:trPr>
          <w:trHeight w:val="4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值准备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深圳市东软软件有限公司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5,122,351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43,508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5,165,859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东软集团（北京）有限公司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341,181,872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80,661,207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421,843,079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山东东软系统集成有限公司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51,089,375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424,126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51,513,501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湖南东软软件有限公司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12,079,136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51,792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12,130,928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成都东软系统集成有限公司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20,960,567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236,193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21,196,760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西安东软系统集成有限公司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33,264,317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309,679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33,573,996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武汉东软信息技术有限公司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25,608,627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281,277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25,889,904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沈阳逐日数码广告传播有限公司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317,424,194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43,508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317,467,702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东软（香港）有限公司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7,037,915</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7,037,915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河北东软软件有限公司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9,061,362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226,382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9,287,744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上海东软时代数码技术有限公司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13,858,063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670,029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14,528,092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北京兰瑞科创信息技术有限公司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9,533,956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26,105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9,560,061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沈阳东软系统集成技术有限公司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21,122,970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30,496,180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51,619,150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东软集团（广州）有限公司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131,768,333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636,425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132,404,758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东软集团（上海）有限公司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203,230,377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1,365,697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204,596,074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东软集团（大连）有限公司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611,874,352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3,633,768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615,508,120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东软云科技有限公司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50,962,110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287,573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51,249,683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沈阳东软物业管理有限公司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118,993,000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118,993,000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94,734,563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48,225,835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142,960,398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杭州东软软件有限公司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500,000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8,500,000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259,661,004</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259,661,004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东软集团（天津）有限公司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20,118,704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39,158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20,157,862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东软集团（唐山）有限公司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东软集团（海南）有限公司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东软集团（无锡）有限公司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东软集团（芜湖）有限公司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东软集团南京有限公司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12,451,312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12,308,168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24,759,480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沈阳东软交通信息技术有限公司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5,844,950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72,716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5,917,666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11,265,778</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11,265,778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11,265,778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11,265,778</w:t>
            </w: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东软集团（郑州）有限公司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东软集团（南昌）有限公司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东软集团重庆有限公司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20,079,136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26,105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20,105,241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东软集团（徐州）有限公司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东软集团（宁波）有限公司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东软集团（克拉玛依）有限公司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东软集团（长春）有限公司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17,788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30,017,788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东软管理咨询（上海）有限公司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12,567,857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18,217,124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30,784,981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东软集团（宜昌）有限公司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东软睿驰汽车技术（上海）有限公司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262,546,110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z w:val="18"/>
              </w:rPr>
              <w:t>191,370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262,737,480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东软西藏软件有限公司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37,547,104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62,101</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37,609,205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东软集团（南宁）有限公司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东软医疗产业园发展有限公司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东软集团（襄阳）有限公司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沈阳智医科技有限公司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大连东软共创科技有限公司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49,887,700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49,887,700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3,162,489,395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379,441,514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3,541,930,909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11,265,778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11,265,778</w:t>
            </w:r>
          </w:p>
        </w:tc>
      </w:tr>
    </w:tbl>
    <w:p>
      <w:pPr>
        <w:pStyle w:val="BodyText"/>
        <w:spacing w:line="240" w:lineRule="exact"/>
        <w:ind w:left="138" w:right="0" w:firstLine="419"/>
        <w:jc w:val="left"/>
      </w:pPr>
      <w:r>
        <w:rPr/>
        <w:t>注：本期增加主要为对子公司增资，以及公司执行限制性股票激励计划，根据人员所属公司</w:t>
      </w:r>
    </w:p>
    <w:p>
      <w:pPr>
        <w:pStyle w:val="BodyText"/>
        <w:spacing w:line="272" w:lineRule="exact" w:before="27"/>
        <w:ind w:left="138" w:right="146"/>
        <w:jc w:val="left"/>
      </w:pPr>
      <w:r>
        <w:rPr>
          <w:spacing w:val="-2"/>
        </w:rPr>
        <w:t>分别分摊限制性股票的成本和期间费用，本公司根据对子公司的持股比例和影响金额增加长期股</w:t>
      </w:r>
      <w:r>
        <w:rPr>
          <w:spacing w:val="-25"/>
        </w:rPr>
        <w:t> </w:t>
      </w:r>
      <w:r>
        <w:rPr>
          <w:spacing w:val="-25"/>
        </w:rPr>
      </w:r>
      <w:r>
        <w:rPr/>
        <w:t>权投资和资本公积。</w:t>
      </w:r>
    </w:p>
    <w:p>
      <w:pPr>
        <w:spacing w:after="0" w:line="272" w:lineRule="exact"/>
        <w:jc w:val="left"/>
        <w:sectPr>
          <w:type w:val="continuous"/>
          <w:pgSz w:w="11910" w:h="16840"/>
          <w:pgMar w:top="1580" w:bottom="280" w:left="1660" w:right="1120"/>
        </w:sectPr>
      </w:pPr>
    </w:p>
    <w:p>
      <w:pPr>
        <w:spacing w:line="240" w:lineRule="auto" w:before="1"/>
        <w:rPr>
          <w:rFonts w:ascii="宋体" w:hAnsi="宋体" w:cs="宋体" w:eastAsia="宋体" w:hint="default"/>
          <w:sz w:val="6"/>
          <w:szCs w:val="6"/>
        </w:rPr>
      </w:pPr>
    </w:p>
    <w:p>
      <w:pPr>
        <w:spacing w:line="360" w:lineRule="exact"/>
        <w:ind w:left="622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144"/>
          <w:footerReference w:type="default" r:id="rId145"/>
          <w:pgSz w:w="16840" w:h="11910" w:orient="landscape"/>
          <w:pgMar w:header="0" w:footer="0" w:top="860" w:bottom="280" w:left="1220" w:right="1320"/>
        </w:sectPr>
      </w:pPr>
    </w:p>
    <w:p>
      <w:pPr>
        <w:pStyle w:val="Heading4"/>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51" w:val="left" w:leader="none"/>
        </w:tabs>
        <w:spacing w:line="240" w:lineRule="auto"/>
        <w:ind w:left="0" w:right="199"/>
        <w:jc w:val="right"/>
      </w:pPr>
      <w:r>
        <w:rPr>
          <w:spacing w:val="-1"/>
        </w:rPr>
        <w:t>单位：元</w:t>
        <w:tab/>
        <w:t>币种：人民币</w:t>
      </w:r>
    </w:p>
    <w:p>
      <w:pPr>
        <w:spacing w:after="0" w:line="240" w:lineRule="auto"/>
        <w:jc w:val="right"/>
        <w:sectPr>
          <w:type w:val="continuous"/>
          <w:pgSz w:w="16840" w:h="11910" w:orient="landscape"/>
          <w:pgMar w:top="1580" w:bottom="280" w:left="1220" w:right="1320"/>
          <w:cols w:num="2" w:equalWidth="0">
            <w:col w:w="2755" w:space="3245"/>
            <w:col w:w="830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10"/>
        <w:gridCol w:w="1418"/>
        <w:gridCol w:w="1136"/>
        <w:gridCol w:w="708"/>
        <w:gridCol w:w="1274"/>
        <w:gridCol w:w="1136"/>
        <w:gridCol w:w="1272"/>
        <w:gridCol w:w="991"/>
        <w:gridCol w:w="711"/>
        <w:gridCol w:w="1279"/>
        <w:gridCol w:w="1416"/>
        <w:gridCol w:w="922"/>
      </w:tblGrid>
      <w:tr>
        <w:trPr>
          <w:trHeight w:val="245"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720" w:right="719"/>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3" w:right="52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5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3" w:right="52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22"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18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0" w:hRule="exact"/>
        </w:trPr>
        <w:tc>
          <w:tcPr>
            <w:tcW w:w="181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5" w:right="17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权益法下确</w:t>
            </w:r>
          </w:p>
          <w:p>
            <w:pPr>
              <w:pStyle w:val="TableParagraph"/>
              <w:spacing w:line="232" w:lineRule="exact" w:before="23"/>
              <w:ind w:left="542" w:right="180" w:hanging="360"/>
              <w:jc w:val="left"/>
              <w:rPr>
                <w:rFonts w:ascii="宋体" w:hAnsi="宋体" w:cs="宋体" w:eastAsia="宋体" w:hint="default"/>
                <w:sz w:val="18"/>
                <w:szCs w:val="18"/>
              </w:rPr>
            </w:pPr>
            <w:r>
              <w:rPr>
                <w:rFonts w:ascii="宋体" w:hAnsi="宋体" w:cs="宋体" w:eastAsia="宋体" w:hint="default"/>
                <w:sz w:val="18"/>
                <w:szCs w:val="18"/>
              </w:rPr>
              <w:t>认的投资损 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0" w:right="113"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40" w:right="18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32" w:lineRule="exact" w:before="23"/>
              <w:ind w:left="220" w:right="131"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70" w:right="17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243"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吉林省政坤农民工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信息服务有限公司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-2,455,164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5,544,836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-2,455,164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5,544,836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诺基亚东软通信技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76,547,879</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7,909,021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84,456,900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沈阳凯塔数据科技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11,907,168</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-851,411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447,761</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11,503,518</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辽宁东软创业投资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94,056,668</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-9,495,301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-4,445,989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5,787,082</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85,902,460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邯郸云计算中心有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10,790,092</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520,312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11,310,404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沈阳东软医疗系统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639,240,880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21,622,410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984,835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79,716,849</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34,070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741,599,044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汉朗网络信息科技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-807,061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327,869</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7,020,808</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天津天任大数据科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pacing w:val="-1"/>
                <w:sz w:val="18"/>
              </w:rPr>
              <w:t>2,700,000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z w:val="18"/>
              </w:rPr>
              <w:t>289,614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2,989,614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北京东软望海科技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263,740,348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44,520,080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-52,730,239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12,002,981</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413,258,835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680,792,005</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1,096,283,035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54,720,080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-33,542,655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-3,461,154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98,282,542</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413,292,905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1,625,574,753</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1,096,283,035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62,720,080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-35,997,819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-3,461,154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98,282,542</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413,292,905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1,631,119,589</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72" w:lineRule="exact" w:before="64"/>
        <w:ind w:left="220" w:right="0" w:firstLine="420"/>
        <w:jc w:val="left"/>
      </w:pPr>
      <w:r>
        <w:rPr/>
        <w:t>注：报告期内，本公司原控股子公司东软望海引进投资者，使本公司持股比例下降至</w:t>
      </w:r>
      <w:r>
        <w:rPr>
          <w:spacing w:val="-18"/>
        </w:rPr>
        <w:t> </w:t>
      </w:r>
      <w:r>
        <w:rPr>
          <w:rFonts w:ascii="宋体" w:hAnsi="宋体" w:cs="宋体" w:eastAsia="宋体" w:hint="default"/>
        </w:rPr>
        <w:t>34.79%</w:t>
      </w:r>
      <w:r>
        <w:rPr/>
        <w:t>，对其丧失控制权，不再将其纳入合并财务报表范围，</w:t>
      </w:r>
      <w:r>
        <w:rPr>
          <w:w w:val="100"/>
        </w:rPr>
        <w:t> </w:t>
      </w:r>
      <w:r>
        <w:rPr/>
        <w:t>母公司对其长期股权投资由成本法转换为权益法进行核算，对期初数进行追溯调整。</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580" w:bottom="280" w:left="1220" w:right="132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194 </w:t>
      </w:r>
      <w:r>
        <w:rPr>
          <w:rFonts w:ascii="Calibri"/>
          <w:sz w:val="18"/>
        </w:rPr>
        <w:t>/</w:t>
      </w:r>
      <w:r>
        <w:rPr>
          <w:rFonts w:ascii="Calibri"/>
          <w:spacing w:val="-5"/>
          <w:sz w:val="18"/>
        </w:rPr>
        <w:t> </w:t>
      </w:r>
      <w:r>
        <w:rPr>
          <w:rFonts w:ascii="Calibri"/>
          <w:b/>
          <w:sz w:val="18"/>
        </w:rPr>
        <w:t>198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20"/>
          <w:cols w:num="2" w:equalWidth="0">
            <w:col w:w="3898" w:space="9280"/>
            <w:col w:w="1122"/>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146"/>
          <w:pgSz w:w="11910" w:h="16840"/>
          <w:pgMar w:footer="1248" w:header="0" w:top="1300" w:bottom="1440" w:left="1580" w:right="1040"/>
          <w:pgNumType w:start="195"/>
        </w:sectPr>
      </w:pPr>
    </w:p>
    <w:p>
      <w:pPr>
        <w:pStyle w:val="Heading4"/>
        <w:spacing w:line="240" w:lineRule="auto" w:before="36"/>
        <w:ind w:right="-19"/>
        <w:jc w:val="left"/>
        <w:rPr>
          <w:b w:val="0"/>
          <w:bCs w:val="0"/>
        </w:rPr>
      </w:pPr>
      <w:r>
        <w:rPr>
          <w:rFonts w:ascii="宋体" w:hAnsi="宋体" w:cs="宋体" w:eastAsia="宋体" w:hint="default"/>
        </w:rPr>
        <w:t>5</w:t>
      </w:r>
      <w:r>
        <w:rPr/>
        <w:t>、</w:t>
      </w:r>
      <w:r>
        <w:rPr>
          <w:spacing w:val="2"/>
        </w:rPr>
        <w:t> </w:t>
      </w:r>
      <w:r>
        <w:rPr/>
        <w:t>营业收入和营业成本：</w:t>
      </w:r>
      <w:r>
        <w:rPr>
          <w:b w:val="0"/>
          <w:bCs w:val="0"/>
        </w:rPr>
      </w:r>
    </w:p>
    <w:p>
      <w:pPr>
        <w:pStyle w:val="Heading3"/>
        <w:tabs>
          <w:tab w:pos="1177" w:val="left" w:leader="none"/>
        </w:tabs>
        <w:spacing w:line="240" w:lineRule="auto" w:before="50"/>
        <w:ind w:left="21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580" w:bottom="280" w:left="1580" w:right="1040"/>
          <w:cols w:num="2" w:equalWidth="0">
            <w:col w:w="2753" w:space="3440"/>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2"/>
        <w:gridCol w:w="1582"/>
        <w:gridCol w:w="1582"/>
        <w:gridCol w:w="1579"/>
      </w:tblGrid>
      <w:tr>
        <w:trPr>
          <w:trHeight w:val="281"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2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5,031,671,065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3,624,154,788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4,812,779,382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3,732,378,805</w:t>
            </w:r>
          </w:p>
        </w:tc>
      </w:tr>
      <w:tr>
        <w:trPr>
          <w:trHeight w:val="28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5,031,671,065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3,624,154,788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4,812,779,382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3,732,378,805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6</w:t>
      </w:r>
      <w:r>
        <w:rPr/>
        <w:t>、</w:t>
      </w:r>
      <w:r>
        <w:rPr>
          <w:spacing w:val="3"/>
        </w:rPr>
        <w:t> </w:t>
      </w:r>
      <w:r>
        <w:rPr/>
        <w:t>投资收益</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30,128,437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1,123,121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-35,997,819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19,129,904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413,258,835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804,120,833</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-4,463,610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8,020,225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7,658,934</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416,749,678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827,569,182</w:t>
            </w:r>
          </w:p>
        </w:tc>
      </w:tr>
    </w:tbl>
    <w:p>
      <w:pPr>
        <w:spacing w:line="240" w:lineRule="auto" w:before="2"/>
        <w:rPr>
          <w:rFonts w:ascii="宋体" w:hAnsi="宋体" w:cs="宋体" w:eastAsia="宋体" w:hint="default"/>
          <w:sz w:val="20"/>
          <w:szCs w:val="20"/>
        </w:rPr>
      </w:pPr>
    </w:p>
    <w:p>
      <w:pPr>
        <w:pStyle w:val="Heading4"/>
        <w:spacing w:line="240" w:lineRule="auto" w:before="36"/>
        <w:ind w:right="2760"/>
        <w:jc w:val="left"/>
        <w:rPr>
          <w:b w:val="0"/>
          <w:bCs w:val="0"/>
        </w:rPr>
      </w:pPr>
      <w:r>
        <w:rPr>
          <w:rFonts w:ascii="宋体" w:hAnsi="宋体" w:cs="宋体" w:eastAsia="宋体" w:hint="default"/>
        </w:rPr>
        <w:t>7</w:t>
      </w:r>
      <w:r>
        <w:rPr/>
        <w:t>、</w:t>
      </w:r>
      <w:r>
        <w:rPr>
          <w:spacing w:val="2"/>
        </w:rPr>
        <w:t> </w:t>
      </w:r>
      <w:r>
        <w:rPr/>
        <w:t>其他</w:t>
      </w:r>
      <w:r>
        <w:rPr>
          <w:b w:val="0"/>
          <w:bCs w:val="0"/>
        </w:rPr>
      </w:r>
    </w:p>
    <w:p>
      <w:pPr>
        <w:pStyle w:val="BodyText"/>
        <w:tabs>
          <w:tab w:pos="1060" w:val="left" w:leader="none"/>
        </w:tabs>
        <w:spacing w:line="240" w:lineRule="auto" w:before="56"/>
        <w:ind w:right="2760"/>
        <w:jc w:val="left"/>
      </w:pPr>
      <w:r>
        <w:rPr>
          <w:spacing w:val="-1"/>
        </w:rPr>
        <w:t>□适用</w:t>
        <w:tab/>
      </w:r>
      <w:r>
        <w:rPr>
          <w:spacing w:val="-2"/>
        </w:rPr>
        <w:t>√不适用</w:t>
      </w:r>
    </w:p>
    <w:p>
      <w:pPr>
        <w:spacing w:after="0" w:line="240" w:lineRule="auto"/>
        <w:jc w:val="left"/>
        <w:sectPr>
          <w:type w:val="continuous"/>
          <w:pgSz w:w="11910" w:h="16840"/>
          <w:pgMar w:top="1580" w:bottom="280" w:left="1580" w:right="1040"/>
        </w:sectPr>
      </w:pP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248" w:top="1300" w:bottom="1440" w:left="1580" w:right="1040"/>
        </w:sectPr>
      </w:pPr>
    </w:p>
    <w:p>
      <w:pPr>
        <w:pStyle w:val="Heading4"/>
        <w:spacing w:line="240" w:lineRule="auto" w:before="36"/>
        <w:ind w:right="-19"/>
        <w:jc w:val="left"/>
        <w:rPr>
          <w:b w:val="0"/>
          <w:bCs w:val="0"/>
        </w:rPr>
      </w:pPr>
      <w:r>
        <w:rPr/>
        <w:t>十八、补充资料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1277"/>
        <w:gridCol w:w="2845"/>
      </w:tblGrid>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1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375,254,474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主要为本公司原控股子公司北京</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5"/>
                <w:sz w:val="18"/>
                <w:szCs w:val="18"/>
              </w:rPr>
              <w:t>东软望海科技有限公司（以下简称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“东软望海”）因其他方股东增资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导致持股比例下降对其丧失控制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权而确认的投资收益（以下简称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“视同处置收益”）</w:t>
            </w: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统一标准定额或定量享受的政府补助除外）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106,032,183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主要为计入损益的科研项目等政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府补助</w:t>
            </w: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投资时应享有被投资单位可辨认净资产公允价值产生的收益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w:t>
            </w:r>
          </w:p>
          <w:p>
            <w:pPr>
              <w:pStyle w:val="TableParagraph"/>
              <w:spacing w:line="237" w:lineRule="auto"/>
              <w:ind w:left="103" w:right="133"/>
              <w:jc w:val="both"/>
              <w:rPr>
                <w:rFonts w:ascii="宋体" w:hAnsi="宋体" w:cs="宋体" w:eastAsia="宋体" w:hint="default"/>
                <w:sz w:val="18"/>
                <w:szCs w:val="18"/>
              </w:rPr>
            </w:pPr>
            <w:r>
              <w:rPr>
                <w:rFonts w:ascii="宋体" w:hAnsi="宋体" w:cs="宋体" w:eastAsia="宋体" w:hint="default"/>
                <w:sz w:val="18"/>
                <w:szCs w:val="18"/>
              </w:rPr>
              <w:t>易性金融资产、交易性金融负债产生的公允价值变动损益， 以及处置交易性金融资产、交易性金融负债和可供出售金融 资产取得的投资收益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10,615,607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both"/>
              <w:rPr>
                <w:rFonts w:ascii="宋体" w:hAnsi="宋体" w:cs="宋体" w:eastAsia="宋体" w:hint="default"/>
                <w:sz w:val="18"/>
                <w:szCs w:val="18"/>
              </w:rPr>
            </w:pPr>
            <w:r>
              <w:rPr>
                <w:rFonts w:ascii="宋体" w:hAnsi="宋体" w:cs="宋体" w:eastAsia="宋体" w:hint="default"/>
                <w:spacing w:val="7"/>
                <w:sz w:val="18"/>
                <w:szCs w:val="18"/>
              </w:rPr>
              <w:t>主要为“以公允价值计量且其变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动计入当期损益的金融负债”的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公允价值变动损益及处置损益</w:t>
            </w: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11,332,813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动产生的损益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调整对当期损益的影响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3,409,432</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423,126,817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主要为本公司原控股子公司东软</w:t>
            </w:r>
          </w:p>
          <w:p>
            <w:pPr>
              <w:pStyle w:val="TableParagraph"/>
              <w:spacing w:line="232" w:lineRule="exact" w:before="25"/>
              <w:ind w:left="103" w:right="101"/>
              <w:jc w:val="both"/>
              <w:rPr>
                <w:rFonts w:ascii="宋体" w:hAnsi="宋体" w:cs="宋体" w:eastAsia="宋体" w:hint="default"/>
                <w:sz w:val="18"/>
                <w:szCs w:val="18"/>
              </w:rPr>
            </w:pPr>
            <w:r>
              <w:rPr>
                <w:rFonts w:ascii="宋体" w:hAnsi="宋体" w:cs="宋体" w:eastAsia="宋体" w:hint="default"/>
                <w:spacing w:val="-5"/>
                <w:sz w:val="18"/>
                <w:szCs w:val="18"/>
              </w:rPr>
              <w:t>望海引进投资者，使本公司持股比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例下降，对其丧失控制权，剩余股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权按照公允价值重新计量产生的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投资收益</w:t>
            </w: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-99,385,753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-8,373,340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822,012,233</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760"/>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653"/>
        <w:gridCol w:w="1700"/>
        <w:gridCol w:w="1985"/>
        <w:gridCol w:w="1711"/>
      </w:tblGrid>
      <w:tr>
        <w:trPr>
          <w:trHeight w:val="284" w:hRule="exact"/>
        </w:trPr>
        <w:tc>
          <w:tcPr>
            <w:tcW w:w="3653" w:type="dxa"/>
            <w:vMerge w:val="restart"/>
            <w:tcBorders>
              <w:top w:val="single" w:sz="4" w:space="0" w:color="000000"/>
              <w:left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44"/>
              <w:ind w:left="266" w:right="106"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65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12.78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0.86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0.86</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0.19</w:t>
            </w:r>
          </w:p>
        </w:tc>
      </w:tr>
    </w:tbl>
    <w:p>
      <w:pPr>
        <w:spacing w:line="240" w:lineRule="auto" w:before="12"/>
        <w:rPr>
          <w:rFonts w:ascii="宋体" w:hAnsi="宋体" w:cs="宋体" w:eastAsia="宋体" w:hint="default"/>
          <w:sz w:val="19"/>
          <w:szCs w:val="19"/>
        </w:rPr>
      </w:pPr>
    </w:p>
    <w:p>
      <w:pPr>
        <w:pStyle w:val="Heading4"/>
        <w:spacing w:line="240" w:lineRule="auto" w:before="36"/>
        <w:ind w:right="276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76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76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7"/>
        <w:ind w:right="2760"/>
        <w:jc w:val="left"/>
      </w:pPr>
      <w:r>
        <w:rPr>
          <w:spacing w:val="-1"/>
        </w:rPr>
        <w:t>□适用</w:t>
        <w:tab/>
      </w:r>
      <w:r>
        <w:rPr>
          <w:spacing w:val="-2"/>
        </w:rPr>
        <w:t>√不适用</w:t>
      </w:r>
    </w:p>
    <w:p>
      <w:pPr>
        <w:spacing w:after="0" w:line="240" w:lineRule="auto"/>
        <w:jc w:val="left"/>
        <w:sectPr>
          <w:pgSz w:w="11910" w:h="16840"/>
          <w:pgMar w:header="0" w:footer="1248" w:top="1300" w:bottom="144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60" w:right="3077"/>
        <w:jc w:val="center"/>
        <w:rPr>
          <w:b w:val="0"/>
          <w:bCs w:val="0"/>
        </w:rPr>
      </w:pPr>
      <w:bookmarkStart w:name="_TOC_250000" w:id="12"/>
      <w:r>
        <w:rPr/>
        <w:t>第十二节</w:t>
      </w:r>
      <w:r>
        <w:rPr>
          <w:spacing w:val="-3"/>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载有董事长刘积仁签名和公司盖章的</w:t>
            </w:r>
            <w:r>
              <w:rPr>
                <w:rFonts w:ascii="宋体" w:hAnsi="宋体" w:cs="宋体" w:eastAsia="宋体" w:hint="default"/>
                <w:sz w:val="21"/>
                <w:szCs w:val="21"/>
              </w:rPr>
              <w:t>2017</w:t>
            </w:r>
            <w:r>
              <w:rPr>
                <w:rFonts w:ascii="宋体" w:hAnsi="宋体" w:cs="宋体" w:eastAsia="宋体" w:hint="default"/>
                <w:sz w:val="21"/>
                <w:szCs w:val="21"/>
              </w:rPr>
              <w:t>年年度报告文本；</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载有董事长刘积仁、高级副总裁兼首席财务官张晓鸥、会计核算部部长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金辉签名并盖章的财务报告文本；</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及公告的原稿。</w:t>
            </w:r>
          </w:p>
        </w:tc>
      </w:tr>
    </w:tbl>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2"/>
          <w:szCs w:val="22"/>
        </w:rPr>
      </w:pPr>
    </w:p>
    <w:p>
      <w:pPr>
        <w:pStyle w:val="BodyText"/>
        <w:spacing w:line="309" w:lineRule="auto" w:before="36"/>
        <w:ind w:left="5239" w:right="150" w:firstLine="1632"/>
        <w:jc w:val="right"/>
      </w:pPr>
      <w:r>
        <w:rPr>
          <w:spacing w:val="-2"/>
        </w:rPr>
        <w:t>东软集团股份有限公司</w:t>
      </w:r>
      <w:r>
        <w:rPr>
          <w:w w:val="100"/>
        </w:rPr>
        <w:t> </w:t>
      </w:r>
      <w:r>
        <w:rPr>
          <w:spacing w:val="-1"/>
        </w:rPr>
        <w:t>董事长：刘积仁</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w:t>
      </w:r>
    </w:p>
    <w:p>
      <w:pPr>
        <w:spacing w:line="240" w:lineRule="auto" w:before="8"/>
        <w:rPr>
          <w:rFonts w:ascii="宋体" w:hAnsi="宋体" w:cs="宋体" w:eastAsia="宋体" w:hint="default"/>
          <w:sz w:val="26"/>
          <w:szCs w:val="26"/>
        </w:rPr>
      </w:pPr>
    </w:p>
    <w:p>
      <w:pPr>
        <w:pStyle w:val="Heading4"/>
        <w:spacing w:line="240" w:lineRule="auto" w:before="36"/>
        <w:ind w:left="138" w:right="146"/>
        <w:jc w:val="left"/>
        <w:rPr>
          <w:b w:val="0"/>
          <w:bCs w:val="0"/>
        </w:rPr>
      </w:pPr>
      <w:r>
        <w:rPr/>
        <w:t>修订信息</w:t>
      </w:r>
      <w:r>
        <w:rPr>
          <w:b w:val="0"/>
          <w:bCs w:val="0"/>
        </w:rPr>
      </w:r>
    </w:p>
    <w:p>
      <w:pPr>
        <w:pStyle w:val="BodyText"/>
        <w:spacing w:line="240" w:lineRule="auto" w:before="8"/>
        <w:ind w:left="138" w:right="146"/>
        <w:jc w:val="left"/>
      </w:pPr>
      <w:r>
        <w:rPr/>
        <w:t>□适用</w:t>
      </w:r>
      <w:r>
        <w:rPr>
          <w:spacing w:val="-1"/>
        </w:rPr>
        <w:t> </w:t>
      </w:r>
      <w:r>
        <w:rPr/>
        <w:t>√不适用</w:t>
      </w:r>
    </w:p>
    <w:sectPr>
      <w:pgSz w:w="11910" w:h="16840"/>
      <w:pgMar w:header="0" w:footer="1248" w:top="1300" w:bottom="144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 w:name="MS UI Gothic">
    <w:altName w:val="MS UI Gothic"/>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03.899994pt;margin-top:768.529968pt;width:28.8pt;height:11pt;mso-position-horizontal-relative:page;mso-position-vertical-relative:page;z-index:-1088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82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7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7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5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5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7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3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3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0873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679993pt;margin-top:521.906006pt;width:33.4pt;height:11pt;mso-position-horizontal-relative:page;mso-position-vertical-relative:page;z-index:-108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0872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8.679993pt;margin-top:521.906006pt;width:32.4pt;height:11pt;mso-position-horizontal-relative:page;mso-position-vertical-relative:page;z-index:-1087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0871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0871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0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8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82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7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9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6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9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79</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8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6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7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5.719971pt;margin-top:521.906006pt;width:33.4pt;height:11pt;mso-position-horizontal-relative:page;mso-position-vertical-relative:page;z-index:-1086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32.959999pt;margin-top:532.661011pt;width:185.9pt;height:12.6pt;mso-position-horizontal-relative:page;mso-position-vertical-relative:page;z-index:-10866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6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5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6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4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6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4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6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4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3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8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81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6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2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6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1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6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1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60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76001pt;margin-top:521.906006pt;width:37.950pt;height:11pt;mso-position-horizontal-relative:page;mso-position-vertical-relative:page;z-index:-1085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41.599998pt;margin-top:532.661011pt;width:185.9pt;height:12.6pt;mso-position-horizontal-relative:page;mso-position-vertical-relative:page;z-index:-10859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8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8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808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8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129</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7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08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0857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6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5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5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5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4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80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149</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4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5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3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3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5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52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0852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3.119995pt;margin-top:521.906006pt;width:37.950pt;height:11pt;mso-position-horizontal-relative:page;mso-position-vertical-relative:page;z-index:-108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0851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0851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0851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085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08505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9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9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08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0848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8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7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084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7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6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5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08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8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08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195</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45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8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08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0877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8344" type="#_x0000_t75" stroked="false">
          <v:imagedata r:id="rId1" o:titl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696" type="#_x0000_t75" stroked="false">
          <v:imagedata r:id="rId1" o:titl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672" type="#_x0000_t75" stroked="false">
          <v:imagedata r:id="rId1" o:titl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648" type="#_x0000_t75" stroked="false">
          <v:imagedata r:id="rId1" o:title=""/>
        </v:shape>
      </w:pict>
    </w:r>
    <w:r>
      <w:rPr/>
      <w:pict>
        <v:shape style="position:absolute;margin-left:88.903999pt;margin-top:76.704987pt;width:80.850pt;height:29.25pt;mso-position-horizontal-relative:page;mso-position-vertical-relative:page;z-index:-10876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58"/>
                  <w:ind w:left="20" w:right="0"/>
                  <w:jc w:val="left"/>
                </w:pPr>
                <w:r>
                  <w:rPr/>
                  <w:t>√适用</w:t>
                </w:r>
                <w:r>
                  <w:rPr>
                    <w:spacing w:val="-1"/>
                  </w:rPr>
                  <w:t> </w:t>
                </w:r>
                <w:r>
                  <w:rPr/>
                  <w:t>□不适用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600" type="#_x0000_t75" stroked="false">
          <v:imagedata r:id="rId1" o:titl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480" type="#_x0000_t75" stroked="false">
          <v:imagedata r:id="rId1" o:titl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456" type="#_x0000_t75" stroked="false">
          <v:imagedata r:id="rId1" o:titl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432" type="#_x0000_t75" stroked="false">
          <v:imagedata r:id="rId1" o:titl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349976pt;margin-top:37.250008pt;width:141.7pt;height:18.1pt;mso-position-horizontal-relative:page;mso-position-vertical-relative:page;z-index:-1087288" type="#_x0000_t75" stroked="false">
          <v:imagedata r:id="rId1" o:titl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349976pt;margin-top:37.250008pt;width:141.7pt;height:18.1pt;mso-position-horizontal-relative:page;mso-position-vertical-relative:page;z-index:-1087216" type="#_x0000_t75" stroked="fals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8272" type="#_x0000_t75" stroked="false">
          <v:imagedata r:id="rId1" o:titl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349976pt;margin-top:37.250008pt;width:141.7pt;height:18.1pt;mso-position-horizontal-relative:page;mso-position-vertical-relative:page;z-index:-1087192" type="#_x0000_t75" stroked="false">
          <v:imagedata r:id="rId1" o:titl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049984pt;width:141.7pt;height:18.1pt;mso-position-horizontal-relative:page;mso-position-vertical-relative:page;z-index:-1087096" type="#_x0000_t75" stroked="false">
          <v:imagedata r:id="rId1" o:titl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7024" type="#_x0000_t75" stroked="false">
          <v:imagedata r:id="rId1" o:titl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904" type="#_x0000_t75" stroked="false">
          <v:imagedata r:id="rId1" o:titl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880" type="#_x0000_t75" stroked="false">
          <v:imagedata r:id="rId1" o:titl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856" type="#_x0000_t75" stroked="false">
          <v:imagedata r:id="rId1" o:titl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4pt;margin-top:47.300007pt;width:141.7pt;height:18.1pt;mso-position-horizontal-relative:page;mso-position-vertical-relative:page;z-index:-1086736" type="#_x0000_t75" stroked="false">
          <v:imagedata r:id="rId1" o:titl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4pt;margin-top:47.300007pt;width:141.7pt;height:18.1pt;mso-position-horizontal-relative:page;mso-position-vertical-relative:page;z-index:-1086664" type="#_x0000_t75" stroked="false">
          <v:imagedata r:id="rId1" o:titl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4pt;margin-top:47.300007pt;width:141.7pt;height:18.1pt;mso-position-horizontal-relative:page;mso-position-vertical-relative:page;z-index:-1086640" type="#_x0000_t75" stroked="fals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8248" type="#_x0000_t75" stroked="false">
          <v:imagedata r:id="rId1" o:titl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568" type="#_x0000_t75" stroked="false">
          <v:imagedata r:id="rId1" o:titl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544" type="#_x0000_t75" stroked="false">
          <v:imagedata r:id="rId1" o:titl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328" type="#_x0000_t75" stroked="false">
          <v:imagedata r:id="rId1" o:title=""/>
        </v:shape>
      </w:pict>
    </w:r>
    <w:r>
      <w:rPr/>
      <w:pict>
        <v:shape style="position:absolute;margin-left:88.903999pt;margin-top:76.704987pt;width:249.85pt;height:12.6pt;mso-position-horizontal-relative:page;mso-position-vertical-relative:page;z-index:-108630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280" type="#_x0000_t75" stroked="false">
          <v:imagedata r:id="rId1" o:titl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256" type="#_x0000_t75" stroked="false">
          <v:imagedata r:id="rId1" o:titl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6040" type="#_x0000_t75" stroked="false">
          <v:imagedata r:id="rId1" o:titl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8128" type="#_x0000_t75" stroked="false">
          <v:imagedata r:id="rId1" o:titl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2.549988pt;margin-top:47.300007pt;width:141.7pt;height:18.1pt;mso-position-horizontal-relative:page;mso-position-vertical-relative:page;z-index:-1086016" type="#_x0000_t75" stroked="false">
          <v:imagedata r:id="rId1" o:titl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5944" type="#_x0000_t75" stroked="false">
          <v:imagedata r:id="rId1" o:titl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5872" type="#_x0000_t75" stroked="false">
          <v:imagedata r:id="rId1" o:titl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pt;margin-top:47.300007pt;width:141.7pt;height:18.1pt;mso-position-horizontal-relative:page;mso-position-vertical-relative:page;z-index:-1085752" type="#_x0000_t75" stroked="false">
          <v:imagedata r:id="rId1" o:titl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5680" type="#_x0000_t75" stroked="false">
          <v:imagedata r:id="rId1" o:titl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8008" type="#_x0000_t75" stroked="false">
          <v:imagedata r:id="rId1" o:titl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5272" type="#_x0000_t75" stroked="false">
          <v:imagedata r:id="rId1" o:titl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6.25pt;margin-top:47.300007pt;width:141.7pt;height:18.1pt;mso-position-horizontal-relative:page;mso-position-vertical-relative:page;z-index:-1085224" type="#_x0000_t75" stroked="false">
          <v:imagedata r:id="rId1" o:titl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pt;margin-top:47.300007pt;width:141.7pt;height:18.1pt;mso-position-horizontal-relative:page;mso-position-vertical-relative:page;z-index:-1085104" type="#_x0000_t75" stroked="false">
          <v:imagedata r:id="rId1" o:titl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pt;margin-top:47.300007pt;width:141.7pt;height:18.1pt;mso-position-horizontal-relative:page;mso-position-vertical-relative:page;z-index:-1085032" type="#_x0000_t75" stroked="false">
          <v:imagedata r:id="rId1" o:titl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5008" type="#_x0000_t75" stroked="false">
          <v:imagedata r:id="rId1" o:titl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pt;margin-top:47.300007pt;width:141.7pt;height:18.1pt;mso-position-horizontal-relative:page;mso-position-vertical-relative:page;z-index:-1084936" type="#_x0000_t75" stroked="false">
          <v:imagedata r:id="rId1" o:titl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984" type="#_x0000_t75" stroked="false">
          <v:imagedata r:id="rId1" o:titl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4864" type="#_x0000_t75" stroked="false">
          <v:imagedata r:id="rId1" o:titl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4648" type="#_x0000_t75" stroked="false">
          <v:imagedata r:id="rId1" o:titl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99984pt;width:141.7pt;height:18.1pt;mso-position-horizontal-relative:page;mso-position-vertical-relative:page;z-index:-1084624" type="#_x0000_t75" stroked="false">
          <v:imagedata r:id="rId1" o:titl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249985pt;width:141.7pt;height:18.1pt;mso-position-horizontal-relative:page;mso-position-vertical-relative:page;z-index:-1087912" type="#_x0000_t75" stroked="false">
          <v:imagedata r:id="rId1" o:titl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1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2757"/>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Heading3" w:type="paragraph">
    <w:name w:val="Heading 3"/>
    <w:basedOn w:val="Normal"/>
    <w:uiPriority w:val="1"/>
    <w:qFormat/>
    <w:pPr>
      <w:ind w:left="124"/>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neusoft.com" TargetMode="External"/><Relationship Id="rId9" Type="http://schemas.openxmlformats.org/officeDocument/2006/relationships/hyperlink" Target="http://www.neusoft.com/"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8.xml"/><Relationship Id="rId43" Type="http://schemas.openxmlformats.org/officeDocument/2006/relationships/footer" Target="footer16.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header" Target="header21.xml"/><Relationship Id="rId49" Type="http://schemas.openxmlformats.org/officeDocument/2006/relationships/footer" Target="footer19.xml"/><Relationship Id="rId50" Type="http://schemas.openxmlformats.org/officeDocument/2006/relationships/header" Target="header22.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header" Target="header25.xml"/><Relationship Id="rId56" Type="http://schemas.openxmlformats.org/officeDocument/2006/relationships/header" Target="header26.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27.xml"/><Relationship Id="rId60" Type="http://schemas.openxmlformats.org/officeDocument/2006/relationships/footer" Target="footer24.xml"/><Relationship Id="rId61" Type="http://schemas.openxmlformats.org/officeDocument/2006/relationships/header" Target="header28.xml"/><Relationship Id="rId62" Type="http://schemas.openxmlformats.org/officeDocument/2006/relationships/header" Target="header29.xml"/><Relationship Id="rId63" Type="http://schemas.openxmlformats.org/officeDocument/2006/relationships/header" Target="header30.xml"/><Relationship Id="rId64" Type="http://schemas.openxmlformats.org/officeDocument/2006/relationships/footer" Target="footer25.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footer" Target="footer28.xml"/><Relationship Id="rId70" Type="http://schemas.openxmlformats.org/officeDocument/2006/relationships/footer" Target="footer29.xml"/><Relationship Id="rId71" Type="http://schemas.openxmlformats.org/officeDocument/2006/relationships/header" Target="header33.xml"/><Relationship Id="rId72" Type="http://schemas.openxmlformats.org/officeDocument/2006/relationships/header" Target="header34.xml"/><Relationship Id="rId73" Type="http://schemas.openxmlformats.org/officeDocument/2006/relationships/header" Target="header35.xml"/><Relationship Id="rId74" Type="http://schemas.openxmlformats.org/officeDocument/2006/relationships/footer" Target="footer30.xml"/><Relationship Id="rId75" Type="http://schemas.openxmlformats.org/officeDocument/2006/relationships/footer" Target="footer31.xml"/><Relationship Id="rId76" Type="http://schemas.openxmlformats.org/officeDocument/2006/relationships/header" Target="header36.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37.xml"/><Relationship Id="rId80" Type="http://schemas.openxmlformats.org/officeDocument/2006/relationships/footer" Target="footer34.xml"/><Relationship Id="rId81" Type="http://schemas.openxmlformats.org/officeDocument/2006/relationships/footer" Target="footer35.xml"/><Relationship Id="rId82" Type="http://schemas.openxmlformats.org/officeDocument/2006/relationships/header" Target="header38.xml"/><Relationship Id="rId83" Type="http://schemas.openxmlformats.org/officeDocument/2006/relationships/footer" Target="footer36.xml"/><Relationship Id="rId84" Type="http://schemas.openxmlformats.org/officeDocument/2006/relationships/header" Target="header39.xml"/><Relationship Id="rId85" Type="http://schemas.openxmlformats.org/officeDocument/2006/relationships/footer" Target="footer37.xml"/><Relationship Id="rId86" Type="http://schemas.openxmlformats.org/officeDocument/2006/relationships/header" Target="header40.xml"/><Relationship Id="rId87" Type="http://schemas.openxmlformats.org/officeDocument/2006/relationships/footer" Target="footer38.xml"/><Relationship Id="rId88" Type="http://schemas.openxmlformats.org/officeDocument/2006/relationships/header" Target="header41.xml"/><Relationship Id="rId89" Type="http://schemas.openxmlformats.org/officeDocument/2006/relationships/footer" Target="footer39.xml"/><Relationship Id="rId90" Type="http://schemas.openxmlformats.org/officeDocument/2006/relationships/header" Target="header42.xml"/><Relationship Id="rId91" Type="http://schemas.openxmlformats.org/officeDocument/2006/relationships/header" Target="header43.xml"/><Relationship Id="rId92" Type="http://schemas.openxmlformats.org/officeDocument/2006/relationships/footer" Target="footer40.xml"/><Relationship Id="rId93" Type="http://schemas.openxmlformats.org/officeDocument/2006/relationships/footer" Target="footer41.xml"/><Relationship Id="rId94" Type="http://schemas.openxmlformats.org/officeDocument/2006/relationships/header" Target="header44.xml"/><Relationship Id="rId95" Type="http://schemas.openxmlformats.org/officeDocument/2006/relationships/footer" Target="footer42.xml"/><Relationship Id="rId96" Type="http://schemas.openxmlformats.org/officeDocument/2006/relationships/header" Target="header45.xml"/><Relationship Id="rId97" Type="http://schemas.openxmlformats.org/officeDocument/2006/relationships/footer" Target="footer43.xml"/><Relationship Id="rId98" Type="http://schemas.openxmlformats.org/officeDocument/2006/relationships/header" Target="header46.xml"/><Relationship Id="rId99" Type="http://schemas.openxmlformats.org/officeDocument/2006/relationships/footer" Target="footer44.xml"/><Relationship Id="rId100" Type="http://schemas.openxmlformats.org/officeDocument/2006/relationships/footer" Target="footer45.xml"/><Relationship Id="rId101" Type="http://schemas.openxmlformats.org/officeDocument/2006/relationships/header" Target="header47.xml"/><Relationship Id="rId102" Type="http://schemas.openxmlformats.org/officeDocument/2006/relationships/footer" Target="footer46.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footer" Target="footer49.xml"/><Relationship Id="rId107" Type="http://schemas.openxmlformats.org/officeDocument/2006/relationships/header" Target="header49.xml"/><Relationship Id="rId108" Type="http://schemas.openxmlformats.org/officeDocument/2006/relationships/footer" Target="footer50.xml"/><Relationship Id="rId109" Type="http://schemas.openxmlformats.org/officeDocument/2006/relationships/header" Target="header50.xml"/><Relationship Id="rId110" Type="http://schemas.openxmlformats.org/officeDocument/2006/relationships/footer" Target="footer51.xml"/><Relationship Id="rId111" Type="http://schemas.openxmlformats.org/officeDocument/2006/relationships/header" Target="header51.xml"/><Relationship Id="rId112" Type="http://schemas.openxmlformats.org/officeDocument/2006/relationships/footer" Target="footer52.xml"/><Relationship Id="rId113" Type="http://schemas.openxmlformats.org/officeDocument/2006/relationships/header" Target="header52.xml"/><Relationship Id="rId114" Type="http://schemas.openxmlformats.org/officeDocument/2006/relationships/footer" Target="footer53.xml"/><Relationship Id="rId115" Type="http://schemas.openxmlformats.org/officeDocument/2006/relationships/header" Target="header53.xml"/><Relationship Id="rId116" Type="http://schemas.openxmlformats.org/officeDocument/2006/relationships/footer" Target="footer54.xml"/><Relationship Id="rId117" Type="http://schemas.openxmlformats.org/officeDocument/2006/relationships/header" Target="header54.xml"/><Relationship Id="rId118" Type="http://schemas.openxmlformats.org/officeDocument/2006/relationships/footer" Target="footer55.xml"/><Relationship Id="rId119" Type="http://schemas.openxmlformats.org/officeDocument/2006/relationships/footer" Target="footer56.xml"/><Relationship Id="rId120" Type="http://schemas.openxmlformats.org/officeDocument/2006/relationships/header" Target="header55.xml"/><Relationship Id="rId121" Type="http://schemas.openxmlformats.org/officeDocument/2006/relationships/footer" Target="footer57.xml"/><Relationship Id="rId122" Type="http://schemas.openxmlformats.org/officeDocument/2006/relationships/header" Target="header56.xml"/><Relationship Id="rId123" Type="http://schemas.openxmlformats.org/officeDocument/2006/relationships/footer" Target="footer58.xml"/><Relationship Id="rId124" Type="http://schemas.openxmlformats.org/officeDocument/2006/relationships/header" Target="header57.xml"/><Relationship Id="rId125" Type="http://schemas.openxmlformats.org/officeDocument/2006/relationships/header" Target="header58.xml"/><Relationship Id="rId126" Type="http://schemas.openxmlformats.org/officeDocument/2006/relationships/footer" Target="footer59.xml"/><Relationship Id="rId127" Type="http://schemas.openxmlformats.org/officeDocument/2006/relationships/header" Target="header59.xml"/><Relationship Id="rId128" Type="http://schemas.openxmlformats.org/officeDocument/2006/relationships/footer" Target="footer60.xml"/><Relationship Id="rId129" Type="http://schemas.openxmlformats.org/officeDocument/2006/relationships/header" Target="header60.xml"/><Relationship Id="rId130" Type="http://schemas.openxmlformats.org/officeDocument/2006/relationships/footer" Target="footer61.xml"/><Relationship Id="rId131" Type="http://schemas.openxmlformats.org/officeDocument/2006/relationships/header" Target="header61.xml"/><Relationship Id="rId132" Type="http://schemas.openxmlformats.org/officeDocument/2006/relationships/footer" Target="footer62.xml"/><Relationship Id="rId133" Type="http://schemas.openxmlformats.org/officeDocument/2006/relationships/footer" Target="footer63.xml"/><Relationship Id="rId134" Type="http://schemas.openxmlformats.org/officeDocument/2006/relationships/footer" Target="footer64.xml"/><Relationship Id="rId135" Type="http://schemas.openxmlformats.org/officeDocument/2006/relationships/footer" Target="footer65.xml"/><Relationship Id="rId136" Type="http://schemas.openxmlformats.org/officeDocument/2006/relationships/header" Target="header62.xml"/><Relationship Id="rId137" Type="http://schemas.openxmlformats.org/officeDocument/2006/relationships/header" Target="header63.xml"/><Relationship Id="rId138" Type="http://schemas.openxmlformats.org/officeDocument/2006/relationships/footer" Target="footer66.xml"/><Relationship Id="rId139" Type="http://schemas.openxmlformats.org/officeDocument/2006/relationships/header" Target="header64.xml"/><Relationship Id="rId140" Type="http://schemas.openxmlformats.org/officeDocument/2006/relationships/footer" Target="footer67.xml"/><Relationship Id="rId141" Type="http://schemas.openxmlformats.org/officeDocument/2006/relationships/header" Target="header65.xml"/><Relationship Id="rId142" Type="http://schemas.openxmlformats.org/officeDocument/2006/relationships/footer" Target="footer68.xml"/><Relationship Id="rId143" Type="http://schemas.openxmlformats.org/officeDocument/2006/relationships/footer" Target="footer69.xml"/><Relationship Id="rId144" Type="http://schemas.openxmlformats.org/officeDocument/2006/relationships/header" Target="header66.xml"/><Relationship Id="rId145" Type="http://schemas.openxmlformats.org/officeDocument/2006/relationships/footer" Target="footer70.xml"/><Relationship Id="rId146" Type="http://schemas.openxmlformats.org/officeDocument/2006/relationships/footer" Target="footer7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s>

</file>

<file path=word/_rels/header45.xml.rels><?xml version="1.0" encoding="UTF-8" standalone="yes"?>
<Relationships xmlns="http://schemas.openxmlformats.org/package/2006/relationships"><Relationship Id="rId1" Type="http://schemas.openxmlformats.org/officeDocument/2006/relationships/image" Target="media/image1.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53.xml.rels><?xml version="1.0" encoding="UTF-8" standalone="yes"?>
<Relationships xmlns="http://schemas.openxmlformats.org/package/2006/relationships"><Relationship Id="rId1" Type="http://schemas.openxmlformats.org/officeDocument/2006/relationships/image" Target="media/image1.png"/></Relationships>

</file>

<file path=word/_rels/header54.xml.rels><?xml version="1.0" encoding="UTF-8" standalone="yes"?>
<Relationships xmlns="http://schemas.openxmlformats.org/package/2006/relationships"><Relationship Id="rId1" Type="http://schemas.openxmlformats.org/officeDocument/2006/relationships/image" Target="media/image1.png"/></Relationships>

</file>

<file path=word/_rels/header56.xml.rels><?xml version="1.0" encoding="UTF-8" standalone="yes"?>
<Relationships xmlns="http://schemas.openxmlformats.org/package/2006/relationships"><Relationship Id="rId1" Type="http://schemas.openxmlformats.org/officeDocument/2006/relationships/image" Target="media/image1.png"/></Relationships>

</file>

<file path=word/_rels/header57.xml.rels><?xml version="1.0" encoding="UTF-8" standalone="yes"?>
<Relationships xmlns="http://schemas.openxmlformats.org/package/2006/relationships"><Relationship Id="rId1" Type="http://schemas.openxmlformats.org/officeDocument/2006/relationships/image" Target="media/image1.png"/></Relationships>

</file>

<file path=word/_rels/header58.xml.rels><?xml version="1.0" encoding="UTF-8" standalone="yes"?>
<Relationships xmlns="http://schemas.openxmlformats.org/package/2006/relationships"><Relationship Id="rId1" Type="http://schemas.openxmlformats.org/officeDocument/2006/relationships/image" Target="media/image1.png"/></Relationships>

</file>

<file path=word/_rels/header59.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60.xml.rels><?xml version="1.0" encoding="UTF-8" standalone="yes"?>
<Relationships xmlns="http://schemas.openxmlformats.org/package/2006/relationships"><Relationship Id="rId1" Type="http://schemas.openxmlformats.org/officeDocument/2006/relationships/image" Target="media/image1.png"/></Relationships>

</file>

<file path=word/_rels/header62.xml.rels><?xml version="1.0" encoding="UTF-8" standalone="yes"?>
<Relationships xmlns="http://schemas.openxmlformats.org/package/2006/relationships"><Relationship Id="rId1" Type="http://schemas.openxmlformats.org/officeDocument/2006/relationships/image" Target="media/image1.png"/></Relationships>

</file>

<file path=word/_rels/header64.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2020-05-03T03:58:25Z</dcterms:created>
  <dcterms:modified xsi:type="dcterms:W3CDTF">2020-05-03T03:58:25Z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Office Word 2007</vt:lpwstr>
  </property>
  <property fmtid="{D5CDD505-2E9C-101B-9397-08002B2CF9AE}" pid="4" name="LastSaved">
    <vt:filetime>2020-05-02T00:00:00Z</vt:filetime>
  </property>
</Properties>
</file>