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4.xml" ContentType="application/vnd.openxmlformats-officedocument.wordprocessingml.header+xml"/>
  <Override PartName="/word/footer22.xml" ContentType="application/vnd.openxmlformats-officedocument.wordprocessingml.footer+xml"/>
  <Override PartName="/word/header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5"/>
          <w:szCs w:val="25"/>
        </w:rPr>
      </w:pPr>
    </w:p>
    <w:p>
      <w:pPr>
        <w:pStyle w:val="BodyText"/>
        <w:tabs>
          <w:tab w:pos="6333" w:val="left" w:leader="none"/>
        </w:tabs>
        <w:spacing w:line="240" w:lineRule="auto" w:before="36"/>
        <w:ind w:right="0"/>
        <w:jc w:val="left"/>
      </w:pPr>
      <w:r>
        <w:rPr>
          <w:spacing w:val="-1"/>
        </w:rPr>
        <w:t>公司代码：</w:t>
      </w:r>
      <w:r>
        <w:rPr>
          <w:rFonts w:ascii="宋体" w:hAnsi="宋体" w:cs="宋体" w:eastAsia="宋体" w:hint="default"/>
          <w:spacing w:val="-1"/>
        </w:rPr>
        <w:t>600986</w:t>
        <w:tab/>
      </w:r>
      <w:r>
        <w:rPr>
          <w:spacing w:val="-2"/>
        </w:rPr>
        <w:t>公司简称：科达股份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0"/>
        <w:ind w:left="2327" w:right="2342" w:firstLine="0"/>
        <w:jc w:val="center"/>
        <w:rPr>
          <w:rFonts w:ascii="宋体" w:hAnsi="宋体" w:cs="宋体" w:eastAsia="宋体" w:hint="default"/>
          <w:sz w:val="44"/>
          <w:szCs w:val="44"/>
        </w:rPr>
      </w:pPr>
      <w:r>
        <w:rPr>
          <w:rFonts w:ascii="宋体" w:hAnsi="宋体" w:cs="宋体" w:eastAsia="宋体" w:hint="default"/>
          <w:b/>
          <w:bCs/>
          <w:color w:val="FF0000"/>
          <w:sz w:val="44"/>
          <w:szCs w:val="44"/>
        </w:rPr>
        <w:t>科达集团股份有限公司</w:t>
      </w:r>
      <w:r>
        <w:rPr>
          <w:rFonts w:ascii="宋体" w:hAnsi="宋体" w:cs="宋体" w:eastAsia="宋体" w:hint="default"/>
          <w:sz w:val="44"/>
          <w:szCs w:val="44"/>
        </w:rPr>
      </w:r>
    </w:p>
    <w:p>
      <w:pPr>
        <w:spacing w:before="13"/>
        <w:ind w:left="2327" w:right="2342" w:firstLine="0"/>
        <w:jc w:val="center"/>
        <w:rPr>
          <w:rFonts w:ascii="宋体" w:hAnsi="宋体" w:cs="宋体" w:eastAsia="宋体" w:hint="default"/>
          <w:sz w:val="32"/>
          <w:szCs w:val="32"/>
        </w:rPr>
      </w:pPr>
      <w:r>
        <w:rPr>
          <w:rFonts w:ascii="宋体"/>
          <w:b/>
          <w:color w:val="FF0000"/>
          <w:sz w:val="32"/>
        </w:rPr>
        <w:t>600986</w:t>
      </w:r>
      <w:r>
        <w:rPr>
          <w:rFonts w:ascii="宋体"/>
          <w:sz w:val="32"/>
        </w:rPr>
      </w:r>
    </w:p>
    <w:p>
      <w:pPr>
        <w:spacing w:line="240" w:lineRule="auto" w:before="1"/>
        <w:rPr>
          <w:rFonts w:ascii="宋体" w:hAnsi="宋体" w:cs="宋体" w:eastAsia="宋体" w:hint="default"/>
          <w:b/>
          <w:bCs/>
          <w:sz w:val="30"/>
          <w:szCs w:val="30"/>
        </w:rPr>
      </w:pPr>
    </w:p>
    <w:p>
      <w:pPr>
        <w:spacing w:before="0"/>
        <w:ind w:left="2323" w:right="2342" w:firstLine="0"/>
        <w:jc w:val="center"/>
        <w:rPr>
          <w:rFonts w:ascii="宋体" w:hAnsi="宋体" w:cs="宋体" w:eastAsia="宋体" w:hint="default"/>
          <w:sz w:val="44"/>
          <w:szCs w:val="44"/>
        </w:rPr>
      </w:pPr>
      <w:r>
        <w:rPr>
          <w:rFonts w:ascii="宋体" w:hAnsi="宋体" w:cs="宋体" w:eastAsia="宋体" w:hint="default"/>
          <w:b/>
          <w:bCs/>
          <w:color w:val="FF0000"/>
          <w:sz w:val="44"/>
          <w:szCs w:val="44"/>
        </w:rPr>
        <w:t>2015</w:t>
      </w:r>
      <w:r>
        <w:rPr>
          <w:rFonts w:ascii="宋体" w:hAnsi="宋体" w:cs="宋体" w:eastAsia="宋体" w:hint="default"/>
          <w:b/>
          <w:bCs/>
          <w:color w:val="FF0000"/>
          <w:spacing w:val="-119"/>
          <w:sz w:val="44"/>
          <w:szCs w:val="44"/>
        </w:rPr>
        <w:t> </w:t>
      </w:r>
      <w:r>
        <w:rPr>
          <w:rFonts w:ascii="宋体" w:hAnsi="宋体" w:cs="宋体" w:eastAsia="宋体" w:hint="default"/>
          <w:b/>
          <w:bCs/>
          <w:color w:val="FF0000"/>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spacing w:line="948" w:lineRule="exact"/>
        <w:ind w:left="4074" w:right="0" w:firstLine="0"/>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621537" cy="6020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621537" cy="602075"/>
                    </a:xfrm>
                    <a:prstGeom prst="rect">
                      <a:avLst/>
                    </a:prstGeom>
                  </pic:spPr>
                </pic:pic>
              </a:graphicData>
            </a:graphic>
          </wp:inline>
        </w:drawing>
      </w:r>
      <w:r>
        <w:rPr>
          <w:rFonts w:ascii="宋体" w:hAnsi="宋体" w:cs="宋体" w:eastAsia="宋体" w:hint="default"/>
          <w:position w:val="-18"/>
          <w:sz w:val="20"/>
          <w:szCs w:val="20"/>
        </w:rPr>
      </w: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6"/>
        <w:rPr>
          <w:rFonts w:ascii="宋体" w:hAnsi="宋体" w:cs="宋体" w:eastAsia="宋体" w:hint="default"/>
          <w:b/>
          <w:bCs/>
          <w:sz w:val="38"/>
          <w:szCs w:val="38"/>
        </w:rPr>
      </w:pPr>
    </w:p>
    <w:p>
      <w:pPr>
        <w:spacing w:before="0"/>
        <w:ind w:left="2327" w:right="2341" w:firstLine="0"/>
        <w:jc w:val="center"/>
        <w:rPr>
          <w:rFonts w:ascii="宋体" w:hAnsi="宋体" w:cs="宋体" w:eastAsia="宋体" w:hint="default"/>
          <w:sz w:val="32"/>
          <w:szCs w:val="32"/>
        </w:rPr>
      </w:pPr>
      <w:r>
        <w:rPr>
          <w:rFonts w:ascii="宋体" w:hAnsi="宋体" w:cs="宋体" w:eastAsia="宋体" w:hint="default"/>
          <w:b/>
          <w:bCs/>
          <w:color w:val="FF0000"/>
          <w:sz w:val="32"/>
          <w:szCs w:val="32"/>
        </w:rPr>
        <w:t>二〇一六年三月十二日</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855" w:footer="1193" w:top="1280" w:bottom="1380" w:left="1660" w:right="1120"/>
          <w:pgNumType w:start="1"/>
        </w:sectPr>
      </w:pPr>
    </w:p>
    <w:p>
      <w:pPr>
        <w:spacing w:line="240" w:lineRule="auto" w:before="6"/>
        <w:rPr>
          <w:rFonts w:ascii="宋体" w:hAnsi="宋体" w:cs="宋体" w:eastAsia="宋体" w:hint="default"/>
          <w:b/>
          <w:bCs/>
          <w:sz w:val="15"/>
          <w:szCs w:val="15"/>
        </w:rPr>
      </w:pPr>
    </w:p>
    <w:p>
      <w:pPr>
        <w:spacing w:line="572" w:lineRule="exact" w:before="20"/>
        <w:ind w:left="2327" w:right="234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科达集团股份有限公司</w:t>
      </w:r>
      <w:r>
        <w:rPr>
          <w:rFonts w:ascii="黑体" w:hAnsi="黑体" w:cs="黑体" w:eastAsia="黑体" w:hint="default"/>
          <w:b/>
          <w:bCs/>
          <w:color w:val="FF0000"/>
          <w:spacing w:val="-1"/>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7"/>
        <w:ind w:left="2327" w:right="233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before="0"/>
        <w:ind w:left="505" w:right="0" w:hanging="368"/>
        <w:jc w:val="left"/>
        <w:rPr>
          <w:b w:val="0"/>
          <w:bCs w:val="0"/>
        </w:rPr>
      </w:pPr>
      <w:r>
        <w:rPr>
          <w:spacing w:val="-6"/>
        </w:rPr>
        <w:t>一、本公司董事会、监事会及董事、监事、高级管理人员保证年度报告内容的真实、准确、完整，</w:t>
      </w:r>
      <w:r>
        <w:rPr>
          <w:spacing w:val="-82"/>
        </w:rPr>
        <w:t> </w:t>
      </w:r>
      <w:r>
        <w:rPr>
          <w:spacing w:val="-82"/>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2"/>
        <w:spacing w:line="240" w:lineRule="auto" w:before="0"/>
        <w:ind w:left="138" w:right="0"/>
        <w:jc w:val="left"/>
        <w:rPr>
          <w:b w:val="0"/>
          <w:bCs w:val="0"/>
        </w:rPr>
      </w:pPr>
      <w:r>
        <w:rPr/>
        <w:t>二、</w:t>
      </w:r>
      <w:r>
        <w:rPr>
          <w:spacing w:val="-80"/>
        </w:rPr>
        <w:t> </w:t>
      </w:r>
      <w:r>
        <w:rPr/>
        <w:t>公司全体董事出席董事会会议。</w:t>
      </w:r>
      <w:r>
        <w:rPr>
          <w:b w:val="0"/>
          <w:bCs w:val="0"/>
        </w:rPr>
      </w:r>
    </w:p>
    <w:p>
      <w:pPr>
        <w:pStyle w:val="Heading2"/>
        <w:spacing w:line="680" w:lineRule="atLeast" w:before="1"/>
        <w:ind w:left="138" w:right="0"/>
        <w:jc w:val="left"/>
        <w:rPr>
          <w:b w:val="0"/>
          <w:bCs w:val="0"/>
        </w:rPr>
      </w:pPr>
      <w:r>
        <w:rPr/>
        <w:t>三、</w:t>
      </w:r>
      <w:r>
        <w:rPr>
          <w:spacing w:val="-11"/>
        </w:rPr>
        <w:t> </w:t>
      </w:r>
      <w:r>
        <w:rPr/>
        <w:t>北京天圆全会计师事务所（特殊普通合伙）为本公司出具了标准无保留意见的审计报告。</w:t>
      </w:r>
      <w:r>
        <w:rPr>
          <w:w w:val="100"/>
        </w:rPr>
        <w:t> </w:t>
      </w:r>
      <w:r>
        <w:rPr>
          <w:spacing w:val="-1"/>
        </w:rPr>
        <w:t>四、公司负责人刘锋杰、主管会计工作负责人王巧兰及会计机构负责人（会计主管人员）曾祥龙</w:t>
      </w:r>
      <w:r>
        <w:rPr>
          <w:b w:val="0"/>
          <w:bCs w:val="0"/>
          <w:spacing w:val="-1"/>
        </w:rPr>
      </w:r>
    </w:p>
    <w:p>
      <w:pPr>
        <w:pStyle w:val="Heading2"/>
        <w:spacing w:line="240" w:lineRule="auto" w:before="133"/>
        <w:ind w:left="505" w:right="0"/>
        <w:jc w:val="left"/>
        <w:rPr>
          <w:b w:val="0"/>
          <w:bCs w:val="0"/>
        </w:rPr>
      </w:pPr>
      <w:r>
        <w:rPr/>
        <w:t>声明：保证年度报告中财务报告的真实、准确、完整。</w:t>
      </w:r>
      <w:r>
        <w:rPr>
          <w:b w:val="0"/>
          <w:bCs w:val="0"/>
        </w:rPr>
      </w:r>
    </w:p>
    <w:p>
      <w:pPr>
        <w:spacing w:line="240" w:lineRule="auto" w:before="5"/>
        <w:rPr>
          <w:rFonts w:ascii="宋体" w:hAnsi="宋体" w:cs="宋体" w:eastAsia="宋体" w:hint="default"/>
          <w:b/>
          <w:bCs/>
          <w:sz w:val="15"/>
          <w:szCs w:val="15"/>
        </w:rPr>
      </w:pPr>
    </w:p>
    <w:p>
      <w:pPr>
        <w:spacing w:line="480" w:lineRule="atLeast" w:before="0"/>
        <w:ind w:left="558" w:right="523"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经北京天圆全会计师事务所</w:t>
      </w:r>
      <w:r>
        <w:rPr>
          <w:rFonts w:ascii="宋体" w:hAnsi="宋体" w:cs="宋体" w:eastAsia="宋体" w:hint="default"/>
          <w:spacing w:val="-2"/>
          <w:sz w:val="21"/>
          <w:szCs w:val="21"/>
        </w:rPr>
        <w:t>(</w:t>
      </w:r>
      <w:r>
        <w:rPr>
          <w:rFonts w:ascii="宋体" w:hAnsi="宋体" w:cs="宋体" w:eastAsia="宋体" w:hint="default"/>
          <w:spacing w:val="-2"/>
          <w:sz w:val="21"/>
          <w:szCs w:val="21"/>
        </w:rPr>
        <w:t>特殊普通合伙</w:t>
      </w:r>
      <w:r>
        <w:rPr>
          <w:rFonts w:ascii="宋体" w:hAnsi="宋体" w:cs="宋体" w:eastAsia="宋体" w:hint="default"/>
          <w:spacing w:val="-2"/>
          <w:sz w:val="21"/>
          <w:szCs w:val="21"/>
        </w:rPr>
        <w:t>)</w:t>
      </w:r>
      <w:r>
        <w:rPr>
          <w:rFonts w:ascii="宋体" w:hAnsi="宋体" w:cs="宋体" w:eastAsia="宋体" w:hint="default"/>
          <w:spacing w:val="-2"/>
          <w:sz w:val="21"/>
          <w:szCs w:val="21"/>
        </w:rPr>
        <w:t>审计，公司（母公司）</w:t>
      </w:r>
      <w:r>
        <w:rPr>
          <w:rFonts w:ascii="宋体" w:hAnsi="宋体" w:cs="宋体" w:eastAsia="宋体" w:hint="default"/>
          <w:spacing w:val="-2"/>
          <w:sz w:val="21"/>
          <w:szCs w:val="21"/>
        </w:rPr>
        <w:t>2015</w:t>
      </w:r>
      <w:r>
        <w:rPr>
          <w:rFonts w:ascii="宋体" w:hAnsi="宋体" w:cs="宋体" w:eastAsia="宋体" w:hint="default"/>
          <w:spacing w:val="22"/>
          <w:sz w:val="21"/>
          <w:szCs w:val="21"/>
        </w:rPr>
        <w:t> </w:t>
      </w:r>
      <w:r>
        <w:rPr>
          <w:rFonts w:ascii="宋体" w:hAnsi="宋体" w:cs="宋体" w:eastAsia="宋体" w:hint="default"/>
          <w:spacing w:val="-2"/>
          <w:sz w:val="21"/>
          <w:szCs w:val="21"/>
        </w:rPr>
        <w:t>年度实现净利润</w:t>
      </w:r>
    </w:p>
    <w:p>
      <w:pPr>
        <w:spacing w:before="74"/>
        <w:ind w:left="138" w:right="0" w:firstLine="0"/>
        <w:jc w:val="left"/>
        <w:rPr>
          <w:rFonts w:ascii="宋体" w:hAnsi="宋体" w:cs="宋体" w:eastAsia="宋体" w:hint="default"/>
          <w:sz w:val="21"/>
          <w:szCs w:val="21"/>
        </w:rPr>
      </w:pPr>
      <w:r>
        <w:rPr>
          <w:rFonts w:ascii="宋体" w:hAnsi="宋体" w:cs="宋体" w:eastAsia="宋体" w:hint="default"/>
          <w:sz w:val="22"/>
          <w:szCs w:val="22"/>
        </w:rPr>
        <w:t>69,429,062.07</w:t>
      </w:r>
      <w:r>
        <w:rPr>
          <w:rFonts w:ascii="宋体" w:hAnsi="宋体" w:cs="宋体" w:eastAsia="宋体" w:hint="default"/>
          <w:spacing w:val="-52"/>
          <w:sz w:val="22"/>
          <w:szCs w:val="22"/>
        </w:rPr>
        <w:t> </w:t>
      </w:r>
      <w:r>
        <w:rPr>
          <w:rFonts w:ascii="宋体" w:hAnsi="宋体" w:cs="宋体" w:eastAsia="宋体" w:hint="default"/>
          <w:spacing w:val="-4"/>
          <w:sz w:val="21"/>
          <w:szCs w:val="21"/>
        </w:rPr>
        <w:t>元，按《公司章程》规定提取法定盈余公积金</w:t>
      </w:r>
      <w:r>
        <w:rPr>
          <w:rFonts w:ascii="宋体" w:hAnsi="宋体" w:cs="宋体" w:eastAsia="宋体" w:hint="default"/>
          <w:spacing w:val="-45"/>
          <w:sz w:val="21"/>
          <w:szCs w:val="21"/>
        </w:rPr>
        <w:t> </w:t>
      </w:r>
      <w:r>
        <w:rPr>
          <w:rFonts w:ascii="宋体" w:hAnsi="宋体" w:cs="宋体" w:eastAsia="宋体" w:hint="default"/>
          <w:sz w:val="22"/>
          <w:szCs w:val="22"/>
        </w:rPr>
        <w:t>6,942,906.21</w:t>
      </w:r>
      <w:r>
        <w:rPr>
          <w:rFonts w:ascii="宋体" w:hAnsi="宋体" w:cs="宋体" w:eastAsia="宋体" w:hint="default"/>
          <w:spacing w:val="-48"/>
          <w:sz w:val="22"/>
          <w:szCs w:val="22"/>
        </w:rPr>
        <w:t> </w:t>
      </w:r>
      <w:r>
        <w:rPr>
          <w:rFonts w:ascii="宋体" w:hAnsi="宋体" w:cs="宋体" w:eastAsia="宋体" w:hint="default"/>
          <w:spacing w:val="-6"/>
          <w:sz w:val="21"/>
          <w:szCs w:val="21"/>
        </w:rPr>
        <w:t>元，加</w:t>
      </w:r>
      <w:r>
        <w:rPr>
          <w:rFonts w:ascii="宋体" w:hAnsi="宋体" w:cs="宋体" w:eastAsia="宋体" w:hint="default"/>
          <w:spacing w:val="-48"/>
          <w:sz w:val="21"/>
          <w:szCs w:val="21"/>
        </w:rPr>
        <w:t> </w:t>
      </w:r>
      <w:r>
        <w:rPr>
          <w:rFonts w:ascii="宋体" w:hAnsi="宋体" w:cs="宋体" w:eastAsia="宋体" w:hint="default"/>
          <w:sz w:val="21"/>
          <w:szCs w:val="21"/>
        </w:rPr>
        <w:t>2015</w:t>
      </w:r>
      <w:r>
        <w:rPr>
          <w:rFonts w:ascii="宋体" w:hAnsi="宋体" w:cs="宋体" w:eastAsia="宋体" w:hint="default"/>
          <w:spacing w:val="-47"/>
          <w:sz w:val="21"/>
          <w:szCs w:val="21"/>
        </w:rPr>
        <w:t> </w:t>
      </w:r>
      <w:r>
        <w:rPr>
          <w:rFonts w:ascii="宋体" w:hAnsi="宋体" w:cs="宋体" w:eastAsia="宋体" w:hint="default"/>
          <w:sz w:val="21"/>
          <w:szCs w:val="21"/>
        </w:rPr>
        <w:t>年期初</w:t>
      </w:r>
    </w:p>
    <w:p>
      <w:pPr>
        <w:pStyle w:val="BodyText"/>
        <w:spacing w:line="240" w:lineRule="auto" w:before="83"/>
        <w:ind w:right="0"/>
        <w:jc w:val="left"/>
      </w:pPr>
      <w:r>
        <w:rPr/>
        <w:t>未分配利润余额</w:t>
      </w:r>
      <w:r>
        <w:rPr>
          <w:spacing w:val="-55"/>
        </w:rPr>
        <w:t> </w:t>
      </w:r>
      <w:r>
        <w:rPr>
          <w:rFonts w:ascii="宋体" w:hAnsi="宋体" w:cs="宋体" w:eastAsia="宋体" w:hint="default"/>
        </w:rPr>
        <w:t>289,705,175.20</w:t>
      </w:r>
      <w:r>
        <w:rPr>
          <w:rFonts w:ascii="宋体" w:hAnsi="宋体" w:cs="宋体" w:eastAsia="宋体" w:hint="default"/>
          <w:spacing w:val="-54"/>
        </w:rPr>
        <w:t> </w:t>
      </w:r>
      <w:r>
        <w:rPr/>
        <w:t>元，截至</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日可供股东分配的利润为</w:t>
      </w:r>
    </w:p>
    <w:p>
      <w:pPr>
        <w:spacing w:before="73"/>
        <w:ind w:left="138" w:right="0" w:firstLine="0"/>
        <w:jc w:val="left"/>
        <w:rPr>
          <w:rFonts w:ascii="宋体" w:hAnsi="宋体" w:cs="宋体" w:eastAsia="宋体" w:hint="default"/>
          <w:sz w:val="21"/>
          <w:szCs w:val="21"/>
        </w:rPr>
      </w:pPr>
      <w:r>
        <w:rPr>
          <w:rFonts w:ascii="宋体" w:hAnsi="宋体" w:cs="宋体" w:eastAsia="宋体" w:hint="default"/>
          <w:sz w:val="22"/>
          <w:szCs w:val="22"/>
        </w:rPr>
        <w:t>352,191,331.06</w:t>
      </w:r>
      <w:r>
        <w:rPr>
          <w:rFonts w:ascii="宋体" w:hAnsi="宋体" w:cs="宋体" w:eastAsia="宋体" w:hint="default"/>
          <w:spacing w:val="-56"/>
          <w:sz w:val="22"/>
          <w:szCs w:val="22"/>
        </w:rPr>
        <w:t> </w:t>
      </w:r>
      <w:r>
        <w:rPr>
          <w:rFonts w:ascii="宋体" w:hAnsi="宋体" w:cs="宋体" w:eastAsia="宋体" w:hint="default"/>
          <w:sz w:val="21"/>
          <w:szCs w:val="21"/>
        </w:rPr>
        <w:t>元。（上述数据来自母公司所有者权益变动表）。</w:t>
      </w:r>
    </w:p>
    <w:p>
      <w:pPr>
        <w:pStyle w:val="BodyText"/>
        <w:spacing w:line="240" w:lineRule="auto" w:before="83"/>
        <w:ind w:left="558" w:right="0"/>
        <w:jc w:val="left"/>
      </w:pPr>
      <w:r>
        <w:rPr/>
        <w:t>公司</w:t>
      </w:r>
      <w:r>
        <w:rPr>
          <w:spacing w:val="-53"/>
        </w:rPr>
        <w:t> </w:t>
      </w:r>
      <w:r>
        <w:rPr>
          <w:rFonts w:ascii="宋体" w:hAnsi="宋体" w:cs="宋体" w:eastAsia="宋体" w:hint="default"/>
        </w:rPr>
        <w:t>2015</w:t>
      </w:r>
      <w:r>
        <w:rPr>
          <w:rFonts w:ascii="宋体" w:hAnsi="宋体" w:cs="宋体" w:eastAsia="宋体" w:hint="default"/>
          <w:spacing w:val="-55"/>
        </w:rPr>
        <w:t> </w:t>
      </w:r>
      <w:r>
        <w:rPr/>
        <w:t>年度利润分配预案为：以</w:t>
      </w:r>
      <w:r>
        <w:rPr>
          <w:spacing w:val="-52"/>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日的总股本</w:t>
      </w:r>
      <w:r>
        <w:rPr>
          <w:spacing w:val="-53"/>
        </w:rPr>
        <w:t> </w:t>
      </w:r>
      <w:r>
        <w:rPr>
          <w:rFonts w:ascii="宋体" w:hAnsi="宋体" w:cs="宋体" w:eastAsia="宋体" w:hint="default"/>
        </w:rPr>
        <w:t>868,886,423</w:t>
      </w:r>
      <w:r>
        <w:rPr>
          <w:rFonts w:ascii="宋体" w:hAnsi="宋体" w:cs="宋体" w:eastAsia="宋体" w:hint="default"/>
          <w:spacing w:val="-55"/>
        </w:rPr>
        <w:t> </w:t>
      </w:r>
      <w:r>
        <w:rPr/>
        <w:t>股为基数向全</w:t>
      </w:r>
    </w:p>
    <w:p>
      <w:pPr>
        <w:pStyle w:val="BodyText"/>
        <w:spacing w:line="314" w:lineRule="auto" w:before="85"/>
        <w:ind w:left="558" w:right="890" w:hanging="420"/>
        <w:jc w:val="left"/>
      </w:pPr>
      <w:r>
        <w:rPr/>
        <w:t>体股东进行每</w:t>
      </w:r>
      <w:r>
        <w:rPr>
          <w:spacing w:val="-54"/>
        </w:rPr>
        <w:t> </w:t>
      </w:r>
      <w:r>
        <w:rPr>
          <w:rFonts w:ascii="宋体" w:hAnsi="宋体" w:cs="宋体" w:eastAsia="宋体" w:hint="default"/>
        </w:rPr>
        <w:t>10</w:t>
      </w:r>
      <w:r>
        <w:rPr>
          <w:rFonts w:ascii="宋体" w:hAnsi="宋体" w:cs="宋体" w:eastAsia="宋体" w:hint="default"/>
          <w:spacing w:val="-54"/>
        </w:rPr>
        <w:t> </w:t>
      </w:r>
      <w:r>
        <w:rPr/>
        <w:t>股派</w:t>
      </w:r>
      <w:r>
        <w:rPr>
          <w:spacing w:val="-53"/>
        </w:rPr>
        <w:t> </w:t>
      </w:r>
      <w:r>
        <w:rPr>
          <w:rFonts w:ascii="宋体" w:hAnsi="宋体" w:cs="宋体" w:eastAsia="宋体" w:hint="default"/>
        </w:rPr>
        <w:t>0.3</w:t>
      </w:r>
      <w:r>
        <w:rPr>
          <w:rFonts w:ascii="宋体" w:hAnsi="宋体" w:cs="宋体" w:eastAsia="宋体" w:hint="default"/>
          <w:spacing w:val="-56"/>
        </w:rPr>
        <w:t> </w:t>
      </w:r>
      <w:r>
        <w:rPr/>
        <w:t>元（含税）的现金红利分配。本年度不进行公积金转增股本。</w:t>
      </w:r>
      <w:r>
        <w:rPr>
          <w:w w:val="100"/>
        </w:rPr>
        <w:t> </w:t>
      </w:r>
      <w:r>
        <w:rPr/>
        <w:t>本预案尚需公司</w:t>
      </w:r>
      <w:r>
        <w:rPr>
          <w:rFonts w:ascii="宋体" w:hAnsi="宋体" w:cs="宋体" w:eastAsia="宋体" w:hint="default"/>
        </w:rPr>
        <w:t>2015</w:t>
      </w:r>
      <w:r>
        <w:rPr/>
        <w:t>年度股东大会审议。</w:t>
      </w:r>
    </w:p>
    <w:p>
      <w:pPr>
        <w:spacing w:line="480" w:lineRule="atLeast" w:before="98"/>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本报告中所涉及的未来计划、发展战略等前瞻性描述不构成公司对投资者的实质承诺，敬请</w:t>
      </w:r>
    </w:p>
    <w:p>
      <w:pPr>
        <w:pStyle w:val="BodyText"/>
        <w:spacing w:line="240" w:lineRule="auto" w:before="85"/>
        <w:ind w:right="0"/>
        <w:jc w:val="left"/>
      </w:pPr>
      <w:r>
        <w:rPr/>
        <w:t>投资者注意投资风险。</w:t>
      </w:r>
    </w:p>
    <w:p>
      <w:pPr>
        <w:spacing w:line="240" w:lineRule="auto" w:before="2"/>
        <w:rPr>
          <w:rFonts w:ascii="宋体" w:hAnsi="宋体" w:cs="宋体" w:eastAsia="宋体" w:hint="default"/>
          <w:sz w:val="28"/>
          <w:szCs w:val="28"/>
        </w:rPr>
      </w:pPr>
    </w:p>
    <w:p>
      <w:pPr>
        <w:pStyle w:val="Heading2"/>
        <w:spacing w:line="422" w:lineRule="auto" w:before="0"/>
        <w:ind w:left="138" w:right="348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2"/>
        <w:tabs>
          <w:tab w:pos="781" w:val="left" w:leader="none"/>
        </w:tabs>
        <w:spacing w:line="357" w:lineRule="auto" w:before="0"/>
        <w:ind w:left="138" w:right="370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355" w:lineRule="auto" w:before="167"/>
        <w:ind w:left="558" w:right="158"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公司已在本报告中详细描述存在的行业风险、市场风险等，敬请查阅管理层经营与分析中关</w:t>
      </w:r>
    </w:p>
    <w:p>
      <w:pPr>
        <w:pStyle w:val="BodyText"/>
        <w:spacing w:line="240" w:lineRule="auto" w:before="32"/>
        <w:ind w:right="0"/>
        <w:jc w:val="left"/>
      </w:pPr>
      <w:r>
        <w:rPr/>
        <w:t>于公司未来发展的讨论与分析中可能面对的风险因素及对策部分的内容。</w:t>
      </w:r>
    </w:p>
    <w:p>
      <w:pPr>
        <w:spacing w:after="0" w:line="240" w:lineRule="auto"/>
        <w:jc w:val="left"/>
        <w:sectPr>
          <w:pgSz w:w="11910" w:h="16840"/>
          <w:pgMar w:header="855" w:footer="1193" w:top="1280" w:bottom="1380" w:left="1660" w:right="1120"/>
        </w:sectPr>
      </w:pPr>
    </w:p>
    <w:p>
      <w:pPr>
        <w:spacing w:line="240" w:lineRule="auto" w:before="5"/>
        <w:rPr>
          <w:rFonts w:ascii="宋体" w:hAnsi="宋体" w:cs="宋体" w:eastAsia="宋体" w:hint="default"/>
          <w:sz w:val="13"/>
          <w:szCs w:val="13"/>
        </w:rPr>
      </w:pPr>
    </w:p>
    <w:p>
      <w:pPr>
        <w:spacing w:before="14"/>
        <w:ind w:left="2327" w:right="1922"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19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tab/>
              <w:t>管理层讨论与分析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150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55" w:footer="1193" w:top="1280" w:bottom="1380" w:left="1660" w:right="1120"/>
        </w:sectPr>
      </w:pPr>
    </w:p>
    <w:p>
      <w:pPr>
        <w:pStyle w:val="Heading1"/>
        <w:tabs>
          <w:tab w:pos="1260" w:val="left" w:leader="none"/>
        </w:tabs>
        <w:spacing w:line="240" w:lineRule="auto" w:before="249"/>
        <w:ind w:right="12"/>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18"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512"/>
        <w:gridCol w:w="1700"/>
        <w:gridCol w:w="3838"/>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本公司、公司、上市公司、科达股份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科达集团股份有限公司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百孚思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北京百孚思广告有限公司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上海同立广告传播有限公司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华邑众为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广州华邑品牌数字营销有限公司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雨林木风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广东雨林木风计算机科技有限公司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派瑞威行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北京派瑞威行广告有限公司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青岛置业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青岛科达置业有限公司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滨州置业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滨州市科达置业有限公司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科英置业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东营科英置业有限公司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大桥公司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东营黄河公路大桥有限责任公司</w:t>
            </w:r>
          </w:p>
        </w:tc>
      </w:tr>
      <w:tr>
        <w:trPr>
          <w:trHeight w:val="55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中国法定流通货币单位</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29" w:lineRule="exact"/>
        <w:jc w:val="left"/>
        <w:rPr>
          <w:rFonts w:ascii="宋体" w:hAnsi="宋体" w:cs="宋体" w:eastAsia="宋体" w:hint="default"/>
          <w:sz w:val="21"/>
          <w:szCs w:val="21"/>
        </w:rPr>
        <w:sectPr>
          <w:pgSz w:w="11910" w:h="16840"/>
          <w:pgMar w:header="855" w:footer="1193" w:top="1280" w:bottom="1380" w:left="1580" w:right="1040"/>
        </w:sectPr>
      </w:pPr>
    </w:p>
    <w:p>
      <w:pPr>
        <w:spacing w:line="240" w:lineRule="auto" w:before="5"/>
        <w:rPr>
          <w:rFonts w:ascii="宋体" w:hAnsi="宋体" w:cs="宋体" w:eastAsia="宋体" w:hint="default"/>
          <w:sz w:val="13"/>
          <w:szCs w:val="13"/>
        </w:rPr>
      </w:pPr>
    </w:p>
    <w:p>
      <w:pPr>
        <w:pStyle w:val="Heading1"/>
        <w:tabs>
          <w:tab w:pos="3720" w:val="left" w:leader="none"/>
        </w:tabs>
        <w:spacing w:line="240" w:lineRule="auto"/>
        <w:ind w:left="2460" w:right="250"/>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ind w:right="2465"/>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科达集团股份有限公司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科达股份</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KEDA GROUP CO.,</w:t>
            </w:r>
            <w:r>
              <w:rPr>
                <w:rFonts w:ascii="宋体"/>
                <w:spacing w:val="-1"/>
                <w:sz w:val="21"/>
              </w:rPr>
              <w:t> </w:t>
            </w:r>
            <w:r>
              <w:rPr>
                <w:rFonts w:ascii="宋体"/>
                <w:sz w:val="21"/>
              </w:rPr>
              <w:t>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刘锋杰</w:t>
            </w:r>
          </w:p>
        </w:tc>
      </w:tr>
    </w:tbl>
    <w:p>
      <w:pPr>
        <w:spacing w:line="240" w:lineRule="auto" w:before="12"/>
        <w:rPr>
          <w:rFonts w:ascii="宋体" w:hAnsi="宋体" w:cs="宋体" w:eastAsia="宋体" w:hint="default"/>
          <w:b/>
          <w:bCs/>
          <w:sz w:val="19"/>
          <w:szCs w:val="19"/>
        </w:rPr>
      </w:pPr>
    </w:p>
    <w:p>
      <w:pPr>
        <w:pStyle w:val="Heading2"/>
        <w:spacing w:line="240" w:lineRule="auto"/>
        <w:ind w:right="2465"/>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67"/>
        <w:gridCol w:w="2964"/>
        <w:gridCol w:w="2965"/>
      </w:tblGrid>
      <w:tr>
        <w:trPr>
          <w:trHeight w:val="283" w:hRule="exact"/>
        </w:trPr>
        <w:tc>
          <w:tcPr>
            <w:tcW w:w="2967"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姜志涛</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孙彬</w:t>
            </w:r>
          </w:p>
        </w:tc>
      </w:tr>
      <w:tr>
        <w:trPr>
          <w:trHeight w:val="283"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山东省东营市府前大街</w:t>
            </w:r>
            <w:r>
              <w:rPr>
                <w:rFonts w:ascii="宋体" w:hAnsi="宋体" w:cs="宋体" w:eastAsia="宋体" w:hint="default"/>
                <w:sz w:val="21"/>
                <w:szCs w:val="21"/>
              </w:rPr>
              <w:t>65</w:t>
            </w:r>
            <w:r>
              <w:rPr>
                <w:rFonts w:ascii="宋体" w:hAnsi="宋体" w:cs="宋体" w:eastAsia="宋体" w:hint="default"/>
                <w:sz w:val="21"/>
                <w:szCs w:val="21"/>
              </w:rPr>
              <w:t>号</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山东省东营市府前大街</w:t>
            </w:r>
            <w:r>
              <w:rPr>
                <w:rFonts w:ascii="宋体" w:hAnsi="宋体" w:cs="宋体" w:eastAsia="宋体" w:hint="default"/>
                <w:sz w:val="21"/>
                <w:szCs w:val="21"/>
              </w:rPr>
              <w:t>65</w:t>
            </w:r>
            <w:r>
              <w:rPr>
                <w:rFonts w:ascii="宋体" w:hAnsi="宋体" w:cs="宋体" w:eastAsia="宋体" w:hint="default"/>
                <w:sz w:val="21"/>
                <w:szCs w:val="21"/>
              </w:rPr>
              <w:t>号</w:t>
            </w:r>
          </w:p>
        </w:tc>
      </w:tr>
      <w:tr>
        <w:trPr>
          <w:trHeight w:val="283"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0546-8304191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0546-8304191</w:t>
            </w:r>
          </w:p>
        </w:tc>
      </w:tr>
      <w:tr>
        <w:trPr>
          <w:trHeight w:val="281"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0546-8304191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0546-8304191</w:t>
            </w:r>
          </w:p>
        </w:tc>
      </w:tr>
      <w:tr>
        <w:trPr>
          <w:trHeight w:val="283"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jiangzhitao@dkc.cn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sunbin881226@126.com</w:t>
              </w:r>
            </w:hyperlink>
          </w:p>
        </w:tc>
      </w:tr>
    </w:tbl>
    <w:p>
      <w:pPr>
        <w:spacing w:line="240" w:lineRule="auto" w:before="12"/>
        <w:rPr>
          <w:rFonts w:ascii="宋体" w:hAnsi="宋体" w:cs="宋体" w:eastAsia="宋体" w:hint="default"/>
          <w:b/>
          <w:bCs/>
          <w:sz w:val="19"/>
          <w:szCs w:val="19"/>
        </w:rPr>
      </w:pPr>
    </w:p>
    <w:p>
      <w:pPr>
        <w:pStyle w:val="Heading2"/>
        <w:spacing w:line="240" w:lineRule="auto"/>
        <w:ind w:right="2465"/>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山东省东营市大王经济技术开发区</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257335</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山东省东营市府前大街</w:t>
            </w:r>
            <w:r>
              <w:rPr>
                <w:rFonts w:ascii="宋体" w:hAnsi="宋体" w:cs="宋体" w:eastAsia="宋体" w:hint="default"/>
                <w:sz w:val="21"/>
                <w:szCs w:val="21"/>
              </w:rPr>
              <w:t>65</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257091</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www.keda-group.com</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1">
              <w:r>
                <w:rPr>
                  <w:rFonts w:ascii="宋体"/>
                  <w:sz w:val="21"/>
                </w:rPr>
                <w:t>keda@keda-group.com</w:t>
              </w:r>
            </w:hyperlink>
          </w:p>
        </w:tc>
      </w:tr>
    </w:tbl>
    <w:p>
      <w:pPr>
        <w:spacing w:line="240" w:lineRule="auto" w:before="12"/>
        <w:rPr>
          <w:rFonts w:ascii="宋体" w:hAnsi="宋体" w:cs="宋体" w:eastAsia="宋体" w:hint="default"/>
          <w:b/>
          <w:bCs/>
          <w:sz w:val="19"/>
          <w:szCs w:val="19"/>
        </w:rPr>
      </w:pPr>
    </w:p>
    <w:p>
      <w:pPr>
        <w:pStyle w:val="Heading2"/>
        <w:spacing w:line="240" w:lineRule="auto"/>
        <w:ind w:right="2465"/>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2">
              <w:r>
                <w:rPr>
                  <w:rFonts w:ascii="宋体"/>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2"/>
        <w:rPr>
          <w:rFonts w:ascii="宋体" w:hAnsi="宋体" w:cs="宋体" w:eastAsia="宋体" w:hint="default"/>
          <w:b/>
          <w:bCs/>
          <w:sz w:val="20"/>
          <w:szCs w:val="20"/>
        </w:rPr>
      </w:pPr>
    </w:p>
    <w:p>
      <w:pPr>
        <w:pStyle w:val="Heading2"/>
        <w:spacing w:line="240" w:lineRule="auto"/>
        <w:ind w:right="2465"/>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225"/>
        <w:gridCol w:w="2222"/>
        <w:gridCol w:w="2225"/>
        <w:gridCol w:w="2223"/>
      </w:tblGrid>
      <w:tr>
        <w:trPr>
          <w:trHeight w:val="305"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股票代码</w:t>
            </w:r>
          </w:p>
        </w:tc>
      </w:tr>
      <w:tr>
        <w:trPr>
          <w:trHeight w:val="302"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科达股份</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600986</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ind w:right="2465"/>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801"/>
        <w:gridCol w:w="1843"/>
        <w:gridCol w:w="4407"/>
      </w:tblGrid>
      <w:tr>
        <w:trPr>
          <w:trHeight w:val="281" w:hRule="exact"/>
        </w:trPr>
        <w:tc>
          <w:tcPr>
            <w:tcW w:w="280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公司聘请的会计师事务所</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北京天圆全会计师事务所（特殊普通合伙）</w:t>
            </w:r>
          </w:p>
        </w:tc>
      </w:tr>
      <w:tr>
        <w:trPr>
          <w:trHeight w:val="557" w:hRule="exact"/>
        </w:trPr>
        <w:tc>
          <w:tcPr>
            <w:tcW w:w="2801"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北京市海淀区中关村南大街乙 </w:t>
            </w:r>
            <w:r>
              <w:rPr>
                <w:rFonts w:ascii="宋体" w:hAnsi="宋体" w:cs="宋体" w:eastAsia="宋体" w:hint="default"/>
                <w:sz w:val="21"/>
                <w:szCs w:val="21"/>
              </w:rPr>
              <w:t>56</w:t>
            </w:r>
            <w:r>
              <w:rPr>
                <w:rFonts w:ascii="宋体" w:hAnsi="宋体" w:cs="宋体" w:eastAsia="宋体" w:hint="default"/>
                <w:spacing w:val="-13"/>
                <w:sz w:val="21"/>
                <w:szCs w:val="21"/>
              </w:rPr>
              <w:t> </w:t>
            </w:r>
            <w:r>
              <w:rPr>
                <w:rFonts w:ascii="宋体" w:hAnsi="宋体" w:cs="宋体" w:eastAsia="宋体" w:hint="default"/>
                <w:sz w:val="21"/>
                <w:szCs w:val="21"/>
              </w:rPr>
              <w:t>号方圆大厦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层</w:t>
            </w:r>
          </w:p>
        </w:tc>
      </w:tr>
      <w:tr>
        <w:trPr>
          <w:trHeight w:val="281" w:hRule="exact"/>
        </w:trPr>
        <w:tc>
          <w:tcPr>
            <w:tcW w:w="2801"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谢东、杜宪超</w:t>
            </w:r>
          </w:p>
        </w:tc>
      </w:tr>
      <w:tr>
        <w:trPr>
          <w:trHeight w:val="283" w:hRule="exact"/>
        </w:trPr>
        <w:tc>
          <w:tcPr>
            <w:tcW w:w="28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103" w:right="94"/>
              <w:jc w:val="left"/>
              <w:rPr>
                <w:rFonts w:ascii="宋体" w:hAnsi="宋体" w:cs="宋体" w:eastAsia="宋体" w:hint="default"/>
                <w:sz w:val="21"/>
                <w:szCs w:val="21"/>
              </w:rPr>
            </w:pPr>
            <w:r>
              <w:rPr>
                <w:rFonts w:ascii="宋体" w:hAnsi="宋体" w:cs="宋体" w:eastAsia="宋体" w:hint="default"/>
                <w:spacing w:val="3"/>
                <w:sz w:val="21"/>
                <w:szCs w:val="21"/>
              </w:rPr>
              <w:t>报告期内履行持续督导职责</w:t>
            </w:r>
            <w:r>
              <w:rPr>
                <w:rFonts w:ascii="宋体" w:hAnsi="宋体" w:cs="宋体" w:eastAsia="宋体" w:hint="default"/>
                <w:spacing w:val="-79"/>
                <w:sz w:val="21"/>
                <w:szCs w:val="21"/>
              </w:rPr>
              <w:t> </w:t>
            </w:r>
            <w:r>
              <w:rPr>
                <w:rFonts w:ascii="宋体" w:hAnsi="宋体" w:cs="宋体" w:eastAsia="宋体" w:hint="default"/>
                <w:sz w:val="21"/>
                <w:szCs w:val="21"/>
              </w:rPr>
              <w:t>的财务顾问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招商证券股份有限公司</w:t>
            </w:r>
          </w:p>
        </w:tc>
      </w:tr>
      <w:tr>
        <w:trPr>
          <w:trHeight w:val="281" w:hRule="exact"/>
        </w:trPr>
        <w:tc>
          <w:tcPr>
            <w:tcW w:w="2801"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深圳市福田区益田路江苏大厦</w:t>
            </w:r>
            <w:r>
              <w:rPr>
                <w:rFonts w:ascii="宋体" w:hAnsi="宋体" w:cs="宋体" w:eastAsia="宋体" w:hint="default"/>
                <w:spacing w:val="-67"/>
                <w:sz w:val="21"/>
                <w:szCs w:val="21"/>
              </w:rPr>
              <w:t> </w:t>
            </w:r>
            <w:r>
              <w:rPr>
                <w:rFonts w:ascii="宋体" w:hAnsi="宋体" w:cs="宋体" w:eastAsia="宋体" w:hint="default"/>
                <w:sz w:val="21"/>
                <w:szCs w:val="21"/>
              </w:rPr>
              <w:t>A</w:t>
            </w:r>
            <w:r>
              <w:rPr>
                <w:rFonts w:ascii="宋体" w:hAnsi="宋体" w:cs="宋体" w:eastAsia="宋体" w:hint="default"/>
                <w:spacing w:val="-67"/>
                <w:sz w:val="21"/>
                <w:szCs w:val="21"/>
              </w:rPr>
              <w:t> </w:t>
            </w:r>
            <w:r>
              <w:rPr>
                <w:rFonts w:ascii="宋体" w:hAnsi="宋体" w:cs="宋体" w:eastAsia="宋体" w:hint="default"/>
                <w:sz w:val="21"/>
                <w:szCs w:val="21"/>
              </w:rPr>
              <w:t>座</w:t>
            </w:r>
            <w:r>
              <w:rPr>
                <w:rFonts w:ascii="宋体" w:hAnsi="宋体" w:cs="宋体" w:eastAsia="宋体" w:hint="default"/>
                <w:spacing w:val="-65"/>
                <w:sz w:val="21"/>
                <w:szCs w:val="21"/>
              </w:rPr>
              <w:t> </w:t>
            </w:r>
            <w:r>
              <w:rPr>
                <w:rFonts w:ascii="宋体" w:hAnsi="宋体" w:cs="宋体" w:eastAsia="宋体" w:hint="default"/>
                <w:sz w:val="21"/>
                <w:szCs w:val="21"/>
              </w:rPr>
              <w:t>38</w:t>
            </w:r>
            <w:r>
              <w:rPr>
                <w:rFonts w:ascii="宋体" w:hAnsi="宋体" w:cs="宋体" w:eastAsia="宋体" w:hint="default"/>
                <w:spacing w:val="-65"/>
                <w:sz w:val="21"/>
                <w:szCs w:val="21"/>
              </w:rPr>
              <w:t> </w:t>
            </w:r>
            <w:r>
              <w:rPr>
                <w:rFonts w:ascii="宋体" w:hAnsi="宋体" w:cs="宋体" w:eastAsia="宋体" w:hint="default"/>
                <w:sz w:val="21"/>
                <w:szCs w:val="21"/>
              </w:rPr>
              <w:t>层</w:t>
            </w:r>
            <w:r>
              <w:rPr>
                <w:rFonts w:ascii="宋体" w:hAnsi="宋体" w:cs="宋体" w:eastAsia="宋体" w:hint="default"/>
                <w:sz w:val="21"/>
                <w:szCs w:val="21"/>
              </w:rPr>
              <w:t>-45</w:t>
            </w:r>
            <w:r>
              <w:rPr>
                <w:rFonts w:ascii="宋体" w:hAnsi="宋体" w:cs="宋体" w:eastAsia="宋体" w:hint="default"/>
                <w:spacing w:val="-67"/>
                <w:sz w:val="21"/>
                <w:szCs w:val="21"/>
              </w:rPr>
              <w:t> </w:t>
            </w:r>
            <w:r>
              <w:rPr>
                <w:rFonts w:ascii="宋体" w:hAnsi="宋体" w:cs="宋体" w:eastAsia="宋体" w:hint="default"/>
                <w:sz w:val="21"/>
                <w:szCs w:val="21"/>
              </w:rPr>
              <w:t>层</w:t>
            </w:r>
          </w:p>
        </w:tc>
      </w:tr>
      <w:tr>
        <w:trPr>
          <w:trHeight w:val="557" w:hRule="exact"/>
        </w:trPr>
        <w:tc>
          <w:tcPr>
            <w:tcW w:w="2801"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签</w:t>
            </w:r>
            <w:r>
              <w:rPr>
                <w:rFonts w:ascii="宋体" w:hAnsi="宋体" w:cs="宋体" w:eastAsia="宋体" w:hint="default"/>
                <w:spacing w:val="-75"/>
                <w:sz w:val="21"/>
                <w:szCs w:val="21"/>
              </w:rPr>
              <w:t> </w:t>
            </w:r>
            <w:r>
              <w:rPr>
                <w:rFonts w:ascii="宋体" w:hAnsi="宋体" w:cs="宋体" w:eastAsia="宋体" w:hint="default"/>
                <w:spacing w:val="11"/>
                <w:sz w:val="21"/>
                <w:szCs w:val="21"/>
              </w:rPr>
              <w:t>字的</w:t>
            </w:r>
            <w:r>
              <w:rPr>
                <w:rFonts w:ascii="宋体" w:hAnsi="宋体" w:cs="宋体" w:eastAsia="宋体" w:hint="default"/>
                <w:spacing w:val="-75"/>
                <w:sz w:val="21"/>
                <w:szCs w:val="21"/>
              </w:rPr>
              <w:t> </w:t>
            </w:r>
            <w:r>
              <w:rPr>
                <w:rFonts w:ascii="宋体" w:hAnsi="宋体" w:cs="宋体" w:eastAsia="宋体" w:hint="default"/>
                <w:spacing w:val="14"/>
                <w:sz w:val="21"/>
                <w:szCs w:val="21"/>
              </w:rPr>
              <w:t>财务顾</w:t>
            </w:r>
            <w:r>
              <w:rPr>
                <w:rFonts w:ascii="宋体" w:hAnsi="宋体" w:cs="宋体" w:eastAsia="宋体" w:hint="default"/>
                <w:spacing w:val="-75"/>
                <w:sz w:val="21"/>
                <w:szCs w:val="21"/>
              </w:rPr>
              <w:t> </w:t>
            </w:r>
            <w:r>
              <w:rPr>
                <w:rFonts w:ascii="宋体" w:hAnsi="宋体" w:cs="宋体" w:eastAsia="宋体" w:hint="default"/>
                <w:sz w:val="21"/>
                <w:szCs w:val="21"/>
              </w:rPr>
              <w:t>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吴宏兴、盛阿乔</w:t>
            </w:r>
          </w:p>
        </w:tc>
      </w:tr>
      <w:tr>
        <w:trPr>
          <w:trHeight w:val="281" w:hRule="exact"/>
        </w:trPr>
        <w:tc>
          <w:tcPr>
            <w:tcW w:w="2801"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1" w:lineRule="exact"/>
        <w:jc w:val="left"/>
        <w:rPr>
          <w:rFonts w:ascii="宋体" w:hAnsi="宋体" w:cs="宋体" w:eastAsia="宋体" w:hint="default"/>
          <w:sz w:val="21"/>
          <w:szCs w:val="21"/>
        </w:rPr>
        <w:sectPr>
          <w:pgSz w:w="11910" w:h="16840"/>
          <w:pgMar w:header="855" w:footer="1193" w:top="1280" w:bottom="1380" w:left="1580" w:right="104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55" w:footer="1193" w:top="1280" w:bottom="1380" w:left="1220" w:right="700"/>
        </w:sectPr>
      </w:pPr>
    </w:p>
    <w:p>
      <w:pPr>
        <w:pStyle w:val="Heading2"/>
        <w:spacing w:line="240" w:lineRule="auto"/>
        <w:ind w:left="578"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6"/>
        <w:ind w:left="57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629" w:val="left" w:leader="none"/>
        </w:tabs>
        <w:spacing w:line="240" w:lineRule="auto" w:before="177"/>
        <w:ind w:left="578" w:right="0"/>
        <w:jc w:val="left"/>
      </w:pPr>
      <w:r>
        <w:rPr>
          <w:spacing w:val="-1"/>
        </w:rPr>
        <w:t>单位：元</w:t>
        <w:tab/>
      </w:r>
      <w:r>
        <w:rPr>
          <w:spacing w:val="-2"/>
        </w:rPr>
        <w:t>币种：人民币</w:t>
      </w:r>
    </w:p>
    <w:p>
      <w:pPr>
        <w:spacing w:after="0" w:line="240" w:lineRule="auto"/>
        <w:jc w:val="left"/>
        <w:sectPr>
          <w:type w:val="continuous"/>
          <w:pgSz w:w="11910" w:h="16840"/>
          <w:pgMar w:top="1280" w:bottom="1380" w:left="1220" w:right="700"/>
          <w:cols w:num="2" w:equalWidth="0">
            <w:col w:w="4027" w:space="2497"/>
            <w:col w:w="3466"/>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787"/>
        <w:gridCol w:w="1898"/>
        <w:gridCol w:w="1896"/>
        <w:gridCol w:w="1189"/>
        <w:gridCol w:w="1980"/>
      </w:tblGrid>
      <w:tr>
        <w:trPr>
          <w:trHeight w:val="828"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5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7"/>
              <w:ind w:left="326" w:right="166" w:hanging="159"/>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95"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2,416,964,779.03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1,115,439,347.14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116.68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907,938,332.98</w:t>
            </w:r>
          </w:p>
        </w:tc>
      </w:tr>
      <w:tr>
        <w:trPr>
          <w:trHeight w:val="554"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117,148,526.90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53,542,851.07</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39,180,502.13</w:t>
            </w:r>
          </w:p>
        </w:tc>
      </w:tr>
      <w:tr>
        <w:trPr>
          <w:trHeight w:val="555"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84,758,247.31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43,471,897.75</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94.97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-8,395,381.52</w:t>
            </w:r>
          </w:p>
        </w:tc>
      </w:tr>
      <w:tr>
        <w:trPr>
          <w:trHeight w:val="554"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476,125,458.32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6,279,724.92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7,481.95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-508,196,901.30</w:t>
            </w:r>
          </w:p>
        </w:tc>
      </w:tr>
      <w:tr>
        <w:trPr>
          <w:trHeight w:val="1099" w:hRule="exact"/>
        </w:trPr>
        <w:tc>
          <w:tcPr>
            <w:tcW w:w="278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7"/>
              <w:ind w:left="115" w:right="113" w:hanging="1"/>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末增减（</w:t>
            </w:r>
            <w:r>
              <w:rPr>
                <w:rFonts w:ascii="宋体" w:hAnsi="宋体" w:cs="宋体" w:eastAsia="宋体" w:hint="default"/>
                <w:sz w:val="21"/>
                <w:szCs w:val="21"/>
              </w:rPr>
              <w:t>%</w:t>
            </w:r>
          </w:p>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r>
      <w:tr>
        <w:trPr>
          <w:trHeight w:val="554"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3,830,827,195.22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763,342,958.99</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401.85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709,800,107.92</w:t>
            </w:r>
          </w:p>
        </w:tc>
      </w:tr>
      <w:tr>
        <w:trPr>
          <w:trHeight w:val="295"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8,884,519,997.61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4,641,347,606.66</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91.42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4,128,069,011.64</w:t>
            </w:r>
          </w:p>
        </w:tc>
      </w:tr>
      <w:tr>
        <w:trPr>
          <w:trHeight w:val="295"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868,886,423.80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335,269,708.80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159.16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335,269,708.80</w:t>
            </w:r>
          </w:p>
        </w:tc>
      </w:tr>
    </w:tbl>
    <w:p>
      <w:pPr>
        <w:spacing w:line="240" w:lineRule="auto" w:before="2"/>
        <w:rPr>
          <w:rFonts w:ascii="宋体" w:hAnsi="宋体" w:cs="宋体" w:eastAsia="宋体" w:hint="default"/>
          <w:sz w:val="20"/>
          <w:szCs w:val="20"/>
        </w:rPr>
      </w:pPr>
    </w:p>
    <w:p>
      <w:pPr>
        <w:pStyle w:val="Heading2"/>
        <w:tabs>
          <w:tab w:pos="1417" w:val="left" w:leader="none"/>
        </w:tabs>
        <w:spacing w:line="240" w:lineRule="auto"/>
        <w:ind w:left="578" w:right="56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465" w:type="dxa"/>
        <w:tblLayout w:type="fixed"/>
        <w:tblCellMar>
          <w:top w:w="0" w:type="dxa"/>
          <w:left w:w="0" w:type="dxa"/>
          <w:bottom w:w="0" w:type="dxa"/>
          <w:right w:w="0" w:type="dxa"/>
        </w:tblCellMar>
        <w:tblLook w:val="01E0"/>
      </w:tblPr>
      <w:tblGrid>
        <w:gridCol w:w="3032"/>
        <w:gridCol w:w="1411"/>
        <w:gridCol w:w="1196"/>
        <w:gridCol w:w="2127"/>
        <w:gridCol w:w="128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73" w:lineRule="exact"/>
              <w:ind w:right="0"/>
              <w:jc w:val="center"/>
              <w:rPr>
                <w:rFonts w:ascii="宋体" w:hAnsi="宋体" w:cs="宋体" w:eastAsia="宋体" w:hint="default"/>
                <w:sz w:val="21"/>
                <w:szCs w:val="21"/>
              </w:rPr>
            </w:pPr>
            <w:r>
              <w:rPr>
                <w:rFonts w:ascii="宋体"/>
                <w:sz w:val="21"/>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0.16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43.75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0.12</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43.75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0.12</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30.77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-0.03</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0.78</w:t>
            </w:r>
            <w:r>
              <w:rPr>
                <w:rFonts w:ascii="宋体" w:hAnsi="宋体" w:cs="宋体" w:eastAsia="宋体" w:hint="default"/>
                <w:spacing w:val="-1"/>
                <w:sz w:val="21"/>
                <w:szCs w:val="21"/>
              </w:rPr>
              <w:t>个百分点</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5.59</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1.21</w:t>
            </w:r>
            <w:r>
              <w:rPr>
                <w:rFonts w:ascii="宋体" w:hAnsi="宋体" w:cs="宋体" w:eastAsia="宋体" w:hint="default"/>
                <w:spacing w:val="-1"/>
                <w:sz w:val="21"/>
                <w:szCs w:val="21"/>
              </w:rPr>
              <w:t>个百分点</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w:t>
            </w:r>
          </w:p>
        </w:tc>
      </w:tr>
    </w:tbl>
    <w:p>
      <w:pPr>
        <w:spacing w:line="240" w:lineRule="auto" w:before="13"/>
        <w:rPr>
          <w:rFonts w:ascii="宋体" w:hAnsi="宋体" w:cs="宋体" w:eastAsia="宋体" w:hint="default"/>
          <w:b/>
          <w:bCs/>
          <w:sz w:val="19"/>
          <w:szCs w:val="19"/>
        </w:rPr>
      </w:pPr>
    </w:p>
    <w:p>
      <w:pPr>
        <w:pStyle w:val="Heading2"/>
        <w:spacing w:line="240" w:lineRule="auto"/>
        <w:ind w:left="578" w:right="567"/>
        <w:jc w:val="left"/>
        <w:rPr>
          <w:b w:val="0"/>
          <w:bCs w:val="0"/>
        </w:rPr>
      </w:pPr>
      <w:r>
        <w:rPr/>
        <w:t>八、</w:t>
      </w:r>
      <w:r>
        <w:rPr>
          <w:spacing w:val="-32"/>
        </w:rPr>
        <w:t> </w:t>
      </w:r>
      <w:r>
        <w:rPr/>
        <w:t>境内外会计准则下会计数据差异</w:t>
      </w:r>
      <w:r>
        <w:rPr>
          <w:b w:val="0"/>
          <w:bCs w:val="0"/>
        </w:rPr>
      </w:r>
    </w:p>
    <w:p>
      <w:pPr>
        <w:pStyle w:val="Heading2"/>
        <w:spacing w:line="272" w:lineRule="exact" w:before="86"/>
        <w:ind w:left="998" w:right="56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578" w:right="567"/>
        <w:jc w:val="left"/>
      </w:pPr>
      <w:r>
        <w:rPr/>
        <w:t>□适用</w:t>
      </w:r>
      <w:r>
        <w:rPr>
          <w:spacing w:val="-1"/>
        </w:rPr>
        <w:t> </w:t>
      </w:r>
      <w:r>
        <w:rPr/>
        <w:t>√不适用</w:t>
      </w:r>
    </w:p>
    <w:p>
      <w:pPr>
        <w:pStyle w:val="Heading2"/>
        <w:spacing w:line="274" w:lineRule="exact" w:before="82"/>
        <w:ind w:left="945" w:right="56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1"/>
        <w:ind w:left="578" w:right="567"/>
        <w:jc w:val="left"/>
      </w:pPr>
      <w:r>
        <w:rPr/>
        <w:t>□适用</w:t>
      </w:r>
      <w:r>
        <w:rPr>
          <w:spacing w:val="-1"/>
        </w:rPr>
        <w:t> </w:t>
      </w:r>
      <w:r>
        <w:rPr/>
        <w:t>√不适用</w:t>
      </w:r>
    </w:p>
    <w:p>
      <w:pPr>
        <w:spacing w:after="0" w:line="240" w:lineRule="auto"/>
        <w:jc w:val="left"/>
        <w:sectPr>
          <w:type w:val="continuous"/>
          <w:pgSz w:w="11910" w:h="16840"/>
          <w:pgMar w:top="1280" w:bottom="1380" w:left="1220" w:right="7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2"/>
        <w:spacing w:line="240" w:lineRule="auto"/>
        <w:ind w:right="2465"/>
        <w:jc w:val="left"/>
        <w:rPr>
          <w:b w:val="0"/>
          <w:bCs w:val="0"/>
        </w:rPr>
      </w:pPr>
      <w:r>
        <w:rPr/>
        <w:t>九、 </w:t>
      </w:r>
      <w:r>
        <w:rPr>
          <w:rFonts w:ascii="Arial" w:hAnsi="Arial" w:cs="Arial" w:eastAsia="Arial" w:hint="default"/>
        </w:rPr>
        <w:t>2015</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1"/>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67"/>
        <w:gridCol w:w="1476"/>
        <w:gridCol w:w="1476"/>
        <w:gridCol w:w="1477"/>
        <w:gridCol w:w="1656"/>
      </w:tblGrid>
      <w:tr>
        <w:trPr>
          <w:trHeight w:val="554" w:hRule="exact"/>
        </w:trPr>
        <w:tc>
          <w:tcPr>
            <w:tcW w:w="296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192,635,507.75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284,355,440.67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689,914,346.69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1,250,059,483.92</w:t>
            </w:r>
          </w:p>
        </w:tc>
      </w:tr>
      <w:tr>
        <w:trPr>
          <w:trHeight w:val="281"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2,221,028.35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12,223,306.40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60,848,597.75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41,855,594.40</w:t>
            </w:r>
          </w:p>
        </w:tc>
      </w:tr>
      <w:tr>
        <w:trPr>
          <w:trHeight w:val="55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经常性损益后的净利润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-5,978,798.60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8,025,177.24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63,202,478.79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19,509,389.88</w:t>
            </w:r>
          </w:p>
        </w:tc>
      </w:tr>
      <w:tr>
        <w:trPr>
          <w:trHeight w:val="283"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45,915,356.27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37,461,145.51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89,647,001.44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303,101,955.10</w:t>
            </w:r>
          </w:p>
        </w:tc>
      </w:tr>
    </w:tbl>
    <w:p>
      <w:pPr>
        <w:spacing w:line="240" w:lineRule="auto" w:before="8"/>
        <w:rPr>
          <w:rFonts w:ascii="宋体" w:hAnsi="宋体" w:cs="宋体" w:eastAsia="宋体" w:hint="default"/>
          <w:sz w:val="15"/>
          <w:szCs w:val="15"/>
        </w:rPr>
      </w:pPr>
    </w:p>
    <w:p>
      <w:pPr>
        <w:pStyle w:val="BodyText"/>
        <w:spacing w:line="273" w:lineRule="exact" w:before="36"/>
        <w:ind w:left="218" w:right="2465"/>
        <w:jc w:val="left"/>
      </w:pPr>
      <w:r>
        <w:rPr/>
        <w:t>季度数据与已披露定期报告数据差异说明</w:t>
      </w:r>
    </w:p>
    <w:p>
      <w:pPr>
        <w:pStyle w:val="BodyText"/>
        <w:spacing w:line="273" w:lineRule="exact" w:before="0"/>
        <w:ind w:left="218"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5" w:footer="1193" w:top="1280" w:bottom="1380" w:left="1580" w:right="1040"/>
        </w:sectPr>
      </w:pPr>
    </w:p>
    <w:p>
      <w:pPr>
        <w:pStyle w:val="Heading2"/>
        <w:spacing w:line="240" w:lineRule="auto"/>
        <w:ind w:right="-18"/>
        <w:jc w:val="left"/>
        <w:rPr>
          <w:b w:val="0"/>
          <w:bCs w:val="0"/>
        </w:rPr>
      </w:pPr>
      <w:r>
        <w:rPr/>
        <w:t>十、</w:t>
      </w:r>
      <w:r>
        <w:rPr>
          <w:spacing w:val="-31"/>
        </w:rPr>
        <w:t> </w:t>
      </w:r>
      <w:r>
        <w:rPr/>
        <w:t>非经常性损益项目和金额</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before="0"/>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280" w:bottom="1380" w:left="1580" w:right="1040"/>
          <w:cols w:num="2" w:equalWidth="0">
            <w:col w:w="3036" w:space="3699"/>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2"/>
        <w:gridCol w:w="1692"/>
        <w:gridCol w:w="1690"/>
        <w:gridCol w:w="1687"/>
      </w:tblGrid>
      <w:tr>
        <w:trPr>
          <w:trHeight w:val="281"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85"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83"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283"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46,013,069.41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-3,363,117.74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101,724,279.82</w:t>
            </w:r>
          </w:p>
        </w:tc>
      </w:tr>
      <w:tr>
        <w:trPr>
          <w:trHeight w:val="1099"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w:t>
            </w:r>
          </w:p>
          <w:p>
            <w:pPr>
              <w:pStyle w:val="TableParagraph"/>
              <w:spacing w:line="237" w:lineRule="auto"/>
              <w:ind w:left="103" w:right="83"/>
              <w:jc w:val="left"/>
              <w:rPr>
                <w:rFonts w:ascii="宋体" w:hAnsi="宋体" w:cs="宋体" w:eastAsia="宋体" w:hint="default"/>
                <w:sz w:val="21"/>
                <w:szCs w:val="21"/>
              </w:rPr>
            </w:pPr>
            <w:r>
              <w:rPr>
                <w:rFonts w:ascii="宋体" w:hAnsi="宋体" w:cs="宋体" w:eastAsia="宋体" w:hint="default"/>
                <w:spacing w:val="-2"/>
                <w:sz w:val="21"/>
                <w:szCs w:val="21"/>
              </w:rPr>
              <w:t>经营业务密切相关，符合国家政策规定、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按照一定标准定额或定量持续享受的政</w:t>
            </w:r>
            <w:r>
              <w:rPr>
                <w:rFonts w:ascii="宋体" w:hAnsi="宋体" w:cs="宋体" w:eastAsia="宋体" w:hint="default"/>
                <w:w w:val="100"/>
                <w:sz w:val="21"/>
                <w:szCs w:val="21"/>
              </w:rPr>
              <w:t> </w:t>
            </w:r>
            <w:r>
              <w:rPr>
                <w:rFonts w:ascii="宋体" w:hAnsi="宋体" w:cs="宋体" w:eastAsia="宋体" w:hint="default"/>
                <w:sz w:val="21"/>
                <w:szCs w:val="21"/>
              </w:rPr>
              <w:t>府补助除外</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1,620,317.91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12,678,970.80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17,558,268.09</w:t>
            </w:r>
          </w:p>
        </w:tc>
      </w:tr>
      <w:tr>
        <w:trPr>
          <w:trHeight w:val="555"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金占用费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13,903,880.90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18,846,209.69</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453,095.89</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-13,393,487.47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-15,753,368.21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1,479,010.99</w:t>
            </w:r>
          </w:p>
        </w:tc>
      </w:tr>
      <w:tr>
        <w:trPr>
          <w:trHeight w:val="281"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center"/>
              <w:rPr>
                <w:rFonts w:ascii="宋体" w:hAnsi="宋体" w:cs="宋体" w:eastAsia="宋体" w:hint="default"/>
                <w:sz w:val="21"/>
                <w:szCs w:val="21"/>
              </w:rPr>
            </w:pPr>
            <w:r>
              <w:rPr>
                <w:rFonts w:ascii="宋体"/>
                <w:sz w:val="21"/>
              </w:rPr>
              <w:t>3,585,202.00</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-738,166.56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sz w:val="21"/>
              </w:rPr>
              <w:t>-4,447,333.71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-54,460,611.04</w:t>
            </w:r>
          </w:p>
        </w:tc>
      </w:tr>
      <w:tr>
        <w:trPr>
          <w:trHeight w:val="283"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-15,468,430.49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-1,475,609.51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-18,725,064.21</w:t>
            </w:r>
          </w:p>
        </w:tc>
      </w:tr>
      <w:tr>
        <w:trPr>
          <w:trHeight w:val="283"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32,390,279.59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10,070,953.32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47,575,883.65</w:t>
            </w:r>
          </w:p>
        </w:tc>
      </w:tr>
    </w:tbl>
    <w:p>
      <w:pPr>
        <w:spacing w:after="0" w:line="241" w:lineRule="exact"/>
        <w:jc w:val="right"/>
        <w:rPr>
          <w:rFonts w:ascii="宋体" w:hAnsi="宋体" w:cs="宋体" w:eastAsia="宋体" w:hint="default"/>
          <w:sz w:val="21"/>
          <w:szCs w:val="21"/>
        </w:rPr>
        <w:sectPr>
          <w:type w:val="continuous"/>
          <w:pgSz w:w="11910" w:h="16840"/>
          <w:pgMar w:top="1280" w:bottom="1380" w:left="1580" w:right="1040"/>
        </w:sectPr>
      </w:pPr>
    </w:p>
    <w:p>
      <w:pPr>
        <w:spacing w:line="240" w:lineRule="auto" w:before="5"/>
        <w:rPr>
          <w:rFonts w:ascii="宋体" w:hAnsi="宋体" w:cs="宋体" w:eastAsia="宋体" w:hint="default"/>
          <w:sz w:val="13"/>
          <w:szCs w:val="13"/>
        </w:rPr>
      </w:pPr>
    </w:p>
    <w:p>
      <w:pPr>
        <w:pStyle w:val="Heading1"/>
        <w:tabs>
          <w:tab w:pos="1259" w:val="left" w:leader="none"/>
        </w:tabs>
        <w:spacing w:line="240" w:lineRule="auto"/>
        <w:ind w:right="7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0"/>
        <w:jc w:val="both"/>
        <w:rPr>
          <w:b w:val="0"/>
          <w:bCs w:val="0"/>
        </w:rPr>
      </w:pPr>
      <w:r>
        <w:rPr/>
        <w:t>一、报告期内公司所从事的主要业务、经营模式及行业情况说明</w:t>
      </w:r>
      <w:r>
        <w:rPr>
          <w:b w:val="0"/>
          <w:bCs w:val="0"/>
        </w:rPr>
      </w:r>
    </w:p>
    <w:p>
      <w:pPr>
        <w:spacing w:line="314" w:lineRule="auto" w:before="135"/>
        <w:ind w:left="558" w:right="99" w:firstLine="60"/>
        <w:jc w:val="left"/>
        <w:rPr>
          <w:rFonts w:ascii="宋体" w:hAnsi="宋体" w:cs="宋体" w:eastAsia="宋体" w:hint="default"/>
          <w:sz w:val="21"/>
          <w:szCs w:val="21"/>
        </w:rPr>
      </w:pPr>
      <w:r>
        <w:rPr>
          <w:rFonts w:ascii="宋体" w:hAnsi="宋体" w:cs="宋体" w:eastAsia="宋体" w:hint="default"/>
          <w:b/>
          <w:bCs/>
          <w:sz w:val="21"/>
          <w:szCs w:val="21"/>
        </w:rPr>
        <w:t>（一）主要业务及经营模式</w:t>
      </w:r>
      <w:r>
        <w:rPr>
          <w:rFonts w:ascii="宋体" w:hAnsi="宋体" w:cs="宋体" w:eastAsia="宋体" w:hint="default"/>
          <w:b/>
          <w:bCs/>
          <w:w w:val="100"/>
          <w:sz w:val="21"/>
          <w:szCs w:val="21"/>
        </w:rPr>
        <w:t> </w:t>
      </w:r>
      <w:r>
        <w:rPr>
          <w:rFonts w:ascii="宋体" w:hAnsi="宋体" w:cs="宋体" w:eastAsia="宋体" w:hint="default"/>
          <w:spacing w:val="-2"/>
          <w:sz w:val="21"/>
          <w:szCs w:val="21"/>
        </w:rPr>
        <w:t>科达股份原主营业务为各级公路、市政基础设施、桥隧、水利等工程项目的建设施工及房地</w:t>
      </w:r>
    </w:p>
    <w:p>
      <w:pPr>
        <w:pStyle w:val="BodyText"/>
        <w:spacing w:line="314" w:lineRule="auto"/>
        <w:ind w:right="205"/>
        <w:jc w:val="both"/>
      </w:pPr>
      <w:r>
        <w:rPr>
          <w:spacing w:val="-2"/>
        </w:rPr>
        <w:t>产开发销售。由于国内经济面临下行压力，公司原有主营业务也因此受到较大影响。为突破上市</w:t>
      </w:r>
      <w:r>
        <w:rPr>
          <w:spacing w:val="-25"/>
        </w:rPr>
        <w:t> </w:t>
      </w:r>
      <w:r>
        <w:rPr>
          <w:spacing w:val="-25"/>
        </w:rPr>
      </w:r>
      <w:r>
        <w:rPr>
          <w:spacing w:val="-2"/>
        </w:rPr>
        <w:t>公司的发展困境，培育新的有发展前景的业务，提升公司的竞争力，增强公司盈利能力，从而为</w:t>
      </w:r>
      <w:r>
        <w:rPr>
          <w:spacing w:val="-25"/>
        </w:rPr>
        <w:t> </w:t>
      </w:r>
      <w:r>
        <w:rPr>
          <w:spacing w:val="-25"/>
        </w:rPr>
      </w:r>
      <w:r>
        <w:rPr>
          <w:spacing w:val="-3"/>
        </w:rPr>
        <w:t>公司股东创造更大的价值，上市公司于 </w:t>
      </w:r>
      <w:r>
        <w:rPr>
          <w:rFonts w:ascii="宋体" w:hAnsi="宋体" w:cs="宋体" w:eastAsia="宋体" w:hint="default"/>
        </w:rPr>
        <w:t>2015</w:t>
      </w:r>
      <w:r>
        <w:rPr>
          <w:rFonts w:ascii="宋体" w:hAnsi="宋体" w:cs="宋体" w:eastAsia="宋体" w:hint="default"/>
          <w:spacing w:val="-37"/>
        </w:rPr>
        <w:t> </w:t>
      </w:r>
      <w:r>
        <w:rPr>
          <w:spacing w:val="-5"/>
        </w:rPr>
        <w:t>年完成重大资产重组，收购百孚思、上海同立、华邑</w:t>
      </w:r>
    </w:p>
    <w:p>
      <w:pPr>
        <w:pStyle w:val="BodyText"/>
        <w:spacing w:line="314" w:lineRule="auto"/>
        <w:ind w:left="558" w:right="99" w:hanging="420"/>
        <w:jc w:val="left"/>
      </w:pPr>
      <w:r>
        <w:rPr/>
        <w:t>众为、雨林木风和派瑞威行等</w:t>
      </w:r>
      <w:r>
        <w:rPr>
          <w:spacing w:val="-54"/>
        </w:rPr>
        <w:t> </w:t>
      </w:r>
      <w:r>
        <w:rPr>
          <w:rFonts w:ascii="宋体" w:hAnsi="宋体" w:cs="宋体" w:eastAsia="宋体" w:hint="default"/>
        </w:rPr>
        <w:t>5</w:t>
      </w:r>
      <w:r>
        <w:rPr>
          <w:rFonts w:ascii="宋体" w:hAnsi="宋体" w:cs="宋体" w:eastAsia="宋体" w:hint="default"/>
          <w:spacing w:val="-56"/>
        </w:rPr>
        <w:t> </w:t>
      </w:r>
      <w:r>
        <w:rPr/>
        <w:t>家公司，将主营业务延伸至互联网营销领域。</w:t>
      </w:r>
      <w:r>
        <w:rPr>
          <w:w w:val="100"/>
        </w:rPr>
        <w:t> </w:t>
      </w:r>
      <w:r>
        <w:rPr>
          <w:spacing w:val="-2"/>
        </w:rPr>
        <w:t>上市公司通过本次重组，迅速切入具有良好发展前景的数字营销行业，尤其是移动互联网的</w:t>
      </w:r>
    </w:p>
    <w:p>
      <w:pPr>
        <w:pStyle w:val="BodyText"/>
        <w:spacing w:line="314" w:lineRule="auto"/>
        <w:ind w:right="217"/>
        <w:jc w:val="both"/>
      </w:pPr>
      <w:r>
        <w:rPr>
          <w:spacing w:val="-2"/>
        </w:rPr>
        <w:t>快速发展进一步推动了数字营销行业的爆发性增长，从而也为上市公司未来的长远发展奠定了良</w:t>
      </w:r>
      <w:r>
        <w:rPr>
          <w:spacing w:val="-25"/>
        </w:rPr>
        <w:t> </w:t>
      </w:r>
      <w:r>
        <w:rPr>
          <w:spacing w:val="-25"/>
        </w:rPr>
      </w:r>
      <w:r>
        <w:rPr/>
        <w:t>好的行业基础。</w:t>
      </w:r>
    </w:p>
    <w:p>
      <w:pPr>
        <w:pStyle w:val="Heading2"/>
        <w:spacing w:line="240" w:lineRule="auto" w:before="20"/>
        <w:ind w:left="560" w:right="99"/>
        <w:jc w:val="left"/>
        <w:rPr>
          <w:b w:val="0"/>
          <w:bCs w:val="0"/>
        </w:rPr>
      </w:pPr>
      <w:r>
        <w:rPr>
          <w:rFonts w:ascii="宋体" w:hAnsi="宋体" w:cs="宋体" w:eastAsia="宋体" w:hint="default"/>
        </w:rPr>
        <w:t>1</w:t>
      </w:r>
      <w:r>
        <w:rPr/>
        <w:t>、互联网营销业务</w:t>
      </w:r>
      <w:r>
        <w:rPr>
          <w:b w:val="0"/>
          <w:bCs w:val="0"/>
        </w:rPr>
      </w:r>
    </w:p>
    <w:p>
      <w:pPr>
        <w:pStyle w:val="BodyText"/>
        <w:spacing w:line="237" w:lineRule="auto" w:before="131"/>
        <w:ind w:right="99" w:firstLine="479"/>
        <w:jc w:val="left"/>
      </w:pPr>
      <w:r>
        <w:rPr/>
        <w:t>广告行业是指以提供广告服务为专门职业，接受客户委托，专业从事品牌规划、品牌策划，</w:t>
      </w:r>
      <w:r>
        <w:rPr>
          <w:w w:val="100"/>
        </w:rPr>
        <w:t> </w:t>
      </w:r>
      <w:r>
        <w:rPr/>
        <w:t>广告调研、策划、创意、设计、制作和广告代理发布等各种服务并从中获取利润的专门化行业。</w:t>
      </w:r>
      <w:r>
        <w:rPr>
          <w:w w:val="100"/>
        </w:rPr>
        <w:t> </w:t>
      </w:r>
      <w:r>
        <w:rPr/>
        <w:t>互联网营销是指是以现代营销理论为基础，借助网络、电脑通信和数字媒体技术实现营销目标的</w:t>
      </w:r>
      <w:r>
        <w:rPr>
          <w:w w:val="100"/>
        </w:rPr>
        <w:t> </w:t>
      </w:r>
      <w:r>
        <w:rPr/>
        <w:t>商务活动。包括了营销策略、创意、执行、投放、监测、评估、优化提升在内的完整营销服务链</w:t>
      </w:r>
      <w:r>
        <w:rPr>
          <w:w w:val="100"/>
        </w:rPr>
        <w:t> </w:t>
      </w:r>
      <w:r>
        <w:rPr/>
        <w:t>条。互联网营销行业作为广告行业在互联网媒体上的延伸，其产业链具备了广告行业的特征。</w:t>
      </w:r>
    </w:p>
    <w:p>
      <w:pPr>
        <w:pStyle w:val="BodyText"/>
        <w:spacing w:line="240" w:lineRule="auto" w:before="116"/>
        <w:ind w:left="618" w:right="99"/>
        <w:jc w:val="left"/>
      </w:pPr>
      <w:r>
        <w:rPr/>
        <w:t>传统广告行业产业链如下：</w:t>
      </w:r>
    </w:p>
    <w:p>
      <w:pPr>
        <w:spacing w:line="240" w:lineRule="auto" w:before="7"/>
        <w:rPr>
          <w:rFonts w:ascii="宋体" w:hAnsi="宋体" w:cs="宋体" w:eastAsia="宋体" w:hint="default"/>
          <w:sz w:val="11"/>
          <w:szCs w:val="11"/>
        </w:rPr>
      </w:pPr>
    </w:p>
    <w:p>
      <w:pPr>
        <w:spacing w:line="2316" w:lineRule="exact"/>
        <w:ind w:left="617" w:right="0" w:firstLine="0"/>
        <w:rPr>
          <w:rFonts w:ascii="宋体" w:hAnsi="宋体" w:cs="宋体" w:eastAsia="宋体" w:hint="default"/>
          <w:sz w:val="20"/>
          <w:szCs w:val="20"/>
        </w:rPr>
      </w:pPr>
      <w:r>
        <w:rPr>
          <w:rFonts w:ascii="宋体" w:hAnsi="宋体" w:cs="宋体" w:eastAsia="宋体" w:hint="default"/>
          <w:position w:val="-45"/>
          <w:sz w:val="20"/>
          <w:szCs w:val="20"/>
        </w:rPr>
        <w:drawing>
          <wp:inline distT="0" distB="0" distL="0" distR="0">
            <wp:extent cx="4793098" cy="147066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4793098" cy="1470660"/>
                    </a:xfrm>
                    <a:prstGeom prst="rect">
                      <a:avLst/>
                    </a:prstGeom>
                  </pic:spPr>
                </pic:pic>
              </a:graphicData>
            </a:graphic>
          </wp:inline>
        </w:drawing>
      </w:r>
      <w:r>
        <w:rPr>
          <w:rFonts w:ascii="宋体" w:hAnsi="宋体" w:cs="宋体" w:eastAsia="宋体" w:hint="default"/>
          <w:position w:val="-45"/>
          <w:sz w:val="20"/>
          <w:szCs w:val="20"/>
        </w:rPr>
      </w:r>
    </w:p>
    <w:p>
      <w:pPr>
        <w:pStyle w:val="BodyText"/>
        <w:spacing w:line="237" w:lineRule="auto" w:before="97"/>
        <w:ind w:right="206" w:firstLine="479"/>
        <w:jc w:val="both"/>
      </w:pPr>
      <w:r>
        <w:rPr>
          <w:spacing w:val="-3"/>
        </w:rPr>
        <w:t>广告行业产业链在经历的多年的发展及变革之后，特备是在互联网高速发展的背景下，逐渐</w:t>
      </w:r>
      <w:r>
        <w:rPr>
          <w:w w:val="100"/>
        </w:rPr>
        <w:t> </w:t>
      </w:r>
      <w:r>
        <w:rPr>
          <w:spacing w:val="-2"/>
        </w:rPr>
        <w:t>数字化、系统化。广告公司也已由单一的业务模式，逐渐向服务更加专业化、分工更加明确化、</w:t>
      </w:r>
      <w:r>
        <w:rPr>
          <w:spacing w:val="-25"/>
        </w:rPr>
        <w:t> </w:t>
      </w:r>
      <w:r>
        <w:rPr>
          <w:spacing w:val="-25"/>
        </w:rPr>
      </w:r>
      <w:r>
        <w:rPr/>
        <w:t>技术更加数字化方向发展。互联网营销行业产业链如下：</w:t>
      </w:r>
    </w:p>
    <w:p>
      <w:pPr>
        <w:spacing w:line="240" w:lineRule="auto" w:before="6"/>
        <w:rPr>
          <w:rFonts w:ascii="宋体" w:hAnsi="宋体" w:cs="宋体" w:eastAsia="宋体" w:hint="default"/>
          <w:sz w:val="11"/>
          <w:szCs w:val="11"/>
        </w:rPr>
      </w:pPr>
    </w:p>
    <w:p>
      <w:pPr>
        <w:spacing w:line="2862" w:lineRule="exact"/>
        <w:ind w:left="617"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4806215" cy="181737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4" cstate="print"/>
                    <a:stretch>
                      <a:fillRect/>
                    </a:stretch>
                  </pic:blipFill>
                  <pic:spPr>
                    <a:xfrm>
                      <a:off x="0" y="0"/>
                      <a:ext cx="4806215" cy="1817370"/>
                    </a:xfrm>
                    <a:prstGeom prst="rect">
                      <a:avLst/>
                    </a:prstGeom>
                  </pic:spPr>
                </pic:pic>
              </a:graphicData>
            </a:graphic>
          </wp:inline>
        </w:drawing>
      </w:r>
      <w:r>
        <w:rPr>
          <w:rFonts w:ascii="宋体" w:hAnsi="宋体" w:cs="宋体" w:eastAsia="宋体" w:hint="default"/>
          <w:position w:val="-56"/>
          <w:sz w:val="20"/>
          <w:szCs w:val="20"/>
        </w:rPr>
      </w:r>
    </w:p>
    <w:p>
      <w:pPr>
        <w:pStyle w:val="BodyText"/>
        <w:spacing w:line="314" w:lineRule="auto" w:before="53"/>
        <w:ind w:right="217" w:firstLine="419"/>
        <w:jc w:val="both"/>
      </w:pPr>
      <w:r>
        <w:rPr>
          <w:spacing w:val="-2"/>
        </w:rPr>
        <w:t>目前，我国互联网营销行业针对每个细分的领域都有不同公司在运营，这些细分领域可分为</w:t>
      </w:r>
      <w:r>
        <w:rPr>
          <w:w w:val="100"/>
        </w:rPr>
        <w:t> </w:t>
      </w:r>
      <w:r>
        <w:rPr>
          <w:spacing w:val="-10"/>
        </w:rPr>
        <w:t>多个类别，涉及近百家公司。这些细分环节包括广告创意、广告代理及投放、需求方平台（</w:t>
      </w:r>
      <w:r>
        <w:rPr>
          <w:rFonts w:ascii="宋体" w:hAnsi="宋体" w:cs="宋体" w:eastAsia="宋体" w:hint="default"/>
          <w:spacing w:val="-10"/>
        </w:rPr>
        <w:t>DSP</w:t>
      </w:r>
      <w:r>
        <w:rPr>
          <w:spacing w:val="-10"/>
        </w:rPr>
        <w:t>）、</w:t>
      </w:r>
      <w:r>
        <w:rPr>
          <w:spacing w:val="-17"/>
        </w:rPr>
        <w:t> </w:t>
      </w:r>
      <w:r>
        <w:rPr/>
        <w:t>广告交易平台、数据管理平台（</w:t>
      </w:r>
      <w:r>
        <w:rPr>
          <w:rFonts w:ascii="宋体" w:hAnsi="宋体" w:cs="宋体" w:eastAsia="宋体" w:hint="default"/>
        </w:rPr>
        <w:t>DMP</w:t>
      </w:r>
      <w:r>
        <w:rPr/>
        <w:t>）、广告联盟和供给方平台（</w:t>
      </w:r>
      <w:r>
        <w:rPr>
          <w:rFonts w:ascii="宋体" w:hAnsi="宋体" w:cs="宋体" w:eastAsia="宋体" w:hint="default"/>
        </w:rPr>
        <w:t>SSP</w:t>
      </w:r>
      <w:r>
        <w:rPr/>
        <w:t>）等。</w:t>
      </w:r>
    </w:p>
    <w:p>
      <w:pPr>
        <w:spacing w:after="0" w:line="314" w:lineRule="auto"/>
        <w:jc w:val="both"/>
        <w:sectPr>
          <w:pgSz w:w="11910" w:h="16840"/>
          <w:pgMar w:header="855" w:footer="1193" w:top="1280" w:bottom="1380" w:left="1660" w:right="1060"/>
        </w:sectPr>
      </w:pPr>
    </w:p>
    <w:p>
      <w:pPr>
        <w:spacing w:line="240" w:lineRule="auto" w:before="9"/>
        <w:rPr>
          <w:rFonts w:ascii="宋体" w:hAnsi="宋体" w:cs="宋体" w:eastAsia="宋体" w:hint="default"/>
          <w:sz w:val="18"/>
          <w:szCs w:val="18"/>
        </w:rPr>
      </w:pPr>
    </w:p>
    <w:p>
      <w:pPr>
        <w:pStyle w:val="BodyText"/>
        <w:spacing w:line="314" w:lineRule="auto" w:before="36"/>
        <w:ind w:right="337" w:firstLine="419"/>
        <w:jc w:val="both"/>
      </w:pPr>
      <w:r>
        <w:rPr/>
        <w:t>新并入的</w:t>
      </w:r>
      <w:r>
        <w:rPr>
          <w:spacing w:val="-54"/>
        </w:rPr>
        <w:t> </w:t>
      </w:r>
      <w:r>
        <w:rPr>
          <w:rFonts w:ascii="宋体" w:hAnsi="宋体" w:cs="宋体" w:eastAsia="宋体" w:hint="default"/>
        </w:rPr>
        <w:t>5</w:t>
      </w:r>
      <w:r>
        <w:rPr>
          <w:rFonts w:ascii="宋体" w:hAnsi="宋体" w:cs="宋体" w:eastAsia="宋体" w:hint="default"/>
          <w:spacing w:val="-56"/>
        </w:rPr>
        <w:t> </w:t>
      </w:r>
      <w:r>
        <w:rPr/>
        <w:t>家互联网营销子公司分布在互联网营销产业链上下游，在各自领域都具有较强的</w:t>
      </w:r>
      <w:r>
        <w:rPr>
          <w:w w:val="100"/>
        </w:rPr>
        <w:t> </w:t>
      </w:r>
      <w:r>
        <w:rPr>
          <w:spacing w:val="-2"/>
        </w:rPr>
        <w:t>竞争实力，依托上市公司平台进行整合后，各家公司发挥各自的专业优势，形成业务互补，在上</w:t>
      </w:r>
      <w:r>
        <w:rPr>
          <w:spacing w:val="-25"/>
        </w:rPr>
        <w:t> </w:t>
      </w:r>
      <w:r>
        <w:rPr>
          <w:spacing w:val="-25"/>
        </w:rPr>
      </w:r>
      <w:r>
        <w:rPr>
          <w:spacing w:val="-2"/>
        </w:rPr>
        <w:t>市公司体内形成一条集创意策划（华邑众为）、线上推广（百孚思）、线下执行（上海同立）、</w:t>
      </w:r>
      <w:r>
        <w:rPr>
          <w:spacing w:val="-25"/>
        </w:rPr>
        <w:t> </w:t>
      </w:r>
      <w:r>
        <w:rPr>
          <w:spacing w:val="-25"/>
        </w:rPr>
      </w:r>
      <w:r>
        <w:rPr/>
        <w:t>媒体投放（派瑞威行）、媒体平台（雨林木风）为一体的互联网营销产业链。</w:t>
      </w:r>
    </w:p>
    <w:p>
      <w:pPr>
        <w:spacing w:line="314" w:lineRule="auto" w:before="2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、基础设施建设业务</w:t>
      </w:r>
      <w:r>
        <w:rPr>
          <w:rFonts w:ascii="宋体" w:hAnsi="宋体" w:cs="宋体" w:eastAsia="宋体" w:hint="default"/>
          <w:b/>
          <w:bCs/>
          <w:w w:val="100"/>
          <w:sz w:val="21"/>
          <w:szCs w:val="21"/>
        </w:rPr>
        <w:t> </w:t>
      </w:r>
      <w:r>
        <w:rPr>
          <w:rFonts w:ascii="宋体" w:hAnsi="宋体" w:cs="宋体" w:eastAsia="宋体" w:hint="default"/>
          <w:spacing w:val="-2"/>
          <w:sz w:val="21"/>
          <w:szCs w:val="21"/>
        </w:rPr>
        <w:t>科达股份是具有公路工程施工总承包壹级资质、市政公用工程总承包壹级资质等资质的基础</w:t>
      </w:r>
    </w:p>
    <w:p>
      <w:pPr>
        <w:pStyle w:val="BodyText"/>
        <w:spacing w:line="314" w:lineRule="auto"/>
        <w:ind w:right="337"/>
        <w:jc w:val="both"/>
      </w:pPr>
      <w:r>
        <w:rPr>
          <w:spacing w:val="-2"/>
        </w:rPr>
        <w:t>设施建设企业，主要进行高速公路工程、市政工程、水利工程等项目的施工建设。基础设施建设</w:t>
      </w:r>
      <w:r>
        <w:rPr>
          <w:spacing w:val="-25"/>
        </w:rPr>
        <w:t> </w:t>
      </w:r>
      <w:r>
        <w:rPr>
          <w:spacing w:val="-25"/>
        </w:rPr>
      </w:r>
      <w:r>
        <w:rPr/>
        <w:t>业务的主要经营模式是公司以投标形式承揽业务，中标后与业主签订合同并入场施工建设。</w:t>
      </w:r>
    </w:p>
    <w:p>
      <w:pPr>
        <w:pStyle w:val="BodyText"/>
        <w:spacing w:line="314" w:lineRule="auto"/>
        <w:ind w:left="558" w:right="0" w:firstLine="2"/>
        <w:jc w:val="left"/>
      </w:pPr>
      <w:r>
        <w:rPr>
          <w:rFonts w:ascii="宋体" w:hAnsi="宋体" w:cs="宋体" w:eastAsia="宋体" w:hint="default"/>
          <w:b/>
          <w:bCs/>
        </w:rPr>
        <w:t>3</w:t>
      </w:r>
      <w:r>
        <w:rPr>
          <w:rFonts w:ascii="宋体" w:hAnsi="宋体" w:cs="宋体" w:eastAsia="宋体" w:hint="default"/>
          <w:b/>
          <w:bCs/>
        </w:rPr>
        <w:t>、房地产开发业务</w:t>
      </w:r>
      <w:r>
        <w:rPr>
          <w:rFonts w:ascii="宋体" w:hAnsi="宋体" w:cs="宋体" w:eastAsia="宋体" w:hint="default"/>
          <w:b/>
          <w:bCs/>
          <w:w w:val="100"/>
        </w:rPr>
        <w:t> </w:t>
      </w:r>
      <w:r>
        <w:rPr>
          <w:spacing w:val="-2"/>
        </w:rPr>
        <w:t>科达股份具有中国房地产开发企业壹级资质。报告期内，公司通过科英置业、青岛置业、滨</w:t>
      </w:r>
    </w:p>
    <w:p>
      <w:pPr>
        <w:pStyle w:val="BodyText"/>
        <w:spacing w:line="314" w:lineRule="auto"/>
        <w:ind w:right="337"/>
        <w:jc w:val="both"/>
      </w:pPr>
      <w:r>
        <w:rPr>
          <w:spacing w:val="-2"/>
        </w:rPr>
        <w:t>州置业三个子公司分别在山东省的东营市、青岛市、滨州市进行房产的开发销售。公司房地产开</w:t>
      </w:r>
      <w:r>
        <w:rPr>
          <w:spacing w:val="-27"/>
        </w:rPr>
        <w:t> </w:t>
      </w:r>
      <w:r>
        <w:rPr>
          <w:spacing w:val="-27"/>
        </w:rPr>
      </w:r>
      <w:r>
        <w:rPr>
          <w:spacing w:val="-2"/>
        </w:rPr>
        <w:t>发销售业务的经营模式为通过“招拍挂”取得开发土地后，进行房地产项目开发，在达到销售标</w:t>
      </w:r>
      <w:r>
        <w:rPr>
          <w:spacing w:val="-25"/>
        </w:rPr>
        <w:t> </w:t>
      </w:r>
      <w:r>
        <w:rPr>
          <w:spacing w:val="-25"/>
        </w:rPr>
      </w:r>
      <w:r>
        <w:rPr/>
        <w:t>准后进行相应销售工作。目前公司房地产开发业务均为自有土地的开发，未有合作项目。</w:t>
      </w:r>
    </w:p>
    <w:p>
      <w:pPr>
        <w:pStyle w:val="Heading2"/>
        <w:spacing w:line="314" w:lineRule="auto" w:before="20"/>
        <w:ind w:left="560" w:right="6934"/>
        <w:jc w:val="left"/>
        <w:rPr>
          <w:b w:val="0"/>
          <w:bCs w:val="0"/>
        </w:rPr>
      </w:pPr>
      <w:r>
        <w:rPr/>
        <w:t>（二）行业情况</w:t>
      </w:r>
      <w:r>
        <w:rPr>
          <w:spacing w:val="-104"/>
        </w:rPr>
        <w:t> </w:t>
      </w:r>
      <w:r>
        <w:rPr>
          <w:rFonts w:ascii="宋体" w:hAnsi="宋体" w:cs="宋体" w:eastAsia="宋体" w:hint="default"/>
        </w:rPr>
        <w:t>1</w:t>
      </w:r>
      <w:r>
        <w:rPr/>
        <w:t>、互联网营销行业</w:t>
      </w:r>
      <w:r>
        <w:rPr>
          <w:b w:val="0"/>
          <w:bCs w:val="0"/>
        </w:rPr>
      </w:r>
    </w:p>
    <w:p>
      <w:pPr>
        <w:pStyle w:val="BodyText"/>
        <w:spacing w:line="314" w:lineRule="auto"/>
        <w:ind w:right="328" w:firstLine="419"/>
        <w:jc w:val="both"/>
      </w:pPr>
      <w:r>
        <w:rPr/>
        <w:t>经过</w:t>
      </w:r>
      <w:r>
        <w:rPr>
          <w:spacing w:val="-55"/>
        </w:rPr>
        <w:t> </w:t>
      </w:r>
      <w:r>
        <w:rPr>
          <w:rFonts w:ascii="宋体" w:hAnsi="宋体" w:cs="宋体" w:eastAsia="宋体" w:hint="default"/>
        </w:rPr>
        <w:t>20</w:t>
      </w:r>
      <w:r>
        <w:rPr>
          <w:rFonts w:ascii="宋体" w:hAnsi="宋体" w:cs="宋体" w:eastAsia="宋体" w:hint="default"/>
          <w:spacing w:val="-55"/>
        </w:rPr>
        <w:t> </w:t>
      </w:r>
      <w:r>
        <w:rPr/>
        <w:t>年的发展，中国互联网产业已从萌芽期进入了发展期。自</w:t>
      </w:r>
      <w:r>
        <w:rPr>
          <w:spacing w:val="-55"/>
        </w:rPr>
        <w:t> </w:t>
      </w:r>
      <w:r>
        <w:rPr>
          <w:rFonts w:ascii="宋体" w:hAnsi="宋体" w:cs="宋体" w:eastAsia="宋体" w:hint="default"/>
        </w:rPr>
        <w:t>2005</w:t>
      </w:r>
      <w:r>
        <w:rPr>
          <w:rFonts w:ascii="宋体" w:hAnsi="宋体" w:cs="宋体" w:eastAsia="宋体" w:hint="default"/>
          <w:spacing w:val="-57"/>
        </w:rPr>
        <w:t> </w:t>
      </w:r>
      <w:r>
        <w:rPr/>
        <w:t>年以来，中国互联网</w:t>
      </w:r>
      <w:r>
        <w:rPr>
          <w:w w:val="100"/>
        </w:rPr>
        <w:t> </w:t>
      </w:r>
      <w:r>
        <w:rPr>
          <w:spacing w:val="-2"/>
        </w:rPr>
        <w:t>产业步入飞速发展的阶段，中国网民数量迅速增长，互联网普及率快速提升。互联网的迅速崛起</w:t>
      </w:r>
      <w:r>
        <w:rPr>
          <w:spacing w:val="-25"/>
        </w:rPr>
        <w:t> </w:t>
      </w:r>
      <w:r>
        <w:rPr>
          <w:spacing w:val="-25"/>
        </w:rPr>
      </w:r>
      <w:r>
        <w:rPr>
          <w:spacing w:val="-2"/>
        </w:rPr>
        <w:t>为中国的经济发展带来了强大的动力，深刻的影响着社会的各个领域，对人们的生活、娱乐、工</w:t>
      </w:r>
      <w:r>
        <w:rPr>
          <w:spacing w:val="-25"/>
        </w:rPr>
        <w:t> </w:t>
      </w:r>
      <w:r>
        <w:rPr>
          <w:spacing w:val="-25"/>
        </w:rPr>
      </w:r>
      <w:r>
        <w:rPr>
          <w:spacing w:val="-4"/>
        </w:rPr>
        <w:t>作、社交等社会活动带来了革命性的影响。随着互联网</w:t>
      </w:r>
      <w:r>
        <w:rPr>
          <w:spacing w:val="-27"/>
        </w:rPr>
        <w:t> </w:t>
      </w:r>
      <w:r>
        <w:rPr>
          <w:rFonts w:ascii="宋体" w:hAnsi="宋体" w:cs="宋体" w:eastAsia="宋体" w:hint="default"/>
        </w:rPr>
        <w:t>PC</w:t>
      </w:r>
      <w:r>
        <w:rPr>
          <w:rFonts w:ascii="宋体" w:hAnsi="宋体" w:cs="宋体" w:eastAsia="宋体" w:hint="default"/>
          <w:spacing w:val="-28"/>
        </w:rPr>
        <w:t> </w:t>
      </w:r>
      <w:r>
        <w:rPr>
          <w:spacing w:val="-4"/>
        </w:rPr>
        <w:t>端发展的逐渐成熟，以及移动端的急速</w:t>
      </w:r>
      <w:r>
        <w:rPr>
          <w:spacing w:val="-95"/>
        </w:rPr>
        <w:t> </w:t>
      </w:r>
      <w:r>
        <w:rPr>
          <w:spacing w:val="-95"/>
        </w:rPr>
      </w:r>
      <w:r>
        <w:rPr/>
        <w:t>发展，互联网产业又将迎来一次爆发式增长。</w:t>
      </w:r>
    </w:p>
    <w:p>
      <w:pPr>
        <w:pStyle w:val="BodyText"/>
        <w:spacing w:line="314" w:lineRule="auto"/>
        <w:ind w:right="0" w:firstLine="419"/>
        <w:jc w:val="left"/>
      </w:pPr>
      <w:r>
        <w:rPr>
          <w:spacing w:val="-1"/>
        </w:rPr>
        <w:t>互联网营销行业作为一个随着互联网产业发展而产生和逐渐成长的数字交互式媒体服务行业，</w:t>
      </w:r>
      <w:r>
        <w:rPr>
          <w:w w:val="100"/>
        </w:rPr>
        <w:t> </w:t>
      </w:r>
      <w:r>
        <w:rPr/>
        <w:t>互联网产业的飞速发展为互联网营销行业的崛起创造了有利时机。互联网营销行业正深刻的影响</w:t>
      </w:r>
      <w:r>
        <w:rPr>
          <w:w w:val="100"/>
        </w:rPr>
        <w:t> </w:t>
      </w:r>
      <w:r>
        <w:rPr/>
        <w:t>和改变着企业的营销活动和品牌传播方式。近年来，企业在互联网营销领域的投放热情正不断升</w:t>
      </w:r>
      <w:r>
        <w:rPr>
          <w:w w:val="100"/>
        </w:rPr>
        <w:t> </w:t>
      </w:r>
      <w:r>
        <w:rPr>
          <w:spacing w:val="-3"/>
        </w:rPr>
        <w:t>高。中国广告市场结构中，互联网广告的地位越来越重要。根据艾瑞咨询发布的《</w:t>
      </w:r>
      <w:r>
        <w:rPr>
          <w:rFonts w:ascii="宋体" w:hAnsi="宋体" w:cs="宋体" w:eastAsia="宋体" w:hint="default"/>
          <w:spacing w:val="-3"/>
        </w:rPr>
        <w:t>2015 </w:t>
      </w:r>
      <w:r>
        <w:rPr/>
        <w:t>年中国网</w:t>
      </w:r>
      <w:r>
        <w:rPr>
          <w:spacing w:val="-82"/>
        </w:rPr>
        <w:t> </w:t>
      </w:r>
      <w:r>
        <w:rPr>
          <w:spacing w:val="-82"/>
        </w:rPr>
      </w:r>
      <w:r>
        <w:rPr/>
        <w:t>络广告行业年度监测报告简版》显示，</w:t>
      </w:r>
      <w:r>
        <w:rPr>
          <w:rFonts w:ascii="宋体" w:hAnsi="宋体" w:cs="宋体" w:eastAsia="宋体" w:hint="default"/>
        </w:rPr>
        <w:t>2014</w:t>
      </w:r>
      <w:r>
        <w:rPr>
          <w:rFonts w:ascii="宋体" w:hAnsi="宋体" w:cs="宋体" w:eastAsia="宋体" w:hint="default"/>
          <w:spacing w:val="-56"/>
        </w:rPr>
        <w:t> </w:t>
      </w:r>
      <w:r>
        <w:rPr/>
        <w:t>年度国内网络广告市场规模达到</w:t>
      </w:r>
      <w:r>
        <w:rPr>
          <w:spacing w:val="-56"/>
        </w:rPr>
        <w:t> </w:t>
      </w:r>
      <w:r>
        <w:rPr>
          <w:rFonts w:ascii="宋体" w:hAnsi="宋体" w:cs="宋体" w:eastAsia="宋体" w:hint="default"/>
        </w:rPr>
        <w:t>1540</w:t>
      </w:r>
      <w:r>
        <w:rPr>
          <w:rFonts w:ascii="宋体" w:hAnsi="宋体" w:cs="宋体" w:eastAsia="宋体" w:hint="default"/>
          <w:spacing w:val="-55"/>
        </w:rPr>
        <w:t> </w:t>
      </w:r>
      <w:r>
        <w:rPr/>
        <w:t>亿元，同比增</w:t>
      </w:r>
    </w:p>
    <w:p>
      <w:pPr>
        <w:pStyle w:val="BodyText"/>
        <w:spacing w:line="314" w:lineRule="auto"/>
        <w:ind w:right="325"/>
        <w:jc w:val="both"/>
      </w:pPr>
      <w:r>
        <w:rPr/>
        <w:t>长</w:t>
      </w:r>
      <w:r>
        <w:rPr>
          <w:spacing w:val="-42"/>
        </w:rPr>
        <w:t> </w:t>
      </w:r>
      <w:r>
        <w:rPr>
          <w:rFonts w:ascii="宋体" w:hAnsi="宋体" w:cs="宋体" w:eastAsia="宋体" w:hint="default"/>
          <w:spacing w:val="-7"/>
        </w:rPr>
        <w:t>40%</w:t>
      </w:r>
      <w:r>
        <w:rPr>
          <w:spacing w:val="-7"/>
        </w:rPr>
        <w:t>，至</w:t>
      </w:r>
      <w:r>
        <w:rPr>
          <w:spacing w:val="-42"/>
        </w:rPr>
        <w:t> </w:t>
      </w:r>
      <w:r>
        <w:rPr>
          <w:rFonts w:ascii="宋体" w:hAnsi="宋体" w:cs="宋体" w:eastAsia="宋体" w:hint="default"/>
        </w:rPr>
        <w:t>2015</w:t>
      </w:r>
      <w:r>
        <w:rPr>
          <w:rFonts w:ascii="宋体" w:hAnsi="宋体" w:cs="宋体" w:eastAsia="宋体" w:hint="default"/>
          <w:spacing w:val="-45"/>
        </w:rPr>
        <w:t> </w:t>
      </w:r>
      <w:r>
        <w:rPr>
          <w:spacing w:val="-3"/>
        </w:rPr>
        <w:t>年整体规模有望超过两千亿元。</w:t>
      </w:r>
      <w:r>
        <w:rPr>
          <w:rFonts w:ascii="宋体" w:hAnsi="宋体" w:cs="宋体" w:eastAsia="宋体" w:hint="default"/>
          <w:spacing w:val="-3"/>
        </w:rPr>
        <w:t>2014</w:t>
      </w:r>
      <w:r>
        <w:rPr>
          <w:rFonts w:ascii="宋体" w:hAnsi="宋体" w:cs="宋体" w:eastAsia="宋体" w:hint="default"/>
          <w:spacing w:val="-41"/>
        </w:rPr>
        <w:t> </w:t>
      </w:r>
      <w:r>
        <w:rPr>
          <w:spacing w:val="-3"/>
        </w:rPr>
        <w:t>年以来，中国网络广告市场仍运行于发展快</w:t>
      </w:r>
      <w:r>
        <w:rPr>
          <w:spacing w:val="-101"/>
        </w:rPr>
        <w:t> </w:t>
      </w:r>
      <w:r>
        <w:rPr>
          <w:spacing w:val="-101"/>
        </w:rPr>
      </w:r>
      <w:r>
        <w:rPr/>
        <w:t>车道微信营销、视频广告持续火爆，视频广告开启产品化进程，精准营销成趋势。</w:t>
      </w:r>
    </w:p>
    <w:p>
      <w:pPr>
        <w:pStyle w:val="BodyText"/>
        <w:spacing w:line="240" w:lineRule="auto"/>
        <w:ind w:left="558" w:right="0"/>
        <w:jc w:val="left"/>
      </w:pPr>
      <w:r>
        <w:rPr>
          <w:rFonts w:ascii="宋体" w:hAnsi="宋体" w:cs="宋体" w:eastAsia="宋体" w:hint="default"/>
        </w:rPr>
        <w:t>2015</w:t>
      </w:r>
      <w:r>
        <w:rPr>
          <w:rFonts w:ascii="宋体" w:hAnsi="宋体" w:cs="宋体" w:eastAsia="宋体" w:hint="default"/>
          <w:spacing w:val="-46"/>
        </w:rPr>
        <w:t> </w:t>
      </w:r>
      <w:r>
        <w:rPr/>
        <w:t>年第三季度中国网络广告市场规模为</w:t>
      </w:r>
      <w:r>
        <w:rPr>
          <w:spacing w:val="-43"/>
        </w:rPr>
        <w:t> </w:t>
      </w:r>
      <w:r>
        <w:rPr>
          <w:rFonts w:ascii="宋体" w:hAnsi="宋体" w:cs="宋体" w:eastAsia="宋体" w:hint="default"/>
        </w:rPr>
        <w:t>558.6</w:t>
      </w:r>
      <w:r>
        <w:rPr>
          <w:rFonts w:ascii="宋体" w:hAnsi="宋体" w:cs="宋体" w:eastAsia="宋体" w:hint="default"/>
          <w:spacing w:val="-39"/>
        </w:rPr>
        <w:t> </w:t>
      </w:r>
      <w:r>
        <w:rPr/>
        <w:t>亿元，环比增长</w:t>
      </w:r>
      <w:r>
        <w:rPr>
          <w:spacing w:val="-39"/>
        </w:rPr>
        <w:t> </w:t>
      </w:r>
      <w:r>
        <w:rPr>
          <w:rFonts w:ascii="宋体" w:hAnsi="宋体" w:cs="宋体" w:eastAsia="宋体" w:hint="default"/>
        </w:rPr>
        <w:t>12.1</w:t>
      </w:r>
      <w:r>
        <w:rPr/>
        <w:t>％，同比增长</w:t>
      </w:r>
      <w:r>
        <w:rPr>
          <w:spacing w:val="-39"/>
        </w:rPr>
        <w:t> </w:t>
      </w:r>
      <w:r>
        <w:rPr>
          <w:rFonts w:ascii="宋体" w:hAnsi="宋体" w:cs="宋体" w:eastAsia="宋体" w:hint="default"/>
        </w:rPr>
        <w:t>37.9%</w:t>
      </w:r>
      <w:r>
        <w:rPr/>
        <w:t>，</w:t>
      </w:r>
    </w:p>
    <w:p>
      <w:pPr>
        <w:pStyle w:val="BodyText"/>
        <w:spacing w:line="240" w:lineRule="auto" w:before="85"/>
        <w:ind w:right="0"/>
        <w:jc w:val="both"/>
        <w:rPr>
          <w:rFonts w:ascii="宋体" w:hAnsi="宋体" w:cs="宋体" w:eastAsia="宋体" w:hint="default"/>
        </w:rPr>
      </w:pPr>
      <w:r>
        <w:rPr/>
        <w:t>增速与上季度基本持平（艾瑞咨询</w:t>
      </w:r>
      <w:r>
        <w:rPr>
          <w:spacing w:val="-56"/>
        </w:rPr>
        <w:t> </w:t>
      </w:r>
      <w:r>
        <w:rPr>
          <w:rFonts w:ascii="宋体" w:hAnsi="宋体" w:cs="宋体" w:eastAsia="宋体" w:hint="default"/>
        </w:rPr>
        <w:t>2015</w:t>
      </w:r>
      <w:r>
        <w:rPr>
          <w:rFonts w:ascii="宋体" w:hAnsi="宋体" w:cs="宋体" w:eastAsia="宋体" w:hint="default"/>
          <w:spacing w:val="-58"/>
        </w:rPr>
        <w:t> </w:t>
      </w:r>
      <w:r>
        <w:rPr/>
        <w:t>年第三季度中国互联网经济核心技术发布）。</w:t>
      </w:r>
      <w:r>
        <w:rPr>
          <w:rFonts w:ascii="宋体" w:hAnsi="宋体" w:cs="宋体" w:eastAsia="宋体" w:hint="default"/>
        </w:rPr>
        <w:t>Analysys</w:t>
      </w:r>
    </w:p>
    <w:p>
      <w:pPr>
        <w:pStyle w:val="BodyText"/>
        <w:spacing w:line="240" w:lineRule="auto" w:before="85"/>
        <w:ind w:right="0"/>
        <w:jc w:val="both"/>
      </w:pPr>
      <w:r>
        <w:rPr/>
        <w:t>易观智库产业数据库发布的</w:t>
      </w:r>
      <w:r>
        <w:rPr>
          <w:spacing w:val="-1"/>
        </w:rPr>
        <w:t> </w:t>
      </w:r>
      <w:r>
        <w:rPr/>
        <w:t>《中国互联网广告市场季度监测报告</w:t>
      </w:r>
      <w:r>
        <w:rPr>
          <w:spacing w:val="-54"/>
        </w:rPr>
        <w:t> </w:t>
      </w:r>
      <w:r>
        <w:rPr>
          <w:rFonts w:ascii="宋体" w:hAnsi="宋体" w:cs="宋体" w:eastAsia="宋体" w:hint="default"/>
        </w:rPr>
        <w:t>2015</w:t>
      </w:r>
      <w:r>
        <w:rPr>
          <w:rFonts w:ascii="宋体" w:hAnsi="宋体" w:cs="宋体" w:eastAsia="宋体" w:hint="default"/>
          <w:spacing w:val="-56"/>
        </w:rPr>
        <w:t> </w:t>
      </w:r>
      <w:r>
        <w:rPr/>
        <w:t>年第</w:t>
      </w:r>
      <w:r>
        <w:rPr>
          <w:spacing w:val="-56"/>
        </w:rPr>
        <w:t> </w:t>
      </w:r>
      <w:r>
        <w:rPr>
          <w:rFonts w:ascii="宋体" w:hAnsi="宋体" w:cs="宋体" w:eastAsia="宋体" w:hint="default"/>
        </w:rPr>
        <w:t>4</w:t>
      </w:r>
      <w:r>
        <w:rPr>
          <w:rFonts w:ascii="宋体" w:hAnsi="宋体" w:cs="宋体" w:eastAsia="宋体" w:hint="default"/>
          <w:spacing w:val="-55"/>
        </w:rPr>
        <w:t> </w:t>
      </w:r>
      <w:r>
        <w:rPr/>
        <w:t>季度》数据显示，</w:t>
      </w:r>
    </w:p>
    <w:p>
      <w:pPr>
        <w:pStyle w:val="BodyText"/>
        <w:spacing w:line="240" w:lineRule="auto" w:before="85"/>
        <w:ind w:right="0"/>
        <w:jc w:val="both"/>
      </w:pPr>
      <w:r>
        <w:rPr>
          <w:rFonts w:ascii="宋体" w:hAnsi="宋体" w:cs="宋体" w:eastAsia="宋体" w:hint="default"/>
        </w:rPr>
        <w:t>2015</w:t>
      </w:r>
      <w:r>
        <w:rPr>
          <w:rFonts w:ascii="宋体" w:hAnsi="宋体" w:cs="宋体" w:eastAsia="宋体" w:hint="default"/>
          <w:spacing w:val="-56"/>
        </w:rPr>
        <w:t> </w:t>
      </w:r>
      <w:r>
        <w:rPr/>
        <w:t>年第</w:t>
      </w:r>
      <w:r>
        <w:rPr>
          <w:spacing w:val="-56"/>
        </w:rPr>
        <w:t> </w:t>
      </w:r>
      <w:r>
        <w:rPr>
          <w:rFonts w:ascii="宋体" w:hAnsi="宋体" w:cs="宋体" w:eastAsia="宋体" w:hint="default"/>
        </w:rPr>
        <w:t>4</w:t>
      </w:r>
      <w:r>
        <w:rPr>
          <w:rFonts w:ascii="宋体" w:hAnsi="宋体" w:cs="宋体" w:eastAsia="宋体" w:hint="default"/>
          <w:spacing w:val="-54"/>
        </w:rPr>
        <w:t> </w:t>
      </w:r>
      <w:r>
        <w:rPr/>
        <w:t>季度中国互联网广告运营商市场规模为</w:t>
      </w:r>
      <w:r>
        <w:rPr>
          <w:spacing w:val="-56"/>
        </w:rPr>
        <w:t> </w:t>
      </w:r>
      <w:r>
        <w:rPr>
          <w:rFonts w:ascii="宋体" w:hAnsi="宋体" w:cs="宋体" w:eastAsia="宋体" w:hint="default"/>
        </w:rPr>
        <w:t>621</w:t>
      </w:r>
      <w:r>
        <w:rPr>
          <w:rFonts w:ascii="宋体" w:hAnsi="宋体" w:cs="宋体" w:eastAsia="宋体" w:hint="default"/>
          <w:spacing w:val="-54"/>
        </w:rPr>
        <w:t> </w:t>
      </w:r>
      <w:r>
        <w:rPr/>
        <w:t>亿元人民币，同比增长</w:t>
      </w:r>
      <w:r>
        <w:rPr>
          <w:spacing w:val="-53"/>
        </w:rPr>
        <w:t> </w:t>
      </w:r>
      <w:r>
        <w:rPr>
          <w:rFonts w:ascii="宋体" w:hAnsi="宋体" w:cs="宋体" w:eastAsia="宋体" w:hint="default"/>
        </w:rPr>
        <w:t>32.1%</w:t>
      </w:r>
      <w:r>
        <w:rPr/>
        <w:t>，环比增长</w:t>
      </w:r>
    </w:p>
    <w:p>
      <w:pPr>
        <w:pStyle w:val="BodyText"/>
        <w:spacing w:line="240" w:lineRule="auto" w:before="85"/>
        <w:ind w:right="0"/>
        <w:jc w:val="both"/>
      </w:pPr>
      <w:r>
        <w:rPr>
          <w:rFonts w:ascii="宋体" w:hAnsi="宋体" w:cs="宋体" w:eastAsia="宋体" w:hint="default"/>
        </w:rPr>
        <w:t>6.5%</w:t>
      </w:r>
      <w:r>
        <w:rPr/>
        <w:t>。</w:t>
      </w:r>
    </w:p>
    <w:p>
      <w:pPr>
        <w:pStyle w:val="BodyText"/>
        <w:spacing w:line="314" w:lineRule="auto" w:before="85"/>
        <w:ind w:right="0" w:firstLine="419"/>
        <w:jc w:val="left"/>
      </w:pPr>
      <w:r>
        <w:rPr>
          <w:rFonts w:ascii="宋体" w:hAnsi="宋体" w:cs="宋体" w:eastAsia="宋体" w:hint="default"/>
        </w:rPr>
        <w:t>Analysys</w:t>
      </w:r>
      <w:r>
        <w:rPr>
          <w:rFonts w:ascii="宋体" w:hAnsi="宋体" w:cs="宋体" w:eastAsia="宋体" w:hint="default"/>
          <w:spacing w:val="-6"/>
        </w:rPr>
        <w:t> </w:t>
      </w:r>
      <w:r>
        <w:rPr>
          <w:spacing w:val="-3"/>
        </w:rPr>
        <w:t>易观智库分析认为，现阶段网络广告运营商在创新的广告技术和广告模式的驱动下，</w:t>
      </w:r>
      <w:r>
        <w:rPr>
          <w:w w:val="100"/>
        </w:rPr>
        <w:t> </w:t>
      </w:r>
      <w:r>
        <w:rPr/>
        <w:t>盈利能力将得到改善，新的技术运用已经逐渐成熟，厂商在广告领域的重心从技术开发、合作向</w:t>
      </w:r>
      <w:r>
        <w:rPr>
          <w:w w:val="100"/>
        </w:rPr>
        <w:t> </w:t>
      </w:r>
      <w:r>
        <w:rPr/>
        <w:t>资源占有和产业链延伸进行转移，互联网广告市场规模将保持高速增长趋势（摘自“中文互联网</w:t>
      </w:r>
      <w:r>
        <w:rPr>
          <w:w w:val="100"/>
        </w:rPr>
        <w:t> </w:t>
      </w:r>
      <w:r>
        <w:rPr/>
        <w:t>数据资讯中心”）。</w:t>
      </w:r>
    </w:p>
    <w:p>
      <w:pPr>
        <w:pStyle w:val="Heading2"/>
        <w:spacing w:line="240" w:lineRule="auto" w:before="20"/>
        <w:ind w:left="560" w:right="0"/>
        <w:jc w:val="left"/>
        <w:rPr>
          <w:b w:val="0"/>
          <w:bCs w:val="0"/>
        </w:rPr>
      </w:pPr>
      <w:r>
        <w:rPr>
          <w:rFonts w:ascii="宋体" w:hAnsi="宋体" w:cs="宋体" w:eastAsia="宋体" w:hint="default"/>
        </w:rPr>
        <w:t>2</w:t>
      </w:r>
      <w:r>
        <w:rPr/>
        <w:t>、基础设施建设行业</w:t>
      </w:r>
      <w:r>
        <w:rPr>
          <w:b w:val="0"/>
          <w:bCs w:val="0"/>
        </w:rPr>
      </w:r>
    </w:p>
    <w:p>
      <w:pPr>
        <w:spacing w:after="0" w:line="240" w:lineRule="auto"/>
        <w:jc w:val="left"/>
        <w:sectPr>
          <w:pgSz w:w="11910" w:h="16840"/>
          <w:pgMar w:header="855" w:footer="1193" w:top="1280" w:bottom="1380" w:left="1660" w:right="940"/>
        </w:sectPr>
      </w:pPr>
    </w:p>
    <w:p>
      <w:pPr>
        <w:spacing w:line="240" w:lineRule="auto" w:before="9"/>
        <w:rPr>
          <w:rFonts w:ascii="宋体" w:hAnsi="宋体" w:cs="宋体" w:eastAsia="宋体" w:hint="default"/>
          <w:b/>
          <w:bCs/>
          <w:sz w:val="18"/>
          <w:szCs w:val="18"/>
        </w:rPr>
      </w:pPr>
    </w:p>
    <w:p>
      <w:pPr>
        <w:pStyle w:val="BodyText"/>
        <w:spacing w:line="314" w:lineRule="auto" w:before="36"/>
        <w:ind w:right="157" w:firstLine="419"/>
        <w:jc w:val="both"/>
      </w:pPr>
      <w:r>
        <w:rPr>
          <w:spacing w:val="-2"/>
        </w:rPr>
        <w:t>基础设施建设行业作为目前中国经济的支柱行业，具有稳定、基数大、增速小的特点，随着</w:t>
      </w:r>
      <w:r>
        <w:rPr>
          <w:w w:val="100"/>
        </w:rPr>
        <w:t> </w:t>
      </w:r>
      <w:r>
        <w:rPr>
          <w:spacing w:val="-2"/>
        </w:rPr>
        <w:t>建筑业增长形势趋缓，市场竞争更趋激烈，项目利润率越来越低。同时，建筑业市场结构的集中</w:t>
      </w:r>
      <w:r>
        <w:rPr>
          <w:spacing w:val="-25"/>
        </w:rPr>
        <w:t> </w:t>
      </w:r>
      <w:r>
        <w:rPr>
          <w:spacing w:val="-25"/>
        </w:rPr>
      </w:r>
      <w:r>
        <w:rPr/>
        <w:t>化趋势使得市场竞争日趋激烈。</w:t>
      </w:r>
    </w:p>
    <w:p>
      <w:pPr>
        <w:pStyle w:val="Heading2"/>
        <w:spacing w:line="240" w:lineRule="auto" w:before="20"/>
        <w:ind w:left="560" w:right="0"/>
        <w:jc w:val="left"/>
        <w:rPr>
          <w:b w:val="0"/>
          <w:bCs w:val="0"/>
        </w:rPr>
      </w:pPr>
      <w:r>
        <w:rPr>
          <w:rFonts w:ascii="宋体" w:hAnsi="宋体" w:cs="宋体" w:eastAsia="宋体" w:hint="default"/>
        </w:rPr>
        <w:t>3</w:t>
      </w:r>
      <w:r>
        <w:rPr/>
        <w:t>、房地产开发行业</w:t>
      </w:r>
      <w:r>
        <w:rPr>
          <w:b w:val="0"/>
          <w:bCs w:val="0"/>
        </w:rPr>
      </w:r>
    </w:p>
    <w:p>
      <w:pPr>
        <w:pStyle w:val="BodyText"/>
        <w:spacing w:line="314" w:lineRule="auto" w:before="85"/>
        <w:ind w:right="150" w:firstLine="419"/>
        <w:jc w:val="both"/>
      </w:pPr>
      <w:r>
        <w:rPr>
          <w:rFonts w:ascii="宋体" w:hAnsi="宋体" w:cs="宋体" w:eastAsia="宋体" w:hint="default"/>
        </w:rPr>
        <w:t>2015</w:t>
      </w:r>
      <w:r>
        <w:rPr>
          <w:rFonts w:ascii="宋体" w:hAnsi="宋体" w:cs="宋体" w:eastAsia="宋体" w:hint="default"/>
          <w:spacing w:val="-10"/>
        </w:rPr>
        <w:t> </w:t>
      </w:r>
      <w:r>
        <w:rPr>
          <w:spacing w:val="-3"/>
        </w:rPr>
        <w:t>年中国房地产行业持续低迷，市场整体处于高库存状态，房地产投资增速持续下行，房</w:t>
      </w:r>
      <w:r>
        <w:rPr>
          <w:w w:val="100"/>
        </w:rPr>
        <w:t> </w:t>
      </w:r>
      <w:r>
        <w:rPr>
          <w:spacing w:val="-2"/>
        </w:rPr>
        <w:t>地产的销售面积、新开工面积、土地的销售面积同比大幅下降。整体行业处于去库存周期，除一</w:t>
      </w:r>
      <w:r>
        <w:rPr>
          <w:spacing w:val="-25"/>
        </w:rPr>
        <w:t> </w:t>
      </w:r>
      <w:r>
        <w:rPr>
          <w:spacing w:val="-25"/>
        </w:rPr>
      </w:r>
      <w:r>
        <w:rPr/>
        <w:t>线城市以外，二三线城市的房地产销量和价格同时受到压力。</w:t>
      </w:r>
    </w:p>
    <w:p>
      <w:pPr>
        <w:pStyle w:val="BodyText"/>
        <w:spacing w:line="314" w:lineRule="auto"/>
        <w:ind w:right="0" w:firstLine="419"/>
        <w:jc w:val="left"/>
        <w:rPr>
          <w:rFonts w:ascii="宋体" w:hAnsi="宋体" w:cs="宋体" w:eastAsia="宋体" w:hint="default"/>
        </w:rPr>
      </w:pPr>
      <w:r>
        <w:rPr/>
        <w:t>根据《中国</w:t>
      </w:r>
      <w:r>
        <w:rPr>
          <w:spacing w:val="-55"/>
        </w:rPr>
        <w:t> </w:t>
      </w:r>
      <w:r>
        <w:rPr>
          <w:rFonts w:ascii="宋体" w:hAnsi="宋体" w:cs="宋体" w:eastAsia="宋体" w:hint="default"/>
        </w:rPr>
        <w:t>2015</w:t>
      </w:r>
      <w:r>
        <w:rPr>
          <w:rFonts w:ascii="宋体" w:hAnsi="宋体" w:cs="宋体" w:eastAsia="宋体" w:hint="default"/>
          <w:spacing w:val="-55"/>
        </w:rPr>
        <w:t> </w:t>
      </w:r>
      <w:r>
        <w:rPr/>
        <w:t>年经济运行情况》报告，</w:t>
      </w:r>
      <w:r>
        <w:rPr>
          <w:rFonts w:ascii="宋体" w:hAnsi="宋体" w:cs="宋体" w:eastAsia="宋体" w:hint="default"/>
        </w:rPr>
        <w:t>2015</w:t>
      </w:r>
      <w:r>
        <w:rPr>
          <w:rFonts w:ascii="宋体" w:hAnsi="宋体" w:cs="宋体" w:eastAsia="宋体" w:hint="default"/>
          <w:spacing w:val="-54"/>
        </w:rPr>
        <w:t> </w:t>
      </w:r>
      <w:r>
        <w:rPr/>
        <w:t>年全国房地产开发投资</w:t>
      </w:r>
      <w:r>
        <w:rPr>
          <w:spacing w:val="-55"/>
        </w:rPr>
        <w:t> </w:t>
      </w:r>
      <w:r>
        <w:rPr>
          <w:rFonts w:ascii="宋体" w:hAnsi="宋体" w:cs="宋体" w:eastAsia="宋体" w:hint="default"/>
        </w:rPr>
        <w:t>95979</w:t>
      </w:r>
      <w:r>
        <w:rPr>
          <w:rFonts w:ascii="宋体" w:hAnsi="宋体" w:cs="宋体" w:eastAsia="宋体" w:hint="default"/>
          <w:spacing w:val="-57"/>
        </w:rPr>
        <w:t> </w:t>
      </w:r>
      <w:r>
        <w:rPr/>
        <w:t>亿元，其中住</w:t>
      </w:r>
      <w:r>
        <w:rPr>
          <w:w w:val="100"/>
        </w:rPr>
        <w:t> </w:t>
      </w:r>
      <w:r>
        <w:rPr/>
        <w:t>宅投资增长</w:t>
      </w:r>
      <w:r>
        <w:rPr>
          <w:spacing w:val="-41"/>
        </w:rPr>
        <w:t> </w:t>
      </w:r>
      <w:r>
        <w:rPr>
          <w:rFonts w:ascii="宋体" w:hAnsi="宋体" w:cs="宋体" w:eastAsia="宋体" w:hint="default"/>
          <w:spacing w:val="-4"/>
        </w:rPr>
        <w:t>0.4%</w:t>
      </w:r>
      <w:r>
        <w:rPr>
          <w:spacing w:val="-4"/>
        </w:rPr>
        <w:t>。房屋新开工面积</w:t>
      </w:r>
      <w:r>
        <w:rPr>
          <w:spacing w:val="-39"/>
        </w:rPr>
        <w:t> </w:t>
      </w:r>
      <w:r>
        <w:rPr>
          <w:rFonts w:ascii="宋体" w:hAnsi="宋体" w:cs="宋体" w:eastAsia="宋体" w:hint="default"/>
        </w:rPr>
        <w:t>154454</w:t>
      </w:r>
      <w:r>
        <w:rPr>
          <w:rFonts w:ascii="宋体" w:hAnsi="宋体" w:cs="宋体" w:eastAsia="宋体" w:hint="default"/>
          <w:spacing w:val="-41"/>
        </w:rPr>
        <w:t> </w:t>
      </w:r>
      <w:r>
        <w:rPr>
          <w:spacing w:val="-5"/>
        </w:rPr>
        <w:t>万平方米，比上年下降</w:t>
      </w:r>
      <w:r>
        <w:rPr>
          <w:spacing w:val="-41"/>
        </w:rPr>
        <w:t> </w:t>
      </w:r>
      <w:r>
        <w:rPr>
          <w:rFonts w:ascii="宋体" w:hAnsi="宋体" w:cs="宋体" w:eastAsia="宋体" w:hint="default"/>
          <w:spacing w:val="-4"/>
        </w:rPr>
        <w:t>14.0%</w:t>
      </w:r>
      <w:r>
        <w:rPr>
          <w:spacing w:val="-4"/>
        </w:rPr>
        <w:t>，其中住宅新开工面积下</w:t>
      </w:r>
      <w:r>
        <w:rPr>
          <w:spacing w:val="-100"/>
        </w:rPr>
        <w:t> </w:t>
      </w:r>
      <w:r>
        <w:rPr>
          <w:spacing w:val="-100"/>
        </w:rPr>
      </w:r>
      <w:r>
        <w:rPr/>
        <w:t>降</w:t>
      </w:r>
      <w:r>
        <w:rPr>
          <w:spacing w:val="-55"/>
        </w:rPr>
        <w:t> </w:t>
      </w:r>
      <w:r>
        <w:rPr>
          <w:rFonts w:ascii="宋体" w:hAnsi="宋体" w:cs="宋体" w:eastAsia="宋体" w:hint="default"/>
        </w:rPr>
        <w:t>14.6%</w:t>
      </w:r>
      <w:r>
        <w:rPr/>
        <w:t>。房地产开发企业土地购置面积</w:t>
      </w:r>
      <w:r>
        <w:rPr>
          <w:spacing w:val="-55"/>
        </w:rPr>
        <w:t> </w:t>
      </w:r>
      <w:r>
        <w:rPr>
          <w:rFonts w:ascii="宋体" w:hAnsi="宋体" w:cs="宋体" w:eastAsia="宋体" w:hint="default"/>
        </w:rPr>
        <w:t>22811</w:t>
      </w:r>
      <w:r>
        <w:rPr>
          <w:rFonts w:ascii="宋体" w:hAnsi="宋体" w:cs="宋体" w:eastAsia="宋体" w:hint="default"/>
          <w:spacing w:val="-55"/>
        </w:rPr>
        <w:t> </w:t>
      </w:r>
      <w:r>
        <w:rPr/>
        <w:t>万平方米，比上年下降</w:t>
      </w:r>
      <w:r>
        <w:rPr>
          <w:spacing w:val="-55"/>
        </w:rPr>
        <w:t> </w:t>
      </w:r>
      <w:r>
        <w:rPr>
          <w:rFonts w:ascii="宋体" w:hAnsi="宋体" w:cs="宋体" w:eastAsia="宋体" w:hint="default"/>
        </w:rPr>
        <w:t>31.7%</w:t>
      </w:r>
      <w:r>
        <w:rPr/>
        <w:t>。</w:t>
      </w:r>
      <w:r>
        <w:rPr>
          <w:rFonts w:ascii="宋体" w:hAnsi="宋体" w:cs="宋体" w:eastAsia="宋体" w:hint="default"/>
        </w:rPr>
        <w:t>12</w:t>
      </w:r>
      <w:r>
        <w:rPr>
          <w:rFonts w:ascii="宋体" w:hAnsi="宋体" w:cs="宋体" w:eastAsia="宋体" w:hint="default"/>
          <w:spacing w:val="-57"/>
        </w:rPr>
        <w:t> </w:t>
      </w:r>
      <w:r>
        <w:rPr/>
        <w:t>月末，全国商</w:t>
      </w:r>
      <w:r>
        <w:rPr>
          <w:w w:val="100"/>
        </w:rPr>
        <w:t> </w:t>
      </w:r>
      <w:r>
        <w:rPr/>
        <w:t>品房待售面积</w:t>
      </w:r>
      <w:r>
        <w:rPr>
          <w:spacing w:val="-54"/>
        </w:rPr>
        <w:t> </w:t>
      </w:r>
      <w:r>
        <w:rPr>
          <w:rFonts w:ascii="宋体" w:hAnsi="宋体" w:cs="宋体" w:eastAsia="宋体" w:hint="default"/>
        </w:rPr>
        <w:t>71853</w:t>
      </w:r>
      <w:r>
        <w:rPr>
          <w:rFonts w:ascii="宋体" w:hAnsi="宋体" w:cs="宋体" w:eastAsia="宋体" w:hint="default"/>
          <w:spacing w:val="-56"/>
        </w:rPr>
        <w:t> </w:t>
      </w:r>
      <w:r>
        <w:rPr/>
        <w:t>万平方米，比上年末增长</w:t>
      </w:r>
      <w:r>
        <w:rPr>
          <w:spacing w:val="-53"/>
        </w:rPr>
        <w:t> </w:t>
      </w:r>
      <w:r>
        <w:rPr>
          <w:rFonts w:ascii="宋体" w:hAnsi="宋体" w:cs="宋体" w:eastAsia="宋体" w:hint="default"/>
        </w:rPr>
        <w:t>15.6%</w:t>
      </w:r>
      <w:r>
        <w:rPr/>
        <w:t>。</w:t>
      </w:r>
      <w:r>
        <w:rPr>
          <w:w w:val="100"/>
        </w:rPr>
        <w:t> </w:t>
      </w:r>
      <w:r>
        <w:rPr>
          <w:rFonts w:ascii="宋体" w:hAnsi="宋体" w:cs="宋体" w:eastAsia="宋体" w:hint="default"/>
          <w:b/>
          <w:bCs/>
        </w:rPr>
        <w:t>二、报告期内公司主要资产发生重大变化情况的说明</w:t>
      </w:r>
      <w:r>
        <w:rPr>
          <w:rFonts w:ascii="宋体" w:hAnsi="宋体" w:cs="宋体" w:eastAsia="宋体" w:hint="default"/>
        </w:rPr>
      </w:r>
    </w:p>
    <w:p>
      <w:pPr>
        <w:pStyle w:val="BodyText"/>
        <w:spacing w:line="314" w:lineRule="auto"/>
        <w:ind w:right="145" w:firstLine="419"/>
        <w:jc w:val="both"/>
      </w:pPr>
      <w:r>
        <w:rPr>
          <w:rFonts w:ascii="宋体" w:hAnsi="宋体" w:cs="宋体" w:eastAsia="宋体" w:hint="default"/>
          <w:spacing w:val="-4"/>
        </w:rPr>
        <w:t>1</w:t>
      </w:r>
      <w:r>
        <w:rPr>
          <w:spacing w:val="-4"/>
        </w:rPr>
        <w:t>、根据中国证券监督管理委员会《关于核准科达集团股份有限公司向北京百仕成投资管理中</w:t>
      </w:r>
      <w:r>
        <w:rPr>
          <w:w w:val="100"/>
        </w:rPr>
        <w:t> </w:t>
      </w:r>
      <w:r>
        <w:rPr>
          <w:spacing w:val="-2"/>
        </w:rPr>
        <w:t>心（普通合伙）等发行股份购买资产并募集配套资金的批复》（证监许可</w:t>
      </w:r>
      <w:r>
        <w:rPr>
          <w:rFonts w:ascii="宋体" w:hAnsi="宋体" w:cs="宋体" w:eastAsia="宋体" w:hint="default"/>
          <w:spacing w:val="-2"/>
        </w:rPr>
        <w:t>[2015]1837</w:t>
      </w:r>
      <w:r>
        <w:rPr>
          <w:rFonts w:ascii="宋体" w:hAnsi="宋体" w:cs="宋体" w:eastAsia="宋体" w:hint="default"/>
          <w:spacing w:val="-16"/>
        </w:rPr>
        <w:t> </w:t>
      </w:r>
      <w:r>
        <w:rPr>
          <w:spacing w:val="-5"/>
        </w:rPr>
        <w:t>号），公司</w:t>
      </w:r>
      <w:r>
        <w:rPr>
          <w:spacing w:val="-87"/>
        </w:rPr>
        <w:t> </w:t>
      </w:r>
      <w:r>
        <w:rPr>
          <w:spacing w:val="-87"/>
        </w:rPr>
      </w:r>
      <w:r>
        <w:rPr>
          <w:spacing w:val="-2"/>
        </w:rPr>
        <w:t>收购完成百孚思、上海同立、华邑众为、雨林木风、派瑞威行五家互联网公司，相关的工商变更</w:t>
      </w:r>
      <w:r>
        <w:rPr>
          <w:spacing w:val="-26"/>
        </w:rPr>
        <w:t> </w:t>
      </w:r>
      <w:r>
        <w:rPr>
          <w:spacing w:val="-26"/>
        </w:rPr>
      </w:r>
      <w:r>
        <w:rPr/>
        <w:t>登记手续已于</w:t>
      </w:r>
      <w:r>
        <w:rPr>
          <w:spacing w:val="-51"/>
        </w:rPr>
        <w:t> </w:t>
      </w:r>
      <w:r>
        <w:rPr>
          <w:rFonts w:ascii="宋体" w:hAnsi="宋体" w:cs="宋体" w:eastAsia="宋体" w:hint="default"/>
        </w:rPr>
        <w:t>2015</w:t>
      </w:r>
      <w:r>
        <w:rPr>
          <w:rFonts w:ascii="宋体" w:hAnsi="宋体" w:cs="宋体" w:eastAsia="宋体" w:hint="default"/>
          <w:spacing w:val="-53"/>
        </w:rPr>
        <w:t> </w:t>
      </w:r>
      <w:r>
        <w:rPr/>
        <w:t>年</w:t>
      </w:r>
      <w:r>
        <w:rPr>
          <w:spacing w:val="-50"/>
        </w:rPr>
        <w:t> </w:t>
      </w:r>
      <w:r>
        <w:rPr>
          <w:rFonts w:ascii="宋体" w:hAnsi="宋体" w:cs="宋体" w:eastAsia="宋体" w:hint="default"/>
        </w:rPr>
        <w:t>8</w:t>
      </w:r>
      <w:r>
        <w:rPr>
          <w:rFonts w:ascii="宋体" w:hAnsi="宋体" w:cs="宋体" w:eastAsia="宋体" w:hint="default"/>
          <w:spacing w:val="-53"/>
        </w:rPr>
        <w:t> </w:t>
      </w:r>
      <w:r>
        <w:rPr/>
        <w:t>月完成</w:t>
      </w:r>
      <w:r>
        <w:rPr>
          <w:rFonts w:ascii="宋体" w:hAnsi="宋体" w:cs="宋体" w:eastAsia="宋体" w:hint="default"/>
        </w:rPr>
        <w:t>(</w:t>
      </w:r>
      <w:r>
        <w:rPr/>
        <w:t>详见</w:t>
      </w:r>
      <w:r>
        <w:rPr>
          <w:spacing w:val="2"/>
        </w:rPr>
        <w:t> </w:t>
      </w:r>
      <w:r>
        <w:rPr>
          <w:rFonts w:ascii="宋体" w:hAnsi="宋体" w:cs="宋体" w:eastAsia="宋体" w:hint="default"/>
        </w:rPr>
        <w:t>2015</w:t>
      </w:r>
      <w:r>
        <w:rPr>
          <w:rFonts w:ascii="宋体" w:hAnsi="宋体" w:cs="宋体" w:eastAsia="宋体" w:hint="default"/>
          <w:spacing w:val="2"/>
        </w:rPr>
        <w:t> </w:t>
      </w:r>
      <w:r>
        <w:rPr/>
        <w:t>年</w:t>
      </w:r>
      <w:r>
        <w:rPr>
          <w:spacing w:val="2"/>
        </w:rPr>
        <w:t> </w:t>
      </w:r>
      <w:r>
        <w:rPr>
          <w:rFonts w:ascii="宋体" w:hAnsi="宋体" w:cs="宋体" w:eastAsia="宋体" w:hint="default"/>
        </w:rPr>
        <w:t>8</w:t>
      </w:r>
      <w:r>
        <w:rPr>
          <w:rFonts w:ascii="宋体" w:hAnsi="宋体" w:cs="宋体" w:eastAsia="宋体" w:hint="default"/>
          <w:spacing w:val="4"/>
        </w:rPr>
        <w:t> </w:t>
      </w:r>
      <w:r>
        <w:rPr/>
        <w:t>月 </w:t>
      </w:r>
      <w:r>
        <w:rPr>
          <w:rFonts w:ascii="宋体" w:hAnsi="宋体" w:cs="宋体" w:eastAsia="宋体" w:hint="default"/>
        </w:rPr>
        <w:t>20</w:t>
      </w:r>
      <w:r>
        <w:rPr>
          <w:rFonts w:ascii="宋体" w:hAnsi="宋体" w:cs="宋体" w:eastAsia="宋体" w:hint="default"/>
          <w:spacing w:val="-51"/>
        </w:rPr>
        <w:t> </w:t>
      </w:r>
      <w:r>
        <w:rPr>
          <w:spacing w:val="-4"/>
        </w:rPr>
        <w:t>日，公司发布的《科达股份关于发行股份</w:t>
      </w:r>
      <w:r>
        <w:rPr>
          <w:w w:val="100"/>
        </w:rPr>
        <w:t> </w:t>
      </w:r>
      <w:r>
        <w:rPr/>
        <w:t>购买资产并募集配套资金之标的资产过户完成情况的公告》</w:t>
      </w:r>
      <w:r>
        <w:rPr>
          <w:rFonts w:ascii="宋体" w:hAnsi="宋体" w:cs="宋体" w:eastAsia="宋体" w:hint="default"/>
        </w:rPr>
        <w:t>)</w:t>
      </w:r>
      <w:r>
        <w:rPr/>
        <w:t>。</w:t>
      </w:r>
    </w:p>
    <w:p>
      <w:pPr>
        <w:pStyle w:val="BodyText"/>
        <w:spacing w:line="314" w:lineRule="auto"/>
        <w:ind w:right="147" w:firstLine="419"/>
        <w:jc w:val="both"/>
      </w:pPr>
      <w:r>
        <w:rPr>
          <w:rFonts w:ascii="宋体" w:hAnsi="宋体" w:cs="宋体" w:eastAsia="宋体" w:hint="default"/>
          <w:spacing w:val="-3"/>
        </w:rPr>
        <w:t>2</w:t>
      </w:r>
      <w:r>
        <w:rPr>
          <w:spacing w:val="-3"/>
        </w:rPr>
        <w:t>、根据公司战略发展规划，为进一步优化公司产业布局，</w:t>
      </w:r>
      <w:r>
        <w:rPr>
          <w:rFonts w:ascii="宋体" w:hAnsi="宋体" w:cs="宋体" w:eastAsia="宋体" w:hint="default"/>
          <w:spacing w:val="-3"/>
        </w:rPr>
        <w:t>2015</w:t>
      </w:r>
      <w:r>
        <w:rPr>
          <w:rFonts w:ascii="宋体" w:hAnsi="宋体" w:cs="宋体" w:eastAsia="宋体" w:hint="default"/>
          <w:spacing w:val="-41"/>
        </w:rPr>
        <w:t> </w:t>
      </w:r>
      <w:r>
        <w:rPr/>
        <w:t>年</w:t>
      </w:r>
      <w:r>
        <w:rPr>
          <w:spacing w:val="-41"/>
        </w:rPr>
        <w:t> </w:t>
      </w:r>
      <w:r>
        <w:rPr>
          <w:rFonts w:ascii="宋体" w:hAnsi="宋体" w:cs="宋体" w:eastAsia="宋体" w:hint="default"/>
        </w:rPr>
        <w:t>10</w:t>
      </w:r>
      <w:r>
        <w:rPr>
          <w:rFonts w:ascii="宋体" w:hAnsi="宋体" w:cs="宋体" w:eastAsia="宋体" w:hint="default"/>
          <w:spacing w:val="-41"/>
        </w:rPr>
        <w:t> </w:t>
      </w:r>
      <w:r>
        <w:rPr/>
        <w:t>月</w:t>
      </w:r>
      <w:r>
        <w:rPr>
          <w:spacing w:val="-43"/>
        </w:rPr>
        <w:t> </w:t>
      </w:r>
      <w:r>
        <w:rPr>
          <w:rFonts w:ascii="宋体" w:hAnsi="宋体" w:cs="宋体" w:eastAsia="宋体" w:hint="default"/>
        </w:rPr>
        <w:t>9</w:t>
      </w:r>
      <w:r>
        <w:rPr>
          <w:rFonts w:ascii="宋体" w:hAnsi="宋体" w:cs="宋体" w:eastAsia="宋体" w:hint="default"/>
          <w:spacing w:val="-40"/>
        </w:rPr>
        <w:t> </w:t>
      </w:r>
      <w:r>
        <w:rPr>
          <w:spacing w:val="-3"/>
        </w:rPr>
        <w:t>日，公司与山东科</w:t>
      </w:r>
      <w:r>
        <w:rPr>
          <w:w w:val="100"/>
        </w:rPr>
        <w:t> </w:t>
      </w:r>
      <w:r>
        <w:rPr/>
        <w:t>达签署股权转让协议，公司将持有的大桥公司 </w:t>
      </w:r>
      <w:r>
        <w:rPr>
          <w:rFonts w:ascii="宋体" w:hAnsi="宋体" w:cs="宋体" w:eastAsia="宋体" w:hint="default"/>
        </w:rPr>
        <w:t>50%</w:t>
      </w:r>
      <w:r>
        <w:rPr/>
        <w:t>股权出售给公司控股股东山东科达</w:t>
      </w:r>
      <w:r>
        <w:rPr>
          <w:rFonts w:ascii="宋体" w:hAnsi="宋体" w:cs="宋体" w:eastAsia="宋体" w:hint="default"/>
        </w:rPr>
        <w:t>,</w:t>
      </w:r>
      <w:r>
        <w:rPr>
          <w:rFonts w:ascii="宋体" w:hAnsi="宋体" w:cs="宋体" w:eastAsia="宋体" w:hint="default"/>
          <w:spacing w:val="-56"/>
        </w:rPr>
        <w:t> </w:t>
      </w:r>
      <w:r>
        <w:rPr/>
        <w:t>公司不再</w:t>
      </w:r>
      <w:r>
        <w:rPr>
          <w:w w:val="100"/>
        </w:rPr>
        <w:t> </w:t>
      </w:r>
      <w:r>
        <w:rPr/>
        <w:t>持有大桥公司股权。</w:t>
      </w:r>
    </w:p>
    <w:p>
      <w:pPr>
        <w:pStyle w:val="BodyText"/>
        <w:spacing w:line="314" w:lineRule="auto"/>
        <w:ind w:right="145" w:firstLine="419"/>
        <w:jc w:val="both"/>
      </w:pPr>
      <w:r>
        <w:rPr>
          <w:rFonts w:ascii="宋体" w:hAnsi="宋体" w:cs="宋体" w:eastAsia="宋体" w:hint="default"/>
          <w:spacing w:val="-4"/>
        </w:rPr>
        <w:t>3</w:t>
      </w:r>
      <w:r>
        <w:rPr>
          <w:spacing w:val="-4"/>
        </w:rPr>
        <w:t>、报告期内，公司收购完成百孚思、上海同立、华邑众为、雨林木风、派瑞威行五家互联网</w:t>
      </w:r>
      <w:r>
        <w:rPr>
          <w:w w:val="100"/>
        </w:rPr>
        <w:t> </w:t>
      </w:r>
      <w:r>
        <w:rPr/>
        <w:t>公司，导致商誉增加</w:t>
      </w:r>
      <w:r>
        <w:rPr>
          <w:spacing w:val="-55"/>
        </w:rPr>
        <w:t> </w:t>
      </w:r>
      <w:r>
        <w:rPr>
          <w:rFonts w:ascii="宋体" w:hAnsi="宋体" w:cs="宋体" w:eastAsia="宋体" w:hint="default"/>
        </w:rPr>
        <w:t>244,383.30</w:t>
      </w:r>
      <w:r>
        <w:rPr>
          <w:rFonts w:ascii="宋体" w:hAnsi="宋体" w:cs="宋体" w:eastAsia="宋体" w:hint="default"/>
          <w:spacing w:val="-54"/>
        </w:rPr>
        <w:t> </w:t>
      </w:r>
      <w:r>
        <w:rPr/>
        <w:t>万元，期初商誉为</w:t>
      </w:r>
      <w:r>
        <w:rPr>
          <w:spacing w:val="-57"/>
        </w:rPr>
        <w:t> </w:t>
      </w:r>
      <w:r>
        <w:rPr>
          <w:rFonts w:ascii="宋体" w:hAnsi="宋体" w:cs="宋体" w:eastAsia="宋体" w:hint="default"/>
        </w:rPr>
        <w:t>0</w:t>
      </w:r>
      <w:r>
        <w:rPr/>
        <w:t>。</w:t>
      </w:r>
    </w:p>
    <w:p>
      <w:pPr>
        <w:spacing w:line="314" w:lineRule="auto" w:before="2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三、报告期内核心竞争力分析</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2"/>
          <w:sz w:val="21"/>
          <w:szCs w:val="21"/>
        </w:rPr>
        <w:t>报告期内，公司通过资产收购迅速切入互联网营销领域，公司收购的百孚思、上海同立、华</w:t>
      </w:r>
    </w:p>
    <w:p>
      <w:pPr>
        <w:pStyle w:val="BodyText"/>
        <w:spacing w:line="314" w:lineRule="auto"/>
        <w:ind w:right="157"/>
        <w:jc w:val="both"/>
      </w:pPr>
      <w:r>
        <w:rPr>
          <w:spacing w:val="-2"/>
        </w:rPr>
        <w:t>邑众为、雨林木风、派瑞威行五家公司均在本行业内具有各自的核心竞争力；在基础设施建设领</w:t>
      </w:r>
      <w:r>
        <w:rPr>
          <w:spacing w:val="-25"/>
        </w:rPr>
        <w:t> </w:t>
      </w:r>
      <w:r>
        <w:rPr>
          <w:spacing w:val="-25"/>
        </w:rPr>
      </w:r>
      <w:r>
        <w:rPr>
          <w:spacing w:val="-2"/>
        </w:rPr>
        <w:t>域，公司进一步增强核心竞争力，巩固市场优势；在房地产开发领域，公司根据市场变化适当调</w:t>
      </w:r>
      <w:r>
        <w:rPr>
          <w:spacing w:val="-27"/>
        </w:rPr>
        <w:t> </w:t>
      </w:r>
      <w:r>
        <w:rPr>
          <w:spacing w:val="-27"/>
        </w:rPr>
      </w:r>
      <w:r>
        <w:rPr/>
        <w:t>整开发节奏，多措施并举降低库存。</w:t>
      </w:r>
    </w:p>
    <w:p>
      <w:pPr>
        <w:pStyle w:val="Heading2"/>
        <w:spacing w:line="240" w:lineRule="auto" w:before="20"/>
        <w:ind w:left="560" w:right="0"/>
        <w:jc w:val="left"/>
        <w:rPr>
          <w:b w:val="0"/>
          <w:bCs w:val="0"/>
        </w:rPr>
      </w:pPr>
      <w:r>
        <w:rPr>
          <w:rFonts w:ascii="宋体" w:hAnsi="宋体" w:cs="宋体" w:eastAsia="宋体" w:hint="default"/>
        </w:rPr>
        <w:t>1</w:t>
      </w:r>
      <w:r>
        <w:rPr/>
        <w:t>、互联网营销行业</w:t>
      </w:r>
      <w:r>
        <w:rPr>
          <w:b w:val="0"/>
          <w:bCs w:val="0"/>
        </w:rPr>
      </w:r>
    </w:p>
    <w:p>
      <w:pPr>
        <w:pStyle w:val="Heading2"/>
        <w:spacing w:line="314" w:lineRule="auto" w:before="85"/>
        <w:ind w:left="560" w:right="7281"/>
        <w:jc w:val="left"/>
        <w:rPr>
          <w:b w:val="0"/>
          <w:bCs w:val="0"/>
        </w:rPr>
      </w:pPr>
      <w:r>
        <w:rPr/>
        <w:t>①百孚思</w:t>
      </w:r>
      <w:r>
        <w:rPr>
          <w:w w:val="100"/>
        </w:rPr>
        <w:t> </w:t>
      </w:r>
      <w:r>
        <w:rPr/>
        <w:t>专注汽车行业</w:t>
      </w:r>
      <w:r>
        <w:rPr>
          <w:b w:val="0"/>
          <w:bCs w:val="0"/>
        </w:rPr>
      </w:r>
    </w:p>
    <w:p>
      <w:pPr>
        <w:pStyle w:val="BodyText"/>
        <w:spacing w:line="314" w:lineRule="auto"/>
        <w:ind w:right="157" w:firstLine="419"/>
        <w:jc w:val="both"/>
      </w:pPr>
      <w:r>
        <w:rPr>
          <w:spacing w:val="-2"/>
        </w:rPr>
        <w:t>百孚思专注于汽车行业，为客户提供整体互联网营销服务和网络公关服务。曾为国内半数以</w:t>
      </w:r>
      <w:r>
        <w:rPr>
          <w:w w:val="100"/>
        </w:rPr>
        <w:t> </w:t>
      </w:r>
      <w:r>
        <w:rPr>
          <w:spacing w:val="-2"/>
        </w:rPr>
        <w:t>上的汽车行业集团客户提供服务，包括一汽、东风、长安、北汽、奇瑞、广汽等。百孚思对汽车</w:t>
      </w:r>
      <w:r>
        <w:rPr>
          <w:spacing w:val="-25"/>
        </w:rPr>
        <w:t> </w:t>
      </w:r>
      <w:r>
        <w:rPr>
          <w:spacing w:val="-25"/>
        </w:rPr>
      </w:r>
      <w:r>
        <w:rPr>
          <w:spacing w:val="-2"/>
        </w:rPr>
        <w:t>行业深入的研究、针对汽车行业客户丰富的互联网营销经验为公司赢得了优良的口碑，为公司开</w:t>
      </w:r>
      <w:r>
        <w:rPr>
          <w:spacing w:val="-25"/>
        </w:rPr>
        <w:t> </w:t>
      </w:r>
      <w:r>
        <w:rPr>
          <w:spacing w:val="-25"/>
        </w:rPr>
      </w:r>
      <w:r>
        <w:rPr/>
        <w:t>展客户、拓展业务提供坚实的保障。</w:t>
      </w:r>
    </w:p>
    <w:p>
      <w:pPr>
        <w:pStyle w:val="BodyText"/>
        <w:spacing w:line="314" w:lineRule="auto"/>
        <w:ind w:left="558" w:right="0" w:firstLine="2"/>
        <w:jc w:val="left"/>
      </w:pPr>
      <w:r>
        <w:rPr>
          <w:rFonts w:ascii="宋体" w:hAnsi="宋体" w:cs="宋体" w:eastAsia="宋体" w:hint="default"/>
          <w:b/>
          <w:bCs/>
        </w:rPr>
        <w:t>互联网综合服务技术</w:t>
      </w:r>
      <w:r>
        <w:rPr>
          <w:rFonts w:ascii="宋体" w:hAnsi="宋体" w:cs="宋体" w:eastAsia="宋体" w:hint="default"/>
          <w:b/>
          <w:bCs/>
          <w:w w:val="100"/>
        </w:rPr>
        <w:t> </w:t>
      </w:r>
      <w:r>
        <w:rPr>
          <w:spacing w:val="-2"/>
        </w:rPr>
        <w:t>凭借多年来的积累，百孚思已具备为客户提供互联网综合服务的技术，服务内容涵盖互联网</w:t>
      </w:r>
    </w:p>
    <w:p>
      <w:pPr>
        <w:pStyle w:val="BodyText"/>
        <w:spacing w:line="240" w:lineRule="auto"/>
        <w:ind w:right="0"/>
        <w:jc w:val="both"/>
      </w:pPr>
      <w:r>
        <w:rPr/>
        <w:t>整体互动营销策略、营销投放、营销效果监测与评估、网络通关、网站设计制作等服务内容在内</w:t>
      </w:r>
    </w:p>
    <w:p>
      <w:pPr>
        <w:spacing w:after="0" w:line="240" w:lineRule="auto"/>
        <w:jc w:val="both"/>
        <w:sectPr>
          <w:footerReference w:type="default" r:id="rId15"/>
          <w:pgSz w:w="11910" w:h="16840"/>
          <w:pgMar w:footer="1193" w:header="855" w:top="1280" w:bottom="1380" w:left="1660" w:right="1120"/>
        </w:sectPr>
      </w:pPr>
    </w:p>
    <w:p>
      <w:pPr>
        <w:spacing w:line="240" w:lineRule="auto" w:before="9"/>
        <w:rPr>
          <w:rFonts w:ascii="宋体" w:hAnsi="宋体" w:cs="宋体" w:eastAsia="宋体" w:hint="default"/>
          <w:sz w:val="18"/>
          <w:szCs w:val="18"/>
        </w:rPr>
      </w:pPr>
    </w:p>
    <w:p>
      <w:pPr>
        <w:pStyle w:val="BodyText"/>
        <w:spacing w:line="314" w:lineRule="auto" w:before="36"/>
        <w:ind w:right="157"/>
        <w:jc w:val="both"/>
      </w:pPr>
      <w:r>
        <w:rPr>
          <w:spacing w:val="-2"/>
        </w:rPr>
        <w:t>的综合服务能力，能够以展示类营销、搜索引擎营销、精准营销、内容营销、移动互联网营销等</w:t>
      </w:r>
      <w:r>
        <w:rPr>
          <w:spacing w:val="-25"/>
        </w:rPr>
        <w:t> </w:t>
      </w:r>
      <w:r>
        <w:rPr>
          <w:spacing w:val="-25"/>
        </w:rPr>
      </w:r>
      <w:r>
        <w:rPr/>
        <w:t>主流互联网营销方式为客户全方位实施互联网营销战略。具备突出的互联网综合服务能力。</w:t>
      </w:r>
    </w:p>
    <w:p>
      <w:pPr>
        <w:pStyle w:val="BodyText"/>
        <w:spacing w:line="314" w:lineRule="auto"/>
        <w:ind w:left="558" w:right="0" w:firstLine="2"/>
        <w:jc w:val="left"/>
      </w:pPr>
      <w:r>
        <w:rPr>
          <w:rFonts w:ascii="宋体" w:hAnsi="宋体" w:cs="宋体" w:eastAsia="宋体" w:hint="default"/>
          <w:b/>
          <w:bCs/>
        </w:rPr>
        <w:t>优秀的人才资源储备</w:t>
      </w:r>
      <w:r>
        <w:rPr>
          <w:rFonts w:ascii="宋体" w:hAnsi="宋体" w:cs="宋体" w:eastAsia="宋体" w:hint="default"/>
          <w:b/>
          <w:bCs/>
          <w:w w:val="100"/>
        </w:rPr>
        <w:t> </w:t>
      </w:r>
      <w:r>
        <w:rPr>
          <w:spacing w:val="-2"/>
        </w:rPr>
        <w:t>百孚思的管理团队和核心人员均在汽车行业和广告行业从业多年，具有丰富的市场经验、扎</w:t>
      </w:r>
    </w:p>
    <w:p>
      <w:pPr>
        <w:pStyle w:val="BodyText"/>
        <w:spacing w:line="314" w:lineRule="auto"/>
        <w:ind w:right="147"/>
        <w:jc w:val="both"/>
      </w:pPr>
      <w:r>
        <w:rPr>
          <w:spacing w:val="-2"/>
        </w:rPr>
        <w:t>实的专业知识和稳定的客户资源。百孚思员工普遍具有较高的专业素质，其中大部分来自汽车战</w:t>
      </w:r>
      <w:r>
        <w:rPr>
          <w:spacing w:val="-25"/>
        </w:rPr>
        <w:t> </w:t>
      </w:r>
      <w:r>
        <w:rPr>
          <w:spacing w:val="-25"/>
        </w:rPr>
      </w:r>
      <w:r>
        <w:rPr>
          <w:spacing w:val="-6"/>
        </w:rPr>
        <w:t>略咨询团队、各大汽车集团企业、国内外著名广告公司，对行业有深刻的理解，具备较高的传媒、</w:t>
      </w:r>
      <w:r>
        <w:rPr>
          <w:spacing w:val="-54"/>
        </w:rPr>
        <w:t> </w:t>
      </w:r>
      <w:r>
        <w:rPr>
          <w:spacing w:val="-54"/>
        </w:rPr>
      </w:r>
      <w:r>
        <w:rPr>
          <w:rFonts w:ascii="宋体" w:hAnsi="宋体" w:cs="宋体" w:eastAsia="宋体" w:hint="default"/>
        </w:rPr>
        <w:t>IT</w:t>
      </w:r>
      <w:r>
        <w:rPr>
          <w:rFonts w:ascii="宋体" w:hAnsi="宋体" w:cs="宋体" w:eastAsia="宋体" w:hint="default"/>
          <w:spacing w:val="55"/>
        </w:rPr>
        <w:t> </w:t>
      </w:r>
      <w:r>
        <w:rPr>
          <w:spacing w:val="-4"/>
        </w:rPr>
        <w:t>及营销专业水平。此外，百孚思再项目完结后会进行总结和案例分享，提升员工的业务能力和</w:t>
      </w:r>
      <w:r>
        <w:rPr>
          <w:spacing w:val="-96"/>
        </w:rPr>
        <w:t> </w:t>
      </w:r>
      <w:r>
        <w:rPr>
          <w:spacing w:val="-96"/>
        </w:rPr>
      </w:r>
      <w:r>
        <w:rPr/>
        <w:t>知识储备，促使员工不断进步。</w:t>
      </w:r>
    </w:p>
    <w:p>
      <w:pPr>
        <w:pStyle w:val="Heading2"/>
        <w:spacing w:line="314" w:lineRule="auto" w:before="20"/>
        <w:ind w:left="560" w:right="7070"/>
        <w:jc w:val="left"/>
        <w:rPr>
          <w:b w:val="0"/>
          <w:bCs w:val="0"/>
        </w:rPr>
      </w:pPr>
      <w:r>
        <w:rPr/>
        <w:t>②上海同立</w:t>
      </w:r>
      <w:r>
        <w:rPr>
          <w:w w:val="100"/>
        </w:rPr>
        <w:t> </w:t>
      </w:r>
      <w:r>
        <w:rPr/>
        <w:t>稳定的客户资源</w:t>
      </w:r>
      <w:r>
        <w:rPr>
          <w:b w:val="0"/>
          <w:bCs w:val="0"/>
        </w:rPr>
      </w:r>
    </w:p>
    <w:p>
      <w:pPr>
        <w:pStyle w:val="BodyText"/>
        <w:spacing w:line="314" w:lineRule="auto"/>
        <w:ind w:right="145" w:firstLine="419"/>
        <w:jc w:val="both"/>
      </w:pPr>
      <w:r>
        <w:rPr>
          <w:spacing w:val="-7"/>
          <w:w w:val="100"/>
        </w:rPr>
        <w:t>上海同立自成立以来就为客户提供线下营销活动策划执行服务，经多年发展，已和上汽通用、</w:t>
      </w:r>
      <w:r>
        <w:rPr>
          <w:w w:val="100"/>
        </w:rPr>
        <w:t> </w:t>
      </w:r>
      <w:r>
        <w:rPr>
          <w:spacing w:val="-2"/>
        </w:rPr>
        <w:t>奇瑞汽车、广汽菲亚特等客户建立长期良好的合作关系，向通用、别克、雪佛兰、保时捷、沃尔</w:t>
      </w:r>
      <w:r>
        <w:rPr>
          <w:spacing w:val="-25"/>
        </w:rPr>
        <w:t> </w:t>
      </w:r>
      <w:r>
        <w:rPr>
          <w:spacing w:val="-25"/>
        </w:rPr>
      </w:r>
      <w:r>
        <w:rPr>
          <w:spacing w:val="-2"/>
        </w:rPr>
        <w:t>沃、宾利、雪铁龙、凯迪拉克、奇瑞、陆虎、奥迪等汽车品牌提供服务。上海同立为客户提供的</w:t>
      </w:r>
      <w:r>
        <w:rPr>
          <w:spacing w:val="-25"/>
        </w:rPr>
        <w:t> </w:t>
      </w:r>
      <w:r>
        <w:rPr>
          <w:spacing w:val="-25"/>
        </w:rPr>
      </w:r>
      <w:r>
        <w:rPr>
          <w:spacing w:val="-6"/>
          <w:w w:val="100"/>
        </w:rPr>
        <w:t>优质服务使公司与客户建立了稳定的合作关系，带来了稳定收入来源，为公司的发展提供了保障。</w:t>
      </w:r>
    </w:p>
    <w:p>
      <w:pPr>
        <w:pStyle w:val="BodyText"/>
        <w:spacing w:line="314" w:lineRule="auto"/>
        <w:ind w:left="558" w:right="0" w:firstLine="2"/>
        <w:jc w:val="left"/>
      </w:pPr>
      <w:r>
        <w:rPr>
          <w:rFonts w:ascii="宋体" w:hAnsi="宋体" w:cs="宋体" w:eastAsia="宋体" w:hint="default"/>
          <w:b/>
          <w:bCs/>
        </w:rPr>
        <w:t>出色的项目执行能力</w:t>
      </w:r>
      <w:r>
        <w:rPr>
          <w:rFonts w:ascii="宋体" w:hAnsi="宋体" w:cs="宋体" w:eastAsia="宋体" w:hint="default"/>
          <w:b/>
          <w:bCs/>
          <w:w w:val="100"/>
        </w:rPr>
        <w:t> </w:t>
      </w:r>
      <w:r>
        <w:rPr>
          <w:spacing w:val="-7"/>
          <w:w w:val="100"/>
        </w:rPr>
        <w:t>线下营销活动能否达到预期目标，创意方案能否得到具体体现，主要取决于项目执行的质量。</w:t>
      </w:r>
    </w:p>
    <w:p>
      <w:pPr>
        <w:pStyle w:val="BodyText"/>
        <w:spacing w:line="314" w:lineRule="auto"/>
        <w:ind w:right="157"/>
        <w:jc w:val="both"/>
      </w:pPr>
      <w:r>
        <w:rPr>
          <w:spacing w:val="-2"/>
        </w:rPr>
        <w:t>执行团队的整体管理水平、细节执行能力、服务质量和专业素质等因素决定了活动传播效果和客</w:t>
      </w:r>
      <w:r>
        <w:rPr>
          <w:spacing w:val="-25"/>
        </w:rPr>
        <w:t> </w:t>
      </w:r>
      <w:r>
        <w:rPr>
          <w:spacing w:val="-25"/>
        </w:rPr>
      </w:r>
      <w:r>
        <w:rPr>
          <w:spacing w:val="-2"/>
        </w:rPr>
        <w:t>户满意度。上海同立自成立以来就从事线下营销活动，具有丰富的方案策划、项目设计、整体筹</w:t>
      </w:r>
      <w:r>
        <w:rPr>
          <w:spacing w:val="-25"/>
        </w:rPr>
        <w:t> </w:t>
      </w:r>
      <w:r>
        <w:rPr>
          <w:spacing w:val="-25"/>
        </w:rPr>
      </w:r>
      <w:r>
        <w:rPr>
          <w:spacing w:val="-2"/>
        </w:rPr>
        <w:t>划、沟通协调、执行管理能力。上海同立专注于汽车领域的线下体验活动，多年来大量的会展工</w:t>
      </w:r>
      <w:r>
        <w:rPr>
          <w:spacing w:val="-25"/>
        </w:rPr>
        <w:t> </w:t>
      </w:r>
      <w:r>
        <w:rPr>
          <w:spacing w:val="-25"/>
        </w:rPr>
      </w:r>
      <w:r>
        <w:rPr/>
        <w:t>作，使上海同立员工积累了丰富的经验，受到客户的认可。</w:t>
      </w:r>
    </w:p>
    <w:p>
      <w:pPr>
        <w:pStyle w:val="BodyText"/>
        <w:spacing w:line="314" w:lineRule="auto"/>
        <w:ind w:left="558" w:right="0" w:firstLine="2"/>
        <w:jc w:val="left"/>
      </w:pPr>
      <w:r>
        <w:rPr>
          <w:rFonts w:ascii="宋体" w:hAnsi="宋体" w:cs="宋体" w:eastAsia="宋体" w:hint="default"/>
          <w:b/>
          <w:bCs/>
        </w:rPr>
        <w:t>多平台的整体式营销</w:t>
      </w:r>
      <w:r>
        <w:rPr>
          <w:rFonts w:ascii="宋体" w:hAnsi="宋体" w:cs="宋体" w:eastAsia="宋体" w:hint="default"/>
          <w:b/>
          <w:bCs/>
          <w:w w:val="100"/>
        </w:rPr>
        <w:t> </w:t>
      </w:r>
      <w:r>
        <w:rPr>
          <w:spacing w:val="-2"/>
        </w:rPr>
        <w:t>上海同立以用户体验为中心，以直观感受为出发点，在互联网高速发展的市场环境中，洞悉</w:t>
      </w:r>
    </w:p>
    <w:p>
      <w:pPr>
        <w:pStyle w:val="BodyText"/>
        <w:spacing w:line="314" w:lineRule="auto"/>
        <w:ind w:right="157"/>
        <w:jc w:val="both"/>
      </w:pPr>
      <w:r>
        <w:rPr>
          <w:spacing w:val="-2"/>
        </w:rPr>
        <w:t>市场变化，调整发展战略，立足线下，整合多渠道资源，逐渐由单一的线下体验式传播向线下线</w:t>
      </w:r>
      <w:r>
        <w:rPr>
          <w:spacing w:val="-25"/>
        </w:rPr>
        <w:t> </w:t>
      </w:r>
      <w:r>
        <w:rPr>
          <w:spacing w:val="-25"/>
        </w:rPr>
      </w:r>
      <w:r>
        <w:rPr>
          <w:spacing w:val="-2"/>
        </w:rPr>
        <w:t>上跨平台的整体式传播方式发展。上海同立利用自身资源优势，结合线下会展、平面媒体、网络</w:t>
      </w:r>
      <w:r>
        <w:rPr>
          <w:spacing w:val="-25"/>
        </w:rPr>
        <w:t> </w:t>
      </w:r>
      <w:r>
        <w:rPr>
          <w:spacing w:val="-25"/>
        </w:rPr>
      </w:r>
      <w:r>
        <w:rPr>
          <w:spacing w:val="-2"/>
        </w:rPr>
        <w:t>平台、游戏平台等多媒体平台资源，为客户实现全媒体平台的打通，为客户提供整体式的营销服</w:t>
      </w:r>
      <w:r>
        <w:rPr>
          <w:spacing w:val="-25"/>
        </w:rPr>
        <w:t> </w:t>
      </w:r>
      <w:r>
        <w:rPr>
          <w:spacing w:val="-25"/>
        </w:rPr>
      </w:r>
      <w:r>
        <w:rPr/>
        <w:t>务。</w:t>
      </w:r>
    </w:p>
    <w:p>
      <w:pPr>
        <w:pStyle w:val="Heading2"/>
        <w:spacing w:line="314" w:lineRule="auto" w:before="20"/>
        <w:ind w:left="560" w:right="7070"/>
        <w:jc w:val="left"/>
        <w:rPr>
          <w:b w:val="0"/>
          <w:bCs w:val="0"/>
        </w:rPr>
      </w:pPr>
      <w:r>
        <w:rPr/>
        <w:t>③华邑众为</w:t>
      </w:r>
      <w:r>
        <w:rPr>
          <w:w w:val="100"/>
        </w:rPr>
        <w:t> </w:t>
      </w:r>
      <w:r>
        <w:rPr/>
        <w:t>突出的创意能力</w:t>
      </w:r>
      <w:r>
        <w:rPr>
          <w:b w:val="0"/>
          <w:bCs w:val="0"/>
        </w:rPr>
      </w:r>
    </w:p>
    <w:p>
      <w:pPr>
        <w:pStyle w:val="BodyText"/>
        <w:spacing w:line="314" w:lineRule="auto"/>
        <w:ind w:right="157" w:firstLine="419"/>
        <w:jc w:val="both"/>
      </w:pPr>
      <w:r>
        <w:rPr>
          <w:spacing w:val="-2"/>
        </w:rPr>
        <w:t>华邑众为聚集了一批行业内经验丰富的精英，并不断吸引人才，确保了创意策划能力。华邑</w:t>
      </w:r>
      <w:r>
        <w:rPr>
          <w:w w:val="100"/>
        </w:rPr>
        <w:t> </w:t>
      </w:r>
      <w:r>
        <w:rPr>
          <w:spacing w:val="-2"/>
        </w:rPr>
        <w:t>众为的业务团队把握客户的需求，捕捉消费者心理，创造出高效的引起迅速传播的创意内容，并</w:t>
      </w:r>
      <w:r>
        <w:rPr>
          <w:spacing w:val="-25"/>
        </w:rPr>
        <w:t> </w:t>
      </w:r>
      <w:r>
        <w:rPr>
          <w:spacing w:val="-25"/>
        </w:rPr>
      </w:r>
      <w:r>
        <w:rPr/>
        <w:t>通过内容创意引起网民主动搜索等互动行为。</w:t>
      </w:r>
    </w:p>
    <w:p>
      <w:pPr>
        <w:pStyle w:val="BodyText"/>
        <w:spacing w:line="314" w:lineRule="auto"/>
        <w:ind w:left="558" w:right="0" w:firstLine="2"/>
        <w:jc w:val="left"/>
      </w:pPr>
      <w:r>
        <w:rPr>
          <w:rFonts w:ascii="宋体" w:hAnsi="宋体" w:cs="宋体" w:eastAsia="宋体" w:hint="default"/>
          <w:b/>
          <w:bCs/>
        </w:rPr>
        <w:t>整合式互联网营销</w:t>
      </w:r>
      <w:r>
        <w:rPr>
          <w:rFonts w:ascii="宋体" w:hAnsi="宋体" w:cs="宋体" w:eastAsia="宋体" w:hint="default"/>
          <w:b/>
          <w:bCs/>
          <w:w w:val="100"/>
        </w:rPr>
        <w:t> </w:t>
      </w:r>
      <w:r>
        <w:rPr>
          <w:spacing w:val="-2"/>
        </w:rPr>
        <w:t>华邑众为始终致力于为客户提供契合自身的互联网营销解决方案，以不断的技术创新带动服</w:t>
      </w:r>
    </w:p>
    <w:p>
      <w:pPr>
        <w:pStyle w:val="BodyText"/>
        <w:spacing w:line="314" w:lineRule="auto"/>
        <w:ind w:right="157"/>
        <w:jc w:val="both"/>
      </w:pPr>
      <w:r>
        <w:rPr>
          <w:spacing w:val="-2"/>
        </w:rPr>
        <w:t>务品质提升，经过长期的发展与积累，公司创立了整合式互联网营销服务模式，让创意直达消费</w:t>
      </w:r>
      <w:r>
        <w:rPr>
          <w:spacing w:val="-25"/>
        </w:rPr>
        <w:t> </w:t>
      </w:r>
      <w:r>
        <w:rPr>
          <w:spacing w:val="-25"/>
        </w:rPr>
      </w:r>
      <w:r>
        <w:rPr>
          <w:spacing w:val="-2"/>
        </w:rPr>
        <w:t>者，直接高效。华邑众为提供的整合式数字营销服务，设计并执行整体营销方案，直接对客户负</w:t>
      </w:r>
      <w:r>
        <w:rPr>
          <w:spacing w:val="-25"/>
        </w:rPr>
        <w:t> </w:t>
      </w:r>
      <w:r>
        <w:rPr>
          <w:spacing w:val="-25"/>
        </w:rPr>
      </w:r>
      <w:r>
        <w:rPr/>
        <w:t>责，以客户的销售目标为导向，服务效果更为显著，更容易获得客户认可。</w:t>
      </w:r>
    </w:p>
    <w:p>
      <w:pPr>
        <w:pStyle w:val="Heading2"/>
        <w:spacing w:line="240" w:lineRule="auto" w:before="20"/>
        <w:ind w:left="560" w:right="0"/>
        <w:jc w:val="left"/>
        <w:rPr>
          <w:b w:val="0"/>
          <w:bCs w:val="0"/>
        </w:rPr>
      </w:pPr>
      <w:r>
        <w:rPr/>
        <w:t>互动传播方式</w:t>
      </w:r>
      <w:r>
        <w:rPr>
          <w:b w:val="0"/>
          <w:bCs w:val="0"/>
        </w:rPr>
      </w:r>
    </w:p>
    <w:p>
      <w:pPr>
        <w:spacing w:after="0" w:line="240" w:lineRule="auto"/>
        <w:jc w:val="left"/>
        <w:sectPr>
          <w:footerReference w:type="default" r:id="rId16"/>
          <w:pgSz w:w="11910" w:h="16840"/>
          <w:pgMar w:footer="1193" w:header="855" w:top="1280" w:bottom="1380" w:left="1660" w:right="1120"/>
          <w:pgNumType w:start="11"/>
        </w:sectPr>
      </w:pPr>
    </w:p>
    <w:p>
      <w:pPr>
        <w:spacing w:line="240" w:lineRule="auto" w:before="9"/>
        <w:rPr>
          <w:rFonts w:ascii="宋体" w:hAnsi="宋体" w:cs="宋体" w:eastAsia="宋体" w:hint="default"/>
          <w:b/>
          <w:bCs/>
          <w:sz w:val="18"/>
          <w:szCs w:val="18"/>
        </w:rPr>
      </w:pPr>
    </w:p>
    <w:p>
      <w:pPr>
        <w:pStyle w:val="BodyText"/>
        <w:spacing w:line="314" w:lineRule="auto" w:before="36"/>
        <w:ind w:right="148" w:firstLine="419"/>
        <w:jc w:val="both"/>
      </w:pPr>
      <w:r>
        <w:rPr>
          <w:spacing w:val="-2"/>
        </w:rPr>
        <w:t>传统的广告模式一般都是单向传播，缺乏与消费进行互动，对消费者的打动能力不高。华邑</w:t>
      </w:r>
      <w:r>
        <w:rPr>
          <w:w w:val="100"/>
        </w:rPr>
        <w:t> </w:t>
      </w:r>
      <w:r>
        <w:rPr>
          <w:spacing w:val="-4"/>
        </w:rPr>
        <w:t>众为通过创意策划、制造热门话题</w:t>
      </w:r>
      <w:r>
        <w:rPr>
          <w:rFonts w:ascii="宋体" w:hAnsi="宋体" w:cs="宋体" w:eastAsia="宋体" w:hint="default"/>
          <w:spacing w:val="-4"/>
        </w:rPr>
        <w:t>/</w:t>
      </w:r>
      <w:r>
        <w:rPr>
          <w:spacing w:val="-4"/>
        </w:rPr>
        <w:t>事件、名人转发等方式吸引网民注意、跟进、参与其中，实现</w:t>
      </w:r>
      <w:r>
        <w:rPr>
          <w:spacing w:val="-34"/>
        </w:rPr>
        <w:t> </w:t>
      </w:r>
      <w:r>
        <w:rPr>
          <w:spacing w:val="-34"/>
        </w:rPr>
      </w:r>
      <w:r>
        <w:rPr/>
        <w:t>与消费者的互动，更容易打动消费者，使营销效果更佳。</w:t>
      </w:r>
    </w:p>
    <w:p>
      <w:pPr>
        <w:pStyle w:val="BodyText"/>
        <w:spacing w:line="314" w:lineRule="auto"/>
        <w:ind w:left="558" w:right="0" w:firstLine="2"/>
        <w:jc w:val="left"/>
      </w:pPr>
      <w:r>
        <w:rPr>
          <w:rFonts w:ascii="宋体" w:hAnsi="宋体" w:cs="宋体" w:eastAsia="宋体" w:hint="default"/>
          <w:b/>
          <w:bCs/>
        </w:rPr>
        <w:t>内容营销</w:t>
      </w:r>
      <w:r>
        <w:rPr>
          <w:rFonts w:ascii="宋体" w:hAnsi="宋体" w:cs="宋体" w:eastAsia="宋体" w:hint="default"/>
          <w:b/>
          <w:bCs/>
          <w:w w:val="100"/>
        </w:rPr>
        <w:t> </w:t>
      </w:r>
      <w:r>
        <w:rPr>
          <w:spacing w:val="-2"/>
        </w:rPr>
        <w:t>华邑众为在充分利用传统广告投放渠道传播的基础上，通过与媒体的内容合作扩大传播影响</w:t>
      </w:r>
    </w:p>
    <w:p>
      <w:pPr>
        <w:pStyle w:val="BodyText"/>
        <w:spacing w:line="314" w:lineRule="auto"/>
        <w:ind w:right="0"/>
        <w:jc w:val="left"/>
      </w:pPr>
      <w:r>
        <w:rPr>
          <w:spacing w:val="-2"/>
        </w:rPr>
        <w:t>力。公司通过与媒体在非广告版面的内容进行合作，在内容中植入传播创意，达到比传统广告传</w:t>
      </w:r>
      <w:r>
        <w:rPr>
          <w:spacing w:val="-26"/>
        </w:rPr>
        <w:t> </w:t>
      </w:r>
      <w:r>
        <w:rPr>
          <w:spacing w:val="-26"/>
        </w:rPr>
      </w:r>
      <w:r>
        <w:rPr/>
        <w:t>播更佳的效果。</w:t>
      </w:r>
    </w:p>
    <w:p>
      <w:pPr>
        <w:pStyle w:val="Heading2"/>
        <w:spacing w:line="314" w:lineRule="auto" w:before="20"/>
        <w:ind w:left="560" w:right="7070"/>
        <w:jc w:val="left"/>
        <w:rPr>
          <w:b w:val="0"/>
          <w:bCs w:val="0"/>
        </w:rPr>
      </w:pPr>
      <w:r>
        <w:rPr/>
        <w:t>④雨林木风</w:t>
      </w:r>
      <w:r>
        <w:rPr>
          <w:w w:val="100"/>
        </w:rPr>
        <w:t> </w:t>
      </w:r>
      <w:r>
        <w:rPr/>
        <w:t>领先的品牌地位</w:t>
      </w:r>
      <w:r>
        <w:rPr>
          <w:b w:val="0"/>
          <w:bCs w:val="0"/>
        </w:rPr>
      </w:r>
    </w:p>
    <w:p>
      <w:pPr>
        <w:pStyle w:val="BodyText"/>
        <w:spacing w:line="314" w:lineRule="auto"/>
        <w:ind w:right="145" w:firstLine="419"/>
        <w:jc w:val="both"/>
      </w:pPr>
      <w:r>
        <w:rPr/>
        <w:t>雨林木风旗下的</w:t>
      </w:r>
      <w:r>
        <w:rPr>
          <w:spacing w:val="-54"/>
        </w:rPr>
        <w:t> </w:t>
      </w:r>
      <w:r>
        <w:rPr>
          <w:rFonts w:ascii="宋体" w:hAnsi="宋体" w:cs="宋体" w:eastAsia="宋体" w:hint="default"/>
        </w:rPr>
        <w:t>114</w:t>
      </w:r>
      <w:r>
        <w:rPr>
          <w:rFonts w:ascii="宋体" w:hAnsi="宋体" w:cs="宋体" w:eastAsia="宋体" w:hint="default"/>
          <w:spacing w:val="-55"/>
        </w:rPr>
        <w:t> </w:t>
      </w:r>
      <w:r>
        <w:rPr/>
        <w:t>啦导航网站是较早开始进行网址导航业务的网站之一，</w:t>
      </w:r>
      <w:r>
        <w:rPr>
          <w:rFonts w:ascii="宋体" w:hAnsi="宋体" w:cs="宋体" w:eastAsia="宋体" w:hint="default"/>
        </w:rPr>
        <w:t>114</w:t>
      </w:r>
      <w:r>
        <w:rPr>
          <w:rFonts w:ascii="宋体" w:hAnsi="宋体" w:cs="宋体" w:eastAsia="宋体" w:hint="default"/>
          <w:spacing w:val="-54"/>
        </w:rPr>
        <w:t> </w:t>
      </w:r>
      <w:r>
        <w:rPr/>
        <w:t>啦在行业快</w:t>
      </w:r>
      <w:r>
        <w:rPr>
          <w:w w:val="100"/>
        </w:rPr>
        <w:t> </w:t>
      </w:r>
      <w:r>
        <w:rPr>
          <w:spacing w:val="-2"/>
        </w:rPr>
        <w:t>速发展的时期抓住了机遇，深入分析市场需求和客户习惯，不断完善，努力创新，最终实现了领</w:t>
      </w:r>
      <w:r>
        <w:rPr>
          <w:spacing w:val="-25"/>
        </w:rPr>
        <w:t> </w:t>
      </w:r>
      <w:r>
        <w:rPr>
          <w:spacing w:val="-25"/>
        </w:rPr>
      </w:r>
      <w:r>
        <w:rPr>
          <w:spacing w:val="-6"/>
        </w:rPr>
        <w:t>先行业的用户界面设计风格及网页框架，具备了良好的品牌知名度，市场占有率不断提升。目前，</w:t>
      </w:r>
      <w:r>
        <w:rPr>
          <w:spacing w:val="-51"/>
        </w:rPr>
        <w:t> </w:t>
      </w:r>
      <w:r>
        <w:rPr>
          <w:spacing w:val="-51"/>
        </w:rPr>
      </w:r>
      <w:r>
        <w:rPr>
          <w:rFonts w:ascii="宋体" w:hAnsi="宋体" w:cs="宋体" w:eastAsia="宋体" w:hint="default"/>
        </w:rPr>
        <w:t>114</w:t>
      </w:r>
      <w:r>
        <w:rPr>
          <w:rFonts w:ascii="宋体" w:hAnsi="宋体" w:cs="宋体" w:eastAsia="宋体" w:hint="default"/>
          <w:spacing w:val="-53"/>
        </w:rPr>
        <w:t> </w:t>
      </w:r>
      <w:r>
        <w:rPr/>
        <w:t>啦已稳据国内导航网站排名第四名。</w:t>
      </w:r>
    </w:p>
    <w:p>
      <w:pPr>
        <w:pStyle w:val="BodyText"/>
        <w:spacing w:line="240" w:lineRule="auto"/>
        <w:ind w:left="558" w:right="0"/>
        <w:jc w:val="left"/>
      </w:pPr>
      <w:r>
        <w:rPr>
          <w:rFonts w:ascii="宋体" w:hAnsi="宋体" w:cs="宋体" w:eastAsia="宋体" w:hint="default"/>
        </w:rPr>
        <w:t>114</w:t>
      </w:r>
      <w:r>
        <w:rPr>
          <w:rFonts w:ascii="宋体" w:hAnsi="宋体" w:cs="宋体" w:eastAsia="宋体" w:hint="default"/>
          <w:spacing w:val="19"/>
        </w:rPr>
        <w:t> </w:t>
      </w:r>
      <w:r>
        <w:rPr>
          <w:spacing w:val="-2"/>
        </w:rPr>
        <w:t>啦利用自身品牌知名度和领先的行业地位，吸引了大批用户资源，用户一旦体验到网址</w:t>
      </w:r>
    </w:p>
    <w:p>
      <w:pPr>
        <w:pStyle w:val="BodyText"/>
        <w:spacing w:line="314" w:lineRule="auto" w:before="85"/>
        <w:ind w:left="560" w:right="1626" w:hanging="423"/>
        <w:jc w:val="left"/>
        <w:rPr>
          <w:rFonts w:ascii="宋体" w:hAnsi="宋体" w:cs="宋体" w:eastAsia="宋体" w:hint="default"/>
        </w:rPr>
      </w:pPr>
      <w:r>
        <w:rPr/>
        <w:t>导航方便、快捷的服务，就容易成为忠实用户。为</w:t>
      </w:r>
      <w:r>
        <w:rPr>
          <w:spacing w:val="-57"/>
        </w:rPr>
        <w:t> </w:t>
      </w:r>
      <w:r>
        <w:rPr>
          <w:rFonts w:ascii="宋体" w:hAnsi="宋体" w:cs="宋体" w:eastAsia="宋体" w:hint="default"/>
        </w:rPr>
        <w:t>114</w:t>
      </w:r>
      <w:r>
        <w:rPr>
          <w:rFonts w:ascii="宋体" w:hAnsi="宋体" w:cs="宋体" w:eastAsia="宋体" w:hint="default"/>
          <w:spacing w:val="-55"/>
        </w:rPr>
        <w:t> </w:t>
      </w:r>
      <w:r>
        <w:rPr/>
        <w:t>啦提供稳定的流量来源。</w:t>
      </w:r>
      <w:r>
        <w:rPr>
          <w:w w:val="100"/>
        </w:rPr>
        <w:t> </w:t>
      </w:r>
      <w:r>
        <w:rPr>
          <w:rFonts w:ascii="宋体" w:hAnsi="宋体" w:cs="宋体" w:eastAsia="宋体" w:hint="default"/>
          <w:b/>
          <w:bCs/>
        </w:rPr>
        <w:t>技术优势</w:t>
      </w:r>
      <w:r>
        <w:rPr>
          <w:rFonts w:ascii="宋体" w:hAnsi="宋体" w:cs="宋体" w:eastAsia="宋体" w:hint="default"/>
        </w:rPr>
      </w:r>
    </w:p>
    <w:p>
      <w:pPr>
        <w:pStyle w:val="BodyText"/>
        <w:spacing w:line="314" w:lineRule="auto"/>
        <w:ind w:right="157" w:firstLine="419"/>
        <w:jc w:val="both"/>
      </w:pPr>
      <w:r>
        <w:rPr/>
        <w:t>雨林木风自成立以来，专注于网址导航的建设和运营。</w:t>
      </w:r>
      <w:r>
        <w:rPr>
          <w:rFonts w:ascii="宋体" w:hAnsi="宋体" w:cs="宋体" w:eastAsia="宋体" w:hint="default"/>
        </w:rPr>
        <w:t>114</w:t>
      </w:r>
      <w:r>
        <w:rPr>
          <w:rFonts w:ascii="宋体" w:hAnsi="宋体" w:cs="宋体" w:eastAsia="宋体" w:hint="default"/>
          <w:spacing w:val="-55"/>
        </w:rPr>
        <w:t> </w:t>
      </w:r>
      <w:r>
        <w:rPr/>
        <w:t>啦的创业团队对网址导航用户需</w:t>
      </w:r>
      <w:r>
        <w:rPr>
          <w:w w:val="100"/>
        </w:rPr>
        <w:t> </w:t>
      </w:r>
      <w:r>
        <w:rPr/>
        <w:t>求和市场趋势具有全面深入的了解，并利用强大的研发水平和互联网信息技术为</w:t>
      </w:r>
      <w:r>
        <w:rPr>
          <w:spacing w:val="-56"/>
        </w:rPr>
        <w:t> </w:t>
      </w:r>
      <w:r>
        <w:rPr>
          <w:rFonts w:ascii="宋体" w:hAnsi="宋体" w:cs="宋体" w:eastAsia="宋体" w:hint="default"/>
        </w:rPr>
        <w:t>114</w:t>
      </w:r>
      <w:r>
        <w:rPr>
          <w:rFonts w:ascii="宋体" w:hAnsi="宋体" w:cs="宋体" w:eastAsia="宋体" w:hint="default"/>
          <w:spacing w:val="-56"/>
        </w:rPr>
        <w:t> </w:t>
      </w:r>
      <w:r>
        <w:rPr/>
        <w:t>啦的开发和</w:t>
      </w:r>
      <w:r>
        <w:rPr>
          <w:w w:val="100"/>
        </w:rPr>
        <w:t> </w:t>
      </w:r>
      <w:r>
        <w:rPr/>
        <w:t>运营提供了保障。</w:t>
      </w:r>
    </w:p>
    <w:p>
      <w:pPr>
        <w:pStyle w:val="BodyText"/>
        <w:spacing w:line="314" w:lineRule="auto"/>
        <w:ind w:right="157" w:firstLine="419"/>
        <w:jc w:val="both"/>
      </w:pPr>
      <w:r>
        <w:rPr>
          <w:rFonts w:ascii="宋体" w:hAnsi="宋体" w:cs="宋体" w:eastAsia="宋体" w:hint="default"/>
        </w:rPr>
        <w:t>114</w:t>
      </w:r>
      <w:r>
        <w:rPr>
          <w:rFonts w:ascii="宋体" w:hAnsi="宋体" w:cs="宋体" w:eastAsia="宋体" w:hint="default"/>
          <w:spacing w:val="-55"/>
        </w:rPr>
        <w:t> </w:t>
      </w:r>
      <w:r>
        <w:rPr/>
        <w:t>啦十分注重用户需求变化，深入研究市场发展情况及用户需求变化，利用数据收集及分</w:t>
      </w:r>
      <w:r>
        <w:rPr>
          <w:w w:val="100"/>
        </w:rPr>
        <w:t> </w:t>
      </w:r>
      <w:r>
        <w:rPr>
          <w:spacing w:val="-2"/>
        </w:rPr>
        <w:t>析系统，及时统计网址导航页面所有网站的点击次数，并根据各类网站点击次数的变化情况及时</w:t>
      </w:r>
      <w:r>
        <w:rPr>
          <w:spacing w:val="-25"/>
        </w:rPr>
        <w:t> </w:t>
      </w:r>
      <w:r>
        <w:rPr>
          <w:spacing w:val="-25"/>
        </w:rPr>
      </w:r>
      <w:r>
        <w:rPr/>
        <w:t>掌握用户需求的动态变化，并迅速对</w:t>
      </w:r>
      <w:r>
        <w:rPr>
          <w:spacing w:val="-53"/>
        </w:rPr>
        <w:t> </w:t>
      </w:r>
      <w:r>
        <w:rPr>
          <w:rFonts w:ascii="宋体" w:hAnsi="宋体" w:cs="宋体" w:eastAsia="宋体" w:hint="default"/>
        </w:rPr>
        <w:t>114</w:t>
      </w:r>
      <w:r>
        <w:rPr>
          <w:rFonts w:ascii="宋体" w:hAnsi="宋体" w:cs="宋体" w:eastAsia="宋体" w:hint="default"/>
          <w:spacing w:val="-55"/>
        </w:rPr>
        <w:t> </w:t>
      </w:r>
      <w:r>
        <w:rPr/>
        <w:t>啦结构做出调整和完善，保证</w:t>
      </w:r>
      <w:r>
        <w:rPr>
          <w:spacing w:val="-53"/>
        </w:rPr>
        <w:t> </w:t>
      </w:r>
      <w:r>
        <w:rPr>
          <w:rFonts w:ascii="宋体" w:hAnsi="宋体" w:cs="宋体" w:eastAsia="宋体" w:hint="default"/>
        </w:rPr>
        <w:t>114</w:t>
      </w:r>
      <w:r>
        <w:rPr>
          <w:rFonts w:ascii="宋体" w:hAnsi="宋体" w:cs="宋体" w:eastAsia="宋体" w:hint="default"/>
          <w:spacing w:val="-55"/>
        </w:rPr>
        <w:t> </w:t>
      </w:r>
      <w:r>
        <w:rPr/>
        <w:t>啦满足用户的需求。</w:t>
      </w:r>
    </w:p>
    <w:p>
      <w:pPr>
        <w:pStyle w:val="BodyText"/>
        <w:spacing w:line="314" w:lineRule="auto"/>
        <w:ind w:right="158"/>
        <w:jc w:val="left"/>
      </w:pPr>
      <w:r>
        <w:rPr/>
        <w:t>目前，雨林木风已完成了</w:t>
      </w:r>
      <w:r>
        <w:rPr>
          <w:spacing w:val="-56"/>
        </w:rPr>
        <w:t> </w:t>
      </w:r>
      <w:r>
        <w:rPr>
          <w:rFonts w:ascii="宋体" w:hAnsi="宋体" w:cs="宋体" w:eastAsia="宋体" w:hint="default"/>
        </w:rPr>
        <w:t>114</w:t>
      </w:r>
      <w:r>
        <w:rPr>
          <w:rFonts w:ascii="宋体" w:hAnsi="宋体" w:cs="宋体" w:eastAsia="宋体" w:hint="default"/>
          <w:spacing w:val="-54"/>
        </w:rPr>
        <w:t> </w:t>
      </w:r>
      <w:r>
        <w:rPr/>
        <w:t>啦网址导航的改变审计，以内容和精准为趋势的新版</w:t>
      </w:r>
      <w:r>
        <w:rPr>
          <w:spacing w:val="-54"/>
        </w:rPr>
        <w:t> </w:t>
      </w:r>
      <w:r>
        <w:rPr>
          <w:rFonts w:ascii="宋体" w:hAnsi="宋体" w:cs="宋体" w:eastAsia="宋体" w:hint="default"/>
        </w:rPr>
        <w:t>114</w:t>
      </w:r>
      <w:r>
        <w:rPr>
          <w:rFonts w:ascii="宋体" w:hAnsi="宋体" w:cs="宋体" w:eastAsia="宋体" w:hint="default"/>
          <w:spacing w:val="-56"/>
        </w:rPr>
        <w:t> </w:t>
      </w:r>
      <w:r>
        <w:rPr/>
        <w:t>啦导航即</w:t>
      </w:r>
      <w:r>
        <w:rPr>
          <w:w w:val="100"/>
        </w:rPr>
        <w:t> </w:t>
      </w:r>
      <w:r>
        <w:rPr/>
        <w:t>将上线。</w:t>
      </w:r>
    </w:p>
    <w:p>
      <w:pPr>
        <w:pStyle w:val="BodyText"/>
        <w:spacing w:line="314" w:lineRule="auto"/>
        <w:ind w:left="558" w:right="0" w:firstLine="2"/>
        <w:jc w:val="left"/>
      </w:pPr>
      <w:r>
        <w:rPr>
          <w:rFonts w:ascii="宋体" w:hAnsi="宋体" w:cs="宋体" w:eastAsia="宋体" w:hint="default"/>
          <w:b/>
          <w:bCs/>
        </w:rPr>
        <w:t>庞大的用户规模</w:t>
      </w:r>
      <w:r>
        <w:rPr>
          <w:rFonts w:ascii="宋体" w:hAnsi="宋体" w:cs="宋体" w:eastAsia="宋体" w:hint="default"/>
          <w:b/>
          <w:bCs/>
          <w:w w:val="100"/>
        </w:rPr>
        <w:t> </w:t>
      </w:r>
      <w:r>
        <w:rPr>
          <w:spacing w:val="-2"/>
        </w:rPr>
        <w:t>用户规模是网址导航实现可持续发展最根本的动力，也是衡量网址导航竞争力的重要指标。</w:t>
      </w:r>
    </w:p>
    <w:p>
      <w:pPr>
        <w:pStyle w:val="BodyText"/>
        <w:spacing w:line="314" w:lineRule="auto"/>
        <w:ind w:right="0"/>
        <w:jc w:val="left"/>
      </w:pPr>
      <w:r>
        <w:rPr>
          <w:rFonts w:ascii="宋体" w:hAnsi="宋体" w:cs="宋体" w:eastAsia="宋体" w:hint="default"/>
        </w:rPr>
        <w:t>114</w:t>
      </w:r>
      <w:r>
        <w:rPr>
          <w:rFonts w:ascii="宋体" w:hAnsi="宋体" w:cs="宋体" w:eastAsia="宋体" w:hint="default"/>
          <w:spacing w:val="-30"/>
        </w:rPr>
        <w:t> </w:t>
      </w:r>
      <w:r>
        <w:rPr>
          <w:spacing w:val="-6"/>
        </w:rPr>
        <w:t>啦经过多年发展，目前已具有大批高黏性用户，并在持续增长。根据</w:t>
      </w:r>
      <w:r>
        <w:rPr>
          <w:spacing w:val="-30"/>
        </w:rPr>
        <w:t> </w:t>
      </w:r>
      <w:r>
        <w:rPr>
          <w:rFonts w:ascii="宋体" w:hAnsi="宋体" w:cs="宋体" w:eastAsia="宋体" w:hint="default"/>
        </w:rPr>
        <w:t>Alexa</w:t>
      </w:r>
      <w:r>
        <w:rPr>
          <w:rFonts w:ascii="宋体" w:hAnsi="宋体" w:cs="宋体" w:eastAsia="宋体" w:hint="default"/>
          <w:spacing w:val="-29"/>
        </w:rPr>
        <w:t> </w:t>
      </w:r>
      <w:r>
        <w:rPr>
          <w:spacing w:val="-5"/>
        </w:rPr>
        <w:t>的统计数据，</w:t>
      </w:r>
      <w:r>
        <w:rPr>
          <w:rFonts w:ascii="宋体" w:hAnsi="宋体" w:cs="宋体" w:eastAsia="宋体" w:hint="default"/>
          <w:spacing w:val="-5"/>
        </w:rPr>
        <w:t>2014</w:t>
      </w:r>
      <w:r>
        <w:rPr>
          <w:rFonts w:ascii="宋体" w:hAnsi="宋体" w:cs="宋体" w:eastAsia="宋体" w:hint="default"/>
          <w:spacing w:val="-96"/>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rFonts w:ascii="宋体" w:hAnsi="宋体" w:cs="宋体" w:eastAsia="宋体" w:hint="default"/>
        </w:rPr>
        <w:t>114</w:t>
      </w:r>
      <w:r>
        <w:rPr>
          <w:rFonts w:ascii="宋体" w:hAnsi="宋体" w:cs="宋体" w:eastAsia="宋体" w:hint="default"/>
          <w:spacing w:val="-55"/>
        </w:rPr>
        <w:t> </w:t>
      </w:r>
      <w:r>
        <w:rPr/>
        <w:t>啦的日均</w:t>
      </w:r>
      <w:r>
        <w:rPr>
          <w:spacing w:val="-52"/>
        </w:rPr>
        <w:t> </w:t>
      </w:r>
      <w:r>
        <w:rPr>
          <w:rFonts w:ascii="宋体" w:hAnsi="宋体" w:cs="宋体" w:eastAsia="宋体" w:hint="default"/>
        </w:rPr>
        <w:t>IP</w:t>
      </w:r>
      <w:r>
        <w:rPr>
          <w:rFonts w:ascii="宋体" w:hAnsi="宋体" w:cs="宋体" w:eastAsia="宋体" w:hint="default"/>
          <w:spacing w:val="-53"/>
        </w:rPr>
        <w:t> </w:t>
      </w:r>
      <w:r>
        <w:rPr/>
        <w:t>量达到</w:t>
      </w:r>
      <w:r>
        <w:rPr>
          <w:spacing w:val="-53"/>
        </w:rPr>
        <w:t> </w:t>
      </w:r>
      <w:r>
        <w:rPr>
          <w:rFonts w:ascii="宋体" w:hAnsi="宋体" w:cs="宋体" w:eastAsia="宋体" w:hint="default"/>
        </w:rPr>
        <w:t>350</w:t>
      </w:r>
      <w:r>
        <w:rPr>
          <w:rFonts w:ascii="宋体" w:hAnsi="宋体" w:cs="宋体" w:eastAsia="宋体" w:hint="default"/>
          <w:spacing w:val="-53"/>
        </w:rPr>
        <w:t> </w:t>
      </w:r>
      <w:r>
        <w:rPr>
          <w:spacing w:val="-3"/>
        </w:rPr>
        <w:t>万。</w:t>
      </w:r>
      <w:r>
        <w:rPr/>
      </w:r>
    </w:p>
    <w:p>
      <w:pPr>
        <w:pStyle w:val="BodyText"/>
        <w:spacing w:line="314" w:lineRule="auto"/>
        <w:ind w:right="148" w:firstLine="419"/>
        <w:jc w:val="both"/>
      </w:pPr>
      <w:r>
        <w:rPr>
          <w:spacing w:val="-2"/>
        </w:rPr>
        <w:t>网址导航为用户上网提供了方便的网站及信息检索服务，用户形成使用网址导航上网的习惯</w:t>
      </w:r>
      <w:r>
        <w:rPr>
          <w:w w:val="100"/>
        </w:rPr>
        <w:t> </w:t>
      </w:r>
      <w:r>
        <w:rPr>
          <w:spacing w:val="-2"/>
        </w:rPr>
        <w:t>后不会轻易改变，且由于各网址导航页面风格和网站信息的差异，用户在不同网址导航之间进行</w:t>
      </w:r>
      <w:r>
        <w:rPr>
          <w:spacing w:val="-25"/>
        </w:rPr>
        <w:t> </w:t>
      </w:r>
      <w:r>
        <w:rPr>
          <w:spacing w:val="-25"/>
        </w:rPr>
      </w:r>
      <w:r>
        <w:rPr>
          <w:spacing w:val="-8"/>
          <w:w w:val="100"/>
        </w:rPr>
        <w:t>转换的行为较少。高黏性的客户为</w:t>
      </w:r>
      <w:r>
        <w:rPr>
          <w:spacing w:val="-43"/>
          <w:w w:val="100"/>
        </w:rPr>
        <w:t> </w:t>
      </w:r>
      <w:r>
        <w:rPr>
          <w:rFonts w:ascii="宋体" w:hAnsi="宋体" w:cs="宋体" w:eastAsia="宋体" w:hint="default"/>
          <w:w w:val="100"/>
        </w:rPr>
        <w:t>114</w:t>
      </w:r>
      <w:r>
        <w:rPr>
          <w:rFonts w:ascii="宋体" w:hAnsi="宋体" w:cs="宋体" w:eastAsia="宋体" w:hint="default"/>
          <w:spacing w:val="-45"/>
          <w:w w:val="100"/>
        </w:rPr>
        <w:t> </w:t>
      </w:r>
      <w:r>
        <w:rPr>
          <w:spacing w:val="-6"/>
          <w:w w:val="100"/>
        </w:rPr>
        <w:t>啦提供了稳定的高质量流量，流量转化为收入的能力更强。</w:t>
      </w:r>
    </w:p>
    <w:p>
      <w:pPr>
        <w:pStyle w:val="Heading2"/>
        <w:spacing w:line="314" w:lineRule="auto" w:before="20"/>
        <w:ind w:left="560" w:right="6649"/>
        <w:jc w:val="left"/>
        <w:rPr>
          <w:b w:val="0"/>
          <w:bCs w:val="0"/>
        </w:rPr>
      </w:pPr>
      <w:r>
        <w:rPr/>
        <w:t>⑤派瑞威行</w:t>
      </w:r>
      <w:r>
        <w:rPr>
          <w:w w:val="100"/>
        </w:rPr>
        <w:t> </w:t>
      </w:r>
      <w:r>
        <w:rPr/>
        <w:t>媒体资源和客户资源</w:t>
      </w:r>
      <w:r>
        <w:rPr>
          <w:b w:val="0"/>
          <w:bCs w:val="0"/>
        </w:rPr>
      </w:r>
    </w:p>
    <w:p>
      <w:pPr>
        <w:pStyle w:val="BodyText"/>
        <w:spacing w:line="314" w:lineRule="auto"/>
        <w:ind w:right="145" w:firstLine="419"/>
        <w:jc w:val="both"/>
      </w:pPr>
      <w:r>
        <w:rPr>
          <w:spacing w:val="-7"/>
        </w:rPr>
        <w:t>派瑞威行经过多年发展，已经与国内各大主流媒体建立合作关系，可以为客户在腾讯、新浪、</w:t>
      </w:r>
      <w:r>
        <w:rPr>
          <w:w w:val="100"/>
        </w:rPr>
        <w:t> </w:t>
      </w:r>
      <w:r>
        <w:rPr/>
        <w:t>网易、</w:t>
      </w:r>
      <w:r>
        <w:rPr>
          <w:rFonts w:ascii="宋体" w:hAnsi="宋体" w:cs="宋体" w:eastAsia="宋体" w:hint="default"/>
        </w:rPr>
        <w:t>360</w:t>
      </w:r>
      <w:r>
        <w:rPr>
          <w:rFonts w:ascii="宋体" w:hAnsi="宋体" w:cs="宋体" w:eastAsia="宋体" w:hint="default"/>
          <w:spacing w:val="-56"/>
        </w:rPr>
        <w:t> </w:t>
      </w:r>
      <w:r>
        <w:rPr/>
        <w:t>等各大优质媒体平台投放广告，为客户提供理想的曝光度。派瑞威行主要服务于电商</w:t>
      </w:r>
      <w:r>
        <w:rPr>
          <w:w w:val="100"/>
        </w:rPr>
        <w:t> </w:t>
      </w:r>
      <w:r>
        <w:rPr>
          <w:spacing w:val="-8"/>
        </w:rPr>
        <w:t>客户，拥有如唯品会、</w:t>
      </w:r>
      <w:r>
        <w:rPr>
          <w:rFonts w:ascii="宋体" w:hAnsi="宋体" w:cs="宋体" w:eastAsia="宋体" w:hint="default"/>
          <w:spacing w:val="-8"/>
        </w:rPr>
        <w:t>1 </w:t>
      </w:r>
      <w:r>
        <w:rPr>
          <w:spacing w:val="-4"/>
        </w:rPr>
        <w:t>号店、当当网等知名的电商客户资源，为派瑞威行带了稳定的业务收入。</w:t>
      </w:r>
      <w:r>
        <w:rPr>
          <w:spacing w:val="-83"/>
        </w:rPr>
        <w:t> </w:t>
      </w:r>
      <w:r>
        <w:rPr>
          <w:spacing w:val="-83"/>
        </w:rPr>
      </w:r>
      <w:r>
        <w:rPr>
          <w:spacing w:val="-2"/>
        </w:rPr>
        <w:t>因此，派瑞威行无论在媒体端还是客户端，都掌握着行业丰富、优质的资源，为派瑞威行长期稳</w:t>
      </w:r>
      <w:r>
        <w:rPr>
          <w:spacing w:val="-25"/>
        </w:rPr>
        <w:t> </w:t>
      </w:r>
      <w:r>
        <w:rPr>
          <w:spacing w:val="-25"/>
        </w:rPr>
      </w:r>
      <w:r>
        <w:rPr/>
        <w:t>定的发展提供了保障。</w:t>
      </w:r>
    </w:p>
    <w:p>
      <w:pPr>
        <w:spacing w:after="0" w:line="314" w:lineRule="auto"/>
        <w:jc w:val="both"/>
        <w:sectPr>
          <w:pgSz w:w="11910" w:h="16840"/>
          <w:pgMar w:header="855" w:footer="1193" w:top="1280" w:bottom="1380" w:left="1660" w:right="1120"/>
        </w:sectPr>
      </w:pPr>
    </w:p>
    <w:p>
      <w:pPr>
        <w:spacing w:line="240" w:lineRule="auto" w:before="9"/>
        <w:rPr>
          <w:rFonts w:ascii="宋体" w:hAnsi="宋体" w:cs="宋体" w:eastAsia="宋体" w:hint="default"/>
          <w:sz w:val="18"/>
          <w:szCs w:val="18"/>
        </w:rPr>
      </w:pPr>
    </w:p>
    <w:p>
      <w:pPr>
        <w:pStyle w:val="BodyText"/>
        <w:spacing w:line="314" w:lineRule="auto" w:before="36"/>
        <w:ind w:left="558" w:right="0" w:firstLine="2"/>
        <w:jc w:val="left"/>
      </w:pPr>
      <w:r>
        <w:rPr>
          <w:rFonts w:ascii="宋体" w:hAnsi="宋体" w:cs="宋体" w:eastAsia="宋体" w:hint="default"/>
          <w:b/>
          <w:bCs/>
        </w:rPr>
        <w:t>数据采集和优化平台</w:t>
      </w:r>
      <w:r>
        <w:rPr>
          <w:rFonts w:ascii="宋体" w:hAnsi="宋体" w:cs="宋体" w:eastAsia="宋体" w:hint="default"/>
          <w:b/>
          <w:bCs/>
          <w:w w:val="100"/>
        </w:rPr>
        <w:t> </w:t>
      </w:r>
      <w:r>
        <w:rPr>
          <w:spacing w:val="-2"/>
        </w:rPr>
        <w:t>在国内广告市场逐渐碎片化的环境下，以及大数据技术蓬勃发展的背景下，实现互联网广告</w:t>
      </w:r>
    </w:p>
    <w:p>
      <w:pPr>
        <w:pStyle w:val="BodyText"/>
        <w:spacing w:line="314" w:lineRule="auto"/>
        <w:ind w:right="157"/>
        <w:jc w:val="both"/>
      </w:pPr>
      <w:r>
        <w:rPr>
          <w:spacing w:val="-2"/>
        </w:rPr>
        <w:t>的精准投放已成为数字营销行业发展的必然趋势。派瑞威行紧抓行业发展脉搏，利用自身开发的</w:t>
      </w:r>
      <w:r>
        <w:rPr>
          <w:spacing w:val="-25"/>
        </w:rPr>
        <w:t> </w:t>
      </w:r>
      <w:r>
        <w:rPr>
          <w:spacing w:val="-25"/>
        </w:rPr>
      </w:r>
      <w:r>
        <w:rPr>
          <w:spacing w:val="-2"/>
        </w:rPr>
        <w:t>数据系统实现了媒体及客户数据的收集和优化，为广告的精准投放提供了数据基础。使派瑞威行</w:t>
      </w:r>
      <w:r>
        <w:rPr>
          <w:spacing w:val="-26"/>
        </w:rPr>
        <w:t> </w:t>
      </w:r>
      <w:r>
        <w:rPr>
          <w:spacing w:val="-26"/>
        </w:rPr>
      </w:r>
      <w:r>
        <w:rPr/>
        <w:t>在数字营销市场中具有了较强的竞争实力。</w:t>
      </w:r>
    </w:p>
    <w:p>
      <w:pPr>
        <w:spacing w:line="314" w:lineRule="auto" w:before="2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数字化系统化的发展方向</w:t>
      </w:r>
      <w:r>
        <w:rPr>
          <w:rFonts w:ascii="宋体" w:hAnsi="宋体" w:cs="宋体" w:eastAsia="宋体" w:hint="default"/>
          <w:b/>
          <w:bCs/>
          <w:w w:val="100"/>
          <w:sz w:val="21"/>
          <w:szCs w:val="21"/>
        </w:rPr>
        <w:t> </w:t>
      </w:r>
      <w:r>
        <w:rPr>
          <w:rFonts w:ascii="宋体" w:hAnsi="宋体" w:cs="宋体" w:eastAsia="宋体" w:hint="default"/>
          <w:spacing w:val="-2"/>
          <w:sz w:val="21"/>
          <w:szCs w:val="21"/>
        </w:rPr>
        <w:t>派瑞威行洞察数字营销市场未来的发展趋势，不断开拓、努力创新，除了已有的数据系统，</w:t>
      </w:r>
    </w:p>
    <w:p>
      <w:pPr>
        <w:pStyle w:val="BodyText"/>
        <w:spacing w:line="314" w:lineRule="auto"/>
        <w:ind w:left="558" w:right="0" w:hanging="420"/>
        <w:jc w:val="left"/>
      </w:pPr>
      <w:r>
        <w:rPr/>
        <w:t>仍在不断的规划设计新的系统平台，为今后实现广告投放的全数字化、系统化做好准备。</w:t>
      </w:r>
      <w:r>
        <w:rPr>
          <w:w w:val="100"/>
        </w:rPr>
        <w:t> </w:t>
      </w:r>
      <w:r>
        <w:rPr>
          <w:rFonts w:ascii="宋体" w:hAnsi="宋体" w:cs="宋体" w:eastAsia="宋体" w:hint="default"/>
          <w:b/>
          <w:bCs/>
        </w:rPr>
        <w:t>2</w:t>
      </w:r>
      <w:r>
        <w:rPr>
          <w:rFonts w:ascii="宋体" w:hAnsi="宋体" w:cs="宋体" w:eastAsia="宋体" w:hint="default"/>
          <w:b/>
          <w:bCs/>
        </w:rPr>
        <w:t>、基础设施施工行业</w:t>
      </w:r>
      <w:r>
        <w:rPr>
          <w:rFonts w:ascii="宋体" w:hAnsi="宋体" w:cs="宋体" w:eastAsia="宋体" w:hint="default"/>
          <w:b/>
          <w:bCs/>
          <w:w w:val="100"/>
        </w:rPr>
        <w:t> </w:t>
      </w:r>
      <w:r>
        <w:rPr>
          <w:spacing w:val="-2"/>
        </w:rPr>
        <w:t>公司自成立至完成资产收购，基础设施施工业务一直是公司的主营业务。在该领域内，公司</w:t>
      </w:r>
    </w:p>
    <w:p>
      <w:pPr>
        <w:pStyle w:val="BodyText"/>
        <w:spacing w:line="314" w:lineRule="auto"/>
        <w:ind w:right="157"/>
        <w:jc w:val="both"/>
      </w:pPr>
      <w:r>
        <w:rPr>
          <w:spacing w:val="-2"/>
        </w:rPr>
        <w:t>具备了行业内较高的资质等级，目前公司具有公路工程施工总承包壹级资质、市政公用工程施工</w:t>
      </w:r>
      <w:r>
        <w:rPr>
          <w:spacing w:val="-26"/>
        </w:rPr>
        <w:t> </w:t>
      </w:r>
      <w:r>
        <w:rPr>
          <w:spacing w:val="-26"/>
        </w:rPr>
      </w:r>
      <w:r>
        <w:rPr>
          <w:spacing w:val="-2"/>
        </w:rPr>
        <w:t>总承包壹级资质、桥梁工程专业承包壹级资质、公路路基工程专业承包壹级资质等各项资质。在</w:t>
      </w:r>
      <w:r>
        <w:rPr>
          <w:spacing w:val="-25"/>
        </w:rPr>
        <w:t> </w:t>
      </w:r>
      <w:r>
        <w:rPr>
          <w:spacing w:val="-25"/>
        </w:rPr>
      </w:r>
      <w:r>
        <w:rPr/>
        <w:t>市场方面，公司不断积累和扩大品牌知名度，积累了良好的市场口碑。</w:t>
      </w:r>
    </w:p>
    <w:p>
      <w:pPr>
        <w:pStyle w:val="BodyText"/>
        <w:spacing w:line="314" w:lineRule="auto"/>
        <w:ind w:left="558" w:right="0" w:firstLine="2"/>
        <w:jc w:val="left"/>
      </w:pPr>
      <w:r>
        <w:rPr>
          <w:rFonts w:ascii="宋体" w:hAnsi="宋体" w:cs="宋体" w:eastAsia="宋体" w:hint="default"/>
          <w:b/>
          <w:bCs/>
        </w:rPr>
        <w:t>3</w:t>
      </w:r>
      <w:r>
        <w:rPr>
          <w:rFonts w:ascii="宋体" w:hAnsi="宋体" w:cs="宋体" w:eastAsia="宋体" w:hint="default"/>
          <w:b/>
          <w:bCs/>
        </w:rPr>
        <w:t>、房地产开发行业</w:t>
      </w:r>
      <w:r>
        <w:rPr>
          <w:rFonts w:ascii="宋体" w:hAnsi="宋体" w:cs="宋体" w:eastAsia="宋体" w:hint="default"/>
          <w:b/>
          <w:bCs/>
          <w:w w:val="100"/>
        </w:rPr>
        <w:t> </w:t>
      </w:r>
      <w:r>
        <w:rPr>
          <w:spacing w:val="-2"/>
        </w:rPr>
        <w:t>报告期内，国内总体房地产投资增速下降，整体行业处于去库存周期，全国房地产市场形势</w:t>
      </w:r>
    </w:p>
    <w:p>
      <w:pPr>
        <w:pStyle w:val="BodyText"/>
        <w:spacing w:line="314" w:lineRule="auto"/>
        <w:ind w:right="157"/>
        <w:jc w:val="both"/>
      </w:pPr>
      <w:r>
        <w:rPr>
          <w:spacing w:val="-2"/>
        </w:rPr>
        <w:t>产生了明显的变化，由于公司在建项目均在山东本地，公司具有较好的风险控制能力。为降低库</w:t>
      </w:r>
      <w:r>
        <w:rPr>
          <w:spacing w:val="-26"/>
        </w:rPr>
        <w:t> </w:t>
      </w:r>
      <w:r>
        <w:rPr>
          <w:spacing w:val="-26"/>
        </w:rPr>
      </w:r>
      <w:r>
        <w:rPr/>
        <w:t>存公司也适时推出了多项措施，以提高销售量，回笼资金。</w:t>
      </w:r>
    </w:p>
    <w:p>
      <w:pPr>
        <w:spacing w:after="0" w:line="314" w:lineRule="auto"/>
        <w:jc w:val="both"/>
        <w:sectPr>
          <w:pgSz w:w="11910" w:h="16840"/>
          <w:pgMar w:header="855" w:footer="1193" w:top="1280" w:bottom="1380" w:left="1660" w:right="1120"/>
        </w:sectPr>
      </w:pPr>
    </w:p>
    <w:p>
      <w:pPr>
        <w:spacing w:line="240" w:lineRule="auto" w:before="5"/>
        <w:rPr>
          <w:rFonts w:ascii="宋体" w:hAnsi="宋体" w:cs="宋体" w:eastAsia="宋体" w:hint="default"/>
          <w:sz w:val="13"/>
          <w:szCs w:val="13"/>
        </w:rPr>
      </w:pPr>
    </w:p>
    <w:p>
      <w:pPr>
        <w:pStyle w:val="Heading1"/>
        <w:tabs>
          <w:tab w:pos="1259" w:val="left" w:leader="none"/>
        </w:tabs>
        <w:spacing w:line="240" w:lineRule="auto"/>
        <w:ind w:right="75"/>
        <w:jc w:val="center"/>
        <w:rPr>
          <w:b w:val="0"/>
          <w:bCs w:val="0"/>
        </w:rPr>
      </w:pPr>
      <w:bookmarkStart w:name="_TOC_250008" w:id="4"/>
      <w:r>
        <w:rPr>
          <w:w w:val="95"/>
        </w:rPr>
        <w:t>第四节</w:t>
        <w:tab/>
      </w:r>
      <w:r>
        <w:rPr/>
        <w:t>管理层讨论与分析</w:t>
      </w:r>
      <w:bookmarkEnd w:id="4"/>
      <w:r>
        <w:rPr>
          <w:b w:val="0"/>
          <w:bCs w:val="0"/>
        </w:rPr>
      </w:r>
    </w:p>
    <w:p>
      <w:pPr>
        <w:spacing w:line="240" w:lineRule="auto" w:before="4"/>
        <w:rPr>
          <w:rFonts w:ascii="黑体" w:hAnsi="黑体" w:cs="黑体" w:eastAsia="黑体" w:hint="default"/>
          <w:b/>
          <w:bCs/>
          <w:sz w:val="19"/>
          <w:szCs w:val="19"/>
        </w:rPr>
      </w:pPr>
    </w:p>
    <w:p>
      <w:pPr>
        <w:spacing w:line="357" w:lineRule="auto" w:before="0"/>
        <w:ind w:left="558" w:right="99" w:hanging="420"/>
        <w:jc w:val="left"/>
        <w:rPr>
          <w:rFonts w:ascii="宋体" w:hAnsi="宋体" w:cs="宋体" w:eastAsia="宋体" w:hint="default"/>
          <w:sz w:val="21"/>
          <w:szCs w:val="21"/>
        </w:rPr>
      </w:pPr>
      <w:r>
        <w:rPr>
          <w:rFonts w:ascii="宋体" w:hAnsi="宋体" w:cs="宋体" w:eastAsia="宋体" w:hint="default"/>
          <w:b/>
          <w:bCs/>
          <w:sz w:val="21"/>
          <w:szCs w:val="21"/>
        </w:rPr>
        <w:t>一、管理层讨论与分析</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报告期内，公司面对国际、国内经济形势下滑，同行业竞争激烈的局面，紧紧围绕年初制定</w:t>
      </w:r>
    </w:p>
    <w:p>
      <w:pPr>
        <w:pStyle w:val="BodyText"/>
        <w:spacing w:line="257" w:lineRule="exact" w:before="0"/>
        <w:ind w:right="0"/>
        <w:jc w:val="both"/>
      </w:pPr>
      <w:r>
        <w:rPr/>
        <w:t>的各项任务目标，一方面深挖“基础设施建设与房地产开发”两大主业的管理潜能，深入研究行</w:t>
      </w:r>
    </w:p>
    <w:p>
      <w:pPr>
        <w:pStyle w:val="BodyText"/>
        <w:spacing w:line="314" w:lineRule="auto" w:before="85"/>
        <w:ind w:right="217"/>
        <w:jc w:val="both"/>
      </w:pPr>
      <w:r>
        <w:rPr>
          <w:spacing w:val="-2"/>
        </w:rPr>
        <w:t>业形势与市场发展趋势，切实防范风险，加强内部管理，降低运营成本。一方面，积极关注新经</w:t>
      </w:r>
      <w:r>
        <w:rPr>
          <w:spacing w:val="-26"/>
        </w:rPr>
        <w:t> </w:t>
      </w:r>
      <w:r>
        <w:rPr>
          <w:spacing w:val="-26"/>
        </w:rPr>
      </w:r>
      <w:r>
        <w:rPr>
          <w:spacing w:val="-2"/>
        </w:rPr>
        <w:t>济的发展趋势与行业机遇，通过完成资产收购进入新兴互联网营销行业，提高了上市公司的抗风</w:t>
      </w:r>
      <w:r>
        <w:rPr>
          <w:spacing w:val="-25"/>
        </w:rPr>
        <w:t> </w:t>
      </w:r>
      <w:r>
        <w:rPr>
          <w:spacing w:val="-25"/>
        </w:rPr>
      </w:r>
      <w:r>
        <w:rPr/>
        <w:t>险能力与盈利能力。</w:t>
      </w:r>
    </w:p>
    <w:p>
      <w:pPr>
        <w:pStyle w:val="BodyText"/>
        <w:spacing w:line="240" w:lineRule="auto"/>
        <w:ind w:left="558" w:right="99"/>
        <w:jc w:val="left"/>
      </w:pPr>
      <w:r>
        <w:rPr/>
        <w:t>经营方面，公司</w:t>
      </w:r>
      <w:r>
        <w:rPr>
          <w:spacing w:val="-56"/>
        </w:rPr>
        <w:t> </w:t>
      </w:r>
      <w:r>
        <w:rPr>
          <w:rFonts w:ascii="宋体" w:hAnsi="宋体" w:cs="宋体" w:eastAsia="宋体" w:hint="default"/>
        </w:rPr>
        <w:t>2015</w:t>
      </w:r>
      <w:r>
        <w:rPr>
          <w:rFonts w:ascii="宋体" w:hAnsi="宋体" w:cs="宋体" w:eastAsia="宋体" w:hint="default"/>
          <w:spacing w:val="-56"/>
        </w:rPr>
        <w:t> </w:t>
      </w:r>
      <w:r>
        <w:rPr/>
        <w:t>年实现主营业务收入</w:t>
      </w:r>
      <w:r>
        <w:rPr>
          <w:spacing w:val="-56"/>
        </w:rPr>
        <w:t> </w:t>
      </w:r>
      <w:r>
        <w:rPr>
          <w:rFonts w:ascii="宋体" w:hAnsi="宋体" w:cs="宋体" w:eastAsia="宋体" w:hint="default"/>
        </w:rPr>
        <w:t>241,696.48</w:t>
      </w:r>
      <w:r>
        <w:rPr>
          <w:rFonts w:ascii="宋体" w:hAnsi="宋体" w:cs="宋体" w:eastAsia="宋体" w:hint="default"/>
          <w:spacing w:val="-56"/>
        </w:rPr>
        <w:t> </w:t>
      </w:r>
      <w:r>
        <w:rPr/>
        <w:t>万元，比上年同期增加</w:t>
      </w:r>
      <w:r>
        <w:rPr>
          <w:spacing w:val="-58"/>
        </w:rPr>
        <w:t> </w:t>
      </w:r>
      <w:r>
        <w:rPr>
          <w:rFonts w:ascii="宋体" w:hAnsi="宋体" w:cs="宋体" w:eastAsia="宋体" w:hint="default"/>
        </w:rPr>
        <w:t>116.68%</w:t>
      </w:r>
      <w:r>
        <w:rPr/>
        <w:t>；实</w:t>
      </w:r>
    </w:p>
    <w:p>
      <w:pPr>
        <w:pStyle w:val="BodyText"/>
        <w:spacing w:line="314" w:lineRule="auto" w:before="85"/>
        <w:ind w:right="99"/>
        <w:jc w:val="left"/>
      </w:pPr>
      <w:r>
        <w:rPr/>
        <w:t>现营业利润</w:t>
      </w:r>
      <w:r>
        <w:rPr>
          <w:spacing w:val="-55"/>
        </w:rPr>
        <w:t> </w:t>
      </w:r>
      <w:r>
        <w:rPr>
          <w:rFonts w:ascii="宋体" w:hAnsi="宋体" w:cs="宋体" w:eastAsia="宋体" w:hint="default"/>
        </w:rPr>
        <w:t>18,338.33</w:t>
      </w:r>
      <w:r>
        <w:rPr>
          <w:rFonts w:ascii="宋体" w:hAnsi="宋体" w:cs="宋体" w:eastAsia="宋体" w:hint="default"/>
          <w:spacing w:val="-54"/>
        </w:rPr>
        <w:t> </w:t>
      </w:r>
      <w:r>
        <w:rPr/>
        <w:t>万元，比上年同期增加</w:t>
      </w:r>
      <w:r>
        <w:rPr>
          <w:spacing w:val="-55"/>
        </w:rPr>
        <w:t> </w:t>
      </w:r>
      <w:r>
        <w:rPr>
          <w:rFonts w:ascii="宋体" w:hAnsi="宋体" w:cs="宋体" w:eastAsia="宋体" w:hint="default"/>
        </w:rPr>
        <w:t>137.81%</w:t>
      </w:r>
      <w:r>
        <w:rPr/>
        <w:t>；实现净利润</w:t>
      </w:r>
      <w:r>
        <w:rPr>
          <w:spacing w:val="-55"/>
        </w:rPr>
        <w:t> </w:t>
      </w:r>
      <w:r>
        <w:rPr>
          <w:rFonts w:ascii="宋体" w:hAnsi="宋体" w:cs="宋体" w:eastAsia="宋体" w:hint="default"/>
        </w:rPr>
        <w:t>12,256.97</w:t>
      </w:r>
      <w:r>
        <w:rPr>
          <w:rFonts w:ascii="宋体" w:hAnsi="宋体" w:cs="宋体" w:eastAsia="宋体" w:hint="default"/>
          <w:spacing w:val="-54"/>
        </w:rPr>
        <w:t> </w:t>
      </w:r>
      <w:r>
        <w:rPr/>
        <w:t>万元，比上年同</w:t>
      </w:r>
      <w:r>
        <w:rPr>
          <w:w w:val="100"/>
        </w:rPr>
        <w:t> </w:t>
      </w:r>
      <w:r>
        <w:rPr/>
        <w:t>期增长</w:t>
      </w:r>
      <w:r>
        <w:rPr>
          <w:spacing w:val="-40"/>
        </w:rPr>
        <w:t> </w:t>
      </w:r>
      <w:r>
        <w:rPr>
          <w:rFonts w:ascii="宋体" w:hAnsi="宋体" w:cs="宋体" w:eastAsia="宋体" w:hint="default"/>
          <w:spacing w:val="-3"/>
        </w:rPr>
        <w:t>144.80%</w:t>
      </w:r>
      <w:r>
        <w:rPr>
          <w:spacing w:val="-3"/>
        </w:rPr>
        <w:t>；实现归属于上市公司的净利润</w:t>
      </w:r>
      <w:r>
        <w:rPr>
          <w:spacing w:val="-40"/>
        </w:rPr>
        <w:t> </w:t>
      </w:r>
      <w:r>
        <w:rPr>
          <w:rFonts w:ascii="宋体" w:hAnsi="宋体" w:cs="宋体" w:eastAsia="宋体" w:hint="default"/>
        </w:rPr>
        <w:t>11,714.85</w:t>
      </w:r>
      <w:r>
        <w:rPr>
          <w:rFonts w:ascii="宋体" w:hAnsi="宋体" w:cs="宋体" w:eastAsia="宋体" w:hint="default"/>
          <w:spacing w:val="-43"/>
        </w:rPr>
        <w:t> </w:t>
      </w:r>
      <w:r>
        <w:rPr>
          <w:spacing w:val="-5"/>
        </w:rPr>
        <w:t>万元，比上年同期增长</w:t>
      </w:r>
      <w:r>
        <w:rPr>
          <w:spacing w:val="-39"/>
        </w:rPr>
        <w:t> </w:t>
      </w:r>
      <w:r>
        <w:rPr>
          <w:rFonts w:ascii="宋体" w:hAnsi="宋体" w:cs="宋体" w:eastAsia="宋体" w:hint="default"/>
          <w:spacing w:val="-4"/>
        </w:rPr>
        <w:t>118.79%</w:t>
      </w:r>
      <w:r>
        <w:rPr>
          <w:spacing w:val="-4"/>
        </w:rPr>
        <w:t>。增加</w:t>
      </w:r>
      <w:r>
        <w:rPr>
          <w:spacing w:val="-100"/>
        </w:rPr>
        <w:t> </w:t>
      </w:r>
      <w:r>
        <w:rPr>
          <w:spacing w:val="-100"/>
        </w:rPr>
      </w:r>
      <w:r>
        <w:rPr/>
        <w:t>的主要原因在于</w:t>
      </w:r>
      <w:r>
        <w:rPr>
          <w:rFonts w:ascii="宋体" w:hAnsi="宋体" w:cs="宋体" w:eastAsia="宋体" w:hint="default"/>
        </w:rPr>
        <w:t>:2015</w:t>
      </w:r>
      <w:r>
        <w:rPr>
          <w:rFonts w:ascii="宋体" w:hAnsi="宋体" w:cs="宋体" w:eastAsia="宋体" w:hint="default"/>
          <w:spacing w:val="-53"/>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日，公司重大资产重组完成，新收购公司百孚思、上海同立、华</w:t>
      </w:r>
    </w:p>
    <w:p>
      <w:pPr>
        <w:pStyle w:val="BodyText"/>
        <w:spacing w:line="314" w:lineRule="auto"/>
        <w:ind w:right="207"/>
        <w:jc w:val="both"/>
      </w:pPr>
      <w:r>
        <w:rPr>
          <w:spacing w:val="-9"/>
        </w:rPr>
        <w:t>邑众为、雨林木风、派瑞威行自</w:t>
      </w:r>
      <w:r>
        <w:rPr>
          <w:spacing w:val="-42"/>
        </w:rPr>
        <w:t> </w:t>
      </w:r>
      <w:r>
        <w:rPr>
          <w:rFonts w:ascii="宋体" w:hAnsi="宋体" w:cs="宋体" w:eastAsia="宋体" w:hint="default"/>
        </w:rPr>
        <w:t>2015</w:t>
      </w:r>
      <w:r>
        <w:rPr>
          <w:rFonts w:ascii="宋体" w:hAnsi="宋体" w:cs="宋体" w:eastAsia="宋体" w:hint="default"/>
          <w:spacing w:val="-44"/>
        </w:rPr>
        <w:t> </w:t>
      </w:r>
      <w:r>
        <w:rPr/>
        <w:t>年</w:t>
      </w:r>
      <w:r>
        <w:rPr>
          <w:spacing w:val="-42"/>
        </w:rPr>
        <w:t> </w:t>
      </w:r>
      <w:r>
        <w:rPr>
          <w:rFonts w:ascii="宋体" w:hAnsi="宋体" w:cs="宋体" w:eastAsia="宋体" w:hint="default"/>
        </w:rPr>
        <w:t>9</w:t>
      </w:r>
      <w:r>
        <w:rPr>
          <w:rFonts w:ascii="宋体" w:hAnsi="宋体" w:cs="宋体" w:eastAsia="宋体" w:hint="default"/>
          <w:spacing w:val="-44"/>
        </w:rPr>
        <w:t> </w:t>
      </w:r>
      <w:r>
        <w:rPr>
          <w:spacing w:val="-4"/>
        </w:rPr>
        <w:t>月份纳入公司合并范围，因合并范围增加导致公司</w:t>
      </w:r>
      <w:r>
        <w:rPr>
          <w:spacing w:val="-42"/>
        </w:rPr>
        <w:t> </w:t>
      </w:r>
      <w:r>
        <w:rPr>
          <w:rFonts w:ascii="宋体" w:hAnsi="宋体" w:cs="宋体" w:eastAsia="宋体" w:hint="default"/>
        </w:rPr>
        <w:t>2015</w:t>
      </w:r>
      <w:r>
        <w:rPr>
          <w:rFonts w:ascii="宋体" w:hAnsi="宋体" w:cs="宋体" w:eastAsia="宋体" w:hint="default"/>
          <w:spacing w:val="-100"/>
        </w:rPr>
        <w:t> </w:t>
      </w:r>
      <w:r>
        <w:rPr>
          <w:rFonts w:ascii="宋体" w:hAnsi="宋体" w:cs="宋体" w:eastAsia="宋体" w:hint="default"/>
          <w:spacing w:val="-100"/>
        </w:rPr>
      </w:r>
      <w:r>
        <w:rPr/>
        <w:t>年主营业务收入、营业利润、净利润、归属于上市公司的净利润大幅增加。</w:t>
      </w:r>
    </w:p>
    <w:p>
      <w:pPr>
        <w:pStyle w:val="Heading2"/>
        <w:spacing w:line="240" w:lineRule="auto" w:before="20"/>
        <w:ind w:left="560" w:right="99"/>
        <w:jc w:val="left"/>
        <w:rPr>
          <w:b w:val="0"/>
          <w:bCs w:val="0"/>
        </w:rPr>
      </w:pPr>
      <w:r>
        <w:rPr/>
        <w:t>（一）互联网营销业务</w:t>
      </w:r>
      <w:r>
        <w:rPr>
          <w:b w:val="0"/>
          <w:bCs w:val="0"/>
        </w:rPr>
      </w:r>
    </w:p>
    <w:p>
      <w:pPr>
        <w:pStyle w:val="BodyText"/>
        <w:spacing w:line="240" w:lineRule="auto" w:before="85"/>
        <w:ind w:left="523" w:right="75"/>
        <w:jc w:val="center"/>
      </w:pPr>
      <w:r>
        <w:rPr>
          <w:spacing w:val="-4"/>
        </w:rPr>
        <w:t>报告期内，公司互联网营销业务实现营业收入</w:t>
      </w:r>
      <w:r>
        <w:rPr>
          <w:spacing w:val="-47"/>
        </w:rPr>
        <w:t> </w:t>
      </w:r>
      <w:r>
        <w:rPr>
          <w:rFonts w:ascii="宋体" w:hAnsi="宋体" w:cs="宋体" w:eastAsia="宋体" w:hint="default"/>
        </w:rPr>
        <w:t>122,903.63</w:t>
      </w:r>
      <w:r>
        <w:rPr>
          <w:rFonts w:ascii="宋体" w:hAnsi="宋体" w:cs="宋体" w:eastAsia="宋体" w:hint="default"/>
          <w:spacing w:val="-48"/>
        </w:rPr>
        <w:t> </w:t>
      </w:r>
      <w:r>
        <w:rPr>
          <w:spacing w:val="-10"/>
        </w:rPr>
        <w:t>万元（公司于</w:t>
      </w:r>
      <w:r>
        <w:rPr>
          <w:spacing w:val="-47"/>
        </w:rPr>
        <w:t> </w:t>
      </w:r>
      <w:r>
        <w:rPr>
          <w:rFonts w:ascii="宋体" w:hAnsi="宋体" w:cs="宋体" w:eastAsia="宋体" w:hint="default"/>
        </w:rPr>
        <w:t>2015</w:t>
      </w:r>
      <w:r>
        <w:rPr>
          <w:rFonts w:ascii="宋体" w:hAnsi="宋体" w:cs="宋体" w:eastAsia="宋体" w:hint="default"/>
          <w:spacing w:val="-50"/>
        </w:rPr>
        <w:t> </w:t>
      </w:r>
      <w:r>
        <w:rPr/>
        <w:t>年</w:t>
      </w:r>
      <w:r>
        <w:rPr>
          <w:spacing w:val="-48"/>
        </w:rPr>
        <w:t> </w:t>
      </w:r>
      <w:r>
        <w:rPr>
          <w:rFonts w:ascii="宋体" w:hAnsi="宋体" w:cs="宋体" w:eastAsia="宋体" w:hint="default"/>
        </w:rPr>
        <w:t>9</w:t>
      </w:r>
      <w:r>
        <w:rPr>
          <w:rFonts w:ascii="宋体" w:hAnsi="宋体" w:cs="宋体" w:eastAsia="宋体" w:hint="default"/>
          <w:spacing w:val="-50"/>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spacing w:val="-3"/>
        </w:rPr>
        <w:t>日完</w:t>
      </w:r>
      <w:r>
        <w:rPr/>
      </w:r>
    </w:p>
    <w:p>
      <w:pPr>
        <w:pStyle w:val="BodyText"/>
        <w:spacing w:line="314" w:lineRule="auto" w:before="85"/>
        <w:ind w:right="217"/>
        <w:jc w:val="both"/>
      </w:pPr>
      <w:r>
        <w:rPr/>
        <w:t>成收购百孚思、上海同立、华邑众为、雨林木风、派瑞威行五家公司，根据会计准则，公司自</w:t>
      </w:r>
      <w:r>
        <w:rPr>
          <w:spacing w:val="-55"/>
        </w:rPr>
        <w:t> </w:t>
      </w:r>
      <w:r>
        <w:rPr>
          <w:rFonts w:ascii="宋体" w:hAnsi="宋体" w:cs="宋体" w:eastAsia="宋体" w:hint="default"/>
        </w:rPr>
        <w:t>9</w:t>
      </w:r>
      <w:r>
        <w:rPr>
          <w:rFonts w:ascii="宋体" w:hAnsi="宋体" w:cs="宋体" w:eastAsia="宋体" w:hint="default"/>
          <w:w w:val="100"/>
        </w:rPr>
        <w:t> </w:t>
      </w:r>
      <w:r>
        <w:rPr>
          <w:spacing w:val="-2"/>
        </w:rPr>
        <w:t>月份将上述五家公司纳入合并报表范围），互联网营销业务是本期公司通过资产收购新增的业务</w:t>
      </w:r>
      <w:r>
        <w:rPr>
          <w:spacing w:val="-25"/>
        </w:rPr>
        <w:t> </w:t>
      </w:r>
      <w:r>
        <w:rPr>
          <w:spacing w:val="-25"/>
        </w:rPr>
      </w:r>
      <w:r>
        <w:rPr>
          <w:spacing w:val="-2"/>
        </w:rPr>
        <w:t>板块，是公司主营业务实现战略转型的重要步骤。公司互联网营销业务具体情况详见本报告主要</w:t>
      </w:r>
      <w:r>
        <w:rPr>
          <w:spacing w:val="-25"/>
        </w:rPr>
        <w:t> </w:t>
      </w:r>
      <w:r>
        <w:rPr>
          <w:spacing w:val="-25"/>
        </w:rPr>
      </w:r>
      <w:r>
        <w:rPr/>
        <w:t>控股参股公司分析部分。</w:t>
      </w:r>
    </w:p>
    <w:p>
      <w:pPr>
        <w:pStyle w:val="Heading2"/>
        <w:spacing w:line="240" w:lineRule="auto" w:before="20"/>
        <w:ind w:left="560" w:right="99"/>
        <w:jc w:val="left"/>
        <w:rPr>
          <w:b w:val="0"/>
          <w:bCs w:val="0"/>
        </w:rPr>
      </w:pPr>
      <w:r>
        <w:rPr/>
        <w:t>（二）基础设施建设业务</w:t>
      </w:r>
      <w:r>
        <w:rPr>
          <w:b w:val="0"/>
          <w:bCs w:val="0"/>
        </w:rPr>
      </w:r>
    </w:p>
    <w:p>
      <w:pPr>
        <w:pStyle w:val="BodyText"/>
        <w:spacing w:line="314" w:lineRule="auto" w:before="85"/>
        <w:ind w:right="99" w:firstLine="419"/>
        <w:jc w:val="left"/>
      </w:pPr>
      <w:r>
        <w:rPr/>
        <w:t>报告期内公司基础设施施工业务实现营业收入</w:t>
      </w:r>
      <w:r>
        <w:rPr>
          <w:spacing w:val="-49"/>
        </w:rPr>
        <w:t> </w:t>
      </w:r>
      <w:r>
        <w:rPr>
          <w:rFonts w:ascii="宋体" w:hAnsi="宋体" w:cs="宋体" w:eastAsia="宋体" w:hint="default"/>
        </w:rPr>
        <w:t>76,207.80</w:t>
      </w:r>
      <w:r>
        <w:rPr>
          <w:rFonts w:ascii="宋体" w:hAnsi="宋体" w:cs="宋体" w:eastAsia="宋体" w:hint="default"/>
          <w:spacing w:val="-52"/>
        </w:rPr>
        <w:t> </w:t>
      </w:r>
      <w:r>
        <w:rPr>
          <w:spacing w:val="-4"/>
        </w:rPr>
        <w:t>万元，比上年同期减少</w:t>
      </w:r>
      <w:r>
        <w:rPr>
          <w:spacing w:val="-50"/>
        </w:rPr>
        <w:t> </w:t>
      </w:r>
      <w:r>
        <w:rPr>
          <w:rFonts w:ascii="宋体" w:hAnsi="宋体" w:cs="宋体" w:eastAsia="宋体" w:hint="default"/>
          <w:spacing w:val="-6"/>
        </w:rPr>
        <w:t>26.29%</w:t>
      </w:r>
      <w:r>
        <w:rPr>
          <w:spacing w:val="-6"/>
        </w:rPr>
        <w:t>，实</w:t>
      </w:r>
      <w:r>
        <w:rPr>
          <w:spacing w:val="-20"/>
          <w:w w:val="100"/>
        </w:rPr>
        <w:t> </w:t>
      </w:r>
      <w:r>
        <w:rPr/>
        <w:t>现营业利润</w:t>
      </w:r>
      <w:r>
        <w:rPr>
          <w:spacing w:val="-55"/>
        </w:rPr>
        <w:t> </w:t>
      </w:r>
      <w:r>
        <w:rPr>
          <w:rFonts w:ascii="宋体" w:hAnsi="宋体" w:cs="宋体" w:eastAsia="宋体" w:hint="default"/>
        </w:rPr>
        <w:t>6,726.33</w:t>
      </w:r>
      <w:r>
        <w:rPr>
          <w:rFonts w:ascii="宋体" w:hAnsi="宋体" w:cs="宋体" w:eastAsia="宋体" w:hint="default"/>
          <w:spacing w:val="-55"/>
        </w:rPr>
        <w:t> </w:t>
      </w:r>
      <w:r>
        <w:rPr/>
        <w:t>万元，比上年同期减少</w:t>
      </w:r>
      <w:r>
        <w:rPr>
          <w:spacing w:val="-55"/>
        </w:rPr>
        <w:t> </w:t>
      </w:r>
      <w:r>
        <w:rPr>
          <w:rFonts w:ascii="宋体" w:hAnsi="宋体" w:cs="宋体" w:eastAsia="宋体" w:hint="default"/>
        </w:rPr>
        <w:t>58.28%</w:t>
      </w:r>
      <w:r>
        <w:rPr/>
        <w:t>。报告期内，公司在建的高速公路项目主要</w:t>
      </w:r>
      <w:r>
        <w:rPr>
          <w:w w:val="100"/>
        </w:rPr>
        <w:t> </w:t>
      </w:r>
      <w:r>
        <w:rPr/>
        <w:t>有济南至东营高速公路路桥工程第八合同段</w:t>
      </w:r>
      <w:r>
        <w:rPr>
          <w:rFonts w:ascii="宋体" w:hAnsi="宋体" w:cs="宋体" w:eastAsia="宋体" w:hint="default"/>
        </w:rPr>
        <w:t>,</w:t>
      </w:r>
      <w:r>
        <w:rPr>
          <w:rFonts w:ascii="宋体" w:hAnsi="宋体" w:cs="宋体" w:eastAsia="宋体" w:hint="default"/>
          <w:spacing w:val="-3"/>
        </w:rPr>
        <w:t> </w:t>
      </w:r>
      <w:r>
        <w:rPr/>
        <w:t>内蒙古自治区呼伦贝尔市扎兰屯二连浩特至广州公</w:t>
      </w:r>
      <w:r>
        <w:rPr>
          <w:w w:val="100"/>
        </w:rPr>
        <w:t> </w:t>
      </w:r>
      <w:r>
        <w:rPr/>
        <w:t>路集宁至阿荣旗联络线乌兰浩特至扎兰屯段高速公路（呼伦贝尔市境内）土建工程</w:t>
      </w:r>
      <w:r>
        <w:rPr>
          <w:spacing w:val="-53"/>
        </w:rPr>
        <w:t> </w:t>
      </w:r>
      <w:r>
        <w:rPr>
          <w:rFonts w:ascii="宋体" w:hAnsi="宋体" w:cs="宋体" w:eastAsia="宋体" w:hint="default"/>
        </w:rPr>
        <w:t>XZTJ-5</w:t>
      </w:r>
      <w:r>
        <w:rPr>
          <w:rFonts w:ascii="宋体" w:hAnsi="宋体" w:cs="宋体" w:eastAsia="宋体" w:hint="default"/>
          <w:spacing w:val="-54"/>
        </w:rPr>
        <w:t> </w:t>
      </w:r>
      <w:r>
        <w:rPr>
          <w:spacing w:val="2"/>
        </w:rPr>
        <w:t>标段，</w:t>
      </w:r>
      <w:r>
        <w:rPr>
          <w:spacing w:val="2"/>
          <w:w w:val="100"/>
        </w:rPr>
        <w:t> </w:t>
      </w:r>
      <w:r>
        <w:rPr>
          <w:spacing w:val="-4"/>
        </w:rPr>
        <w:t>丹东至锡林浩特国家高速公路经棚至锡林浩特段（赤峰市境内）公路土建工程第</w:t>
      </w:r>
      <w:r>
        <w:rPr>
          <w:spacing w:val="-35"/>
        </w:rPr>
        <w:t> </w:t>
      </w:r>
      <w:r>
        <w:rPr>
          <w:rFonts w:ascii="宋体" w:hAnsi="宋体" w:cs="宋体" w:eastAsia="宋体" w:hint="default"/>
        </w:rPr>
        <w:t>CFTJ-5</w:t>
      </w:r>
      <w:r>
        <w:rPr>
          <w:rFonts w:ascii="宋体" w:hAnsi="宋体" w:cs="宋体" w:eastAsia="宋体" w:hint="default"/>
          <w:spacing w:val="-36"/>
        </w:rPr>
        <w:t> </w:t>
      </w:r>
      <w:r>
        <w:rPr>
          <w:spacing w:val="-9"/>
        </w:rPr>
        <w:t>标段，新</w:t>
      </w:r>
      <w:r>
        <w:rPr>
          <w:spacing w:val="-64"/>
        </w:rPr>
        <w:t> </w:t>
      </w:r>
      <w:r>
        <w:rPr>
          <w:spacing w:val="-64"/>
        </w:rPr>
      </w:r>
      <w:r>
        <w:rPr/>
        <w:t>中标的项目主要有东营经济技术开发区热电联供第二标段</w:t>
      </w:r>
      <w:r>
        <w:rPr>
          <w:rFonts w:ascii="宋体" w:hAnsi="宋体" w:cs="宋体" w:eastAsia="宋体" w:hint="default"/>
        </w:rPr>
        <w:t>, S323 </w:t>
      </w:r>
      <w:r>
        <w:rPr/>
        <w:t>潍高路改线二期工程第二标段。</w:t>
      </w:r>
      <w:r>
        <w:rPr>
          <w:spacing w:val="-100"/>
        </w:rPr>
        <w:t> </w:t>
      </w:r>
      <w:r>
        <w:rPr>
          <w:spacing w:val="-100"/>
        </w:rPr>
      </w:r>
      <w:r>
        <w:rPr/>
        <w:t>公司基础设施施工业务主要包括公路、桥梁、水利、市政工程施工，交通标志、标线、防护工程</w:t>
      </w:r>
      <w:r>
        <w:rPr>
          <w:w w:val="100"/>
        </w:rPr>
        <w:t> </w:t>
      </w:r>
      <w:r>
        <w:rPr/>
        <w:t>施工。报告期内，公司基础设施施工业务以</w:t>
      </w:r>
      <w:r>
        <w:rPr>
          <w:rFonts w:ascii="宋体" w:hAnsi="宋体" w:cs="宋体" w:eastAsia="宋体" w:hint="default"/>
        </w:rPr>
        <w:t>"</w:t>
      </w:r>
      <w:r>
        <w:rPr/>
        <w:t>控风险、强管理、提效率、拓市场、谋发展</w:t>
      </w:r>
      <w:r>
        <w:rPr>
          <w:rFonts w:ascii="宋体" w:hAnsi="宋体" w:cs="宋体" w:eastAsia="宋体" w:hint="default"/>
        </w:rPr>
        <w:t>"</w:t>
      </w:r>
      <w:r>
        <w:rPr/>
        <w:t>的主题</w:t>
      </w:r>
      <w:r>
        <w:rPr>
          <w:w w:val="100"/>
        </w:rPr>
        <w:t> </w:t>
      </w:r>
      <w:r>
        <w:rPr/>
        <w:t>思路，继续深化体制机制改革，进一步明确权责划分，完善项目投标、价本分离、项目管理及资</w:t>
      </w:r>
      <w:r>
        <w:rPr>
          <w:w w:val="100"/>
        </w:rPr>
        <w:t> </w:t>
      </w:r>
      <w:r>
        <w:rPr/>
        <w:t>金回收等各方面管理体系，制定风险预警机制，规避经营活动中的风险。</w:t>
      </w:r>
    </w:p>
    <w:p>
      <w:pPr>
        <w:pStyle w:val="Heading2"/>
        <w:spacing w:line="240" w:lineRule="auto" w:before="20"/>
        <w:ind w:left="560" w:right="99"/>
        <w:jc w:val="left"/>
        <w:rPr>
          <w:b w:val="0"/>
          <w:bCs w:val="0"/>
        </w:rPr>
      </w:pPr>
      <w:r>
        <w:rPr/>
        <w:t>（三）房地产开发业务</w:t>
      </w:r>
      <w:r>
        <w:rPr>
          <w:b w:val="0"/>
          <w:bCs w:val="0"/>
        </w:rPr>
      </w:r>
    </w:p>
    <w:p>
      <w:pPr>
        <w:pStyle w:val="BodyText"/>
        <w:spacing w:line="314" w:lineRule="auto" w:before="85"/>
        <w:ind w:right="210" w:firstLine="419"/>
        <w:jc w:val="both"/>
      </w:pPr>
      <w:r>
        <w:rPr>
          <w:spacing w:val="-5"/>
        </w:rPr>
        <w:t>报告期内，公司房地产开发业务实现营业收入</w:t>
      </w:r>
      <w:r>
        <w:rPr>
          <w:spacing w:val="-42"/>
        </w:rPr>
        <w:t> </w:t>
      </w:r>
      <w:r>
        <w:rPr>
          <w:rFonts w:ascii="宋体" w:hAnsi="宋体" w:cs="宋体" w:eastAsia="宋体" w:hint="default"/>
        </w:rPr>
        <w:t>40,093.02</w:t>
      </w:r>
      <w:r>
        <w:rPr>
          <w:rFonts w:ascii="宋体" w:hAnsi="宋体" w:cs="宋体" w:eastAsia="宋体" w:hint="default"/>
          <w:spacing w:val="-43"/>
        </w:rPr>
        <w:t> </w:t>
      </w:r>
      <w:r>
        <w:rPr>
          <w:spacing w:val="-9"/>
        </w:rPr>
        <w:t>万元，比上年同期增加</w:t>
      </w:r>
      <w:r>
        <w:rPr>
          <w:spacing w:val="-45"/>
        </w:rPr>
        <w:t> </w:t>
      </w:r>
      <w:r>
        <w:rPr>
          <w:rFonts w:ascii="宋体" w:hAnsi="宋体" w:cs="宋体" w:eastAsia="宋体" w:hint="default"/>
        </w:rPr>
        <w:t>1,092.90%</w:t>
      </w:r>
      <w:r>
        <w:rPr/>
        <w:t>，</w:t>
      </w:r>
      <w:r>
        <w:rPr>
          <w:w w:val="100"/>
        </w:rPr>
        <w:t> </w:t>
      </w:r>
      <w:r>
        <w:rPr>
          <w:spacing w:val="-2"/>
        </w:rPr>
        <w:t>增加的主要原因是公司开发在建的东营</w:t>
      </w:r>
      <w:r>
        <w:rPr>
          <w:rFonts w:ascii="宋体" w:hAnsi="宋体" w:cs="宋体" w:eastAsia="宋体" w:hint="default"/>
          <w:spacing w:val="-2"/>
        </w:rPr>
        <w:t>"</w:t>
      </w:r>
      <w:r>
        <w:rPr>
          <w:spacing w:val="-2"/>
        </w:rPr>
        <w:t>科达·府左华苑</w:t>
      </w:r>
      <w:r>
        <w:rPr>
          <w:rFonts w:ascii="宋体" w:hAnsi="宋体" w:cs="宋体" w:eastAsia="宋体" w:hint="default"/>
          <w:spacing w:val="-2"/>
        </w:rPr>
        <w:t>"</w:t>
      </w:r>
      <w:r>
        <w:rPr>
          <w:spacing w:val="-2"/>
        </w:rPr>
        <w:t>项目、滨州</w:t>
      </w:r>
      <w:r>
        <w:rPr>
          <w:rFonts w:ascii="宋体" w:hAnsi="宋体" w:cs="宋体" w:eastAsia="宋体" w:hint="default"/>
          <w:spacing w:val="-2"/>
        </w:rPr>
        <w:t>"</w:t>
      </w:r>
      <w:r>
        <w:rPr>
          <w:spacing w:val="-2"/>
        </w:rPr>
        <w:t>科达·璟致湾城</w:t>
      </w:r>
      <w:r>
        <w:rPr>
          <w:rFonts w:ascii="宋体" w:hAnsi="宋体" w:cs="宋体" w:eastAsia="宋体" w:hint="default"/>
          <w:spacing w:val="-2"/>
        </w:rPr>
        <w:t>"</w:t>
      </w:r>
      <w:r>
        <w:rPr>
          <w:spacing w:val="-2"/>
        </w:rPr>
        <w:t>项目已经</w:t>
      </w:r>
      <w:r>
        <w:rPr>
          <w:spacing w:val="-28"/>
        </w:rPr>
        <w:t> </w:t>
      </w:r>
      <w:r>
        <w:rPr>
          <w:spacing w:val="-28"/>
        </w:rPr>
      </w:r>
      <w:r>
        <w:rPr>
          <w:spacing w:val="-2"/>
        </w:rPr>
        <w:t>部分达到确认收入条件。青岛</w:t>
      </w:r>
      <w:r>
        <w:rPr>
          <w:rFonts w:ascii="宋体" w:hAnsi="宋体" w:cs="宋体" w:eastAsia="宋体" w:hint="default"/>
          <w:spacing w:val="-2"/>
        </w:rPr>
        <w:t>"</w:t>
      </w:r>
      <w:r>
        <w:rPr>
          <w:spacing w:val="-2"/>
        </w:rPr>
        <w:t>科达·天意华苑</w:t>
      </w:r>
      <w:r>
        <w:rPr>
          <w:rFonts w:ascii="宋体" w:hAnsi="宋体" w:cs="宋体" w:eastAsia="宋体" w:hint="default"/>
          <w:spacing w:val="-2"/>
        </w:rPr>
        <w:t>"</w:t>
      </w:r>
      <w:r>
        <w:rPr>
          <w:spacing w:val="-2"/>
        </w:rPr>
        <w:t>项目尚处于开发建设期，虽已实现开盘销售，但</w:t>
      </w:r>
      <w:r>
        <w:rPr>
          <w:spacing w:val="-24"/>
        </w:rPr>
        <w:t> </w:t>
      </w:r>
      <w:r>
        <w:rPr>
          <w:spacing w:val="-24"/>
        </w:rPr>
      </w:r>
      <w:r>
        <w:rPr>
          <w:spacing w:val="-2"/>
        </w:rPr>
        <w:t>尚未达到确认收入的条件。报告期内，公司关注到房地产市场发生的变化，并积极采取措施，提</w:t>
      </w:r>
      <w:r>
        <w:rPr>
          <w:spacing w:val="-25"/>
        </w:rPr>
        <w:t> </w:t>
      </w:r>
      <w:r>
        <w:rPr>
          <w:spacing w:val="-25"/>
        </w:rPr>
      </w:r>
      <w:r>
        <w:rPr>
          <w:spacing w:val="-2"/>
        </w:rPr>
        <w:t>高销售量，降低库存，回笼资金。公司房地产开发业务具体情况详见本报告主要控股参股公司分</w:t>
      </w:r>
      <w:r>
        <w:rPr>
          <w:spacing w:val="-25"/>
        </w:rPr>
        <w:t> </w:t>
      </w:r>
      <w:r>
        <w:rPr>
          <w:spacing w:val="-25"/>
        </w:rPr>
      </w:r>
      <w:r>
        <w:rPr/>
        <w:t>析部分。</w:t>
      </w:r>
    </w:p>
    <w:p>
      <w:pPr>
        <w:spacing w:after="0" w:line="314" w:lineRule="auto"/>
        <w:jc w:val="both"/>
        <w:sectPr>
          <w:pgSz w:w="11910" w:h="16840"/>
          <w:pgMar w:header="855" w:footer="1193" w:top="1280" w:bottom="1380" w:left="1660" w:right="1060"/>
        </w:sectPr>
      </w:pPr>
    </w:p>
    <w:p>
      <w:pPr>
        <w:spacing w:line="240" w:lineRule="auto" w:before="11"/>
        <w:rPr>
          <w:rFonts w:ascii="宋体" w:hAnsi="宋体" w:cs="宋体" w:eastAsia="宋体" w:hint="default"/>
          <w:sz w:val="12"/>
          <w:szCs w:val="12"/>
        </w:rPr>
      </w:pPr>
    </w:p>
    <w:p>
      <w:pPr>
        <w:spacing w:line="357" w:lineRule="auto" w:before="36"/>
        <w:ind w:left="638" w:right="250" w:hanging="420"/>
        <w:jc w:val="left"/>
        <w:rPr>
          <w:rFonts w:ascii="宋体" w:hAnsi="宋体" w:cs="宋体" w:eastAsia="宋体" w:hint="default"/>
          <w:sz w:val="21"/>
          <w:szCs w:val="21"/>
        </w:rPr>
      </w:pPr>
      <w:r>
        <w:rPr>
          <w:rFonts w:ascii="宋体" w:hAnsi="宋体" w:cs="宋体" w:eastAsia="宋体" w:hint="default"/>
          <w:b/>
          <w:bCs/>
          <w:sz w:val="21"/>
          <w:szCs w:val="21"/>
        </w:rPr>
        <w:t>二、报告期内主要经营情况</w:t>
      </w:r>
      <w:r>
        <w:rPr>
          <w:rFonts w:ascii="宋体" w:hAnsi="宋体" w:cs="宋体" w:eastAsia="宋体" w:hint="default"/>
          <w:b/>
          <w:bCs/>
          <w:w w:val="100"/>
          <w:sz w:val="21"/>
          <w:szCs w:val="21"/>
        </w:rPr>
        <w:t> </w:t>
      </w:r>
      <w:r>
        <w:rPr>
          <w:rFonts w:ascii="宋体" w:hAnsi="宋体" w:cs="宋体" w:eastAsia="宋体" w:hint="default"/>
          <w:spacing w:val="-4"/>
          <w:sz w:val="21"/>
          <w:szCs w:val="21"/>
        </w:rPr>
        <w:t>报告期内，公司经营情况良好，盈利能力持续提高，公司实现营业收入 </w:t>
      </w:r>
      <w:r>
        <w:rPr>
          <w:rFonts w:ascii="宋体" w:hAnsi="宋体" w:cs="宋体" w:eastAsia="宋体" w:hint="default"/>
          <w:sz w:val="21"/>
          <w:szCs w:val="21"/>
        </w:rPr>
        <w:t>241,696.48</w:t>
      </w:r>
      <w:r>
        <w:rPr>
          <w:rFonts w:ascii="宋体" w:hAnsi="宋体" w:cs="宋体" w:eastAsia="宋体" w:hint="default"/>
          <w:spacing w:val="-52"/>
          <w:sz w:val="21"/>
          <w:szCs w:val="21"/>
        </w:rPr>
        <w:t> </w:t>
      </w:r>
      <w:r>
        <w:rPr>
          <w:rFonts w:ascii="宋体" w:hAnsi="宋体" w:cs="宋体" w:eastAsia="宋体" w:hint="default"/>
          <w:spacing w:val="-13"/>
          <w:sz w:val="21"/>
          <w:szCs w:val="21"/>
        </w:rPr>
        <w:t>万元，同</w:t>
      </w:r>
      <w:r>
        <w:rPr>
          <w:rFonts w:ascii="宋体" w:hAnsi="宋体" w:cs="宋体" w:eastAsia="宋体" w:hint="default"/>
          <w:sz w:val="21"/>
          <w:szCs w:val="21"/>
        </w:rPr>
      </w:r>
    </w:p>
    <w:p>
      <w:pPr>
        <w:pStyle w:val="BodyText"/>
        <w:spacing w:line="257" w:lineRule="exact" w:before="0"/>
        <w:ind w:left="218" w:right="119"/>
        <w:jc w:val="left"/>
      </w:pPr>
      <w:r>
        <w:rPr>
          <w:w w:val="100"/>
        </w:rPr>
        <w:t>比</w:t>
      </w:r>
      <w:r>
        <w:rPr>
          <w:spacing w:val="-3"/>
          <w:w w:val="100"/>
        </w:rPr>
        <w:t>增</w:t>
      </w:r>
      <w:r>
        <w:rPr>
          <w:w w:val="100"/>
        </w:rPr>
        <w:t>长</w:t>
      </w:r>
      <w:r>
        <w:rPr>
          <w:spacing w:val="-53"/>
        </w:rPr>
        <w:t> </w:t>
      </w:r>
      <w:r>
        <w:rPr>
          <w:rFonts w:ascii="宋体" w:hAnsi="宋体" w:cs="宋体" w:eastAsia="宋体" w:hint="default"/>
          <w:w w:val="100"/>
        </w:rPr>
        <w:t>11</w:t>
      </w:r>
      <w:r>
        <w:rPr>
          <w:rFonts w:ascii="宋体" w:hAnsi="宋体" w:cs="宋体" w:eastAsia="宋体" w:hint="default"/>
          <w:spacing w:val="-3"/>
          <w:w w:val="100"/>
        </w:rPr>
        <w:t>6</w:t>
      </w:r>
      <w:r>
        <w:rPr>
          <w:rFonts w:ascii="宋体" w:hAnsi="宋体" w:cs="宋体" w:eastAsia="宋体" w:hint="default"/>
          <w:w w:val="100"/>
        </w:rPr>
        <w:t>.6</w:t>
      </w:r>
      <w:r>
        <w:rPr>
          <w:rFonts w:ascii="宋体" w:hAnsi="宋体" w:cs="宋体" w:eastAsia="宋体" w:hint="default"/>
          <w:spacing w:val="-1"/>
          <w:w w:val="100"/>
        </w:rPr>
        <w:t>8</w:t>
      </w:r>
      <w:r>
        <w:rPr>
          <w:rFonts w:ascii="宋体" w:hAnsi="宋体" w:cs="宋体" w:eastAsia="宋体" w:hint="default"/>
          <w:spacing w:val="-3"/>
          <w:w w:val="100"/>
        </w:rPr>
        <w:t>%</w:t>
      </w:r>
      <w:r>
        <w:rPr>
          <w:spacing w:val="-101"/>
          <w:w w:val="100"/>
        </w:rPr>
        <w:t>，</w:t>
      </w:r>
      <w:r>
        <w:rPr>
          <w:spacing w:val="-3"/>
          <w:w w:val="100"/>
        </w:rPr>
        <w:t>营</w:t>
      </w:r>
      <w:r>
        <w:rPr>
          <w:w w:val="100"/>
        </w:rPr>
        <w:t>业</w:t>
      </w:r>
      <w:r>
        <w:rPr>
          <w:spacing w:val="-3"/>
          <w:w w:val="100"/>
        </w:rPr>
        <w:t>成</w:t>
      </w:r>
      <w:r>
        <w:rPr>
          <w:w w:val="100"/>
        </w:rPr>
        <w:t>本</w:t>
      </w:r>
      <w:r>
        <w:rPr>
          <w:spacing w:val="-55"/>
        </w:rPr>
        <w:t> </w:t>
      </w:r>
      <w:r>
        <w:rPr>
          <w:rFonts w:ascii="宋体" w:hAnsi="宋体" w:cs="宋体" w:eastAsia="宋体" w:hint="default"/>
          <w:w w:val="100"/>
        </w:rPr>
        <w:t>199,0</w:t>
      </w:r>
      <w:r>
        <w:rPr>
          <w:rFonts w:ascii="宋体" w:hAnsi="宋体" w:cs="宋体" w:eastAsia="宋体" w:hint="default"/>
          <w:spacing w:val="-3"/>
          <w:w w:val="100"/>
        </w:rPr>
        <w:t>8</w:t>
      </w:r>
      <w:r>
        <w:rPr>
          <w:rFonts w:ascii="宋体" w:hAnsi="宋体" w:cs="宋体" w:eastAsia="宋体" w:hint="default"/>
          <w:w w:val="100"/>
        </w:rPr>
        <w:t>0.</w:t>
      </w:r>
      <w:r>
        <w:rPr>
          <w:rFonts w:ascii="宋体" w:hAnsi="宋体" w:cs="宋体" w:eastAsia="宋体" w:hint="default"/>
          <w:spacing w:val="-3"/>
          <w:w w:val="100"/>
        </w:rPr>
        <w:t>4</w:t>
      </w:r>
      <w:r>
        <w:rPr>
          <w:rFonts w:ascii="宋体" w:hAnsi="宋体" w:cs="宋体" w:eastAsia="宋体" w:hint="default"/>
          <w:w w:val="100"/>
        </w:rPr>
        <w:t>1</w:t>
      </w:r>
      <w:r>
        <w:rPr>
          <w:rFonts w:ascii="宋体" w:hAnsi="宋体" w:cs="宋体" w:eastAsia="宋体" w:hint="default"/>
          <w:spacing w:val="-53"/>
        </w:rPr>
        <w:t> </w:t>
      </w:r>
      <w:r>
        <w:rPr>
          <w:spacing w:val="-3"/>
          <w:w w:val="100"/>
        </w:rPr>
        <w:t>万</w:t>
      </w:r>
      <w:r>
        <w:rPr>
          <w:w w:val="100"/>
        </w:rPr>
        <w:t>元</w:t>
      </w:r>
      <w:r>
        <w:rPr>
          <w:spacing w:val="-101"/>
          <w:w w:val="100"/>
        </w:rPr>
        <w:t>，</w:t>
      </w:r>
      <w:r>
        <w:rPr>
          <w:spacing w:val="-3"/>
          <w:w w:val="100"/>
        </w:rPr>
        <w:t>同</w:t>
      </w:r>
      <w:r>
        <w:rPr>
          <w:w w:val="100"/>
        </w:rPr>
        <w:t>比</w:t>
      </w:r>
      <w:r>
        <w:rPr>
          <w:spacing w:val="-3"/>
          <w:w w:val="100"/>
        </w:rPr>
        <w:t>增</w:t>
      </w:r>
      <w:r>
        <w:rPr>
          <w:w w:val="100"/>
        </w:rPr>
        <w:t>加</w:t>
      </w:r>
      <w:r>
        <w:rPr>
          <w:spacing w:val="-52"/>
        </w:rPr>
        <w:t> </w:t>
      </w:r>
      <w:r>
        <w:rPr>
          <w:rFonts w:ascii="宋体" w:hAnsi="宋体" w:cs="宋体" w:eastAsia="宋体" w:hint="default"/>
          <w:w w:val="100"/>
        </w:rPr>
        <w:t>11</w:t>
      </w:r>
      <w:r>
        <w:rPr>
          <w:rFonts w:ascii="宋体" w:hAnsi="宋体" w:cs="宋体" w:eastAsia="宋体" w:hint="default"/>
          <w:spacing w:val="-3"/>
          <w:w w:val="100"/>
        </w:rPr>
        <w:t>3</w:t>
      </w:r>
      <w:r>
        <w:rPr>
          <w:rFonts w:ascii="宋体" w:hAnsi="宋体" w:cs="宋体" w:eastAsia="宋体" w:hint="default"/>
          <w:w w:val="100"/>
        </w:rPr>
        <w:t>.3</w:t>
      </w:r>
      <w:r>
        <w:rPr>
          <w:rFonts w:ascii="宋体" w:hAnsi="宋体" w:cs="宋体" w:eastAsia="宋体" w:hint="default"/>
          <w:spacing w:val="-1"/>
          <w:w w:val="100"/>
        </w:rPr>
        <w:t>8</w:t>
      </w:r>
      <w:r>
        <w:rPr>
          <w:rFonts w:ascii="宋体" w:hAnsi="宋体" w:cs="宋体" w:eastAsia="宋体" w:hint="default"/>
          <w:spacing w:val="-3"/>
          <w:w w:val="100"/>
        </w:rPr>
        <w:t>%</w:t>
      </w:r>
      <w:r>
        <w:rPr>
          <w:spacing w:val="-101"/>
          <w:w w:val="100"/>
        </w:rPr>
        <w:t>，</w:t>
      </w:r>
      <w:r>
        <w:rPr>
          <w:spacing w:val="-3"/>
          <w:w w:val="100"/>
        </w:rPr>
        <w:t>毛</w:t>
      </w:r>
      <w:r>
        <w:rPr>
          <w:w w:val="100"/>
        </w:rPr>
        <w:t>利</w:t>
      </w:r>
      <w:r>
        <w:rPr>
          <w:spacing w:val="-3"/>
          <w:w w:val="100"/>
        </w:rPr>
        <w:t>率</w:t>
      </w:r>
      <w:r>
        <w:rPr>
          <w:w w:val="100"/>
        </w:rPr>
        <w:t>同</w:t>
      </w:r>
      <w:r>
        <w:rPr>
          <w:spacing w:val="-3"/>
          <w:w w:val="100"/>
        </w:rPr>
        <w:t>比增</w:t>
      </w:r>
      <w:r>
        <w:rPr>
          <w:w w:val="100"/>
        </w:rPr>
        <w:t>长</w:t>
      </w:r>
      <w:r>
        <w:rPr>
          <w:spacing w:val="-52"/>
        </w:rPr>
        <w:t> </w:t>
      </w:r>
      <w:r>
        <w:rPr>
          <w:rFonts w:ascii="宋体" w:hAnsi="宋体" w:cs="宋体" w:eastAsia="宋体" w:hint="default"/>
          <w:w w:val="100"/>
        </w:rPr>
        <w:t>1.</w:t>
      </w:r>
      <w:r>
        <w:rPr>
          <w:rFonts w:ascii="宋体" w:hAnsi="宋体" w:cs="宋体" w:eastAsia="宋体" w:hint="default"/>
          <w:spacing w:val="-3"/>
          <w:w w:val="100"/>
        </w:rPr>
        <w:t>2</w:t>
      </w:r>
      <w:r>
        <w:rPr>
          <w:rFonts w:ascii="宋体" w:hAnsi="宋体" w:cs="宋体" w:eastAsia="宋体" w:hint="default"/>
          <w:w w:val="100"/>
        </w:rPr>
        <w:t>7</w:t>
      </w:r>
      <w:r>
        <w:rPr>
          <w:rFonts w:ascii="宋体" w:hAnsi="宋体" w:cs="宋体" w:eastAsia="宋体" w:hint="default"/>
          <w:spacing w:val="-53"/>
        </w:rPr>
        <w:t> </w:t>
      </w:r>
      <w:r>
        <w:rPr>
          <w:spacing w:val="-3"/>
          <w:w w:val="100"/>
        </w:rPr>
        <w:t>个</w:t>
      </w:r>
      <w:r>
        <w:rPr>
          <w:w w:val="100"/>
        </w:rPr>
        <w:t>百</w:t>
      </w:r>
      <w:r>
        <w:rPr>
          <w:spacing w:val="-3"/>
          <w:w w:val="100"/>
        </w:rPr>
        <w:t>分</w:t>
      </w:r>
      <w:r>
        <w:rPr>
          <w:w w:val="100"/>
        </w:rPr>
        <w:t>点。</w:t>
      </w:r>
    </w:p>
    <w:p>
      <w:pPr>
        <w:pStyle w:val="BodyText"/>
        <w:spacing w:line="240" w:lineRule="auto" w:before="85"/>
        <w:ind w:left="218" w:right="250"/>
        <w:jc w:val="left"/>
      </w:pPr>
      <w:r>
        <w:rPr/>
        <w:t>报告期内，公司实现净利润</w:t>
      </w:r>
      <w:r>
        <w:rPr>
          <w:spacing w:val="-55"/>
        </w:rPr>
        <w:t> </w:t>
      </w:r>
      <w:r>
        <w:rPr>
          <w:rFonts w:ascii="宋体" w:hAnsi="宋体" w:cs="宋体" w:eastAsia="宋体" w:hint="default"/>
        </w:rPr>
        <w:t>12,256.97</w:t>
      </w:r>
      <w:r>
        <w:rPr>
          <w:rFonts w:ascii="宋体" w:hAnsi="宋体" w:cs="宋体" w:eastAsia="宋体" w:hint="default"/>
          <w:spacing w:val="-55"/>
        </w:rPr>
        <w:t> </w:t>
      </w:r>
      <w:r>
        <w:rPr/>
        <w:t>万元</w:t>
      </w:r>
      <w:r>
        <w:rPr>
          <w:rFonts w:ascii="宋体" w:hAnsi="宋体" w:cs="宋体" w:eastAsia="宋体" w:hint="default"/>
        </w:rPr>
        <w:t>,</w:t>
      </w:r>
      <w:r>
        <w:rPr/>
        <w:t>其中归属于母公司的净利润</w:t>
      </w:r>
      <w:r>
        <w:rPr>
          <w:spacing w:val="-55"/>
        </w:rPr>
        <w:t> </w:t>
      </w:r>
      <w:r>
        <w:rPr>
          <w:rFonts w:ascii="宋体" w:hAnsi="宋体" w:cs="宋体" w:eastAsia="宋体" w:hint="default"/>
        </w:rPr>
        <w:t>11,714.85</w:t>
      </w:r>
      <w:r>
        <w:rPr>
          <w:rFonts w:ascii="宋体" w:hAnsi="宋体" w:cs="宋体" w:eastAsia="宋体" w:hint="default"/>
          <w:spacing w:val="-57"/>
        </w:rPr>
        <w:t> </w:t>
      </w:r>
      <w:r>
        <w:rPr/>
        <w:t>万元。</w:t>
      </w:r>
    </w:p>
    <w:p>
      <w:pPr>
        <w:pStyle w:val="Heading2"/>
        <w:spacing w:line="240" w:lineRule="auto" w:before="6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pStyle w:val="Heading2"/>
        <w:spacing w:line="240" w:lineRule="auto" w:before="29"/>
        <w:ind w:left="2923" w:right="2465"/>
        <w:jc w:val="left"/>
        <w:rPr>
          <w:b w:val="0"/>
          <w:bCs w:val="0"/>
        </w:rPr>
      </w:pPr>
      <w:r>
        <w:rPr/>
        <w:t>利润表及现金流量表相关科目变动分析表</w:t>
      </w:r>
      <w:r>
        <w:rPr>
          <w:b w:val="0"/>
          <w:bCs w:val="0"/>
        </w:rPr>
      </w:r>
    </w:p>
    <w:p>
      <w:pPr>
        <w:pStyle w:val="BodyText"/>
        <w:tabs>
          <w:tab w:pos="946" w:val="left" w:leader="none"/>
        </w:tabs>
        <w:spacing w:line="240" w:lineRule="auto" w:before="58"/>
        <w:ind w:left="0" w:right="227"/>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58"/>
        <w:gridCol w:w="1896"/>
        <w:gridCol w:w="1898"/>
        <w:gridCol w:w="1899"/>
      </w:tblGrid>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2,416,964,779.03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1,115,439,347.14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116.68</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1,990,804,124.34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932,988,764.46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113.38</w:t>
            </w:r>
          </w:p>
        </w:tc>
      </w:tr>
      <w:tr>
        <w:trPr>
          <w:trHeight w:val="28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79,077,532.10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18,708,647.69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322.68</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117,646,937.57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44,849,649.05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162.31</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25,616,921.29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-3,844,169.04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476,125,458.32</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6,279,724.92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7,481.95</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-241,922,660.76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1,114,390.60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774,190,569.40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-299,113,725.17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3,974,177.54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564,076.83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604.55</w:t>
            </w:r>
          </w:p>
        </w:tc>
      </w:tr>
    </w:tbl>
    <w:p>
      <w:pPr>
        <w:pStyle w:val="Heading2"/>
        <w:tabs>
          <w:tab w:pos="637" w:val="left" w:leader="none"/>
        </w:tabs>
        <w:spacing w:line="240" w:lineRule="auto" w:before="26"/>
        <w:ind w:right="2465"/>
        <w:jc w:val="left"/>
        <w:rPr>
          <w:b w:val="0"/>
          <w:bCs w:val="0"/>
        </w:rPr>
      </w:pPr>
      <w:r>
        <w:rPr>
          <w:rFonts w:ascii="宋体" w:hAnsi="宋体" w:cs="宋体" w:eastAsia="宋体" w:hint="default"/>
          <w:w w:val="95"/>
        </w:rPr>
        <w:t>1.</w:t>
        <w:tab/>
      </w:r>
      <w:r>
        <w:rPr/>
        <w:t>收入和成本分析</w:t>
      </w:r>
      <w:r>
        <w:rPr>
          <w:b w:val="0"/>
          <w:bCs w:val="0"/>
        </w:rPr>
      </w:r>
    </w:p>
    <w:p>
      <w:pPr>
        <w:pStyle w:val="BodyText"/>
        <w:spacing w:line="314" w:lineRule="auto" w:before="133"/>
        <w:ind w:left="218" w:right="221" w:firstLine="419"/>
        <w:jc w:val="left"/>
      </w:pPr>
      <w:r>
        <w:rPr>
          <w:spacing w:val="-4"/>
        </w:rPr>
        <w:t>报告期内，公司收入与成本较上年同期增长主要系 </w:t>
      </w:r>
      <w:r>
        <w:rPr>
          <w:rFonts w:ascii="宋体" w:hAnsi="宋体" w:cs="宋体" w:eastAsia="宋体" w:hint="default"/>
        </w:rPr>
        <w:t>2015 </w:t>
      </w:r>
      <w:r>
        <w:rPr/>
        <w:t>年 </w:t>
      </w:r>
      <w:r>
        <w:rPr>
          <w:rFonts w:ascii="宋体" w:hAnsi="宋体" w:cs="宋体" w:eastAsia="宋体" w:hint="default"/>
        </w:rPr>
        <w:t>9</w:t>
      </w:r>
      <w:r>
        <w:rPr>
          <w:rFonts w:ascii="宋体" w:hAnsi="宋体" w:cs="宋体" w:eastAsia="宋体" w:hint="default"/>
          <w:spacing w:val="60"/>
        </w:rPr>
        <w:t> </w:t>
      </w:r>
      <w:r>
        <w:rPr>
          <w:spacing w:val="-5"/>
        </w:rPr>
        <w:t>月公司完成对百孚思、上海同</w:t>
      </w:r>
      <w:r>
        <w:rPr>
          <w:w w:val="100"/>
        </w:rPr>
        <w:t> </w:t>
      </w:r>
      <w:r>
        <w:rPr/>
        <w:t>立、华邑众为、雨林木风、派瑞威行的收购，导致合并报表范围发生变化所致。</w:t>
      </w:r>
    </w:p>
    <w:p>
      <w:pPr>
        <w:pStyle w:val="Heading2"/>
        <w:spacing w:line="240" w:lineRule="auto" w:before="3"/>
        <w:ind w:right="246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227"/>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95"/>
        <w:gridCol w:w="1657"/>
        <w:gridCol w:w="1476"/>
        <w:gridCol w:w="1152"/>
        <w:gridCol w:w="1193"/>
        <w:gridCol w:w="1196"/>
        <w:gridCol w:w="1183"/>
      </w:tblGrid>
      <w:tr>
        <w:trPr>
          <w:trHeight w:val="245" w:hRule="exact"/>
        </w:trPr>
        <w:tc>
          <w:tcPr>
            <w:tcW w:w="90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710"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3" w:lineRule="exact"/>
              <w:ind w:right="3"/>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79" w:firstLine="33"/>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710"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公路桥梁施</w:t>
            </w:r>
          </w:p>
          <w:p>
            <w:pPr>
              <w:pStyle w:val="TableParagraph"/>
              <w:spacing w:line="232" w:lineRule="exact" w:before="23"/>
              <w:ind w:left="103" w:right="180"/>
              <w:jc w:val="left"/>
              <w:rPr>
                <w:rFonts w:ascii="宋体" w:hAnsi="宋体" w:cs="宋体" w:eastAsia="宋体" w:hint="default"/>
                <w:sz w:val="18"/>
                <w:szCs w:val="18"/>
              </w:rPr>
            </w:pPr>
            <w:r>
              <w:rPr>
                <w:rFonts w:ascii="宋体" w:hAnsi="宋体" w:cs="宋体" w:eastAsia="宋体" w:hint="default"/>
                <w:sz w:val="18"/>
                <w:szCs w:val="18"/>
              </w:rPr>
              <w:t>工及附属设 施</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761,898,010.98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695,669,630.56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8.69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-20.28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57"/>
                <w:sz w:val="18"/>
                <w:szCs w:val="18"/>
              </w:rPr>
              <w:t> </w:t>
            </w:r>
            <w:r>
              <w:rPr>
                <w:rFonts w:ascii="宋体" w:hAnsi="宋体" w:cs="宋体" w:eastAsia="宋体" w:hint="default"/>
                <w:sz w:val="18"/>
                <w:szCs w:val="18"/>
              </w:rPr>
              <w:t>6.90</w:t>
            </w:r>
            <w:r>
              <w:rPr>
                <w:rFonts w:ascii="宋体" w:hAnsi="宋体" w:cs="宋体" w:eastAsia="宋体" w:hint="default"/>
                <w:spacing w:val="-55"/>
                <w:sz w:val="18"/>
                <w:szCs w:val="18"/>
              </w:rPr>
              <w:t> </w:t>
            </w:r>
            <w:r>
              <w:rPr>
                <w:rFonts w:ascii="宋体" w:hAnsi="宋体" w:cs="宋体" w:eastAsia="宋体" w:hint="default"/>
                <w:sz w:val="18"/>
                <w:szCs w:val="18"/>
              </w:rPr>
              <w:t>个</w:t>
            </w:r>
          </w:p>
          <w:p>
            <w:pPr>
              <w:pStyle w:val="TableParagraph"/>
              <w:spacing w:line="234" w:lineRule="exact"/>
              <w:ind w:left="528"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商品房销售</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394,789,545.59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293,512,251.15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25.65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1,264.51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2,257.25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31.31</w:t>
            </w:r>
          </w:p>
          <w:p>
            <w:pPr>
              <w:pStyle w:val="TableParagraph"/>
              <w:spacing w:line="234" w:lineRule="exact"/>
              <w:ind w:left="242"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24,920,321.14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19,981,057.45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19.82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-47.98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-54.25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宋体" w:hAnsi="宋体" w:cs="宋体" w:eastAsia="宋体" w:hint="default"/>
                <w:sz w:val="18"/>
                <w:szCs w:val="18"/>
              </w:rPr>
              <w:t>10.99</w:t>
            </w:r>
          </w:p>
          <w:p>
            <w:pPr>
              <w:pStyle w:val="TableParagraph"/>
              <w:spacing w:line="234" w:lineRule="exact"/>
              <w:ind w:left="242"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24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互联网服务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1,228,723,692.79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977,209,034.76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20.47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0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主营业务分地区情况</w:t>
            </w:r>
          </w:p>
        </w:tc>
      </w:tr>
      <w:tr>
        <w:trPr>
          <w:trHeight w:val="710"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分地区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79" w:firstLine="33"/>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7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1,206,797,544.28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929,432,981.67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22.98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370.79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324.26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7"/>
                <w:sz w:val="18"/>
                <w:szCs w:val="18"/>
              </w:rPr>
              <w:t> </w:t>
            </w:r>
            <w:r>
              <w:rPr>
                <w:rFonts w:ascii="宋体" w:hAnsi="宋体" w:cs="宋体" w:eastAsia="宋体" w:hint="default"/>
                <w:sz w:val="18"/>
                <w:szCs w:val="18"/>
              </w:rPr>
              <w:t>8.45</w:t>
            </w:r>
            <w:r>
              <w:rPr>
                <w:rFonts w:ascii="宋体" w:hAnsi="宋体" w:cs="宋体" w:eastAsia="宋体" w:hint="default"/>
                <w:spacing w:val="-55"/>
                <w:sz w:val="18"/>
                <w:szCs w:val="18"/>
              </w:rPr>
              <w:t> </w:t>
            </w:r>
            <w:r>
              <w:rPr>
                <w:rFonts w:ascii="宋体" w:hAnsi="宋体" w:cs="宋体" w:eastAsia="宋体" w:hint="default"/>
                <w:sz w:val="18"/>
                <w:szCs w:val="18"/>
              </w:rPr>
              <w:t>个</w:t>
            </w:r>
          </w:p>
          <w:p>
            <w:pPr>
              <w:pStyle w:val="TableParagraph"/>
              <w:spacing w:line="234" w:lineRule="exact"/>
              <w:ind w:left="528"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926,226,882.35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834,656,969.91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9.89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24.40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38.12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57"/>
                <w:sz w:val="18"/>
                <w:szCs w:val="18"/>
              </w:rPr>
              <w:t> </w:t>
            </w:r>
            <w:r>
              <w:rPr>
                <w:rFonts w:ascii="宋体" w:hAnsi="宋体" w:cs="宋体" w:eastAsia="宋体" w:hint="default"/>
                <w:sz w:val="18"/>
                <w:szCs w:val="18"/>
              </w:rPr>
              <w:t>8.96</w:t>
            </w:r>
            <w:r>
              <w:rPr>
                <w:rFonts w:ascii="宋体" w:hAnsi="宋体" w:cs="宋体" w:eastAsia="宋体" w:hint="default"/>
                <w:spacing w:val="-55"/>
                <w:sz w:val="18"/>
                <w:szCs w:val="18"/>
              </w:rPr>
              <w:t> </w:t>
            </w:r>
            <w:r>
              <w:rPr>
                <w:rFonts w:ascii="宋体" w:hAnsi="宋体" w:cs="宋体" w:eastAsia="宋体" w:hint="default"/>
                <w:sz w:val="18"/>
                <w:szCs w:val="18"/>
              </w:rPr>
              <w:t>个</w:t>
            </w:r>
          </w:p>
          <w:p>
            <w:pPr>
              <w:pStyle w:val="TableParagraph"/>
              <w:spacing w:line="234" w:lineRule="exact"/>
              <w:ind w:left="528"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174,187,284.08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127,798,966.15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26.63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1,565.43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1,089.29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宋体" w:hAnsi="宋体" w:cs="宋体" w:eastAsia="宋体" w:hint="default"/>
                <w:sz w:val="18"/>
                <w:szCs w:val="18"/>
              </w:rPr>
              <w:t>29.37</w:t>
            </w:r>
          </w:p>
          <w:p>
            <w:pPr>
              <w:pStyle w:val="TableParagraph"/>
              <w:spacing w:line="240" w:lineRule="auto"/>
              <w:ind w:left="242"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47,258,569.88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44,780,508.17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5.24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-48.39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-48.66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7"/>
                <w:sz w:val="18"/>
                <w:szCs w:val="18"/>
              </w:rPr>
              <w:t> </w:t>
            </w:r>
            <w:r>
              <w:rPr>
                <w:rFonts w:ascii="宋体" w:hAnsi="宋体" w:cs="宋体" w:eastAsia="宋体" w:hint="default"/>
                <w:sz w:val="18"/>
                <w:szCs w:val="18"/>
              </w:rPr>
              <w:t>0.50</w:t>
            </w:r>
            <w:r>
              <w:rPr>
                <w:rFonts w:ascii="宋体" w:hAnsi="宋体" w:cs="宋体" w:eastAsia="宋体" w:hint="default"/>
                <w:spacing w:val="-55"/>
                <w:sz w:val="18"/>
                <w:szCs w:val="18"/>
              </w:rPr>
              <w:t> </w:t>
            </w:r>
            <w:r>
              <w:rPr>
                <w:rFonts w:ascii="宋体" w:hAnsi="宋体" w:cs="宋体" w:eastAsia="宋体" w:hint="default"/>
                <w:sz w:val="18"/>
                <w:szCs w:val="18"/>
              </w:rPr>
              <w:t>个</w:t>
            </w:r>
          </w:p>
          <w:p>
            <w:pPr>
              <w:pStyle w:val="TableParagraph"/>
              <w:spacing w:line="234" w:lineRule="exact"/>
              <w:ind w:left="528"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24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20,598,502.09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16,492,759.82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19.93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pacing w:val="-1"/>
                <w:sz w:val="18"/>
              </w:rPr>
              <w:t>34,724,120.26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32,980,678.13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5.02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348.56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pacing w:val="-1"/>
                <w:sz w:val="18"/>
              </w:rPr>
              <w:t>345.20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7"/>
                <w:sz w:val="18"/>
                <w:szCs w:val="18"/>
              </w:rPr>
              <w:t> </w:t>
            </w:r>
            <w:r>
              <w:rPr>
                <w:rFonts w:ascii="宋体" w:hAnsi="宋体" w:cs="宋体" w:eastAsia="宋体" w:hint="default"/>
                <w:sz w:val="18"/>
                <w:szCs w:val="18"/>
              </w:rPr>
              <w:t>0.72</w:t>
            </w:r>
            <w:r>
              <w:rPr>
                <w:rFonts w:ascii="宋体" w:hAnsi="宋体" w:cs="宋体" w:eastAsia="宋体" w:hint="default"/>
                <w:spacing w:val="-55"/>
                <w:sz w:val="18"/>
                <w:szCs w:val="18"/>
              </w:rPr>
              <w:t> </w:t>
            </w:r>
            <w:r>
              <w:rPr>
                <w:rFonts w:ascii="宋体" w:hAnsi="宋体" w:cs="宋体" w:eastAsia="宋体" w:hint="default"/>
                <w:sz w:val="18"/>
                <w:szCs w:val="18"/>
              </w:rPr>
              <w:t>个</w:t>
            </w: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24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港澳台地区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538,667.55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229,110.07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57.47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5" w:footer="1193" w:top="128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2"/>
        <w:spacing w:line="240" w:lineRule="auto"/>
        <w:ind w:left="658" w:right="0"/>
        <w:jc w:val="left"/>
        <w:rPr>
          <w:b w:val="0"/>
          <w:bCs w:val="0"/>
        </w:rPr>
      </w:pPr>
      <w:r>
        <w:rPr>
          <w:rFonts w:ascii="宋体" w:hAnsi="宋体" w:cs="宋体" w:eastAsia="宋体" w:hint="default"/>
        </w:rPr>
        <w:t>(2).</w:t>
      </w:r>
      <w:r>
        <w:rPr>
          <w:rFonts w:ascii="宋体" w:hAnsi="宋体" w:cs="宋体" w:eastAsia="宋体" w:hint="default"/>
          <w:spacing w:val="39"/>
        </w:rPr>
        <w:t> </w:t>
      </w:r>
      <w:r>
        <w:rPr/>
        <w:t>成本分析表</w:t>
      </w:r>
      <w:r>
        <w:rPr>
          <w:b w:val="0"/>
          <w:bCs w:val="0"/>
        </w:rPr>
      </w:r>
    </w:p>
    <w:p>
      <w:pPr>
        <w:pStyle w:val="BodyText"/>
        <w:spacing w:line="240" w:lineRule="auto" w:before="56"/>
        <w:ind w:left="0" w:right="668"/>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46"/>
        <w:gridCol w:w="1827"/>
        <w:gridCol w:w="1603"/>
        <w:gridCol w:w="1176"/>
        <w:gridCol w:w="1601"/>
        <w:gridCol w:w="1104"/>
        <w:gridCol w:w="1080"/>
      </w:tblGrid>
      <w:tr>
        <w:trPr>
          <w:trHeight w:val="242" w:hRule="exact"/>
        </w:trPr>
        <w:tc>
          <w:tcPr>
            <w:tcW w:w="9938"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分产品情况</w:t>
            </w:r>
          </w:p>
        </w:tc>
      </w:tr>
      <w:tr>
        <w:trPr>
          <w:trHeight w:val="946"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成本构成项目</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75" w:right="132" w:hanging="44"/>
              <w:jc w:val="left"/>
              <w:rPr>
                <w:rFonts w:ascii="宋体" w:hAnsi="宋体" w:cs="宋体" w:eastAsia="宋体" w:hint="default"/>
                <w:sz w:val="18"/>
                <w:szCs w:val="18"/>
              </w:rPr>
            </w:pPr>
            <w:r>
              <w:rPr>
                <w:rFonts w:ascii="宋体" w:hAnsi="宋体" w:cs="宋体" w:eastAsia="宋体" w:hint="default"/>
                <w:sz w:val="18"/>
                <w:szCs w:val="18"/>
              </w:rPr>
              <w:t>本期占总成 本比例</w:t>
            </w:r>
            <w:r>
              <w:rPr>
                <w:rFonts w:ascii="宋体" w:hAnsi="宋体" w:cs="宋体" w:eastAsia="宋体" w:hint="default"/>
                <w:sz w:val="18"/>
                <w:szCs w:val="18"/>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87" w:right="185"/>
              <w:jc w:val="both"/>
              <w:rPr>
                <w:rFonts w:ascii="宋体" w:hAnsi="宋体" w:cs="宋体" w:eastAsia="宋体" w:hint="default"/>
                <w:sz w:val="18"/>
                <w:szCs w:val="18"/>
              </w:rPr>
            </w:pPr>
            <w:r>
              <w:rPr>
                <w:rFonts w:ascii="宋体" w:hAnsi="宋体" w:cs="宋体" w:eastAsia="宋体" w:hint="default"/>
                <w:sz w:val="18"/>
                <w:szCs w:val="18"/>
              </w:rPr>
              <w:t>上年同期 占总成本 比例</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232" w:lineRule="exact" w:before="24"/>
              <w:ind w:left="175" w:right="173"/>
              <w:jc w:val="center"/>
              <w:rPr>
                <w:rFonts w:ascii="宋体" w:hAnsi="宋体" w:cs="宋体" w:eastAsia="宋体" w:hint="default"/>
                <w:sz w:val="18"/>
                <w:szCs w:val="18"/>
              </w:rPr>
            </w:pPr>
            <w:r>
              <w:rPr>
                <w:rFonts w:ascii="宋体" w:hAnsi="宋体" w:cs="宋体" w:eastAsia="宋体" w:hint="default"/>
                <w:sz w:val="18"/>
                <w:szCs w:val="18"/>
              </w:rPr>
              <w:t>较上年同 期变动比 例</w:t>
            </w:r>
            <w:r>
              <w:rPr>
                <w:rFonts w:ascii="宋体" w:hAnsi="宋体" w:cs="宋体" w:eastAsia="宋体" w:hint="default"/>
                <w:sz w:val="18"/>
                <w:szCs w:val="18"/>
              </w:rPr>
              <w:t>(%)</w:t>
            </w:r>
          </w:p>
        </w:tc>
      </w:tr>
      <w:tr>
        <w:trPr>
          <w:trHeight w:val="1877"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公路桥梁施工及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附属设施</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材料费占总成本的</w:t>
            </w:r>
          </w:p>
          <w:p>
            <w:pPr>
              <w:pStyle w:val="TableParagraph"/>
              <w:spacing w:line="237" w:lineRule="auto"/>
              <w:ind w:left="103" w:right="43"/>
              <w:jc w:val="left"/>
              <w:rPr>
                <w:rFonts w:ascii="宋体" w:hAnsi="宋体" w:cs="宋体" w:eastAsia="宋体" w:hint="default"/>
                <w:sz w:val="18"/>
                <w:szCs w:val="18"/>
              </w:rPr>
            </w:pPr>
            <w:r>
              <w:rPr>
                <w:rFonts w:ascii="宋体" w:hAnsi="宋体" w:cs="宋体" w:eastAsia="宋体" w:hint="default"/>
                <w:sz w:val="18"/>
                <w:szCs w:val="18"/>
              </w:rPr>
              <w:t>45.24%</w:t>
            </w:r>
            <w:r>
              <w:rPr>
                <w:rFonts w:ascii="宋体" w:hAnsi="宋体" w:cs="宋体" w:eastAsia="宋体" w:hint="default"/>
                <w:sz w:val="18"/>
                <w:szCs w:val="18"/>
              </w:rPr>
              <w:t>、机械费占总 成本的</w:t>
            </w:r>
            <w:r>
              <w:rPr>
                <w:rFonts w:ascii="宋体" w:hAnsi="宋体" w:cs="宋体" w:eastAsia="宋体" w:hint="default"/>
                <w:spacing w:val="-42"/>
                <w:sz w:val="18"/>
                <w:szCs w:val="18"/>
              </w:rPr>
              <w:t> </w:t>
            </w:r>
            <w:r>
              <w:rPr>
                <w:rFonts w:ascii="宋体" w:hAnsi="宋体" w:cs="宋体" w:eastAsia="宋体" w:hint="default"/>
                <w:spacing w:val="-7"/>
                <w:sz w:val="18"/>
                <w:szCs w:val="18"/>
              </w:rPr>
              <w:t>10.12%</w:t>
            </w:r>
            <w:r>
              <w:rPr>
                <w:rFonts w:ascii="宋体" w:hAnsi="宋体" w:cs="宋体" w:eastAsia="宋体" w:hint="default"/>
                <w:spacing w:val="-7"/>
                <w:sz w:val="18"/>
                <w:szCs w:val="18"/>
              </w:rPr>
              <w:t>、人工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费占总成本的 </w:t>
            </w:r>
            <w:r>
              <w:rPr>
                <w:rFonts w:ascii="宋体" w:hAnsi="宋体" w:cs="宋体" w:eastAsia="宋体" w:hint="default"/>
                <w:sz w:val="18"/>
                <w:szCs w:val="18"/>
              </w:rPr>
              <w:t>6.48%</w:t>
            </w:r>
            <w:r>
              <w:rPr>
                <w:rFonts w:ascii="宋体" w:hAnsi="宋体" w:cs="宋体" w:eastAsia="宋体" w:hint="default"/>
                <w:sz w:val="18"/>
                <w:szCs w:val="18"/>
              </w:rPr>
              <w:t>、专业分包费 占总成本的</w:t>
            </w:r>
            <w:r>
              <w:rPr>
                <w:rFonts w:ascii="宋体" w:hAnsi="宋体" w:cs="宋体" w:eastAsia="宋体" w:hint="default"/>
                <w:spacing w:val="-44"/>
                <w:sz w:val="18"/>
                <w:szCs w:val="18"/>
              </w:rPr>
              <w:t> </w:t>
            </w:r>
            <w:r>
              <w:rPr>
                <w:rFonts w:ascii="宋体" w:hAnsi="宋体" w:cs="宋体" w:eastAsia="宋体" w:hint="default"/>
                <w:sz w:val="18"/>
                <w:szCs w:val="18"/>
              </w:rPr>
              <w:t>27.28%</w:t>
            </w:r>
            <w:r>
              <w:rPr>
                <w:rFonts w:ascii="宋体" w:hAnsi="宋体" w:cs="宋体" w:eastAsia="宋体" w:hint="default"/>
                <w:sz w:val="18"/>
                <w:szCs w:val="18"/>
              </w:rPr>
              <w:t>、 其他费用占总成本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宋体" w:hAnsi="宋体" w:cs="宋体" w:eastAsia="宋体" w:hint="default"/>
                <w:sz w:val="18"/>
                <w:szCs w:val="18"/>
              </w:rPr>
              <w:t>10.88%</w:t>
            </w:r>
            <w:r>
              <w:rPr>
                <w:rFonts w:ascii="宋体" w:hAnsi="宋体" w:cs="宋体" w:eastAsia="宋体" w:hint="default"/>
                <w:sz w:val="18"/>
                <w:szCs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695,669,630.56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35.02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872,603,447.93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93.96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-20.28</w:t>
            </w:r>
          </w:p>
        </w:tc>
      </w:tr>
      <w:tr>
        <w:trPr>
          <w:trHeight w:val="1877"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商品房销售</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建安费占总成本的</w:t>
            </w:r>
          </w:p>
          <w:p>
            <w:pPr>
              <w:pStyle w:val="TableParagraph"/>
              <w:spacing w:line="237" w:lineRule="auto"/>
              <w:ind w:left="103" w:right="43"/>
              <w:jc w:val="left"/>
              <w:rPr>
                <w:rFonts w:ascii="宋体" w:hAnsi="宋体" w:cs="宋体" w:eastAsia="宋体" w:hint="default"/>
                <w:sz w:val="18"/>
                <w:szCs w:val="18"/>
              </w:rPr>
            </w:pPr>
            <w:r>
              <w:rPr>
                <w:rFonts w:ascii="宋体" w:hAnsi="宋体" w:cs="宋体" w:eastAsia="宋体" w:hint="default"/>
                <w:sz w:val="18"/>
                <w:szCs w:val="18"/>
              </w:rPr>
              <w:t>44.48%</w:t>
            </w:r>
            <w:r>
              <w:rPr>
                <w:rFonts w:ascii="宋体" w:hAnsi="宋体" w:cs="宋体" w:eastAsia="宋体" w:hint="default"/>
                <w:sz w:val="18"/>
                <w:szCs w:val="18"/>
              </w:rPr>
              <w:t>、行政性费用 占总成本的</w:t>
            </w:r>
            <w:r>
              <w:rPr>
                <w:rFonts w:ascii="宋体" w:hAnsi="宋体" w:cs="宋体" w:eastAsia="宋体" w:hint="default"/>
                <w:spacing w:val="-44"/>
                <w:sz w:val="18"/>
                <w:szCs w:val="18"/>
              </w:rPr>
              <w:t> </w:t>
            </w:r>
            <w:r>
              <w:rPr>
                <w:rFonts w:ascii="宋体" w:hAnsi="宋体" w:cs="宋体" w:eastAsia="宋体" w:hint="default"/>
                <w:sz w:val="18"/>
                <w:szCs w:val="18"/>
              </w:rPr>
              <w:t>17.68%</w:t>
            </w:r>
            <w:r>
              <w:rPr>
                <w:rFonts w:ascii="宋体" w:hAnsi="宋体" w:cs="宋体" w:eastAsia="宋体" w:hint="default"/>
                <w:sz w:val="18"/>
                <w:szCs w:val="18"/>
              </w:rPr>
              <w:t>、 配套费占总成本的 </w:t>
            </w:r>
            <w:r>
              <w:rPr>
                <w:rFonts w:ascii="宋体" w:hAnsi="宋体" w:cs="宋体" w:eastAsia="宋体" w:hint="default"/>
                <w:sz w:val="18"/>
                <w:szCs w:val="18"/>
              </w:rPr>
              <w:t>22.86%</w:t>
            </w:r>
            <w:r>
              <w:rPr>
                <w:rFonts w:ascii="宋体" w:hAnsi="宋体" w:cs="宋体" w:eastAsia="宋体" w:hint="default"/>
                <w:sz w:val="18"/>
                <w:szCs w:val="18"/>
              </w:rPr>
              <w:t>、土地成本占 总成本的</w:t>
            </w:r>
            <w:r>
              <w:rPr>
                <w:rFonts w:ascii="宋体" w:hAnsi="宋体" w:cs="宋体" w:eastAsia="宋体" w:hint="default"/>
                <w:spacing w:val="-46"/>
                <w:sz w:val="18"/>
                <w:szCs w:val="18"/>
              </w:rPr>
              <w:t> </w:t>
            </w:r>
            <w:r>
              <w:rPr>
                <w:rFonts w:ascii="宋体" w:hAnsi="宋体" w:cs="宋体" w:eastAsia="宋体" w:hint="default"/>
                <w:sz w:val="18"/>
                <w:szCs w:val="18"/>
              </w:rPr>
              <w:t>10.76%,</w:t>
            </w:r>
            <w:r>
              <w:rPr>
                <w:rFonts w:ascii="宋体" w:hAnsi="宋体" w:cs="宋体" w:eastAsia="宋体" w:hint="default"/>
                <w:sz w:val="18"/>
                <w:szCs w:val="18"/>
              </w:rPr>
              <w:t>其 他成本占总成本的 </w:t>
            </w:r>
            <w:r>
              <w:rPr>
                <w:rFonts w:ascii="宋体" w:hAnsi="宋体" w:cs="宋体" w:eastAsia="宋体" w:hint="default"/>
                <w:sz w:val="18"/>
                <w:szCs w:val="18"/>
              </w:rPr>
              <w:t>4.22%</w:t>
            </w:r>
            <w:r>
              <w:rPr>
                <w:rFonts w:ascii="宋体" w:hAnsi="宋体" w:cs="宋体" w:eastAsia="宋体" w:hint="default"/>
                <w:sz w:val="18"/>
                <w:szCs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293,512,251.15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14.78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12,451,479.06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2,257.25</w:t>
            </w:r>
          </w:p>
        </w:tc>
      </w:tr>
      <w:tr>
        <w:trPr>
          <w:trHeight w:val="1412"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销售商品收入</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材料费占总成本的</w:t>
            </w:r>
          </w:p>
          <w:p>
            <w:pPr>
              <w:pStyle w:val="TableParagraph"/>
              <w:spacing w:line="237" w:lineRule="auto" w:before="2"/>
              <w:ind w:left="103" w:right="99"/>
              <w:jc w:val="left"/>
              <w:rPr>
                <w:rFonts w:ascii="宋体" w:hAnsi="宋体" w:cs="宋体" w:eastAsia="宋体" w:hint="default"/>
                <w:sz w:val="18"/>
                <w:szCs w:val="18"/>
              </w:rPr>
            </w:pPr>
            <w:r>
              <w:rPr>
                <w:rFonts w:ascii="宋体" w:hAnsi="宋体" w:cs="宋体" w:eastAsia="宋体" w:hint="default"/>
                <w:spacing w:val="-1"/>
                <w:sz w:val="18"/>
                <w:szCs w:val="18"/>
              </w:rPr>
              <w:t>91.74%</w:t>
            </w:r>
            <w:r>
              <w:rPr>
                <w:rFonts w:ascii="宋体" w:hAnsi="宋体" w:cs="宋体" w:eastAsia="宋体" w:hint="default"/>
                <w:spacing w:val="-1"/>
                <w:sz w:val="18"/>
                <w:szCs w:val="18"/>
              </w:rPr>
              <w:t>、折旧费占总</w:t>
            </w:r>
            <w:r>
              <w:rPr>
                <w:rFonts w:ascii="宋体" w:hAnsi="宋体" w:cs="宋体" w:eastAsia="宋体" w:hint="default"/>
                <w:sz w:val="18"/>
                <w:szCs w:val="18"/>
              </w:rPr>
              <w:t> 成本的</w:t>
            </w:r>
            <w:r>
              <w:rPr>
                <w:rFonts w:ascii="宋体" w:hAnsi="宋体" w:cs="宋体" w:eastAsia="宋体" w:hint="default"/>
                <w:spacing w:val="-45"/>
                <w:sz w:val="18"/>
                <w:szCs w:val="18"/>
              </w:rPr>
              <w:t> </w:t>
            </w:r>
            <w:r>
              <w:rPr>
                <w:rFonts w:ascii="宋体" w:hAnsi="宋体" w:cs="宋体" w:eastAsia="宋体" w:hint="default"/>
                <w:sz w:val="18"/>
                <w:szCs w:val="18"/>
              </w:rPr>
              <w:t>2.48%</w:t>
            </w:r>
            <w:r>
              <w:rPr>
                <w:rFonts w:ascii="宋体" w:hAnsi="宋体" w:cs="宋体" w:eastAsia="宋体" w:hint="default"/>
                <w:sz w:val="18"/>
                <w:szCs w:val="18"/>
              </w:rPr>
              <w:t>、人工 费占总成本的 </w:t>
            </w:r>
            <w:r>
              <w:rPr>
                <w:rFonts w:ascii="宋体" w:hAnsi="宋体" w:cs="宋体" w:eastAsia="宋体" w:hint="default"/>
                <w:sz w:val="18"/>
                <w:szCs w:val="18"/>
              </w:rPr>
              <w:t>3.26%</w:t>
            </w:r>
            <w:r>
              <w:rPr>
                <w:rFonts w:ascii="宋体" w:hAnsi="宋体" w:cs="宋体" w:eastAsia="宋体" w:hint="default"/>
                <w:sz w:val="18"/>
                <w:szCs w:val="18"/>
              </w:rPr>
              <w:t>、其他费用占 总成本的</w:t>
            </w:r>
            <w:r>
              <w:rPr>
                <w:rFonts w:ascii="宋体" w:hAnsi="宋体" w:cs="宋体" w:eastAsia="宋体" w:hint="default"/>
                <w:spacing w:val="-45"/>
                <w:sz w:val="18"/>
                <w:szCs w:val="18"/>
              </w:rPr>
              <w:t> </w:t>
            </w:r>
            <w:r>
              <w:rPr>
                <w:rFonts w:ascii="宋体" w:hAnsi="宋体" w:cs="宋体" w:eastAsia="宋体" w:hint="default"/>
                <w:sz w:val="18"/>
                <w:szCs w:val="18"/>
              </w:rPr>
              <w:t>2.52%</w:t>
            </w:r>
            <w:r>
              <w:rPr>
                <w:rFonts w:ascii="宋体" w:hAnsi="宋体" w:cs="宋体" w:eastAsia="宋体" w:hint="default"/>
                <w:sz w:val="18"/>
                <w:szCs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19,981,057.45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43,673,479.49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-54.25</w:t>
            </w:r>
          </w:p>
        </w:tc>
      </w:tr>
      <w:tr>
        <w:trPr>
          <w:trHeight w:val="1411"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互联网服务</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广告制作及发布费</w:t>
            </w:r>
          </w:p>
          <w:p>
            <w:pPr>
              <w:pStyle w:val="TableParagraph"/>
              <w:spacing w:line="237" w:lineRule="auto"/>
              <w:ind w:left="103" w:right="43"/>
              <w:jc w:val="left"/>
              <w:rPr>
                <w:rFonts w:ascii="宋体" w:hAnsi="宋体" w:cs="宋体" w:eastAsia="宋体" w:hint="default"/>
                <w:sz w:val="18"/>
                <w:szCs w:val="18"/>
              </w:rPr>
            </w:pPr>
            <w:r>
              <w:rPr>
                <w:rFonts w:ascii="宋体" w:hAnsi="宋体" w:cs="宋体" w:eastAsia="宋体" w:hint="default"/>
                <w:sz w:val="18"/>
                <w:szCs w:val="18"/>
              </w:rPr>
              <w:t>占总成本的</w:t>
            </w:r>
            <w:r>
              <w:rPr>
                <w:rFonts w:ascii="宋体" w:hAnsi="宋体" w:cs="宋体" w:eastAsia="宋体" w:hint="default"/>
                <w:spacing w:val="-44"/>
                <w:sz w:val="18"/>
                <w:szCs w:val="18"/>
              </w:rPr>
              <w:t> </w:t>
            </w:r>
            <w:r>
              <w:rPr>
                <w:rFonts w:ascii="宋体" w:hAnsi="宋体" w:cs="宋体" w:eastAsia="宋体" w:hint="default"/>
                <w:sz w:val="18"/>
                <w:szCs w:val="18"/>
              </w:rPr>
              <w:t>64.03%</w:t>
            </w:r>
            <w:r>
              <w:rPr>
                <w:rFonts w:ascii="宋体" w:hAnsi="宋体" w:cs="宋体" w:eastAsia="宋体" w:hint="default"/>
                <w:sz w:val="18"/>
                <w:szCs w:val="18"/>
              </w:rPr>
              <w:t>， 策划与设计费占总 成本的</w:t>
            </w:r>
            <w:r>
              <w:rPr>
                <w:rFonts w:ascii="宋体" w:hAnsi="宋体" w:cs="宋体" w:eastAsia="宋体" w:hint="default"/>
                <w:spacing w:val="-42"/>
                <w:sz w:val="18"/>
                <w:szCs w:val="18"/>
              </w:rPr>
              <w:t> </w:t>
            </w:r>
            <w:r>
              <w:rPr>
                <w:rFonts w:ascii="宋体" w:hAnsi="宋体" w:cs="宋体" w:eastAsia="宋体" w:hint="default"/>
                <w:spacing w:val="-7"/>
                <w:sz w:val="18"/>
                <w:szCs w:val="18"/>
              </w:rPr>
              <w:t>16.48%</w:t>
            </w:r>
            <w:r>
              <w:rPr>
                <w:rFonts w:ascii="宋体" w:hAnsi="宋体" w:cs="宋体" w:eastAsia="宋体" w:hint="default"/>
                <w:spacing w:val="-7"/>
                <w:sz w:val="18"/>
                <w:szCs w:val="18"/>
              </w:rPr>
              <w:t>，其他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运营成本占总成本</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宋体" w:hAnsi="宋体" w:cs="宋体" w:eastAsia="宋体" w:hint="default"/>
                <w:sz w:val="18"/>
                <w:szCs w:val="18"/>
              </w:rPr>
              <w:t>19.49%</w:t>
            </w:r>
            <w:r>
              <w:rPr>
                <w:rFonts w:ascii="宋体" w:hAnsi="宋体" w:cs="宋体" w:eastAsia="宋体" w:hint="default"/>
                <w:sz w:val="18"/>
                <w:szCs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977,209,034.76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49.20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tabs>
          <w:tab w:pos="1077" w:val="left" w:leader="none"/>
        </w:tabs>
        <w:spacing w:line="240" w:lineRule="auto"/>
        <w:ind w:left="658" w:right="0"/>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58"/>
        <w:ind w:left="0" w:right="1207"/>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764"/>
        <w:gridCol w:w="1748"/>
        <w:gridCol w:w="1865"/>
        <w:gridCol w:w="1236"/>
        <w:gridCol w:w="3229"/>
      </w:tblGrid>
      <w:tr>
        <w:trPr>
          <w:trHeight w:val="399"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b/>
                <w:bCs/>
                <w:sz w:val="18"/>
                <w:szCs w:val="18"/>
              </w:rPr>
              <w:t>2015</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pacing w:val="-9"/>
                <w:sz w:val="18"/>
                <w:szCs w:val="18"/>
              </w:rPr>
              <w:t>增减比率（</w:t>
            </w:r>
            <w:r>
              <w:rPr>
                <w:rFonts w:ascii="宋体" w:hAnsi="宋体" w:cs="宋体" w:eastAsia="宋体" w:hint="default"/>
                <w:b/>
                <w:bCs/>
                <w:spacing w:val="-9"/>
                <w:sz w:val="18"/>
                <w:szCs w:val="18"/>
              </w:rPr>
              <w:t>%</w:t>
            </w:r>
            <w:r>
              <w:rPr>
                <w:rFonts w:ascii="宋体" w:hAnsi="宋体" w:cs="宋体" w:eastAsia="宋体" w:hint="default"/>
                <w:b/>
                <w:bCs/>
                <w:spacing w:val="-9"/>
                <w:sz w:val="18"/>
                <w:szCs w:val="18"/>
              </w:rPr>
              <w:t>）</w:t>
            </w:r>
            <w:r>
              <w:rPr>
                <w:rFonts w:ascii="宋体" w:hAnsi="宋体" w:cs="宋体" w:eastAsia="宋体" w:hint="default"/>
                <w:spacing w:val="-9"/>
                <w:sz w:val="18"/>
                <w:szCs w:val="18"/>
              </w:rPr>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79,077,532.10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83" w:right="0"/>
              <w:jc w:val="left"/>
              <w:rPr>
                <w:rFonts w:ascii="宋体" w:hAnsi="宋体" w:cs="宋体" w:eastAsia="宋体" w:hint="default"/>
                <w:sz w:val="18"/>
                <w:szCs w:val="18"/>
              </w:rPr>
            </w:pPr>
            <w:r>
              <w:rPr>
                <w:rFonts w:ascii="宋体"/>
                <w:sz w:val="18"/>
              </w:rPr>
              <w:t>18,708,647.69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83" w:right="0"/>
              <w:jc w:val="left"/>
              <w:rPr>
                <w:rFonts w:ascii="宋体" w:hAnsi="宋体" w:cs="宋体" w:eastAsia="宋体" w:hint="default"/>
                <w:sz w:val="18"/>
                <w:szCs w:val="18"/>
              </w:rPr>
            </w:pPr>
            <w:r>
              <w:rPr>
                <w:rFonts w:ascii="宋体"/>
                <w:sz w:val="18"/>
              </w:rPr>
              <w:t>322.68</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主要系本期因非同一控制下企业合并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转入增加所致。</w:t>
            </w:r>
          </w:p>
        </w:tc>
      </w:tr>
      <w:tr>
        <w:trPr>
          <w:trHeight w:val="94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25,616,921.29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83" w:right="0"/>
              <w:jc w:val="left"/>
              <w:rPr>
                <w:rFonts w:ascii="宋体" w:hAnsi="宋体" w:cs="宋体" w:eastAsia="宋体" w:hint="default"/>
                <w:sz w:val="18"/>
                <w:szCs w:val="18"/>
              </w:rPr>
            </w:pPr>
            <w:r>
              <w:rPr>
                <w:rFonts w:ascii="宋体"/>
                <w:sz w:val="18"/>
              </w:rPr>
              <w:t>-3,844,169.04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本期短期借款和票据融资增加导致支</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pacing w:val="-3"/>
                <w:sz w:val="18"/>
                <w:szCs w:val="18"/>
              </w:rPr>
              <w:t>付利息及贴现息增加，科英府左华苑高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层项目确认收入利息费用化导致财务 费用增加。</w:t>
            </w: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33,742,695.77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83" w:right="0"/>
              <w:jc w:val="left"/>
              <w:rPr>
                <w:rFonts w:ascii="宋体" w:hAnsi="宋体" w:cs="宋体" w:eastAsia="宋体" w:hint="default"/>
                <w:sz w:val="18"/>
                <w:szCs w:val="18"/>
              </w:rPr>
            </w:pPr>
            <w:r>
              <w:rPr>
                <w:rFonts w:ascii="宋体"/>
                <w:sz w:val="18"/>
              </w:rPr>
              <w:t>17,426,524.08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72" w:right="0"/>
              <w:jc w:val="left"/>
              <w:rPr>
                <w:rFonts w:ascii="宋体" w:hAnsi="宋体" w:cs="宋体" w:eastAsia="宋体" w:hint="default"/>
                <w:sz w:val="18"/>
                <w:szCs w:val="18"/>
              </w:rPr>
            </w:pPr>
            <w:r>
              <w:rPr>
                <w:rFonts w:ascii="宋体"/>
                <w:sz w:val="18"/>
              </w:rPr>
              <w:t>93.63</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本期计提置业公司存货跌价准备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3,799.67</w:t>
            </w:r>
            <w:r>
              <w:rPr>
                <w:rFonts w:ascii="宋体" w:hAnsi="宋体" w:cs="宋体" w:eastAsia="宋体" w:hint="default"/>
                <w:spacing w:val="-45"/>
                <w:sz w:val="18"/>
                <w:szCs w:val="18"/>
              </w:rPr>
              <w:t> </w:t>
            </w:r>
            <w:r>
              <w:rPr>
                <w:rFonts w:ascii="宋体" w:hAnsi="宋体" w:cs="宋体" w:eastAsia="宋体" w:hint="default"/>
                <w:sz w:val="18"/>
                <w:szCs w:val="18"/>
              </w:rPr>
              <w:t>万元所致。</w:t>
            </w:r>
          </w:p>
        </w:tc>
      </w:tr>
      <w:tr>
        <w:trPr>
          <w:trHeight w:val="47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74,180,815.14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83" w:right="0"/>
              <w:jc w:val="left"/>
              <w:rPr>
                <w:rFonts w:ascii="宋体" w:hAnsi="宋体" w:cs="宋体" w:eastAsia="宋体" w:hint="default"/>
                <w:sz w:val="18"/>
                <w:szCs w:val="18"/>
              </w:rPr>
            </w:pPr>
            <w:r>
              <w:rPr>
                <w:rFonts w:ascii="宋体"/>
                <w:sz w:val="18"/>
              </w:rPr>
              <w:t>24,607,619.29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83" w:right="0"/>
              <w:jc w:val="left"/>
              <w:rPr>
                <w:rFonts w:ascii="宋体" w:hAnsi="宋体" w:cs="宋体" w:eastAsia="宋体" w:hint="default"/>
                <w:sz w:val="18"/>
                <w:szCs w:val="18"/>
              </w:rPr>
            </w:pPr>
            <w:r>
              <w:rPr>
                <w:rFonts w:ascii="宋体"/>
                <w:sz w:val="18"/>
              </w:rPr>
              <w:t>201.45</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本期转让大桥公司股权实现投资收益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4,568.20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5,849,321.67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83" w:right="0"/>
              <w:jc w:val="left"/>
              <w:rPr>
                <w:rFonts w:ascii="宋体" w:hAnsi="宋体" w:cs="宋体" w:eastAsia="宋体" w:hint="default"/>
                <w:sz w:val="18"/>
                <w:szCs w:val="18"/>
              </w:rPr>
            </w:pPr>
            <w:r>
              <w:rPr>
                <w:rFonts w:ascii="宋体"/>
                <w:sz w:val="18"/>
              </w:rPr>
              <w:t>18,441,898.88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83" w:right="0"/>
              <w:jc w:val="left"/>
              <w:rPr>
                <w:rFonts w:ascii="宋体" w:hAnsi="宋体" w:cs="宋体" w:eastAsia="宋体" w:hint="default"/>
                <w:sz w:val="18"/>
                <w:szCs w:val="18"/>
              </w:rPr>
            </w:pPr>
            <w:r>
              <w:rPr>
                <w:rFonts w:ascii="宋体"/>
                <w:sz w:val="18"/>
              </w:rPr>
              <w:t>-68.28</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去年科达半导体处置固定资产较多，从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递延收益结转营业外收入较大。</w:t>
            </w:r>
          </w:p>
        </w:tc>
      </w:tr>
      <w:tr>
        <w:trPr>
          <w:trHeight w:val="71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17,491,167.90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sz w:val="18"/>
              </w:rPr>
              <w:t>24,879,414.03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sz w:val="18"/>
              </w:rPr>
              <w:t>-29.70</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去年为科达半导体处置固定资产损失</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3"/>
                <w:sz w:val="18"/>
                <w:szCs w:val="18"/>
              </w:rPr>
              <w:t>及公司计提诉讼形成的预计负债，本期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为计提的青岛置业延期交房违约金。</w:t>
            </w:r>
          </w:p>
        </w:tc>
      </w:tr>
    </w:tbl>
    <w:p>
      <w:pPr>
        <w:spacing w:after="0" w:line="240" w:lineRule="auto"/>
        <w:jc w:val="left"/>
        <w:rPr>
          <w:rFonts w:ascii="宋体" w:hAnsi="宋体" w:cs="宋体" w:eastAsia="宋体" w:hint="default"/>
          <w:sz w:val="18"/>
          <w:szCs w:val="18"/>
        </w:rPr>
        <w:sectPr>
          <w:pgSz w:w="11910" w:h="16840"/>
          <w:pgMar w:header="855" w:footer="1193" w:top="1280" w:bottom="1380" w:left="1140" w:right="6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5" w:footer="1193" w:top="1280" w:bottom="1380" w:left="1160" w:right="620"/>
        </w:sectPr>
      </w:pPr>
    </w:p>
    <w:p>
      <w:pPr>
        <w:pStyle w:val="Heading2"/>
        <w:tabs>
          <w:tab w:pos="1057" w:val="left" w:leader="none"/>
        </w:tabs>
        <w:spacing w:line="290" w:lineRule="auto"/>
        <w:ind w:left="638" w:right="0"/>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638" w:right="0"/>
        <w:jc w:val="left"/>
      </w:pPr>
      <w:r>
        <w:rPr/>
        <w:t>单位：元</w:t>
      </w:r>
    </w:p>
    <w:p>
      <w:pPr>
        <w:spacing w:after="0" w:line="240" w:lineRule="auto"/>
        <w:jc w:val="left"/>
        <w:sectPr>
          <w:type w:val="continuous"/>
          <w:pgSz w:w="11910" w:h="16840"/>
          <w:pgMar w:top="1280" w:bottom="1380" w:left="1160" w:right="620"/>
          <w:cols w:num="2" w:equalWidth="0">
            <w:col w:w="2117" w:space="5879"/>
            <w:col w:w="2134"/>
          </w:cols>
        </w:sectPr>
      </w:pPr>
    </w:p>
    <w:p>
      <w:pPr>
        <w:spacing w:line="240" w:lineRule="auto" w:before="4"/>
        <w:rPr>
          <w:rFonts w:ascii="宋体" w:hAnsi="宋体" w:cs="宋体" w:eastAsia="宋体" w:hint="default"/>
          <w:sz w:val="2"/>
          <w:szCs w:val="2"/>
        </w:rPr>
      </w:pPr>
    </w:p>
    <w:tbl>
      <w:tblPr>
        <w:tblW w:w="0" w:type="auto"/>
        <w:jc w:val="left"/>
        <w:tblInd w:w="525" w:type="dxa"/>
        <w:tblLayout w:type="fixed"/>
        <w:tblCellMar>
          <w:top w:w="0" w:type="dxa"/>
          <w:left w:w="0" w:type="dxa"/>
          <w:bottom w:w="0" w:type="dxa"/>
          <w:right w:w="0" w:type="dxa"/>
        </w:tblCellMar>
        <w:tblLook w:val="01E0"/>
      </w:tblPr>
      <w:tblGrid>
        <w:gridCol w:w="3797"/>
        <w:gridCol w:w="5255"/>
      </w:tblGrid>
      <w:tr>
        <w:trPr>
          <w:trHeight w:val="283" w:hRule="exact"/>
        </w:trPr>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3,974,177.54</w:t>
            </w:r>
          </w:p>
        </w:tc>
      </w:tr>
      <w:tr>
        <w:trPr>
          <w:trHeight w:val="283" w:hRule="exact"/>
        </w:trPr>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3,974,177.54</w:t>
            </w:r>
          </w:p>
        </w:tc>
      </w:tr>
      <w:tr>
        <w:trPr>
          <w:trHeight w:val="281" w:hRule="exact"/>
        </w:trPr>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0.16</w:t>
            </w:r>
          </w:p>
        </w:tc>
      </w:tr>
      <w:tr>
        <w:trPr>
          <w:trHeight w:val="283" w:hRule="exact"/>
        </w:trPr>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43</w:t>
            </w:r>
          </w:p>
        </w:tc>
      </w:tr>
      <w:tr>
        <w:trPr>
          <w:trHeight w:val="283" w:hRule="exact"/>
        </w:trPr>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3.27</w:t>
            </w:r>
          </w:p>
        </w:tc>
      </w:tr>
    </w:tbl>
    <w:p>
      <w:pPr>
        <w:spacing w:line="240" w:lineRule="auto" w:before="12"/>
        <w:rPr>
          <w:rFonts w:ascii="宋体" w:hAnsi="宋体" w:cs="宋体" w:eastAsia="宋体" w:hint="default"/>
          <w:sz w:val="19"/>
          <w:szCs w:val="19"/>
        </w:rPr>
      </w:pPr>
    </w:p>
    <w:p>
      <w:pPr>
        <w:pStyle w:val="Heading2"/>
        <w:tabs>
          <w:tab w:pos="1057" w:val="left" w:leader="none"/>
        </w:tabs>
        <w:spacing w:line="240" w:lineRule="auto"/>
        <w:ind w:left="638" w:right="0"/>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59"/>
        <w:ind w:left="0" w:right="1293"/>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52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2015</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增减比率（</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经营活动产生的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476,125,458.32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6,279,724.92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7,481.95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本期收回工程款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较多。</w:t>
            </w:r>
          </w:p>
        </w:tc>
      </w:tr>
      <w:tr>
        <w:trPr>
          <w:trHeight w:val="164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投资活动产生的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-241,922,660.76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1,114,390.60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主要系本期公司</w:t>
            </w:r>
          </w:p>
          <w:p>
            <w:pPr>
              <w:pStyle w:val="TableParagraph"/>
              <w:spacing w:line="237" w:lineRule="auto" w:before="2"/>
              <w:ind w:left="103" w:right="12"/>
              <w:jc w:val="left"/>
              <w:rPr>
                <w:rFonts w:ascii="宋体" w:hAnsi="宋体" w:cs="宋体" w:eastAsia="宋体" w:hint="default"/>
                <w:sz w:val="21"/>
                <w:szCs w:val="21"/>
              </w:rPr>
            </w:pPr>
            <w:r>
              <w:rPr>
                <w:rFonts w:ascii="宋体" w:hAnsi="宋体" w:cs="宋体" w:eastAsia="宋体" w:hint="default"/>
                <w:sz w:val="21"/>
                <w:szCs w:val="21"/>
              </w:rPr>
              <w:t>收购北京百孚思、</w:t>
            </w:r>
            <w:r>
              <w:rPr>
                <w:rFonts w:ascii="宋体" w:hAnsi="宋体" w:cs="宋体" w:eastAsia="宋体" w:hint="default"/>
                <w:w w:val="100"/>
                <w:sz w:val="21"/>
                <w:szCs w:val="21"/>
              </w:rPr>
              <w:t> </w:t>
            </w:r>
            <w:r>
              <w:rPr>
                <w:rFonts w:ascii="宋体" w:hAnsi="宋体" w:cs="宋体" w:eastAsia="宋体" w:hint="default"/>
                <w:spacing w:val="-12"/>
                <w:w w:val="100"/>
                <w:sz w:val="21"/>
                <w:szCs w:val="21"/>
              </w:rPr>
              <w:t>华邑众为、雨林木</w:t>
            </w:r>
            <w:r>
              <w:rPr>
                <w:rFonts w:ascii="宋体" w:hAnsi="宋体" w:cs="宋体" w:eastAsia="宋体" w:hint="default"/>
                <w:w w:val="100"/>
                <w:sz w:val="21"/>
                <w:szCs w:val="21"/>
              </w:rPr>
              <w:t> </w:t>
            </w:r>
            <w:r>
              <w:rPr>
                <w:rFonts w:ascii="宋体" w:hAnsi="宋体" w:cs="宋体" w:eastAsia="宋体" w:hint="default"/>
                <w:spacing w:val="-12"/>
                <w:w w:val="100"/>
                <w:sz w:val="21"/>
                <w:szCs w:val="21"/>
              </w:rPr>
              <w:t>风、派瑞威行和上</w:t>
            </w:r>
            <w:r>
              <w:rPr>
                <w:rFonts w:ascii="宋体" w:hAnsi="宋体" w:cs="宋体" w:eastAsia="宋体" w:hint="default"/>
                <w:w w:val="100"/>
                <w:sz w:val="21"/>
                <w:szCs w:val="21"/>
              </w:rPr>
              <w:t> </w:t>
            </w:r>
            <w:r>
              <w:rPr>
                <w:rFonts w:ascii="宋体" w:hAnsi="宋体" w:cs="宋体" w:eastAsia="宋体" w:hint="default"/>
                <w:spacing w:val="15"/>
                <w:sz w:val="21"/>
                <w:szCs w:val="21"/>
              </w:rPr>
              <w:t>海同立支付收购</w:t>
            </w:r>
            <w:r>
              <w:rPr>
                <w:rFonts w:ascii="宋体" w:hAnsi="宋体" w:cs="宋体" w:eastAsia="宋体" w:hint="default"/>
                <w:spacing w:val="-85"/>
                <w:sz w:val="21"/>
                <w:szCs w:val="21"/>
              </w:rPr>
              <w:t> </w:t>
            </w:r>
            <w:r>
              <w:rPr>
                <w:rFonts w:ascii="宋体" w:hAnsi="宋体" w:cs="宋体" w:eastAsia="宋体" w:hint="default"/>
                <w:sz w:val="21"/>
                <w:szCs w:val="21"/>
              </w:rPr>
              <w:t>款项所致。</w:t>
            </w:r>
          </w:p>
        </w:tc>
      </w:tr>
      <w:tr>
        <w:trPr>
          <w:trHeight w:val="191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筹资活动产生的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774,190,569.40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-299,113,725.17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主要系本期收到</w:t>
            </w:r>
          </w:p>
          <w:p>
            <w:pPr>
              <w:pStyle w:val="TableParagraph"/>
              <w:spacing w:line="237" w:lineRule="auto" w:before="2"/>
              <w:ind w:left="103" w:right="38"/>
              <w:jc w:val="both"/>
              <w:rPr>
                <w:rFonts w:ascii="宋体" w:hAnsi="宋体" w:cs="宋体" w:eastAsia="宋体" w:hint="default"/>
                <w:sz w:val="21"/>
                <w:szCs w:val="21"/>
              </w:rPr>
            </w:pPr>
            <w:r>
              <w:rPr>
                <w:rFonts w:ascii="宋体" w:hAnsi="宋体" w:cs="宋体" w:eastAsia="宋体" w:hint="default"/>
                <w:spacing w:val="15"/>
                <w:sz w:val="21"/>
                <w:szCs w:val="21"/>
              </w:rPr>
              <w:t>非公开发行股票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募 集 资</w:t>
            </w:r>
            <w:r>
              <w:rPr>
                <w:rFonts w:ascii="宋体" w:hAnsi="宋体" w:cs="宋体" w:eastAsia="宋体" w:hint="default"/>
                <w:spacing w:val="18"/>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72,670.40</w:t>
            </w:r>
            <w:r>
              <w:rPr>
                <w:rFonts w:ascii="宋体" w:hAnsi="宋体" w:cs="宋体" w:eastAsia="宋体" w:hint="default"/>
                <w:spacing w:val="65"/>
                <w:sz w:val="21"/>
                <w:szCs w:val="21"/>
              </w:rPr>
              <w:t> </w:t>
            </w:r>
            <w:r>
              <w:rPr>
                <w:rFonts w:ascii="宋体" w:hAnsi="宋体" w:cs="宋体" w:eastAsia="宋体" w:hint="default"/>
                <w:spacing w:val="29"/>
                <w:sz w:val="21"/>
                <w:szCs w:val="21"/>
              </w:rPr>
              <w:t>万元</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15"/>
                <w:sz w:val="21"/>
                <w:szCs w:val="21"/>
              </w:rPr>
              <w:t>及本期银行借款</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及票据融资金额</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增加所致。</w:t>
            </w:r>
          </w:p>
        </w:tc>
      </w:tr>
    </w:tbl>
    <w:p>
      <w:pPr>
        <w:spacing w:line="240" w:lineRule="auto" w:before="12"/>
        <w:rPr>
          <w:rFonts w:ascii="宋体" w:hAnsi="宋体" w:cs="宋体" w:eastAsia="宋体" w:hint="default"/>
          <w:sz w:val="19"/>
          <w:szCs w:val="19"/>
        </w:rPr>
      </w:pPr>
    </w:p>
    <w:p>
      <w:pPr>
        <w:pStyle w:val="Heading2"/>
        <w:spacing w:line="240" w:lineRule="auto"/>
        <w:ind w:left="6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非主营业务导致利润重大变化的说明</w:t>
      </w:r>
      <w:r>
        <w:rPr>
          <w:b w:val="0"/>
          <w:bCs w:val="0"/>
        </w:rPr>
      </w:r>
    </w:p>
    <w:p>
      <w:pPr>
        <w:pStyle w:val="BodyText"/>
        <w:spacing w:line="240" w:lineRule="auto" w:before="32"/>
        <w:ind w:left="6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280" w:bottom="1380" w:left="1160" w:right="620"/>
        </w:sectPr>
      </w:pPr>
    </w:p>
    <w:p>
      <w:pPr>
        <w:pStyle w:val="Heading2"/>
        <w:spacing w:line="240" w:lineRule="auto"/>
        <w:ind w:left="638"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资产、负债情况分析</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Heading2"/>
        <w:spacing w:line="240" w:lineRule="auto" w:before="0"/>
        <w:ind w:left="638" w:right="-17"/>
        <w:jc w:val="left"/>
        <w:rPr>
          <w:b w:val="0"/>
          <w:bCs w:val="0"/>
        </w:rPr>
      </w:pP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5"/>
        <w:ind w:left="638" w:right="0"/>
        <w:jc w:val="left"/>
      </w:pPr>
      <w:r>
        <w:rPr/>
        <w:t>单位：元</w:t>
      </w:r>
    </w:p>
    <w:p>
      <w:pPr>
        <w:spacing w:after="0" w:line="240" w:lineRule="auto"/>
        <w:jc w:val="left"/>
        <w:sectPr>
          <w:type w:val="continuous"/>
          <w:pgSz w:w="11910" w:h="16840"/>
          <w:pgMar w:top="1280" w:bottom="1380" w:left="1160" w:right="620"/>
          <w:cols w:num="3" w:equalWidth="0">
            <w:col w:w="2959" w:space="720"/>
            <w:col w:w="2117" w:space="2199"/>
            <w:col w:w="2135"/>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378"/>
        <w:gridCol w:w="1657"/>
        <w:gridCol w:w="1250"/>
        <w:gridCol w:w="1476"/>
        <w:gridCol w:w="1210"/>
        <w:gridCol w:w="1169"/>
        <w:gridCol w:w="1752"/>
      </w:tblGrid>
      <w:tr>
        <w:trPr>
          <w:trHeight w:val="943"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0" w:right="168"/>
              <w:jc w:val="both"/>
              <w:rPr>
                <w:rFonts w:ascii="宋体" w:hAnsi="宋体" w:cs="宋体" w:eastAsia="宋体" w:hint="default"/>
                <w:sz w:val="18"/>
                <w:szCs w:val="18"/>
              </w:rPr>
            </w:pPr>
            <w:r>
              <w:rPr>
                <w:rFonts w:ascii="宋体" w:hAnsi="宋体" w:cs="宋体" w:eastAsia="宋体" w:hint="default"/>
                <w:sz w:val="18"/>
                <w:szCs w:val="18"/>
              </w:rPr>
              <w:t>本期期末数 占总资产的 比例（</w:t>
            </w:r>
            <w:r>
              <w:rPr>
                <w:rFonts w:ascii="宋体" w:hAnsi="宋体" w:cs="宋体" w:eastAsia="宋体" w:hint="default"/>
                <w:sz w:val="18"/>
                <w:szCs w:val="18"/>
              </w:rPr>
              <w:t>%</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8" w:right="149"/>
              <w:jc w:val="both"/>
              <w:rPr>
                <w:rFonts w:ascii="宋体" w:hAnsi="宋体" w:cs="宋体" w:eastAsia="宋体" w:hint="default"/>
                <w:sz w:val="18"/>
                <w:szCs w:val="18"/>
              </w:rPr>
            </w:pPr>
            <w:r>
              <w:rPr>
                <w:rFonts w:ascii="宋体" w:hAnsi="宋体" w:cs="宋体" w:eastAsia="宋体" w:hint="default"/>
                <w:sz w:val="18"/>
                <w:szCs w:val="18"/>
              </w:rPr>
              <w:t>上期期末数 占总资产的 比例（</w:t>
            </w:r>
            <w:r>
              <w:rPr>
                <w:rFonts w:ascii="宋体" w:hAnsi="宋体" w:cs="宋体" w:eastAsia="宋体" w:hint="default"/>
                <w:sz w:val="18"/>
                <w:szCs w:val="18"/>
              </w:rPr>
              <w:t>%</w:t>
            </w:r>
            <w:r>
              <w:rPr>
                <w:rFonts w:ascii="宋体" w:hAnsi="宋体" w:cs="宋体" w:eastAsia="宋体" w:hint="default"/>
                <w:sz w:val="18"/>
                <w:szCs w:val="18"/>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本期期末金</w:t>
            </w:r>
          </w:p>
          <w:p>
            <w:pPr>
              <w:pStyle w:val="TableParagraph"/>
              <w:spacing w:line="240" w:lineRule="auto"/>
              <w:ind w:left="129" w:right="128"/>
              <w:jc w:val="center"/>
              <w:rPr>
                <w:rFonts w:ascii="宋体" w:hAnsi="宋体" w:cs="宋体" w:eastAsia="宋体" w:hint="default"/>
                <w:sz w:val="18"/>
                <w:szCs w:val="18"/>
              </w:rPr>
            </w:pPr>
            <w:r>
              <w:rPr>
                <w:rFonts w:ascii="宋体" w:hAnsi="宋体" w:cs="宋体" w:eastAsia="宋体" w:hint="default"/>
                <w:sz w:val="18"/>
                <w:szCs w:val="18"/>
              </w:rPr>
              <w:t>额较上期期 末变动比例</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情况说明</w:t>
            </w:r>
          </w:p>
        </w:tc>
      </w:tr>
      <w:tr>
        <w:trPr>
          <w:trHeight w:val="1877"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1,669,565,821.22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18.79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432,259,839.75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9.31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286.24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本期办理银行承兑</w:t>
            </w:r>
          </w:p>
          <w:p>
            <w:pPr>
              <w:pStyle w:val="TableParagraph"/>
              <w:spacing w:line="237" w:lineRule="auto" w:before="2"/>
              <w:ind w:left="103" w:right="101"/>
              <w:jc w:val="both"/>
              <w:rPr>
                <w:rFonts w:ascii="宋体" w:hAnsi="宋体" w:cs="宋体" w:eastAsia="宋体" w:hint="default"/>
                <w:sz w:val="18"/>
                <w:szCs w:val="18"/>
              </w:rPr>
            </w:pPr>
            <w:r>
              <w:rPr>
                <w:rFonts w:ascii="宋体" w:hAnsi="宋体" w:cs="宋体" w:eastAsia="宋体" w:hint="default"/>
                <w:spacing w:val="-10"/>
                <w:sz w:val="18"/>
                <w:szCs w:val="18"/>
              </w:rPr>
              <w:t>存入保证金增加；本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期非公开发行股票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募集资金到账尚有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2</w:t>
            </w:r>
            <w:r>
              <w:rPr>
                <w:rFonts w:ascii="宋体" w:hAnsi="宋体" w:cs="宋体" w:eastAsia="宋体" w:hint="default"/>
                <w:spacing w:val="-39"/>
                <w:sz w:val="18"/>
                <w:szCs w:val="18"/>
              </w:rPr>
              <w:t> </w:t>
            </w:r>
            <w:r>
              <w:rPr>
                <w:rFonts w:ascii="宋体" w:hAnsi="宋体" w:cs="宋体" w:eastAsia="宋体" w:hint="default"/>
                <w:spacing w:val="-6"/>
                <w:sz w:val="18"/>
                <w:szCs w:val="18"/>
              </w:rPr>
              <w:t>亿元未支付；本期</w:t>
            </w:r>
            <w:r>
              <w:rPr>
                <w:rFonts w:ascii="宋体" w:hAnsi="宋体" w:cs="宋体" w:eastAsia="宋体" w:hint="default"/>
                <w:sz w:val="18"/>
                <w:szCs w:val="18"/>
              </w:rPr>
              <w:t> </w:t>
            </w:r>
            <w:r>
              <w:rPr>
                <w:rFonts w:ascii="宋体" w:hAnsi="宋体" w:cs="宋体" w:eastAsia="宋体" w:hint="default"/>
                <w:spacing w:val="11"/>
                <w:sz w:val="18"/>
                <w:szCs w:val="18"/>
              </w:rPr>
              <w:t>因非同一控制下企</w:t>
            </w:r>
          </w:p>
          <w:p>
            <w:pPr>
              <w:pStyle w:val="TableParagraph"/>
              <w:spacing w:line="232" w:lineRule="exact" w:before="22"/>
              <w:ind w:left="103" w:right="59"/>
              <w:jc w:val="both"/>
              <w:rPr>
                <w:rFonts w:ascii="宋体" w:hAnsi="宋体" w:cs="宋体" w:eastAsia="宋体" w:hint="default"/>
                <w:sz w:val="18"/>
                <w:szCs w:val="18"/>
              </w:rPr>
            </w:pPr>
            <w:r>
              <w:rPr>
                <w:rFonts w:ascii="宋体" w:hAnsi="宋体" w:cs="宋体" w:eastAsia="宋体" w:hint="default"/>
                <w:spacing w:val="38"/>
                <w:sz w:val="18"/>
                <w:szCs w:val="18"/>
              </w:rPr>
              <w:t>业合并转入增加</w:t>
            </w:r>
            <w:r>
              <w:rPr>
                <w:rFonts w:ascii="宋体" w:hAnsi="宋体" w:cs="宋体" w:eastAsia="宋体" w:hint="default"/>
                <w:spacing w:val="-86"/>
                <w:sz w:val="18"/>
                <w:szCs w:val="18"/>
              </w:rPr>
              <w:t> </w:t>
            </w:r>
            <w:r>
              <w:rPr>
                <w:rFonts w:ascii="宋体" w:hAnsi="宋体" w:cs="宋体" w:eastAsia="宋体" w:hint="default"/>
                <w:sz w:val="18"/>
                <w:szCs w:val="18"/>
              </w:rPr>
              <w:t>2.60</w:t>
            </w:r>
            <w:r>
              <w:rPr>
                <w:rFonts w:ascii="宋体" w:hAnsi="宋体" w:cs="宋体" w:eastAsia="宋体" w:hint="default"/>
                <w:spacing w:val="-43"/>
                <w:sz w:val="18"/>
                <w:szCs w:val="18"/>
              </w:rPr>
              <w:t> </w:t>
            </w:r>
            <w:r>
              <w:rPr>
                <w:rFonts w:ascii="宋体" w:hAnsi="宋体" w:cs="宋体" w:eastAsia="宋体" w:hint="default"/>
                <w:sz w:val="18"/>
                <w:szCs w:val="18"/>
              </w:rPr>
              <w:t>亿所致。</w:t>
            </w:r>
          </w:p>
        </w:tc>
      </w:tr>
      <w:tr>
        <w:trPr>
          <w:trHeight w:val="478"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4,534,580.00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7"/>
              <w:jc w:val="right"/>
              <w:rPr>
                <w:rFonts w:ascii="宋体" w:hAnsi="宋体" w:cs="宋体" w:eastAsia="宋体" w:hint="default"/>
                <w:sz w:val="18"/>
                <w:szCs w:val="18"/>
              </w:rPr>
            </w:pPr>
            <w:r>
              <w:rPr>
                <w:rFonts w:ascii="宋体"/>
                <w:sz w:val="18"/>
              </w:rPr>
              <w:t>0.05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370,000.00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0.01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1,125.56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本期取得应收票据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较多。</w:t>
            </w:r>
          </w:p>
        </w:tc>
      </w:tr>
      <w:tr>
        <w:trPr>
          <w:trHeight w:val="245"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1,365,496,830.77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682,737,059.66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14.71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pacing w:val="11"/>
                <w:sz w:val="18"/>
                <w:szCs w:val="18"/>
              </w:rPr>
              <w:t>主要系本期因非同</w:t>
            </w:r>
          </w:p>
        </w:tc>
      </w:tr>
    </w:tbl>
    <w:p>
      <w:pPr>
        <w:spacing w:after="0" w:line="205" w:lineRule="exact"/>
        <w:jc w:val="center"/>
        <w:rPr>
          <w:rFonts w:ascii="宋体" w:hAnsi="宋体" w:cs="宋体" w:eastAsia="宋体" w:hint="default"/>
          <w:sz w:val="18"/>
          <w:szCs w:val="18"/>
        </w:rPr>
        <w:sectPr>
          <w:type w:val="continuous"/>
          <w:pgSz w:w="11910" w:h="16840"/>
          <w:pgMar w:top="1280" w:bottom="1380" w:left="1160" w:right="620"/>
        </w:sectPr>
      </w:pPr>
    </w:p>
    <w:p>
      <w:pPr>
        <w:spacing w:line="240" w:lineRule="auto" w:before="2"/>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1378"/>
        <w:gridCol w:w="1657"/>
        <w:gridCol w:w="1250"/>
        <w:gridCol w:w="1476"/>
        <w:gridCol w:w="1210"/>
        <w:gridCol w:w="1169"/>
        <w:gridCol w:w="1752"/>
      </w:tblGrid>
      <w:tr>
        <w:trPr>
          <w:trHeight w:val="711" w:hRule="exact"/>
        </w:trPr>
        <w:tc>
          <w:tcPr>
            <w:tcW w:w="137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一控制下企业合并</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z w:val="18"/>
                <w:szCs w:val="18"/>
              </w:rPr>
              <w:t>转入</w:t>
            </w:r>
            <w:r>
              <w:rPr>
                <w:rFonts w:ascii="宋体" w:hAnsi="宋体" w:cs="宋体" w:eastAsia="宋体" w:hint="default"/>
                <w:spacing w:val="-42"/>
                <w:sz w:val="18"/>
                <w:szCs w:val="18"/>
              </w:rPr>
              <w:t> </w:t>
            </w:r>
            <w:r>
              <w:rPr>
                <w:rFonts w:ascii="宋体" w:hAnsi="宋体" w:cs="宋体" w:eastAsia="宋体" w:hint="default"/>
                <w:sz w:val="18"/>
                <w:szCs w:val="18"/>
              </w:rPr>
              <w:t>9.18</w:t>
            </w:r>
            <w:r>
              <w:rPr>
                <w:rFonts w:ascii="宋体" w:hAnsi="宋体" w:cs="宋体" w:eastAsia="宋体" w:hint="default"/>
                <w:spacing w:val="-41"/>
                <w:sz w:val="18"/>
                <w:szCs w:val="18"/>
              </w:rPr>
              <w:t> </w:t>
            </w:r>
            <w:r>
              <w:rPr>
                <w:rFonts w:ascii="宋体" w:hAnsi="宋体" w:cs="宋体" w:eastAsia="宋体" w:hint="default"/>
                <w:sz w:val="18"/>
                <w:szCs w:val="18"/>
              </w:rPr>
              <w:t>亿元增加 所致。</w:t>
            </w:r>
          </w:p>
        </w:tc>
      </w:tr>
      <w:tr>
        <w:trPr>
          <w:trHeight w:val="946"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96,308,785.67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7"/>
              <w:jc w:val="right"/>
              <w:rPr>
                <w:rFonts w:ascii="宋体" w:hAnsi="宋体" w:cs="宋体" w:eastAsia="宋体" w:hint="default"/>
                <w:sz w:val="18"/>
                <w:szCs w:val="18"/>
              </w:rPr>
            </w:pPr>
            <w:r>
              <w:rPr>
                <w:rFonts w:ascii="宋体"/>
                <w:sz w:val="18"/>
              </w:rPr>
              <w:t>1.08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16,110,117.33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0.35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497.82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主要系本期因非同</w:t>
            </w:r>
          </w:p>
          <w:p>
            <w:pPr>
              <w:pStyle w:val="TableParagraph"/>
              <w:spacing w:line="232" w:lineRule="exact" w:before="23"/>
              <w:ind w:left="103" w:right="98"/>
              <w:jc w:val="both"/>
              <w:rPr>
                <w:rFonts w:ascii="宋体" w:hAnsi="宋体" w:cs="宋体" w:eastAsia="宋体" w:hint="default"/>
                <w:sz w:val="18"/>
                <w:szCs w:val="18"/>
              </w:rPr>
            </w:pPr>
            <w:r>
              <w:rPr>
                <w:rFonts w:ascii="宋体" w:hAnsi="宋体" w:cs="宋体" w:eastAsia="宋体" w:hint="default"/>
                <w:spacing w:val="11"/>
                <w:sz w:val="18"/>
                <w:szCs w:val="18"/>
              </w:rPr>
              <w:t>一控制下企业合并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转入</w:t>
            </w:r>
            <w:r>
              <w:rPr>
                <w:rFonts w:ascii="宋体" w:hAnsi="宋体" w:cs="宋体" w:eastAsia="宋体" w:hint="default"/>
                <w:spacing w:val="-43"/>
                <w:sz w:val="18"/>
                <w:szCs w:val="18"/>
              </w:rPr>
              <w:t> </w:t>
            </w:r>
            <w:r>
              <w:rPr>
                <w:rFonts w:ascii="宋体" w:hAnsi="宋体" w:cs="宋体" w:eastAsia="宋体" w:hint="default"/>
                <w:sz w:val="18"/>
                <w:szCs w:val="18"/>
              </w:rPr>
              <w:t>7,702.39</w:t>
            </w:r>
            <w:r>
              <w:rPr>
                <w:rFonts w:ascii="宋体" w:hAnsi="宋体" w:cs="宋体" w:eastAsia="宋体" w:hint="default"/>
                <w:spacing w:val="-42"/>
                <w:sz w:val="18"/>
                <w:szCs w:val="18"/>
              </w:rPr>
              <w:t> </w:t>
            </w:r>
            <w:r>
              <w:rPr>
                <w:rFonts w:ascii="宋体" w:hAnsi="宋体" w:cs="宋体" w:eastAsia="宋体" w:hint="default"/>
                <w:sz w:val="18"/>
                <w:szCs w:val="18"/>
              </w:rPr>
              <w:t>万元 增加所致。</w:t>
            </w:r>
          </w:p>
        </w:tc>
      </w:tr>
      <w:tr>
        <w:trPr>
          <w:trHeight w:val="1176"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83,115,354.42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0.94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34,669,146.05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0.75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139.74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主要是置业公司预</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pacing w:val="11"/>
                <w:sz w:val="18"/>
                <w:szCs w:val="18"/>
              </w:rPr>
              <w:t>缴的税费和本期因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非同一控制下企业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合并转入</w:t>
            </w:r>
            <w:r>
              <w:rPr>
                <w:rFonts w:ascii="宋体" w:hAnsi="宋体" w:cs="宋体" w:eastAsia="宋体" w:hint="default"/>
                <w:spacing w:val="-43"/>
                <w:sz w:val="18"/>
                <w:szCs w:val="18"/>
              </w:rPr>
              <w:t> </w:t>
            </w:r>
            <w:r>
              <w:rPr>
                <w:rFonts w:ascii="宋体" w:hAnsi="宋体" w:cs="宋体" w:eastAsia="宋体" w:hint="default"/>
                <w:sz w:val="18"/>
                <w:szCs w:val="18"/>
              </w:rPr>
              <w:t>966.53</w:t>
            </w:r>
            <w:r>
              <w:rPr>
                <w:rFonts w:ascii="宋体" w:hAnsi="宋体" w:cs="宋体" w:eastAsia="宋体" w:hint="default"/>
                <w:spacing w:val="-42"/>
                <w:sz w:val="18"/>
                <w:szCs w:val="18"/>
              </w:rPr>
              <w:t> </w:t>
            </w:r>
            <w:r>
              <w:rPr>
                <w:rFonts w:ascii="宋体" w:hAnsi="宋体" w:cs="宋体" w:eastAsia="宋体" w:hint="default"/>
                <w:sz w:val="18"/>
                <w:szCs w:val="18"/>
              </w:rPr>
              <w:t>万 元增加所致。</w:t>
            </w:r>
          </w:p>
        </w:tc>
      </w:tr>
      <w:tr>
        <w:trPr>
          <w:trHeight w:val="478"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可供出售金融</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66,464,322.31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0.75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7,064,322.31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0.15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840.84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本期对外投资增加</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478"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pacing w:val="-1"/>
                <w:sz w:val="18"/>
              </w:rPr>
              <w:t>187,532,140.81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7"/>
              <w:jc w:val="right"/>
              <w:rPr>
                <w:rFonts w:ascii="宋体" w:hAnsi="宋体" w:cs="宋体" w:eastAsia="宋体" w:hint="default"/>
                <w:sz w:val="18"/>
                <w:szCs w:val="18"/>
              </w:rPr>
            </w:pPr>
            <w:r>
              <w:rPr>
                <w:rFonts w:ascii="宋体"/>
                <w:sz w:val="18"/>
              </w:rPr>
              <w:t>2.11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467,530,239.41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10.07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-59.89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本期收回工程款较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多。</w:t>
            </w:r>
          </w:p>
        </w:tc>
      </w:tr>
      <w:tr>
        <w:trPr>
          <w:trHeight w:val="475"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336,273.09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185,458,302.33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-99.82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本期转让了对大桥</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公司的股权投资。</w:t>
            </w:r>
          </w:p>
        </w:tc>
      </w:tr>
      <w:tr>
        <w:trPr>
          <w:trHeight w:val="478"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101,990,560.07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1.15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76,460,580.52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33.39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主要系本期购买固</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定资产增加所致。</w:t>
            </w:r>
          </w:p>
        </w:tc>
      </w:tr>
      <w:tr>
        <w:trPr>
          <w:trHeight w:val="478"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924,000,000.00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660,000,000.00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14.22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本期短期借款增加</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475"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755,000,000.00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8.50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470,000,000.00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10.13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60.64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本期办理银行承兑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增加所致</w:t>
            </w:r>
          </w:p>
        </w:tc>
      </w:tr>
      <w:tr>
        <w:trPr>
          <w:trHeight w:val="710"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919,507,440.13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470,903,791.58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10.15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95.26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主要系置业公司本</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11"/>
                <w:sz w:val="18"/>
                <w:szCs w:val="18"/>
              </w:rPr>
              <w:t>期预售房款增加所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致。</w:t>
            </w:r>
          </w:p>
        </w:tc>
      </w:tr>
      <w:tr>
        <w:trPr>
          <w:trHeight w:val="944"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44,059,741.99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24,613,056.57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0.53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79.01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主要系本期因非同</w:t>
            </w:r>
          </w:p>
          <w:p>
            <w:pPr>
              <w:pStyle w:val="TableParagraph"/>
              <w:spacing w:line="232" w:lineRule="exact" w:before="24"/>
              <w:ind w:left="103" w:right="98"/>
              <w:jc w:val="both"/>
              <w:rPr>
                <w:rFonts w:ascii="宋体" w:hAnsi="宋体" w:cs="宋体" w:eastAsia="宋体" w:hint="default"/>
                <w:sz w:val="18"/>
                <w:szCs w:val="18"/>
              </w:rPr>
            </w:pPr>
            <w:r>
              <w:rPr>
                <w:rFonts w:ascii="宋体" w:hAnsi="宋体" w:cs="宋体" w:eastAsia="宋体" w:hint="default"/>
                <w:spacing w:val="11"/>
                <w:sz w:val="18"/>
                <w:szCs w:val="18"/>
              </w:rPr>
              <w:t>一控制下企业合并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转入</w:t>
            </w:r>
            <w:r>
              <w:rPr>
                <w:rFonts w:ascii="宋体" w:hAnsi="宋体" w:cs="宋体" w:eastAsia="宋体" w:hint="default"/>
                <w:spacing w:val="-43"/>
                <w:sz w:val="18"/>
                <w:szCs w:val="18"/>
              </w:rPr>
              <w:t> </w:t>
            </w:r>
            <w:r>
              <w:rPr>
                <w:rFonts w:ascii="宋体" w:hAnsi="宋体" w:cs="宋体" w:eastAsia="宋体" w:hint="default"/>
                <w:sz w:val="18"/>
                <w:szCs w:val="18"/>
              </w:rPr>
              <w:t>2,073.55</w:t>
            </w:r>
            <w:r>
              <w:rPr>
                <w:rFonts w:ascii="宋体" w:hAnsi="宋体" w:cs="宋体" w:eastAsia="宋体" w:hint="default"/>
                <w:spacing w:val="-42"/>
                <w:sz w:val="18"/>
                <w:szCs w:val="18"/>
              </w:rPr>
              <w:t> </w:t>
            </w:r>
            <w:r>
              <w:rPr>
                <w:rFonts w:ascii="宋体" w:hAnsi="宋体" w:cs="宋体" w:eastAsia="宋体" w:hint="default"/>
                <w:sz w:val="18"/>
                <w:szCs w:val="18"/>
              </w:rPr>
              <w:t>万元 所致。</w:t>
            </w:r>
          </w:p>
        </w:tc>
      </w:tr>
      <w:tr>
        <w:trPr>
          <w:trHeight w:val="710"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462,074,775.00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7"/>
              <w:jc w:val="right"/>
              <w:rPr>
                <w:rFonts w:ascii="宋体" w:hAnsi="宋体" w:cs="宋体" w:eastAsia="宋体" w:hint="default"/>
                <w:sz w:val="18"/>
                <w:szCs w:val="18"/>
              </w:rPr>
            </w:pPr>
            <w:r>
              <w:rPr>
                <w:rFonts w:ascii="宋体"/>
                <w:sz w:val="18"/>
              </w:rPr>
              <w:t>5.20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339,914,865.38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7.32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35.94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主要系本期因资产</w:t>
            </w:r>
            <w:r>
              <w:rPr>
                <w:rFonts w:ascii="宋体" w:hAnsi="宋体" w:cs="宋体" w:eastAsia="宋体" w:hint="default"/>
                <w:sz w:val="18"/>
                <w:szCs w:val="18"/>
              </w:rPr>
            </w:r>
          </w:p>
          <w:p>
            <w:pPr>
              <w:pStyle w:val="TableParagraph"/>
              <w:spacing w:line="232" w:lineRule="exact" w:before="23"/>
              <w:ind w:left="103" w:right="17"/>
              <w:jc w:val="left"/>
              <w:rPr>
                <w:rFonts w:ascii="宋体" w:hAnsi="宋体" w:cs="宋体" w:eastAsia="宋体" w:hint="default"/>
                <w:sz w:val="18"/>
                <w:szCs w:val="18"/>
              </w:rPr>
            </w:pPr>
            <w:r>
              <w:rPr>
                <w:rFonts w:ascii="宋体" w:hAnsi="宋体" w:cs="宋体" w:eastAsia="宋体" w:hint="default"/>
                <w:spacing w:val="11"/>
                <w:sz w:val="18"/>
                <w:szCs w:val="18"/>
              </w:rPr>
              <w:t>收购尚有部分股权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收购款未支付所致。</w:t>
            </w:r>
          </w:p>
        </w:tc>
      </w:tr>
      <w:tr>
        <w:trPr>
          <w:trHeight w:val="478"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32,769,344.00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7"/>
              <w:jc w:val="right"/>
              <w:rPr>
                <w:rFonts w:ascii="宋体" w:hAnsi="宋体" w:cs="宋体" w:eastAsia="宋体" w:hint="default"/>
                <w:sz w:val="18"/>
                <w:szCs w:val="18"/>
              </w:rPr>
            </w:pPr>
            <w:r>
              <w:rPr>
                <w:rFonts w:ascii="宋体"/>
                <w:sz w:val="18"/>
              </w:rPr>
              <w:t>0.37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17,780,288.16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0.38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84.30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本期增加青岛置业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延期交房违约金</w:t>
            </w:r>
          </w:p>
        </w:tc>
      </w:tr>
      <w:tr>
        <w:trPr>
          <w:trHeight w:val="710"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13,784,896.44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0.16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7,406,440.42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0.16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86.12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本期新增搬迁支持</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z w:val="18"/>
                <w:szCs w:val="18"/>
              </w:rPr>
              <w:t>资金补偿</w:t>
            </w:r>
            <w:r>
              <w:rPr>
                <w:rFonts w:ascii="宋体" w:hAnsi="宋体" w:cs="宋体" w:eastAsia="宋体" w:hint="default"/>
                <w:spacing w:val="-43"/>
                <w:sz w:val="18"/>
                <w:szCs w:val="18"/>
              </w:rPr>
              <w:t> </w:t>
            </w:r>
            <w:r>
              <w:rPr>
                <w:rFonts w:ascii="宋体" w:hAnsi="宋体" w:cs="宋体" w:eastAsia="宋体" w:hint="default"/>
                <w:sz w:val="18"/>
                <w:szCs w:val="18"/>
              </w:rPr>
              <w:t>624.88</w:t>
            </w:r>
            <w:r>
              <w:rPr>
                <w:rFonts w:ascii="宋体" w:hAnsi="宋体" w:cs="宋体" w:eastAsia="宋体" w:hint="default"/>
                <w:spacing w:val="-42"/>
                <w:sz w:val="18"/>
                <w:szCs w:val="18"/>
              </w:rPr>
              <w:t> </w:t>
            </w:r>
            <w:r>
              <w:rPr>
                <w:rFonts w:ascii="宋体" w:hAnsi="宋体" w:cs="宋体" w:eastAsia="宋体" w:hint="default"/>
                <w:sz w:val="18"/>
                <w:szCs w:val="18"/>
              </w:rPr>
              <w:t>万 元</w:t>
            </w:r>
          </w:p>
        </w:tc>
      </w:tr>
      <w:tr>
        <w:trPr>
          <w:trHeight w:val="478"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2,443,832,981.80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27.51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本期因非同一控制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下企业合并所致。</w:t>
            </w:r>
          </w:p>
        </w:tc>
      </w:tr>
    </w:tbl>
    <w:p>
      <w:pPr>
        <w:spacing w:line="240" w:lineRule="auto" w:before="13"/>
        <w:rPr>
          <w:rFonts w:ascii="宋体" w:hAnsi="宋体" w:cs="宋体" w:eastAsia="宋体" w:hint="default"/>
          <w:sz w:val="19"/>
          <w:szCs w:val="19"/>
        </w:rPr>
      </w:pPr>
    </w:p>
    <w:p>
      <w:pPr>
        <w:pStyle w:val="Heading2"/>
        <w:spacing w:line="266" w:lineRule="auto"/>
        <w:ind w:left="638" w:right="695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8"/>
        </w:rPr>
        <w:t> </w:t>
      </w:r>
      <w:r>
        <w:rPr/>
        <w:t>行业经营性信息分析</w:t>
      </w:r>
      <w:r>
        <w:rPr>
          <w:spacing w:val="-102"/>
        </w:rPr>
        <w:t> </w:t>
      </w:r>
      <w:r>
        <w:rPr>
          <w:spacing w:val="-1"/>
        </w:rPr>
        <w:t>房地产行业经营性信息分析</w:t>
      </w:r>
      <w:r>
        <w:rPr>
          <w:b w:val="0"/>
          <w:bCs w:val="0"/>
          <w:spacing w:val="-1"/>
        </w:rPr>
      </w:r>
    </w:p>
    <w:p>
      <w:pPr>
        <w:pStyle w:val="Heading2"/>
        <w:tabs>
          <w:tab w:pos="1062" w:val="left" w:leader="none"/>
        </w:tabs>
        <w:spacing w:line="240" w:lineRule="auto" w:before="33"/>
        <w:ind w:left="638" w:right="0"/>
        <w:jc w:val="left"/>
        <w:rPr>
          <w:b w:val="0"/>
          <w:bCs w:val="0"/>
        </w:rPr>
      </w:pPr>
      <w:r>
        <w:rPr>
          <w:rFonts w:ascii="宋体" w:hAnsi="宋体" w:cs="宋体" w:eastAsia="宋体" w:hint="default"/>
          <w:w w:val="95"/>
        </w:rPr>
        <w:t>1.</w:t>
        <w:tab/>
      </w:r>
      <w:r>
        <w:rPr/>
        <w:t>报告期内房地产储备情况</w:t>
      </w:r>
      <w:r>
        <w:rPr>
          <w:b w:val="0"/>
          <w:bCs w:val="0"/>
        </w:rPr>
      </w:r>
    </w:p>
    <w:p>
      <w:pPr>
        <w:pStyle w:val="BodyText"/>
        <w:spacing w:line="240" w:lineRule="auto" w:before="58"/>
        <w:ind w:left="638" w:right="0"/>
        <w:jc w:val="left"/>
      </w:pPr>
      <w:r>
        <w:rPr/>
        <w:t>√适用□不适用</w:t>
      </w:r>
    </w:p>
    <w:p>
      <w:pPr>
        <w:spacing w:line="240" w:lineRule="auto" w:before="3"/>
        <w:rPr>
          <w:rFonts w:ascii="宋体" w:hAnsi="宋体" w:cs="宋体" w:eastAsia="宋体" w:hint="default"/>
          <w:sz w:val="23"/>
          <w:szCs w:val="23"/>
        </w:rPr>
      </w:pPr>
    </w:p>
    <w:tbl>
      <w:tblPr>
        <w:tblW w:w="0" w:type="auto"/>
        <w:jc w:val="left"/>
        <w:tblInd w:w="525" w:type="dxa"/>
        <w:tblLayout w:type="fixed"/>
        <w:tblCellMar>
          <w:top w:w="0" w:type="dxa"/>
          <w:left w:w="0" w:type="dxa"/>
          <w:bottom w:w="0" w:type="dxa"/>
          <w:right w:w="0" w:type="dxa"/>
        </w:tblCellMar>
        <w:tblLook w:val="01E0"/>
      </w:tblPr>
      <w:tblGrid>
        <w:gridCol w:w="960"/>
        <w:gridCol w:w="1801"/>
        <w:gridCol w:w="1392"/>
        <w:gridCol w:w="1392"/>
        <w:gridCol w:w="1664"/>
        <w:gridCol w:w="1843"/>
      </w:tblGrid>
      <w:tr>
        <w:trPr>
          <w:trHeight w:val="121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26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72" w:lineRule="exact"/>
              <w:ind w:left="578" w:right="156" w:hanging="420"/>
              <w:jc w:val="left"/>
              <w:rPr>
                <w:rFonts w:ascii="宋体" w:hAnsi="宋体" w:cs="宋体" w:eastAsia="宋体" w:hint="default"/>
                <w:sz w:val="21"/>
                <w:szCs w:val="21"/>
              </w:rPr>
            </w:pPr>
            <w:r>
              <w:rPr>
                <w:rFonts w:ascii="宋体" w:hAnsi="宋体" w:cs="宋体" w:eastAsia="宋体" w:hint="default"/>
                <w:sz w:val="21"/>
                <w:szCs w:val="21"/>
              </w:rPr>
              <w:t>持有待开发土地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的区域</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2"/>
              <w:ind w:left="163" w:right="163"/>
              <w:jc w:val="both"/>
              <w:rPr>
                <w:rFonts w:ascii="宋体" w:hAnsi="宋体" w:cs="宋体" w:eastAsia="宋体" w:hint="default"/>
                <w:sz w:val="21"/>
                <w:szCs w:val="21"/>
              </w:rPr>
            </w:pPr>
            <w:r>
              <w:rPr>
                <w:rFonts w:ascii="宋体" w:hAnsi="宋体" w:cs="宋体" w:eastAsia="宋体" w:hint="default"/>
                <w:sz w:val="21"/>
                <w:szCs w:val="21"/>
              </w:rPr>
              <w:t>持有待开发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土地的面积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2"/>
              <w:ind w:left="110" w:right="115" w:firstLine="4"/>
              <w:jc w:val="center"/>
              <w:rPr>
                <w:rFonts w:ascii="宋体" w:hAnsi="宋体" w:cs="宋体" w:eastAsia="宋体" w:hint="default"/>
                <w:sz w:val="21"/>
                <w:szCs w:val="21"/>
              </w:rPr>
            </w:pPr>
            <w:r>
              <w:rPr>
                <w:rFonts w:ascii="宋体" w:hAnsi="宋体" w:cs="宋体" w:eastAsia="宋体" w:hint="default"/>
                <w:sz w:val="21"/>
                <w:szCs w:val="21"/>
              </w:rPr>
              <w:t>一级土地整</w:t>
            </w:r>
            <w:r>
              <w:rPr>
                <w:rFonts w:ascii="宋体" w:hAnsi="宋体" w:cs="宋体" w:eastAsia="宋体" w:hint="default"/>
                <w:w w:val="100"/>
                <w:sz w:val="21"/>
                <w:szCs w:val="21"/>
              </w:rPr>
              <w:t> </w:t>
            </w:r>
            <w:r>
              <w:rPr>
                <w:rFonts w:ascii="宋体" w:hAnsi="宋体" w:cs="宋体" w:eastAsia="宋体" w:hint="default"/>
                <w:spacing w:val="-2"/>
                <w:sz w:val="21"/>
                <w:szCs w:val="21"/>
              </w:rPr>
              <w:t>理面积</w:t>
            </w:r>
            <w:r>
              <w:rPr>
                <w:rFonts w:ascii="宋体" w:hAnsi="宋体" w:cs="宋体" w:eastAsia="宋体" w:hint="default"/>
                <w:spacing w:val="-2"/>
                <w:sz w:val="21"/>
                <w:szCs w:val="21"/>
              </w:rPr>
              <w:t>(</w:t>
            </w:r>
            <w:r>
              <w:rPr>
                <w:rFonts w:ascii="宋体" w:hAnsi="宋体" w:cs="宋体" w:eastAsia="宋体" w:hint="default"/>
                <w:spacing w:val="-2"/>
                <w:sz w:val="21"/>
                <w:szCs w:val="21"/>
              </w:rPr>
              <w:t>平方</w:t>
            </w:r>
            <w:r>
              <w:rPr>
                <w:rFonts w:ascii="宋体" w:hAnsi="宋体" w:cs="宋体" w:eastAsia="宋体" w:hint="default"/>
                <w:spacing w:val="-102"/>
                <w:sz w:val="21"/>
                <w:szCs w:val="21"/>
              </w:rPr>
              <w:t> </w:t>
            </w:r>
            <w:r>
              <w:rPr>
                <w:rFonts w:ascii="宋体" w:hAnsi="宋体" w:cs="宋体" w:eastAsia="宋体" w:hint="default"/>
                <w:sz w:val="21"/>
                <w:szCs w:val="21"/>
              </w:rPr>
              <w:t>米</w:t>
            </w:r>
            <w:r>
              <w:rPr>
                <w:rFonts w:ascii="宋体" w:hAnsi="宋体" w:cs="宋体" w:eastAsia="宋体" w:hint="default"/>
                <w:sz w:val="21"/>
                <w:szCs w:val="21"/>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72" w:lineRule="exact"/>
              <w:ind w:left="194" w:right="195"/>
              <w:jc w:val="left"/>
              <w:rPr>
                <w:rFonts w:ascii="宋体" w:hAnsi="宋体" w:cs="宋体" w:eastAsia="宋体" w:hint="default"/>
                <w:sz w:val="21"/>
                <w:szCs w:val="21"/>
              </w:rPr>
            </w:pPr>
            <w:r>
              <w:rPr>
                <w:rFonts w:ascii="宋体" w:hAnsi="宋体" w:cs="宋体" w:eastAsia="宋体" w:hint="default"/>
                <w:sz w:val="21"/>
                <w:szCs w:val="21"/>
              </w:rPr>
              <w:t>规划计容建筑</w:t>
            </w:r>
            <w:r>
              <w:rPr>
                <w:rFonts w:ascii="宋体" w:hAnsi="宋体" w:cs="宋体" w:eastAsia="宋体" w:hint="default"/>
                <w:w w:val="100"/>
                <w:sz w:val="21"/>
                <w:szCs w:val="21"/>
              </w:rPr>
              <w:t> </w:t>
            </w:r>
            <w:r>
              <w:rPr>
                <w:rFonts w:ascii="宋体" w:hAnsi="宋体" w:cs="宋体" w:eastAsia="宋体" w:hint="default"/>
                <w:sz w:val="21"/>
                <w:szCs w:val="21"/>
              </w:rPr>
              <w:t>面积</w:t>
            </w: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72" w:lineRule="exact"/>
              <w:ind w:left="597" w:right="127" w:hanging="471"/>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w:t>
            </w:r>
            <w:r>
              <w:rPr>
                <w:rFonts w:ascii="宋体" w:hAnsi="宋体" w:cs="宋体" w:eastAsia="宋体" w:hint="default"/>
                <w:sz w:val="21"/>
                <w:szCs w:val="21"/>
              </w:rPr>
              <w:t>否涉及合作开</w:t>
            </w:r>
            <w:r>
              <w:rPr>
                <w:rFonts w:ascii="宋体" w:hAnsi="宋体" w:cs="宋体" w:eastAsia="宋体" w:hint="default"/>
                <w:w w:val="100"/>
                <w:sz w:val="21"/>
                <w:szCs w:val="21"/>
              </w:rPr>
              <w:t> </w:t>
            </w:r>
            <w:r>
              <w:rPr>
                <w:rFonts w:ascii="宋体" w:hAnsi="宋体" w:cs="宋体" w:eastAsia="宋体" w:hint="default"/>
                <w:sz w:val="21"/>
                <w:szCs w:val="21"/>
              </w:rPr>
              <w:t>发项目</w:t>
            </w:r>
          </w:p>
        </w:tc>
      </w:tr>
      <w:tr>
        <w:trPr>
          <w:trHeight w:val="40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青岛市黄岛区</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64,442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64,442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115,996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东营市府前大街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65</w:t>
            </w:r>
            <w:r>
              <w:rPr>
                <w:rFonts w:ascii="宋体" w:hAnsi="宋体" w:cs="宋体" w:eastAsia="宋体" w:hint="default"/>
                <w:spacing w:val="-51"/>
                <w:sz w:val="21"/>
                <w:szCs w:val="21"/>
              </w:rPr>
              <w:t> </w:t>
            </w:r>
            <w:r>
              <w:rPr>
                <w:rFonts w:ascii="宋体" w:hAnsi="宋体" w:cs="宋体" w:eastAsia="宋体" w:hint="default"/>
                <w:sz w:val="21"/>
                <w:szCs w:val="21"/>
              </w:rPr>
              <w:t>号</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76,426.60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76,426.60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215,974.45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pgSz w:w="11910" w:h="16840"/>
          <w:pgMar w:header="855" w:footer="1193" w:top="1280" w:bottom="1380" w:left="1160" w:right="620"/>
        </w:sectPr>
      </w:pPr>
    </w:p>
    <w:p>
      <w:pPr>
        <w:spacing w:line="240" w:lineRule="auto" w:before="2"/>
        <w:rPr>
          <w:rFonts w:ascii="宋体" w:hAnsi="宋体" w:cs="宋体" w:eastAsia="宋体" w:hint="default"/>
          <w:sz w:val="18"/>
          <w:szCs w:val="18"/>
        </w:rPr>
      </w:pPr>
    </w:p>
    <w:tbl>
      <w:tblPr>
        <w:tblW w:w="0" w:type="auto"/>
        <w:jc w:val="left"/>
        <w:tblInd w:w="385" w:type="dxa"/>
        <w:tblLayout w:type="fixed"/>
        <w:tblCellMar>
          <w:top w:w="0" w:type="dxa"/>
          <w:left w:w="0" w:type="dxa"/>
          <w:bottom w:w="0" w:type="dxa"/>
          <w:right w:w="0" w:type="dxa"/>
        </w:tblCellMar>
        <w:tblLook w:val="01E0"/>
      </w:tblPr>
      <w:tblGrid>
        <w:gridCol w:w="960"/>
        <w:gridCol w:w="1801"/>
        <w:gridCol w:w="1392"/>
        <w:gridCol w:w="1392"/>
        <w:gridCol w:w="1664"/>
        <w:gridCol w:w="1843"/>
      </w:tblGrid>
      <w:tr>
        <w:trPr>
          <w:trHeight w:val="408"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滨州市高新区</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2" w:right="0"/>
              <w:jc w:val="left"/>
              <w:rPr>
                <w:rFonts w:ascii="宋体" w:hAnsi="宋体" w:cs="宋体" w:eastAsia="宋体" w:hint="default"/>
                <w:sz w:val="21"/>
                <w:szCs w:val="21"/>
              </w:rPr>
            </w:pPr>
            <w:r>
              <w:rPr>
                <w:rFonts w:ascii="宋体"/>
                <w:sz w:val="21"/>
              </w:rPr>
              <w:t>164,493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5" w:right="0"/>
              <w:jc w:val="left"/>
              <w:rPr>
                <w:rFonts w:ascii="宋体" w:hAnsi="宋体" w:cs="宋体" w:eastAsia="宋体" w:hint="default"/>
                <w:sz w:val="21"/>
                <w:szCs w:val="21"/>
              </w:rPr>
            </w:pPr>
            <w:r>
              <w:rPr>
                <w:rFonts w:ascii="宋体"/>
                <w:sz w:val="21"/>
              </w:rPr>
              <w:t>55,982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6" w:right="0"/>
              <w:jc w:val="left"/>
              <w:rPr>
                <w:rFonts w:ascii="宋体" w:hAnsi="宋体" w:cs="宋体" w:eastAsia="宋体" w:hint="default"/>
                <w:sz w:val="21"/>
                <w:szCs w:val="21"/>
              </w:rPr>
            </w:pPr>
            <w:r>
              <w:rPr>
                <w:rFonts w:ascii="宋体"/>
                <w:sz w:val="21"/>
              </w:rPr>
              <w:t>193,110.45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5" w:footer="1193" w:top="1280" w:bottom="1380" w:left="1300" w:right="760"/>
        </w:sectPr>
      </w:pPr>
    </w:p>
    <w:p>
      <w:pPr>
        <w:pStyle w:val="Heading2"/>
        <w:tabs>
          <w:tab w:pos="922" w:val="left" w:leader="none"/>
        </w:tabs>
        <w:spacing w:line="240" w:lineRule="auto"/>
        <w:ind w:left="498" w:right="-6"/>
        <w:jc w:val="left"/>
        <w:rPr>
          <w:b w:val="0"/>
          <w:bCs w:val="0"/>
        </w:rPr>
      </w:pPr>
      <w:r>
        <w:rPr>
          <w:rFonts w:ascii="宋体" w:hAnsi="宋体" w:cs="宋体" w:eastAsia="宋体" w:hint="default"/>
          <w:w w:val="95"/>
        </w:rPr>
        <w:t>2.</w:t>
        <w:tab/>
      </w:r>
      <w:r>
        <w:rPr>
          <w:spacing w:val="-1"/>
        </w:rPr>
        <w:t>报告期内房地产开发投资情况</w:t>
      </w:r>
      <w:r>
        <w:rPr>
          <w:b w:val="0"/>
          <w:bCs w:val="0"/>
          <w:spacing w:val="-1"/>
        </w:rPr>
      </w:r>
    </w:p>
    <w:p>
      <w:pPr>
        <w:pStyle w:val="BodyText"/>
        <w:spacing w:line="240" w:lineRule="auto" w:before="58"/>
        <w:ind w:left="498" w:right="-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60" w:val="left" w:leader="none"/>
        </w:tabs>
        <w:spacing w:line="240" w:lineRule="auto" w:before="0"/>
        <w:ind w:left="498" w:right="0"/>
        <w:jc w:val="left"/>
      </w:pPr>
      <w:r>
        <w:rPr>
          <w:spacing w:val="-1"/>
        </w:rPr>
        <w:t>单位：万元</w:t>
        <w:tab/>
      </w:r>
      <w:r>
        <w:rPr>
          <w:spacing w:val="-2"/>
        </w:rPr>
        <w:t>币种：人民币</w:t>
      </w:r>
    </w:p>
    <w:p>
      <w:pPr>
        <w:spacing w:after="0" w:line="240" w:lineRule="auto"/>
        <w:jc w:val="left"/>
        <w:sectPr>
          <w:type w:val="continuous"/>
          <w:pgSz w:w="11910" w:h="16840"/>
          <w:pgMar w:top="1280" w:bottom="1380" w:left="1300" w:right="760"/>
          <w:cols w:num="2" w:equalWidth="0">
            <w:col w:w="3664" w:space="2649"/>
            <w:col w:w="353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96"/>
        <w:gridCol w:w="396"/>
        <w:gridCol w:w="396"/>
        <w:gridCol w:w="396"/>
        <w:gridCol w:w="396"/>
        <w:gridCol w:w="1117"/>
        <w:gridCol w:w="1116"/>
        <w:gridCol w:w="1116"/>
        <w:gridCol w:w="1025"/>
        <w:gridCol w:w="1116"/>
        <w:gridCol w:w="1116"/>
        <w:gridCol w:w="1027"/>
      </w:tblGrid>
      <w:tr>
        <w:trPr>
          <w:trHeight w:val="351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序 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地 区</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项 目</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03" w:right="101"/>
              <w:jc w:val="both"/>
              <w:rPr>
                <w:rFonts w:ascii="宋体" w:hAnsi="宋体" w:cs="宋体" w:eastAsia="宋体" w:hint="default"/>
                <w:sz w:val="18"/>
                <w:szCs w:val="18"/>
              </w:rPr>
            </w:pPr>
            <w:r>
              <w:rPr>
                <w:rFonts w:ascii="宋体" w:hAnsi="宋体" w:cs="宋体" w:eastAsia="宋体" w:hint="default"/>
                <w:sz w:val="18"/>
                <w:szCs w:val="18"/>
              </w:rPr>
              <w:t>经 营 业 态</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在</w:t>
            </w:r>
          </w:p>
          <w:p>
            <w:pPr>
              <w:pStyle w:val="TableParagraph"/>
              <w:spacing w:line="232" w:lineRule="exact" w:before="23"/>
              <w:ind w:left="103" w:right="101"/>
              <w:jc w:val="both"/>
              <w:rPr>
                <w:rFonts w:ascii="宋体" w:hAnsi="宋体" w:cs="宋体" w:eastAsia="宋体" w:hint="default"/>
                <w:sz w:val="18"/>
                <w:szCs w:val="18"/>
              </w:rPr>
            </w:pPr>
            <w:r>
              <w:rPr>
                <w:rFonts w:ascii="宋体" w:hAnsi="宋体" w:cs="宋体" w:eastAsia="宋体" w:hint="default"/>
                <w:sz w:val="18"/>
                <w:szCs w:val="18"/>
              </w:rPr>
              <w:t>建 项 目</w:t>
            </w:r>
          </w:p>
          <w:p>
            <w:pPr>
              <w:pStyle w:val="TableParagraph"/>
              <w:spacing w:line="213" w:lineRule="exact"/>
              <w:ind w:left="103" w:right="0" w:firstLine="43"/>
              <w:jc w:val="both"/>
              <w:rPr>
                <w:rFonts w:ascii="宋体" w:hAnsi="宋体" w:cs="宋体" w:eastAsia="宋体" w:hint="default"/>
                <w:sz w:val="18"/>
                <w:szCs w:val="18"/>
              </w:rPr>
            </w:pPr>
            <w:r>
              <w:rPr>
                <w:rFonts w:ascii="宋体"/>
                <w:sz w:val="18"/>
              </w:rPr>
              <w:t>/</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z w:val="18"/>
                <w:szCs w:val="18"/>
              </w:rPr>
              <w:t>新 开 工 项 目</w:t>
            </w:r>
          </w:p>
          <w:p>
            <w:pPr>
              <w:pStyle w:val="TableParagraph"/>
              <w:spacing w:line="237" w:lineRule="auto"/>
              <w:ind w:left="103" w:right="101" w:firstLine="43"/>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竣 工 项 目</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项目用地面 积</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项目规划计 容建筑面积 </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32" w:lineRule="exact"/>
              <w:ind w:left="191" w:right="101" w:hanging="89"/>
              <w:jc w:val="left"/>
              <w:rPr>
                <w:rFonts w:ascii="宋体" w:hAnsi="宋体" w:cs="宋体" w:eastAsia="宋体" w:hint="default"/>
                <w:sz w:val="18"/>
                <w:szCs w:val="18"/>
              </w:rPr>
            </w:pPr>
            <w:r>
              <w:rPr>
                <w:rFonts w:ascii="宋体" w:hAnsi="宋体" w:cs="宋体" w:eastAsia="宋体" w:hint="default"/>
                <w:sz w:val="18"/>
                <w:szCs w:val="18"/>
              </w:rPr>
              <w:t>总建筑面积 </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37" w:lineRule="auto"/>
              <w:ind w:left="103" w:right="98"/>
              <w:jc w:val="center"/>
              <w:rPr>
                <w:rFonts w:ascii="宋体" w:hAnsi="宋体" w:cs="宋体" w:eastAsia="宋体" w:hint="default"/>
                <w:sz w:val="18"/>
                <w:szCs w:val="18"/>
              </w:rPr>
            </w:pPr>
            <w:r>
              <w:rPr>
                <w:rFonts w:ascii="宋体" w:hAnsi="宋体" w:cs="宋体" w:eastAsia="宋体" w:hint="default"/>
                <w:sz w:val="18"/>
                <w:szCs w:val="18"/>
              </w:rPr>
              <w:t>在建建筑 面积</w:t>
            </w:r>
            <w:r>
              <w:rPr>
                <w:rFonts w:ascii="宋体" w:hAnsi="宋体" w:cs="宋体" w:eastAsia="宋体" w:hint="default"/>
                <w:sz w:val="18"/>
                <w:szCs w:val="18"/>
              </w:rPr>
              <w:t>(</w:t>
            </w:r>
            <w:r>
              <w:rPr>
                <w:rFonts w:ascii="宋体" w:hAnsi="宋体" w:cs="宋体" w:eastAsia="宋体" w:hint="default"/>
                <w:sz w:val="18"/>
                <w:szCs w:val="18"/>
              </w:rPr>
              <w:t>平方 米</w:t>
            </w: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32" w:lineRule="exact"/>
              <w:ind w:left="192" w:right="101" w:hanging="89"/>
              <w:jc w:val="left"/>
              <w:rPr>
                <w:rFonts w:ascii="宋体" w:hAnsi="宋体" w:cs="宋体" w:eastAsia="宋体" w:hint="default"/>
                <w:sz w:val="18"/>
                <w:szCs w:val="18"/>
              </w:rPr>
            </w:pPr>
            <w:r>
              <w:rPr>
                <w:rFonts w:ascii="宋体" w:hAnsi="宋体" w:cs="宋体" w:eastAsia="宋体" w:hint="default"/>
                <w:sz w:val="18"/>
                <w:szCs w:val="18"/>
              </w:rPr>
              <w:t>已竣工面积 </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总投资额</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32" w:lineRule="exact"/>
              <w:ind w:left="148" w:right="146"/>
              <w:jc w:val="left"/>
              <w:rPr>
                <w:rFonts w:ascii="宋体" w:hAnsi="宋体" w:cs="宋体" w:eastAsia="宋体" w:hint="default"/>
                <w:sz w:val="18"/>
                <w:szCs w:val="18"/>
              </w:rPr>
            </w:pPr>
            <w:r>
              <w:rPr>
                <w:rFonts w:ascii="宋体" w:hAnsi="宋体" w:cs="宋体" w:eastAsia="宋体" w:hint="default"/>
                <w:sz w:val="18"/>
                <w:szCs w:val="18"/>
              </w:rPr>
              <w:t>报告期实 际投资额</w:t>
            </w:r>
          </w:p>
        </w:tc>
      </w:tr>
      <w:tr>
        <w:trPr>
          <w:trHeight w:val="943"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1</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101"/>
              <w:jc w:val="both"/>
              <w:rPr>
                <w:rFonts w:ascii="宋体" w:hAnsi="宋体" w:cs="宋体" w:eastAsia="宋体" w:hint="default"/>
                <w:sz w:val="18"/>
                <w:szCs w:val="18"/>
              </w:rPr>
            </w:pPr>
            <w:r>
              <w:rPr>
                <w:rFonts w:ascii="宋体" w:hAnsi="宋体" w:cs="宋体" w:eastAsia="宋体" w:hint="default"/>
                <w:sz w:val="18"/>
                <w:szCs w:val="18"/>
              </w:rPr>
              <w:t>青 岛 市</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天</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意 华 苑</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住 宅</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在</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建 项 目</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104,226.00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187,607.00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281,322.00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281,322.00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24,147.00</w:t>
            </w:r>
          </w:p>
        </w:tc>
      </w:tr>
      <w:tr>
        <w:trPr>
          <w:trHeight w:val="141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2</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101"/>
              <w:jc w:val="both"/>
              <w:rPr>
                <w:rFonts w:ascii="宋体" w:hAnsi="宋体" w:cs="宋体" w:eastAsia="宋体" w:hint="default"/>
                <w:sz w:val="18"/>
                <w:szCs w:val="18"/>
              </w:rPr>
            </w:pPr>
            <w:r>
              <w:rPr>
                <w:rFonts w:ascii="宋体" w:hAnsi="宋体" w:cs="宋体" w:eastAsia="宋体" w:hint="default"/>
                <w:sz w:val="18"/>
                <w:szCs w:val="18"/>
              </w:rPr>
              <w:t>东 营 市</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东</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营 财 富 中 心</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商 业</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在 建 项 目</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67,427.60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215,974.45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278,255.00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41,216.00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237,039.00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25,138.12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5,660.88</w:t>
            </w:r>
          </w:p>
        </w:tc>
      </w:tr>
      <w:tr>
        <w:trPr>
          <w:trHeight w:val="943"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3</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101"/>
              <w:jc w:val="both"/>
              <w:rPr>
                <w:rFonts w:ascii="宋体" w:hAnsi="宋体" w:cs="宋体" w:eastAsia="宋体" w:hint="default"/>
                <w:sz w:val="18"/>
                <w:szCs w:val="18"/>
              </w:rPr>
            </w:pPr>
            <w:r>
              <w:rPr>
                <w:rFonts w:ascii="宋体" w:hAnsi="宋体" w:cs="宋体" w:eastAsia="宋体" w:hint="default"/>
                <w:sz w:val="18"/>
                <w:szCs w:val="18"/>
              </w:rPr>
              <w:t>东 营 市</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府</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左 华 苑</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住 宅</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竣</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工 项 目</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59,165.90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100,582.00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141,857.11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141,857.11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72,689.33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4,630.73</w:t>
            </w:r>
          </w:p>
        </w:tc>
      </w:tr>
      <w:tr>
        <w:trPr>
          <w:trHeight w:val="943"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4</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both"/>
              <w:rPr>
                <w:rFonts w:ascii="宋体" w:hAnsi="宋体" w:cs="宋体" w:eastAsia="宋体" w:hint="default"/>
                <w:sz w:val="18"/>
                <w:szCs w:val="18"/>
              </w:rPr>
            </w:pPr>
            <w:r>
              <w:rPr>
                <w:rFonts w:ascii="宋体" w:hAnsi="宋体" w:cs="宋体" w:eastAsia="宋体" w:hint="default"/>
                <w:sz w:val="18"/>
                <w:szCs w:val="18"/>
              </w:rPr>
              <w:t>滨 州 市</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璟</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致 湾 城</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住 宅</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在</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建 项 目</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164,493.00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193,110.45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220,768.28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44,906.13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sz w:val="18"/>
              </w:rPr>
              <w:t>60,928.20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36,279.00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4,802.04</w:t>
            </w:r>
          </w:p>
        </w:tc>
      </w:tr>
    </w:tbl>
    <w:p>
      <w:pPr>
        <w:spacing w:line="240" w:lineRule="auto" w:before="2"/>
        <w:rPr>
          <w:rFonts w:ascii="宋体" w:hAnsi="宋体" w:cs="宋体" w:eastAsia="宋体" w:hint="default"/>
          <w:sz w:val="20"/>
          <w:szCs w:val="20"/>
        </w:rPr>
      </w:pPr>
    </w:p>
    <w:p>
      <w:pPr>
        <w:pStyle w:val="Heading2"/>
        <w:tabs>
          <w:tab w:pos="922" w:val="left" w:leader="none"/>
        </w:tabs>
        <w:spacing w:line="240" w:lineRule="auto"/>
        <w:ind w:left="498" w:right="0"/>
        <w:jc w:val="left"/>
        <w:rPr>
          <w:b w:val="0"/>
          <w:bCs w:val="0"/>
        </w:rPr>
      </w:pPr>
      <w:r>
        <w:rPr>
          <w:rFonts w:ascii="宋体" w:hAnsi="宋体" w:cs="宋体" w:eastAsia="宋体" w:hint="default"/>
          <w:w w:val="95"/>
        </w:rPr>
        <w:t>3.</w:t>
        <w:tab/>
      </w:r>
      <w:r>
        <w:rPr/>
        <w:t>报告期内房地产销售情况</w:t>
      </w:r>
      <w:r>
        <w:rPr>
          <w:b w:val="0"/>
          <w:bCs w:val="0"/>
        </w:rPr>
      </w:r>
    </w:p>
    <w:p>
      <w:pPr>
        <w:pStyle w:val="BodyText"/>
        <w:spacing w:line="240" w:lineRule="auto" w:before="56"/>
        <w:ind w:left="498" w:right="0"/>
        <w:jc w:val="left"/>
      </w:pPr>
      <w:r>
        <w:rPr/>
        <w:t>√适用□不适用</w:t>
      </w:r>
    </w:p>
    <w:p>
      <w:pPr>
        <w:spacing w:line="240" w:lineRule="auto" w:before="7"/>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566"/>
        <w:gridCol w:w="1529"/>
        <w:gridCol w:w="1582"/>
        <w:gridCol w:w="1733"/>
        <w:gridCol w:w="1882"/>
        <w:gridCol w:w="1759"/>
      </w:tblGrid>
      <w:tr>
        <w:trPr>
          <w:trHeight w:val="55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序</w:t>
            </w:r>
          </w:p>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71"/>
              <w:jc w:val="right"/>
              <w:rPr>
                <w:rFonts w:ascii="宋体" w:hAnsi="宋体" w:cs="宋体" w:eastAsia="宋体" w:hint="default"/>
                <w:sz w:val="21"/>
                <w:szCs w:val="21"/>
              </w:rPr>
            </w:pPr>
            <w:r>
              <w:rPr>
                <w:rFonts w:ascii="宋体" w:hAnsi="宋体" w:cs="宋体" w:eastAsia="宋体" w:hint="default"/>
                <w:sz w:val="21"/>
                <w:szCs w:val="21"/>
              </w:rPr>
              <w:t>项目</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宋体" w:hAnsi="宋体" w:cs="宋体" w:eastAsia="宋体" w:hint="default"/>
                <w:sz w:val="21"/>
                <w:szCs w:val="21"/>
              </w:rPr>
              <w:t>经营业态</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可供出售面积</w:t>
            </w:r>
            <w:r>
              <w:rPr>
                <w:rFonts w:ascii="宋体" w:hAnsi="宋体" w:cs="宋体" w:eastAsia="宋体" w:hint="default"/>
                <w:sz w:val="21"/>
                <w:szCs w:val="21"/>
              </w:rPr>
              <w:t>(</w:t>
            </w:r>
            <w:r>
              <w:rPr>
                <w:rFonts w:ascii="宋体" w:hAnsi="宋体" w:cs="宋体" w:eastAsia="宋体" w:hint="default"/>
                <w:sz w:val="21"/>
                <w:szCs w:val="21"/>
              </w:rPr>
              <w:t>平</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方米</w:t>
            </w:r>
            <w:r>
              <w:rPr>
                <w:rFonts w:ascii="宋体" w:hAnsi="宋体" w:cs="宋体" w:eastAsia="宋体" w:hint="default"/>
                <w:sz w:val="21"/>
                <w:szCs w:val="21"/>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已预售面积</w:t>
            </w:r>
            <w:r>
              <w:rPr>
                <w:rFonts w:ascii="宋体" w:hAnsi="宋体" w:cs="宋体" w:eastAsia="宋体" w:hint="default"/>
                <w:sz w:val="21"/>
                <w:szCs w:val="21"/>
              </w:rPr>
              <w:t>(</w:t>
            </w:r>
            <w:r>
              <w:rPr>
                <w:rFonts w:ascii="宋体" w:hAnsi="宋体" w:cs="宋体" w:eastAsia="宋体" w:hint="default"/>
                <w:sz w:val="21"/>
                <w:szCs w:val="21"/>
              </w:rPr>
              <w:t>平</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方米</w:t>
            </w:r>
            <w:r>
              <w:rPr>
                <w:rFonts w:ascii="宋体" w:hAnsi="宋体" w:cs="宋体" w:eastAsia="宋体" w:hint="default"/>
                <w:sz w:val="21"/>
                <w:szCs w:val="21"/>
              </w:rPr>
              <w:t>)</w:t>
            </w:r>
          </w:p>
        </w:tc>
      </w:tr>
      <w:tr>
        <w:trPr>
          <w:trHeight w:val="281"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4"/>
              <w:jc w:val="right"/>
              <w:rPr>
                <w:rFonts w:ascii="宋体" w:hAnsi="宋体" w:cs="宋体" w:eastAsia="宋体" w:hint="default"/>
                <w:sz w:val="21"/>
                <w:szCs w:val="21"/>
              </w:rPr>
            </w:pPr>
            <w:r>
              <w:rPr>
                <w:rFonts w:ascii="宋体" w:hAnsi="宋体" w:cs="宋体" w:eastAsia="宋体" w:hint="default"/>
                <w:spacing w:val="-1"/>
                <w:sz w:val="21"/>
                <w:szCs w:val="21"/>
              </w:rPr>
              <w:t>天意华苑</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123,039.31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54,825.95</w:t>
            </w:r>
          </w:p>
        </w:tc>
      </w:tr>
      <w:tr>
        <w:trPr>
          <w:trHeight w:val="283"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东营市</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24"/>
              <w:jc w:val="right"/>
              <w:rPr>
                <w:rFonts w:ascii="宋体" w:hAnsi="宋体" w:cs="宋体" w:eastAsia="宋体" w:hint="default"/>
                <w:sz w:val="21"/>
                <w:szCs w:val="21"/>
              </w:rPr>
            </w:pPr>
            <w:r>
              <w:rPr>
                <w:rFonts w:ascii="宋体" w:hAnsi="宋体" w:cs="宋体" w:eastAsia="宋体" w:hint="default"/>
                <w:spacing w:val="-1"/>
                <w:sz w:val="21"/>
                <w:szCs w:val="21"/>
              </w:rPr>
              <w:t>府左华苑</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121,146.60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39,048.76</w:t>
            </w:r>
          </w:p>
        </w:tc>
      </w:tr>
      <w:tr>
        <w:trPr>
          <w:trHeight w:val="283"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东营市</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4"/>
              <w:jc w:val="right"/>
              <w:rPr>
                <w:rFonts w:ascii="宋体" w:hAnsi="宋体" w:cs="宋体" w:eastAsia="宋体" w:hint="default"/>
                <w:sz w:val="21"/>
                <w:szCs w:val="21"/>
              </w:rPr>
            </w:pPr>
            <w:r>
              <w:rPr>
                <w:rFonts w:ascii="宋体" w:hAnsi="宋体" w:cs="宋体" w:eastAsia="宋体" w:hint="default"/>
                <w:spacing w:val="-1"/>
                <w:sz w:val="21"/>
                <w:szCs w:val="21"/>
              </w:rPr>
              <w:t>财富中心</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38,554.20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滨州市</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4"/>
              <w:jc w:val="right"/>
              <w:rPr>
                <w:rFonts w:ascii="宋体" w:hAnsi="宋体" w:cs="宋体" w:eastAsia="宋体" w:hint="default"/>
                <w:sz w:val="21"/>
                <w:szCs w:val="21"/>
              </w:rPr>
            </w:pPr>
            <w:r>
              <w:rPr>
                <w:rFonts w:ascii="宋体" w:hAnsi="宋体" w:cs="宋体" w:eastAsia="宋体" w:hint="default"/>
                <w:spacing w:val="-1"/>
                <w:sz w:val="21"/>
                <w:szCs w:val="21"/>
              </w:rPr>
              <w:t>璟致湾城</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57,688.41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17,302.31</w:t>
            </w:r>
          </w:p>
        </w:tc>
      </w:tr>
    </w:tbl>
    <w:p>
      <w:pPr>
        <w:spacing w:line="240" w:lineRule="auto" w:before="12"/>
        <w:rPr>
          <w:rFonts w:ascii="宋体" w:hAnsi="宋体" w:cs="宋体" w:eastAsia="宋体" w:hint="default"/>
          <w:sz w:val="19"/>
          <w:szCs w:val="19"/>
        </w:rPr>
      </w:pPr>
    </w:p>
    <w:p>
      <w:pPr>
        <w:pStyle w:val="Heading2"/>
        <w:tabs>
          <w:tab w:pos="922" w:val="left" w:leader="none"/>
        </w:tabs>
        <w:spacing w:line="240" w:lineRule="auto"/>
        <w:ind w:left="498" w:right="0"/>
        <w:jc w:val="left"/>
        <w:rPr>
          <w:b w:val="0"/>
          <w:bCs w:val="0"/>
        </w:rPr>
      </w:pPr>
      <w:r>
        <w:rPr>
          <w:rFonts w:ascii="宋体" w:hAnsi="宋体" w:cs="宋体" w:eastAsia="宋体" w:hint="default"/>
          <w:w w:val="95"/>
        </w:rPr>
        <w:t>4.</w:t>
        <w:tab/>
      </w:r>
      <w:r>
        <w:rPr/>
        <w:t>报告期内房地产出租情况</w:t>
      </w:r>
      <w:r>
        <w:rPr>
          <w:b w:val="0"/>
          <w:bCs w:val="0"/>
        </w:rPr>
      </w:r>
    </w:p>
    <w:p>
      <w:pPr>
        <w:pStyle w:val="BodyText"/>
        <w:spacing w:line="240" w:lineRule="auto" w:before="56"/>
        <w:ind w:left="498" w:right="0"/>
        <w:jc w:val="left"/>
      </w:pPr>
      <w:r>
        <w:rPr/>
        <w:t>□适用√不适用</w:t>
      </w:r>
    </w:p>
    <w:p>
      <w:pPr>
        <w:spacing w:after="0" w:line="240" w:lineRule="auto"/>
        <w:jc w:val="left"/>
        <w:sectPr>
          <w:type w:val="continuous"/>
          <w:pgSz w:w="11910" w:h="16840"/>
          <w:pgMar w:top="1280" w:bottom="1380" w:left="1300" w:right="760"/>
        </w:sectPr>
      </w:pPr>
    </w:p>
    <w:p>
      <w:pPr>
        <w:spacing w:line="240" w:lineRule="auto" w:before="1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17"/>
          <w:pgSz w:w="11910" w:h="16840"/>
          <w:pgMar w:footer="1193" w:header="855" w:top="1280" w:bottom="1380" w:left="1580" w:right="1040"/>
        </w:sectPr>
      </w:pPr>
    </w:p>
    <w:p>
      <w:pPr>
        <w:pStyle w:val="Heading2"/>
        <w:tabs>
          <w:tab w:pos="642" w:val="left" w:leader="none"/>
        </w:tabs>
        <w:spacing w:line="240" w:lineRule="auto"/>
        <w:ind w:right="-8"/>
        <w:jc w:val="left"/>
        <w:rPr>
          <w:b w:val="0"/>
          <w:bCs w:val="0"/>
        </w:rPr>
      </w:pPr>
      <w:r>
        <w:rPr>
          <w:rFonts w:ascii="宋体" w:hAnsi="宋体" w:cs="宋体" w:eastAsia="宋体" w:hint="default"/>
          <w:w w:val="95"/>
        </w:rPr>
        <w:t>5.</w:t>
        <w:tab/>
      </w:r>
      <w:r>
        <w:rPr>
          <w:spacing w:val="-1"/>
        </w:rPr>
        <w:t>报告期内公司财务融资情况</w:t>
      </w:r>
      <w:r>
        <w:rPr>
          <w:b w:val="0"/>
          <w:bCs w:val="0"/>
          <w:spacing w:val="-1"/>
        </w:rPr>
      </w:r>
    </w:p>
    <w:p>
      <w:pPr>
        <w:pStyle w:val="BodyText"/>
        <w:spacing w:line="240" w:lineRule="auto" w:before="58"/>
        <w:ind w:left="218" w:right="-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before="0"/>
        <w:ind w:left="218" w:right="0"/>
        <w:jc w:val="left"/>
      </w:pPr>
      <w:r>
        <w:rPr>
          <w:spacing w:val="-1"/>
        </w:rPr>
        <w:t>单位：万元</w:t>
        <w:tab/>
      </w:r>
      <w:r>
        <w:rPr>
          <w:spacing w:val="-2"/>
        </w:rPr>
        <w:t>币种：人民币</w:t>
      </w:r>
    </w:p>
    <w:p>
      <w:pPr>
        <w:spacing w:after="0" w:line="240" w:lineRule="auto"/>
        <w:jc w:val="left"/>
        <w:sectPr>
          <w:type w:val="continuous"/>
          <w:pgSz w:w="11910" w:h="16840"/>
          <w:pgMar w:top="1280" w:bottom="1380" w:left="1580" w:right="1040"/>
          <w:cols w:num="2" w:equalWidth="0">
            <w:col w:w="3173" w:space="3140"/>
            <w:col w:w="297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6"/>
        <w:gridCol w:w="3017"/>
        <w:gridCol w:w="3159"/>
      </w:tblGrid>
      <w:tr>
        <w:trPr>
          <w:trHeight w:val="396"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01" w:right="0"/>
              <w:jc w:val="left"/>
              <w:rPr>
                <w:rFonts w:ascii="宋体" w:hAnsi="宋体" w:cs="宋体" w:eastAsia="宋体" w:hint="default"/>
                <w:sz w:val="21"/>
                <w:szCs w:val="21"/>
              </w:rPr>
            </w:pPr>
            <w:r>
              <w:rPr>
                <w:rFonts w:ascii="宋体" w:hAnsi="宋体" w:cs="宋体" w:eastAsia="宋体" w:hint="default"/>
                <w:sz w:val="21"/>
                <w:szCs w:val="21"/>
              </w:rPr>
              <w:t>期末融资总额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06" w:right="0"/>
              <w:jc w:val="left"/>
              <w:rPr>
                <w:rFonts w:ascii="宋体" w:hAnsi="宋体" w:cs="宋体" w:eastAsia="宋体" w:hint="default"/>
                <w:sz w:val="21"/>
                <w:szCs w:val="21"/>
              </w:rPr>
            </w:pPr>
            <w:r>
              <w:rPr>
                <w:rFonts w:ascii="宋体" w:hAnsi="宋体" w:cs="宋体" w:eastAsia="宋体" w:hint="default"/>
                <w:sz w:val="21"/>
                <w:szCs w:val="21"/>
              </w:rPr>
              <w:t>整体平均融资成本</w:t>
            </w:r>
            <w:r>
              <w:rPr>
                <w:rFonts w:ascii="宋体" w:hAnsi="宋体" w:cs="宋体" w:eastAsia="宋体" w:hint="default"/>
                <w:sz w:val="21"/>
                <w:szCs w:val="21"/>
              </w:rPr>
              <w:t>(%)</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37" w:right="0"/>
              <w:jc w:val="left"/>
              <w:rPr>
                <w:rFonts w:ascii="宋体" w:hAnsi="宋体" w:cs="宋体" w:eastAsia="宋体" w:hint="default"/>
                <w:sz w:val="21"/>
                <w:szCs w:val="21"/>
              </w:rPr>
            </w:pPr>
            <w:r>
              <w:rPr>
                <w:rFonts w:ascii="宋体" w:hAnsi="宋体" w:cs="宋体" w:eastAsia="宋体" w:hint="default"/>
                <w:sz w:val="21"/>
                <w:szCs w:val="21"/>
              </w:rPr>
              <w:t>利息资本化金额</w:t>
            </w:r>
          </w:p>
        </w:tc>
      </w:tr>
      <w:tr>
        <w:trPr>
          <w:trHeight w:val="283"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16" w:right="0"/>
              <w:jc w:val="left"/>
              <w:rPr>
                <w:rFonts w:ascii="宋体" w:hAnsi="宋体" w:cs="宋体" w:eastAsia="宋体" w:hint="default"/>
                <w:sz w:val="21"/>
                <w:szCs w:val="21"/>
              </w:rPr>
            </w:pPr>
            <w:r>
              <w:rPr>
                <w:rFonts w:ascii="宋体"/>
                <w:sz w:val="21"/>
              </w:rPr>
              <w:t>11,654.64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6.50</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2,492.92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280" w:bottom="1380" w:left="1580" w:right="1040"/>
        </w:sectPr>
      </w:pPr>
    </w:p>
    <w:p>
      <w:pPr>
        <w:pStyle w:val="Heading2"/>
        <w:spacing w:line="240" w:lineRule="auto"/>
        <w:ind w:right="-6"/>
        <w:jc w:val="left"/>
        <w:rPr>
          <w:b w:val="0"/>
          <w:bCs w:val="0"/>
        </w:rPr>
      </w:pPr>
      <w:r>
        <w:rPr/>
        <w:t>建筑行业经营性信息分析</w:t>
      </w:r>
      <w:r>
        <w:rPr>
          <w:b w:val="0"/>
          <w:bCs w:val="0"/>
        </w:rPr>
      </w:r>
    </w:p>
    <w:p>
      <w:pPr>
        <w:pStyle w:val="Heading2"/>
        <w:tabs>
          <w:tab w:pos="642" w:val="left" w:leader="none"/>
        </w:tabs>
        <w:spacing w:line="240" w:lineRule="auto" w:before="56"/>
        <w:ind w:right="-6"/>
        <w:jc w:val="left"/>
        <w:rPr>
          <w:b w:val="0"/>
          <w:bCs w:val="0"/>
        </w:rPr>
      </w:pPr>
      <w:r>
        <w:rPr>
          <w:rFonts w:ascii="宋体" w:hAnsi="宋体" w:cs="宋体" w:eastAsia="宋体" w:hint="default"/>
          <w:w w:val="95"/>
        </w:rPr>
        <w:t>1.</w:t>
        <w:tab/>
      </w:r>
      <w:r>
        <w:rPr>
          <w:spacing w:val="-1"/>
        </w:rPr>
        <w:t>报告期内竣工验收的项目情况</w:t>
      </w:r>
      <w:r>
        <w:rPr>
          <w:b w:val="0"/>
          <w:bCs w:val="0"/>
          <w:spacing w:val="-1"/>
        </w:rPr>
      </w:r>
    </w:p>
    <w:p>
      <w:pPr>
        <w:pStyle w:val="BodyText"/>
        <w:spacing w:line="240" w:lineRule="auto" w:before="58"/>
        <w:ind w:left="218" w:right="-6"/>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9"/>
          <w:szCs w:val="29"/>
        </w:rPr>
      </w:pPr>
    </w:p>
    <w:p>
      <w:pPr>
        <w:tabs>
          <w:tab w:pos="1529"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2"/>
          <w:szCs w:val="22"/>
        </w:rPr>
        <w:t>单位：万元</w:t>
        <w:tab/>
      </w:r>
      <w:r>
        <w:rPr>
          <w:rFonts w:ascii="宋体" w:hAnsi="宋体" w:cs="宋体" w:eastAsia="宋体" w:hint="default"/>
          <w:spacing w:val="-3"/>
          <w:sz w:val="21"/>
          <w:szCs w:val="21"/>
        </w:rPr>
        <w:t>币种：人民币</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280" w:bottom="1380" w:left="1580" w:right="1040"/>
          <w:cols w:num="2" w:equalWidth="0">
            <w:col w:w="3384" w:space="2881"/>
            <w:col w:w="3025"/>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56"/>
        <w:gridCol w:w="1306"/>
        <w:gridCol w:w="1306"/>
        <w:gridCol w:w="1306"/>
        <w:gridCol w:w="1303"/>
        <w:gridCol w:w="1263"/>
        <w:gridCol w:w="1212"/>
      </w:tblGrid>
      <w:tr>
        <w:trPr>
          <w:trHeight w:val="284"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细分行业</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基建工程</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专业工程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总计</w:t>
            </w:r>
          </w:p>
        </w:tc>
      </w:tr>
      <w:tr>
        <w:trPr>
          <w:trHeight w:val="28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项目数（个）</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r>
      <w:tr>
        <w:trPr>
          <w:trHeight w:val="28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66,241.81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66,241.81</w:t>
            </w:r>
          </w:p>
        </w:tc>
      </w:tr>
    </w:tbl>
    <w:p>
      <w:pPr>
        <w:spacing w:line="240" w:lineRule="auto" w:before="5"/>
        <w:rPr>
          <w:rFonts w:ascii="宋体" w:hAnsi="宋体" w:cs="宋体" w:eastAsia="宋体" w:hint="default"/>
          <w:sz w:val="15"/>
          <w:szCs w:val="15"/>
        </w:rPr>
      </w:pPr>
    </w:p>
    <w:p>
      <w:pPr>
        <w:pStyle w:val="BodyText"/>
        <w:spacing w:line="274" w:lineRule="exact" w:before="36"/>
        <w:ind w:left="218" w:right="2465"/>
        <w:jc w:val="left"/>
      </w:pPr>
      <w:r>
        <w:rPr/>
        <w:t>√适用□不适用</w:t>
      </w:r>
    </w:p>
    <w:p>
      <w:pPr>
        <w:pStyle w:val="BodyText"/>
        <w:tabs>
          <w:tab w:pos="1262" w:val="left" w:leader="none"/>
        </w:tabs>
        <w:spacing w:line="274" w:lineRule="exact" w:before="0"/>
        <w:ind w:left="0" w:right="230"/>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4"/>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5" w:right="0"/>
              <w:jc w:val="left"/>
              <w:rPr>
                <w:rFonts w:ascii="宋体" w:hAnsi="宋体" w:cs="宋体" w:eastAsia="宋体" w:hint="default"/>
                <w:sz w:val="21"/>
                <w:szCs w:val="21"/>
              </w:rPr>
            </w:pPr>
            <w:r>
              <w:rPr>
                <w:rFonts w:ascii="宋体" w:hAnsi="宋体" w:cs="宋体" w:eastAsia="宋体" w:hint="default"/>
                <w:sz w:val="21"/>
                <w:szCs w:val="21"/>
              </w:rPr>
              <w:t>项目地区</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项目数量（个）</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66,241.81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66,241.81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280" w:bottom="1380" w:left="1580" w:right="1040"/>
        </w:sectPr>
      </w:pPr>
    </w:p>
    <w:p>
      <w:pPr>
        <w:pStyle w:val="Heading2"/>
        <w:tabs>
          <w:tab w:pos="642" w:val="left" w:leader="none"/>
        </w:tabs>
        <w:spacing w:line="240" w:lineRule="auto"/>
        <w:ind w:right="-10"/>
        <w:jc w:val="left"/>
        <w:rPr>
          <w:b w:val="0"/>
          <w:bCs w:val="0"/>
        </w:rPr>
      </w:pPr>
      <w:r>
        <w:rPr>
          <w:rFonts w:ascii="宋体" w:hAnsi="宋体" w:cs="宋体" w:eastAsia="宋体" w:hint="default"/>
          <w:w w:val="95"/>
        </w:rPr>
        <w:t>2.</w:t>
        <w:tab/>
      </w:r>
      <w:r>
        <w:rPr>
          <w:spacing w:val="-1"/>
        </w:rPr>
        <w:t>报告期内在建项目情况</w:t>
      </w:r>
      <w:r>
        <w:rPr>
          <w:b w:val="0"/>
          <w:bCs w:val="0"/>
        </w:rPr>
      </w:r>
    </w:p>
    <w:p>
      <w:pPr>
        <w:pStyle w:val="BodyText"/>
        <w:spacing w:line="240" w:lineRule="auto" w:before="56"/>
        <w:ind w:left="218" w:right="-1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80" w:val="left" w:leader="none"/>
        </w:tabs>
        <w:spacing w:line="240" w:lineRule="auto" w:before="0"/>
        <w:ind w:left="218" w:right="0"/>
        <w:jc w:val="left"/>
      </w:pPr>
      <w:r>
        <w:rPr>
          <w:spacing w:val="-1"/>
        </w:rPr>
        <w:t>单位：万元</w:t>
        <w:tab/>
      </w:r>
      <w:r>
        <w:rPr>
          <w:spacing w:val="-2"/>
        </w:rPr>
        <w:t>币种：人民币</w:t>
      </w:r>
    </w:p>
    <w:p>
      <w:pPr>
        <w:spacing w:after="0" w:line="240" w:lineRule="auto"/>
        <w:jc w:val="left"/>
        <w:sectPr>
          <w:type w:val="continuous"/>
          <w:pgSz w:w="11910" w:h="16840"/>
          <w:pgMar w:top="1280" w:bottom="1380" w:left="1580" w:right="1040"/>
          <w:cols w:num="2" w:equalWidth="0">
            <w:col w:w="2751" w:space="3562"/>
            <w:col w:w="29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4"/>
        <w:gridCol w:w="1225"/>
        <w:gridCol w:w="1344"/>
        <w:gridCol w:w="1224"/>
        <w:gridCol w:w="1222"/>
        <w:gridCol w:w="737"/>
        <w:gridCol w:w="1346"/>
      </w:tblGrid>
      <w:tr>
        <w:trPr>
          <w:trHeight w:val="283"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1" w:right="0"/>
              <w:jc w:val="left"/>
              <w:rPr>
                <w:rFonts w:ascii="宋体" w:hAnsi="宋体" w:cs="宋体" w:eastAsia="宋体" w:hint="default"/>
                <w:sz w:val="21"/>
                <w:szCs w:val="21"/>
              </w:rPr>
            </w:pPr>
            <w:r>
              <w:rPr>
                <w:rFonts w:ascii="宋体" w:hAnsi="宋体" w:cs="宋体" w:eastAsia="宋体" w:hint="default"/>
                <w:sz w:val="21"/>
                <w:szCs w:val="21"/>
              </w:rPr>
              <w:t>细分行业</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7"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4" w:right="0"/>
              <w:jc w:val="left"/>
              <w:rPr>
                <w:rFonts w:ascii="宋体" w:hAnsi="宋体" w:cs="宋体" w:eastAsia="宋体" w:hint="default"/>
                <w:sz w:val="21"/>
                <w:szCs w:val="21"/>
              </w:rPr>
            </w:pPr>
            <w:r>
              <w:rPr>
                <w:rFonts w:ascii="宋体" w:hAnsi="宋体" w:cs="宋体" w:eastAsia="宋体" w:hint="default"/>
                <w:sz w:val="21"/>
                <w:szCs w:val="21"/>
              </w:rPr>
              <w:t>基建工程</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7" w:right="0"/>
              <w:jc w:val="left"/>
              <w:rPr>
                <w:rFonts w:ascii="宋体" w:hAnsi="宋体" w:cs="宋体" w:eastAsia="宋体" w:hint="default"/>
                <w:sz w:val="21"/>
                <w:szCs w:val="21"/>
              </w:rPr>
            </w:pPr>
            <w:r>
              <w:rPr>
                <w:rFonts w:ascii="宋体" w:hAnsi="宋体" w:cs="宋体" w:eastAsia="宋体" w:hint="default"/>
                <w:sz w:val="21"/>
                <w:szCs w:val="21"/>
              </w:rPr>
              <w:t>专业工程</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7"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283"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项目数量（个）</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4</w:t>
            </w:r>
          </w:p>
        </w:tc>
      </w:tr>
      <w:tr>
        <w:trPr>
          <w:trHeight w:val="281"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73,895.43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73,895.43</w:t>
            </w:r>
          </w:p>
        </w:tc>
      </w:tr>
    </w:tbl>
    <w:p>
      <w:pPr>
        <w:spacing w:line="240" w:lineRule="auto" w:before="7"/>
        <w:rPr>
          <w:rFonts w:ascii="宋体" w:hAnsi="宋体" w:cs="宋体" w:eastAsia="宋体" w:hint="default"/>
          <w:sz w:val="15"/>
          <w:szCs w:val="15"/>
        </w:rPr>
      </w:pPr>
    </w:p>
    <w:p>
      <w:pPr>
        <w:pStyle w:val="BodyText"/>
        <w:spacing w:line="273" w:lineRule="exact" w:before="36"/>
        <w:ind w:left="218" w:right="2465"/>
        <w:jc w:val="left"/>
      </w:pPr>
      <w:r>
        <w:rPr/>
        <w:t>√适用□不适用</w:t>
      </w:r>
    </w:p>
    <w:p>
      <w:pPr>
        <w:pStyle w:val="BodyText"/>
        <w:tabs>
          <w:tab w:pos="1262" w:val="left" w:leader="none"/>
        </w:tabs>
        <w:spacing w:line="273" w:lineRule="exact" w:before="0"/>
        <w:ind w:left="0" w:right="230"/>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4"/>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项目地区</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项目数量（个）</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73,895.43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73,895.43</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280" w:bottom="1380" w:left="1580" w:right="1040"/>
        </w:sectPr>
      </w:pPr>
    </w:p>
    <w:p>
      <w:pPr>
        <w:pStyle w:val="Heading2"/>
        <w:tabs>
          <w:tab w:pos="642" w:val="left" w:leader="none"/>
        </w:tabs>
        <w:spacing w:line="240" w:lineRule="auto"/>
        <w:ind w:right="-17"/>
        <w:jc w:val="left"/>
        <w:rPr>
          <w:b w:val="0"/>
          <w:bCs w:val="0"/>
        </w:rPr>
      </w:pPr>
      <w:r>
        <w:rPr>
          <w:rFonts w:ascii="宋体" w:hAnsi="宋体" w:cs="宋体" w:eastAsia="宋体" w:hint="default"/>
          <w:w w:val="95"/>
        </w:rPr>
        <w:t>3.</w:t>
        <w:tab/>
      </w:r>
      <w:r>
        <w:rPr/>
        <w:t>在建重大项目情况</w:t>
      </w:r>
      <w:r>
        <w:rPr>
          <w:b w:val="0"/>
          <w:bCs w:val="0"/>
        </w:rPr>
      </w:r>
    </w:p>
    <w:p>
      <w:pPr>
        <w:pStyle w:val="BodyText"/>
        <w:spacing w:line="240" w:lineRule="auto" w:before="58"/>
        <w:ind w:left="218"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before="0"/>
        <w:ind w:left="218" w:right="0"/>
        <w:jc w:val="left"/>
      </w:pPr>
      <w:r>
        <w:rPr>
          <w:spacing w:val="-1"/>
        </w:rPr>
        <w:t>单位：万元</w:t>
        <w:tab/>
      </w:r>
      <w:r>
        <w:rPr>
          <w:spacing w:val="-2"/>
        </w:rPr>
        <w:t>币种：人民币</w:t>
      </w:r>
    </w:p>
    <w:p>
      <w:pPr>
        <w:spacing w:after="0" w:line="240" w:lineRule="auto"/>
        <w:jc w:val="left"/>
        <w:sectPr>
          <w:type w:val="continuous"/>
          <w:pgSz w:w="11910" w:h="16840"/>
          <w:pgMar w:top="1280" w:bottom="1380" w:left="1580" w:right="1040"/>
          <w:cols w:num="2" w:equalWidth="0">
            <w:col w:w="2333" w:space="3980"/>
            <w:col w:w="297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56"/>
        <w:gridCol w:w="1027"/>
        <w:gridCol w:w="2105"/>
        <w:gridCol w:w="1032"/>
        <w:gridCol w:w="1051"/>
        <w:gridCol w:w="1027"/>
        <w:gridCol w:w="1025"/>
        <w:gridCol w:w="1027"/>
      </w:tblGrid>
      <w:tr>
        <w:trPr>
          <w:trHeight w:val="47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项目名</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28" w:right="0"/>
              <w:jc w:val="left"/>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34" w:lineRule="exact"/>
              <w:ind w:left="3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工期</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完工百分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比</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本期确认</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累计确认</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本期成本</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投入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累计成本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投入</w:t>
            </w:r>
          </w:p>
        </w:tc>
      </w:tr>
      <w:tr>
        <w:trPr>
          <w:trHeight w:val="117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济南至</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东营高 速公路 路桥第 八标段</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36,330.00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2013.9.1-2015.12.30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52.33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center"/>
              <w:rPr>
                <w:rFonts w:ascii="宋体" w:hAnsi="宋体" w:cs="宋体" w:eastAsia="宋体" w:hint="default"/>
                <w:sz w:val="18"/>
                <w:szCs w:val="18"/>
              </w:rPr>
            </w:pPr>
            <w:r>
              <w:rPr>
                <w:rFonts w:ascii="宋体"/>
                <w:sz w:val="18"/>
              </w:rPr>
              <w:t>9,317.70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19,011.40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8,404.30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17,681.00</w:t>
            </w:r>
          </w:p>
        </w:tc>
      </w:tr>
      <w:tr>
        <w:trPr>
          <w:trHeight w:val="1412"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sz w:val="18"/>
              </w:rPr>
              <w:t>S322</w:t>
            </w:r>
          </w:p>
          <w:p>
            <w:pPr>
              <w:pStyle w:val="TableParagraph"/>
              <w:spacing w:line="237" w:lineRule="auto" w:before="2"/>
              <w:ind w:left="103" w:right="101"/>
              <w:jc w:val="both"/>
              <w:rPr>
                <w:rFonts w:ascii="宋体" w:hAnsi="宋体" w:cs="宋体" w:eastAsia="宋体" w:hint="default"/>
                <w:sz w:val="18"/>
                <w:szCs w:val="18"/>
              </w:rPr>
            </w:pPr>
            <w:r>
              <w:rPr>
                <w:rFonts w:ascii="宋体" w:hAnsi="宋体" w:cs="宋体" w:eastAsia="宋体" w:hint="default"/>
                <w:sz w:val="18"/>
                <w:szCs w:val="18"/>
              </w:rPr>
              <w:t>潍高路 改线二 期工程 第二合 同段</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4,655.97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2015.7.01-2016.7.31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24.10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center"/>
              <w:rPr>
                <w:rFonts w:ascii="宋体" w:hAnsi="宋体" w:cs="宋体" w:eastAsia="宋体" w:hint="default"/>
                <w:sz w:val="18"/>
                <w:szCs w:val="18"/>
              </w:rPr>
            </w:pPr>
            <w:r>
              <w:rPr>
                <w:rFonts w:ascii="宋体"/>
                <w:sz w:val="18"/>
              </w:rPr>
              <w:t>1,121.89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1,121.89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794.73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794.73</w:t>
            </w:r>
          </w:p>
        </w:tc>
      </w:tr>
    </w:tbl>
    <w:p>
      <w:pPr>
        <w:spacing w:after="0" w:line="205" w:lineRule="exact"/>
        <w:jc w:val="right"/>
        <w:rPr>
          <w:rFonts w:ascii="宋体" w:hAnsi="宋体" w:cs="宋体" w:eastAsia="宋体" w:hint="default"/>
          <w:sz w:val="18"/>
          <w:szCs w:val="18"/>
        </w:rPr>
        <w:sectPr>
          <w:type w:val="continuous"/>
          <w:pgSz w:w="11910" w:h="16840"/>
          <w:pgMar w:top="1280" w:bottom="1380" w:left="1580" w:right="1040"/>
        </w:sectPr>
      </w:pPr>
    </w:p>
    <w:p>
      <w:pPr>
        <w:spacing w:line="240" w:lineRule="auto" w:before="2"/>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756"/>
        <w:gridCol w:w="1027"/>
        <w:gridCol w:w="2105"/>
        <w:gridCol w:w="1032"/>
        <w:gridCol w:w="1051"/>
        <w:gridCol w:w="1027"/>
        <w:gridCol w:w="1025"/>
        <w:gridCol w:w="1027"/>
      </w:tblGrid>
      <w:tr>
        <w:trPr>
          <w:trHeight w:val="398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二连浩</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特至广 州公路 集宁至 阿荣旗 联络线 乌兰浩 特至扎 兰屯段 高速公 路（呼 伦贝尔 市境 内）土 建工程 </w:t>
            </w:r>
            <w:r>
              <w:rPr>
                <w:rFonts w:ascii="宋体" w:hAnsi="宋体" w:cs="宋体" w:eastAsia="宋体" w:hint="default"/>
                <w:sz w:val="18"/>
                <w:szCs w:val="18"/>
              </w:rPr>
              <w:t>XZTJ-5</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标段</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29,451.12</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2012.10.20-2015.10.20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93.00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6,905.49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27,385.99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10,098.82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30,288.87</w:t>
            </w:r>
          </w:p>
        </w:tc>
      </w:tr>
      <w:tr>
        <w:trPr>
          <w:trHeight w:val="2813"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丹东至</w:t>
            </w:r>
          </w:p>
          <w:p>
            <w:pPr>
              <w:pStyle w:val="TableParagraph"/>
              <w:spacing w:line="237" w:lineRule="auto" w:before="2"/>
              <w:ind w:left="103" w:right="101"/>
              <w:jc w:val="left"/>
              <w:rPr>
                <w:rFonts w:ascii="宋体" w:hAnsi="宋体" w:cs="宋体" w:eastAsia="宋体" w:hint="default"/>
                <w:sz w:val="18"/>
                <w:szCs w:val="18"/>
              </w:rPr>
            </w:pPr>
            <w:r>
              <w:rPr>
                <w:rFonts w:ascii="宋体" w:hAnsi="宋体" w:cs="宋体" w:eastAsia="宋体" w:hint="default"/>
                <w:sz w:val="18"/>
                <w:szCs w:val="18"/>
              </w:rPr>
              <w:t>锡林浩 特国家 高速公 路经棚 至锡林 浩特段 公路土 建工程 施工 </w:t>
            </w:r>
            <w:r>
              <w:rPr>
                <w:rFonts w:ascii="宋体" w:hAnsi="宋体" w:cs="宋体" w:eastAsia="宋体" w:hint="default"/>
                <w:sz w:val="18"/>
                <w:szCs w:val="18"/>
              </w:rPr>
              <w:t>CFTJ-5</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标段</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40,925.86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2014.6.15-2016.10.31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64.40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16,862.02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26,376.15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15,937.23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24,965.50</w:t>
            </w:r>
          </w:p>
        </w:tc>
      </w:tr>
    </w:tbl>
    <w:p>
      <w:pPr>
        <w:spacing w:line="240" w:lineRule="auto" w:before="12"/>
        <w:rPr>
          <w:rFonts w:ascii="宋体" w:hAnsi="宋体" w:cs="宋体" w:eastAsia="宋体" w:hint="default"/>
          <w:sz w:val="19"/>
          <w:szCs w:val="19"/>
        </w:rPr>
      </w:pPr>
    </w:p>
    <w:p>
      <w:pPr>
        <w:pStyle w:val="Heading2"/>
        <w:tabs>
          <w:tab w:pos="642" w:val="left" w:leader="none"/>
        </w:tabs>
        <w:spacing w:line="240" w:lineRule="auto"/>
        <w:ind w:right="2465"/>
        <w:jc w:val="left"/>
        <w:rPr>
          <w:b w:val="0"/>
          <w:bCs w:val="0"/>
        </w:rPr>
      </w:pPr>
      <w:r>
        <w:rPr>
          <w:rFonts w:ascii="宋体" w:hAnsi="宋体" w:cs="宋体" w:eastAsia="宋体" w:hint="default"/>
          <w:w w:val="95"/>
        </w:rPr>
        <w:t>4.</w:t>
        <w:tab/>
      </w:r>
      <w:r>
        <w:rPr/>
        <w:t>报告期内境外项目情况</w:t>
      </w:r>
      <w:r>
        <w:rPr>
          <w:b w:val="0"/>
          <w:bCs w:val="0"/>
        </w:rPr>
      </w:r>
    </w:p>
    <w:p>
      <w:pPr>
        <w:pStyle w:val="BodyText"/>
        <w:spacing w:line="240" w:lineRule="auto" w:before="58"/>
        <w:ind w:left="218" w:right="2465"/>
        <w:jc w:val="left"/>
      </w:pPr>
      <w:r>
        <w:rPr/>
        <w:t>□适用√不适用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8"/>
          <w:pgSz w:w="11910" w:h="16840"/>
          <w:pgMar w:footer="1193" w:header="855" w:top="1280" w:bottom="1380" w:left="1580" w:right="1040"/>
          <w:pgNumType w:start="21"/>
        </w:sectPr>
      </w:pPr>
    </w:p>
    <w:p>
      <w:pPr>
        <w:pStyle w:val="Heading2"/>
        <w:tabs>
          <w:tab w:pos="642" w:val="left" w:leader="none"/>
        </w:tabs>
        <w:spacing w:line="240" w:lineRule="auto"/>
        <w:ind w:right="-5"/>
        <w:jc w:val="left"/>
        <w:rPr>
          <w:b w:val="0"/>
          <w:bCs w:val="0"/>
        </w:rPr>
      </w:pPr>
      <w:r>
        <w:rPr>
          <w:rFonts w:ascii="宋体" w:hAnsi="宋体" w:cs="宋体" w:eastAsia="宋体" w:hint="default"/>
          <w:w w:val="95"/>
        </w:rPr>
        <w:t>5.</w:t>
        <w:tab/>
      </w:r>
      <w:r>
        <w:rPr>
          <w:spacing w:val="-1"/>
        </w:rPr>
        <w:t>存货中已完工未结算的汇总情况</w:t>
      </w:r>
      <w:r>
        <w:rPr>
          <w:b w:val="0"/>
          <w:bCs w:val="0"/>
          <w:spacing w:val="-1"/>
        </w:rPr>
      </w:r>
    </w:p>
    <w:p>
      <w:pPr>
        <w:pStyle w:val="BodyText"/>
        <w:spacing w:line="240" w:lineRule="auto" w:before="56"/>
        <w:ind w:left="218" w:right="-5"/>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480" w:val="left" w:leader="none"/>
        </w:tabs>
        <w:spacing w:line="240" w:lineRule="auto" w:before="0"/>
        <w:ind w:left="218" w:right="0"/>
        <w:jc w:val="left"/>
      </w:pPr>
      <w:r>
        <w:rPr>
          <w:spacing w:val="-1"/>
        </w:rPr>
        <w:t>单位：万元</w:t>
        <w:tab/>
      </w:r>
      <w:r>
        <w:rPr>
          <w:spacing w:val="-2"/>
        </w:rPr>
        <w:t>币种：人民币</w:t>
      </w:r>
    </w:p>
    <w:p>
      <w:pPr>
        <w:spacing w:after="0" w:line="240" w:lineRule="auto"/>
        <w:jc w:val="left"/>
        <w:sectPr>
          <w:type w:val="continuous"/>
          <w:pgSz w:w="11910" w:h="16840"/>
          <w:pgMar w:top="1280" w:bottom="1380" w:left="1580" w:right="1040"/>
          <w:cols w:num="2" w:equalWidth="0">
            <w:col w:w="3595" w:space="2717"/>
            <w:col w:w="297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07"/>
        <w:gridCol w:w="1508"/>
        <w:gridCol w:w="1507"/>
        <w:gridCol w:w="1510"/>
        <w:gridCol w:w="1510"/>
        <w:gridCol w:w="1510"/>
      </w:tblGrid>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累计已发生成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本</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累计已确认毛</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利</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9" w:right="0"/>
              <w:jc w:val="left"/>
              <w:rPr>
                <w:rFonts w:ascii="宋体" w:hAnsi="宋体" w:cs="宋体" w:eastAsia="宋体" w:hint="default"/>
                <w:sz w:val="21"/>
                <w:szCs w:val="21"/>
              </w:rPr>
            </w:pPr>
            <w:r>
              <w:rPr>
                <w:rFonts w:ascii="宋体" w:hAnsi="宋体" w:cs="宋体" w:eastAsia="宋体" w:hint="default"/>
                <w:sz w:val="21"/>
                <w:szCs w:val="21"/>
              </w:rPr>
              <w:t>预计损失</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已办理结算的</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已完工未结算</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的余额</w:t>
            </w:r>
          </w:p>
        </w:tc>
      </w:tr>
      <w:tr>
        <w:trPr>
          <w:trHeight w:val="283"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sz w:val="21"/>
              </w:rPr>
              <w:t>66,281.24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sz w:val="21"/>
              </w:rPr>
              <w:t>5,194.21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3" w:right="0"/>
              <w:jc w:val="left"/>
              <w:rPr>
                <w:rFonts w:ascii="宋体" w:hAnsi="宋体" w:cs="宋体" w:eastAsia="宋体" w:hint="default"/>
                <w:sz w:val="21"/>
                <w:szCs w:val="21"/>
              </w:rPr>
            </w:pPr>
            <w:r>
              <w:rPr>
                <w:rFonts w:ascii="宋体"/>
                <w:sz w:val="21"/>
              </w:rPr>
              <w:t>190.01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sz w:val="21"/>
              </w:rPr>
              <w:t>60,104.99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sz w:val="21"/>
              </w:rPr>
              <w:t>11,180.45</w:t>
            </w:r>
          </w:p>
        </w:tc>
      </w:tr>
    </w:tbl>
    <w:p>
      <w:pPr>
        <w:spacing w:line="240" w:lineRule="auto" w:before="13"/>
        <w:rPr>
          <w:rFonts w:ascii="宋体" w:hAnsi="宋体" w:cs="宋体" w:eastAsia="宋体" w:hint="default"/>
          <w:sz w:val="19"/>
          <w:szCs w:val="19"/>
        </w:rPr>
      </w:pPr>
    </w:p>
    <w:p>
      <w:pPr>
        <w:pStyle w:val="Heading2"/>
        <w:spacing w:line="240" w:lineRule="auto"/>
        <w:ind w:right="246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pStyle w:val="Heading2"/>
        <w:spacing w:line="290" w:lineRule="auto" w:before="32"/>
        <w:ind w:right="6520"/>
        <w:jc w:val="left"/>
        <w:rPr>
          <w:b w:val="0"/>
          <w:bCs w:val="0"/>
        </w:rPr>
      </w:pPr>
      <w:r>
        <w:rPr>
          <w:rFonts w:ascii="宋体" w:hAnsi="宋体" w:cs="宋体" w:eastAsia="宋体" w:hint="default"/>
        </w:rPr>
        <w:t>1</w:t>
      </w:r>
      <w:r>
        <w:rPr/>
        <w:t>、</w:t>
      </w:r>
      <w:r>
        <w:rPr>
          <w:spacing w:val="-3"/>
        </w:rPr>
        <w:t> </w:t>
      </w:r>
      <w:r>
        <w:rPr/>
        <w:t>对外股权投资总体分析</w:t>
      </w:r>
      <w:r>
        <w:rPr>
          <w:w w:val="100"/>
        </w:rPr>
        <w:t> </w:t>
      </w: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314" w:lineRule="auto" w:before="91"/>
        <w:ind w:left="218" w:right="225" w:firstLine="419"/>
        <w:jc w:val="both"/>
      </w:pPr>
      <w:r>
        <w:rPr>
          <w:spacing w:val="-4"/>
        </w:rPr>
        <w:t>（</w:t>
      </w:r>
      <w:r>
        <w:rPr>
          <w:rFonts w:ascii="宋体" w:hAnsi="宋体" w:cs="宋体" w:eastAsia="宋体" w:hint="default"/>
          <w:spacing w:val="-4"/>
        </w:rPr>
        <w:t>1</w:t>
      </w:r>
      <w:r>
        <w:rPr>
          <w:spacing w:val="-4"/>
        </w:rPr>
        <w:t>）报告期内，根据中国证券监督管理委员会《关于核准科达集团股份有限公司向北京百仕</w:t>
      </w:r>
      <w:r>
        <w:rPr>
          <w:w w:val="100"/>
        </w:rPr>
        <w:t> </w:t>
      </w:r>
      <w:r>
        <w:rPr>
          <w:spacing w:val="-6"/>
          <w:w w:val="100"/>
        </w:rPr>
        <w:t>成投资管理中心（普通合伙）等发行股份购买资产并募集配套资金的批复》（证监许可</w:t>
      </w:r>
      <w:r>
        <w:rPr>
          <w:rFonts w:ascii="宋体" w:hAnsi="宋体" w:cs="宋体" w:eastAsia="宋体" w:hint="default"/>
          <w:spacing w:val="-6"/>
          <w:w w:val="100"/>
        </w:rPr>
        <w:t>[2015]1837</w:t>
      </w:r>
      <w:r>
        <w:rPr>
          <w:rFonts w:ascii="宋体" w:hAnsi="宋体" w:cs="宋体" w:eastAsia="宋体" w:hint="default"/>
          <w:spacing w:val="-76"/>
          <w:w w:val="100"/>
        </w:rPr>
        <w:t> </w:t>
      </w:r>
      <w:r>
        <w:rPr>
          <w:rFonts w:ascii="宋体" w:hAnsi="宋体" w:cs="宋体" w:eastAsia="宋体" w:hint="default"/>
          <w:spacing w:val="-76"/>
          <w:w w:val="100"/>
        </w:rPr>
      </w:r>
      <w:r>
        <w:rPr>
          <w:spacing w:val="-2"/>
        </w:rPr>
        <w:t>号），公司收购完成百孚思、上海同立、华邑众为、雨林木风、派瑞威行五家互联网营销公司，</w:t>
      </w:r>
      <w:r>
        <w:rPr>
          <w:spacing w:val="-26"/>
        </w:rPr>
        <w:t> </w:t>
      </w:r>
      <w:r>
        <w:rPr>
          <w:spacing w:val="-26"/>
        </w:rPr>
      </w:r>
      <w:r>
        <w:rPr/>
        <w:t>相关的工商变更登记手续已于</w:t>
      </w:r>
      <w:r>
        <w:rPr>
          <w:spacing w:val="-52"/>
        </w:rPr>
        <w:t> </w:t>
      </w:r>
      <w:r>
        <w:rPr>
          <w:rFonts w:ascii="宋体" w:hAnsi="宋体" w:cs="宋体" w:eastAsia="宋体" w:hint="default"/>
        </w:rPr>
        <w:t>2015</w:t>
      </w:r>
      <w:r>
        <w:rPr>
          <w:rFonts w:ascii="宋体" w:hAnsi="宋体" w:cs="宋体" w:eastAsia="宋体" w:hint="default"/>
          <w:spacing w:val="-54"/>
        </w:rPr>
        <w:t> </w:t>
      </w:r>
      <w:r>
        <w:rPr/>
        <w:t>年</w:t>
      </w:r>
      <w:r>
        <w:rPr>
          <w:spacing w:val="-52"/>
        </w:rPr>
        <w:t> </w:t>
      </w:r>
      <w:r>
        <w:rPr>
          <w:rFonts w:ascii="宋体" w:hAnsi="宋体" w:cs="宋体" w:eastAsia="宋体" w:hint="default"/>
        </w:rPr>
        <w:t>8</w:t>
      </w:r>
      <w:r>
        <w:rPr>
          <w:rFonts w:ascii="宋体" w:hAnsi="宋体" w:cs="宋体" w:eastAsia="宋体" w:hint="default"/>
          <w:spacing w:val="-54"/>
        </w:rPr>
        <w:t> </w:t>
      </w:r>
      <w:r>
        <w:rPr/>
        <w:t>月完成</w:t>
      </w:r>
      <w:r>
        <w:rPr>
          <w:rFonts w:ascii="宋体" w:hAnsi="宋体" w:cs="宋体" w:eastAsia="宋体" w:hint="default"/>
        </w:rPr>
        <w:t>(</w:t>
      </w:r>
      <w:r>
        <w:rPr/>
        <w:t>详见</w:t>
      </w:r>
      <w:r>
        <w:rPr>
          <w:spacing w:val="3"/>
        </w:rPr>
        <w:t> </w:t>
      </w:r>
      <w:r>
        <w:rPr>
          <w:rFonts w:ascii="宋体" w:hAnsi="宋体" w:cs="宋体" w:eastAsia="宋体" w:hint="default"/>
        </w:rPr>
        <w:t>2015</w:t>
      </w:r>
      <w:r>
        <w:rPr>
          <w:rFonts w:ascii="宋体" w:hAnsi="宋体" w:cs="宋体" w:eastAsia="宋体" w:hint="default"/>
          <w:spacing w:val="2"/>
        </w:rPr>
        <w:t> </w:t>
      </w:r>
      <w:r>
        <w:rPr/>
        <w:t>年 </w:t>
      </w:r>
      <w:r>
        <w:rPr>
          <w:rFonts w:ascii="宋体" w:hAnsi="宋体" w:cs="宋体" w:eastAsia="宋体" w:hint="default"/>
        </w:rPr>
        <w:t>8 </w:t>
      </w:r>
      <w:r>
        <w:rPr/>
        <w:t>月</w:t>
      </w:r>
      <w:r>
        <w:rPr>
          <w:spacing w:val="2"/>
        </w:rPr>
        <w:t> </w:t>
      </w:r>
      <w:r>
        <w:rPr>
          <w:rFonts w:ascii="宋体" w:hAnsi="宋体" w:cs="宋体" w:eastAsia="宋体" w:hint="default"/>
        </w:rPr>
        <w:t>20</w:t>
      </w:r>
      <w:r>
        <w:rPr>
          <w:rFonts w:ascii="宋体" w:hAnsi="宋体" w:cs="宋体" w:eastAsia="宋体" w:hint="default"/>
          <w:spacing w:val="-52"/>
        </w:rPr>
        <w:t> </w:t>
      </w:r>
      <w:r>
        <w:rPr>
          <w:spacing w:val="-5"/>
        </w:rPr>
        <w:t>日，公司发布的《科达股</w:t>
      </w:r>
      <w:r>
        <w:rPr>
          <w:w w:val="100"/>
        </w:rPr>
        <w:t> </w:t>
      </w:r>
      <w:r>
        <w:rPr/>
        <w:t>份关于发行股份购买资产并募集配套资金之标的资产过户完成情况的公告》</w:t>
      </w:r>
      <w:r>
        <w:rPr>
          <w:rFonts w:ascii="宋体" w:hAnsi="宋体" w:cs="宋体" w:eastAsia="宋体" w:hint="default"/>
        </w:rPr>
        <w:t>)</w:t>
      </w:r>
      <w:r>
        <w:rPr/>
        <w:t>。</w:t>
      </w:r>
    </w:p>
    <w:p>
      <w:pPr>
        <w:pStyle w:val="BodyText"/>
        <w:spacing w:line="240" w:lineRule="auto"/>
        <w:ind w:left="638" w:right="119"/>
        <w:jc w:val="left"/>
      </w:pPr>
      <w:r>
        <w:rPr/>
        <w:t>（</w:t>
      </w: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45"/>
        </w:rPr>
        <w:t> </w:t>
      </w:r>
      <w:r>
        <w:rPr/>
        <w:t>年</w:t>
      </w:r>
      <w:r>
        <w:rPr>
          <w:spacing w:val="-43"/>
        </w:rPr>
        <w:t> </w:t>
      </w:r>
      <w:r>
        <w:rPr>
          <w:rFonts w:ascii="宋体" w:hAnsi="宋体" w:cs="宋体" w:eastAsia="宋体" w:hint="default"/>
        </w:rPr>
        <w:t>8</w:t>
      </w:r>
      <w:r>
        <w:rPr>
          <w:rFonts w:ascii="宋体" w:hAnsi="宋体" w:cs="宋体" w:eastAsia="宋体" w:hint="default"/>
          <w:spacing w:val="-45"/>
        </w:rPr>
        <w:t> </w:t>
      </w:r>
      <w:r>
        <w:rPr/>
        <w:t>月</w:t>
      </w:r>
      <w:r>
        <w:rPr>
          <w:spacing w:val="-42"/>
        </w:rPr>
        <w:t> </w:t>
      </w:r>
      <w:r>
        <w:rPr>
          <w:rFonts w:ascii="宋体" w:hAnsi="宋体" w:cs="宋体" w:eastAsia="宋体" w:hint="default"/>
        </w:rPr>
        <w:t>21</w:t>
      </w:r>
      <w:r>
        <w:rPr>
          <w:rFonts w:ascii="宋体" w:hAnsi="宋体" w:cs="宋体" w:eastAsia="宋体" w:hint="default"/>
          <w:spacing w:val="-43"/>
        </w:rPr>
        <w:t> </w:t>
      </w:r>
      <w:r>
        <w:rPr>
          <w:spacing w:val="-3"/>
        </w:rPr>
        <w:t>日，公司召开第七届董事会临时会议，会议审议通过《关于公司签署战</w:t>
      </w:r>
    </w:p>
    <w:p>
      <w:pPr>
        <w:pStyle w:val="BodyText"/>
        <w:spacing w:line="240" w:lineRule="auto" w:before="85"/>
        <w:ind w:left="218" w:right="119"/>
        <w:jc w:val="left"/>
      </w:pPr>
      <w:r>
        <w:rPr>
          <w:spacing w:val="-4"/>
        </w:rPr>
        <w:t>略合作框架协议并拟与子公司对外投资暨关联交易的议案》，公司拟出资 </w:t>
      </w:r>
      <w:r>
        <w:rPr>
          <w:rFonts w:ascii="宋体" w:hAnsi="宋体" w:cs="宋体" w:eastAsia="宋体" w:hint="default"/>
        </w:rPr>
        <w:t>5000</w:t>
      </w:r>
      <w:r>
        <w:rPr>
          <w:rFonts w:ascii="宋体" w:hAnsi="宋体" w:cs="宋体" w:eastAsia="宋体" w:hint="default"/>
          <w:spacing w:val="-24"/>
        </w:rPr>
        <w:t> </w:t>
      </w:r>
      <w:r>
        <w:rPr>
          <w:spacing w:val="-6"/>
        </w:rPr>
        <w:t>万元人民币、公司</w:t>
      </w:r>
    </w:p>
    <w:p>
      <w:pPr>
        <w:spacing w:after="0" w:line="240" w:lineRule="auto"/>
        <w:jc w:val="left"/>
        <w:sectPr>
          <w:type w:val="continuous"/>
          <w:pgSz w:w="11910" w:h="16840"/>
          <w:pgMar w:top="1280" w:bottom="1380" w:left="1580" w:right="1040"/>
        </w:sectPr>
      </w:pPr>
    </w:p>
    <w:p>
      <w:pPr>
        <w:spacing w:line="240" w:lineRule="auto" w:before="9"/>
        <w:rPr>
          <w:rFonts w:ascii="宋体" w:hAnsi="宋体" w:cs="宋体" w:eastAsia="宋体" w:hint="default"/>
          <w:sz w:val="18"/>
          <w:szCs w:val="18"/>
        </w:rPr>
      </w:pPr>
    </w:p>
    <w:p>
      <w:pPr>
        <w:pStyle w:val="BodyText"/>
        <w:spacing w:line="240" w:lineRule="auto" w:before="36"/>
        <w:ind w:right="0"/>
        <w:jc w:val="left"/>
      </w:pPr>
      <w:r>
        <w:rPr>
          <w:spacing w:val="-7"/>
        </w:rPr>
        <w:t>设立的全资子公司链动（杭州）投资有限公司（以下简称“链动投资”）拟出资 </w:t>
      </w:r>
      <w:r>
        <w:rPr>
          <w:rFonts w:ascii="宋体" w:hAnsi="宋体" w:cs="宋体" w:eastAsia="宋体" w:hint="default"/>
        </w:rPr>
        <w:t>500</w:t>
      </w:r>
      <w:r>
        <w:rPr>
          <w:rFonts w:ascii="宋体" w:hAnsi="宋体" w:cs="宋体" w:eastAsia="宋体" w:hint="default"/>
          <w:spacing w:val="-54"/>
        </w:rPr>
        <w:t> </w:t>
      </w:r>
      <w:r>
        <w:rPr/>
        <w:t>万元人民币、</w:t>
      </w:r>
    </w:p>
    <w:p>
      <w:pPr>
        <w:pStyle w:val="BodyText"/>
        <w:spacing w:line="240" w:lineRule="auto" w:before="85"/>
        <w:ind w:right="0"/>
        <w:jc w:val="left"/>
      </w:pPr>
      <w:r>
        <w:rPr/>
        <w:t>杭州好望角奇点投资合伙企业（普通合伙）（以下简称“奇点投资”）拟出资</w:t>
      </w:r>
      <w:r>
        <w:rPr>
          <w:spacing w:val="-53"/>
        </w:rPr>
        <w:t> </w:t>
      </w:r>
      <w:r>
        <w:rPr>
          <w:rFonts w:ascii="宋体" w:hAnsi="宋体" w:cs="宋体" w:eastAsia="宋体" w:hint="default"/>
        </w:rPr>
        <w:t>500</w:t>
      </w:r>
      <w:r>
        <w:rPr>
          <w:rFonts w:ascii="宋体" w:hAnsi="宋体" w:cs="宋体" w:eastAsia="宋体" w:hint="default"/>
          <w:spacing w:val="-56"/>
        </w:rPr>
        <w:t> </w:t>
      </w:r>
      <w:r>
        <w:rPr/>
        <w:t>万元人民币共</w:t>
      </w:r>
    </w:p>
    <w:p>
      <w:pPr>
        <w:pStyle w:val="BodyText"/>
        <w:spacing w:line="314" w:lineRule="auto" w:before="85"/>
        <w:ind w:right="0"/>
        <w:jc w:val="left"/>
      </w:pPr>
      <w:r>
        <w:rPr/>
        <w:t>同募集设立杭州星航数据投资合伙企业（有限合伙），首期规模不超过</w:t>
      </w:r>
      <w:r>
        <w:rPr>
          <w:spacing w:val="-54"/>
        </w:rPr>
        <w:t> </w:t>
      </w:r>
      <w:r>
        <w:rPr>
          <w:rFonts w:ascii="宋体" w:hAnsi="宋体" w:cs="宋体" w:eastAsia="宋体" w:hint="default"/>
        </w:rPr>
        <w:t>5</w:t>
      </w:r>
      <w:r>
        <w:rPr>
          <w:rFonts w:ascii="宋体" w:hAnsi="宋体" w:cs="宋体" w:eastAsia="宋体" w:hint="default"/>
          <w:spacing w:val="-54"/>
        </w:rPr>
        <w:t> </w:t>
      </w:r>
      <w:r>
        <w:rPr/>
        <w:t>亿元。</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17</w:t>
      </w:r>
      <w:r>
        <w:rPr>
          <w:rFonts w:ascii="宋体" w:hAnsi="宋体" w:cs="宋体" w:eastAsia="宋体" w:hint="default"/>
          <w:w w:val="100"/>
        </w:rPr>
        <w:t> </w:t>
      </w:r>
      <w:r>
        <w:rPr>
          <w:spacing w:val="-2"/>
        </w:rPr>
        <w:t>日，拟设立投资基金在杭州市上城区市场监督管理局取得营业执照，名称为杭州链反应投资合伙</w:t>
      </w:r>
      <w:r>
        <w:rPr>
          <w:spacing w:val="-25"/>
        </w:rPr>
        <w:t> </w:t>
      </w:r>
      <w:r>
        <w:rPr>
          <w:spacing w:val="-25"/>
        </w:rPr>
      </w:r>
      <w:r>
        <w:rPr>
          <w:spacing w:val="-11"/>
          <w:w w:val="100"/>
        </w:rPr>
        <w:t>企业（有限合伙），</w:t>
      </w:r>
      <w:r>
        <w:rPr>
          <w:rFonts w:ascii="宋体" w:hAnsi="宋体" w:cs="宋体" w:eastAsia="宋体" w:hint="default"/>
          <w:spacing w:val="-11"/>
          <w:w w:val="100"/>
        </w:rPr>
        <w:t>2015</w:t>
      </w:r>
      <w:r>
        <w:rPr>
          <w:rFonts w:ascii="宋体" w:hAnsi="宋体" w:cs="宋体" w:eastAsia="宋体" w:hint="default"/>
          <w:spacing w:val="-53"/>
          <w:w w:val="100"/>
        </w:rPr>
        <w:t> </w:t>
      </w:r>
      <w:r>
        <w:rPr>
          <w:w w:val="100"/>
        </w:rPr>
        <w:t>年</w:t>
      </w:r>
      <w:r>
        <w:rPr>
          <w:spacing w:val="-51"/>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31</w:t>
      </w:r>
      <w:r>
        <w:rPr>
          <w:rFonts w:ascii="宋体" w:hAnsi="宋体" w:cs="宋体" w:eastAsia="宋体" w:hint="default"/>
          <w:spacing w:val="-53"/>
          <w:w w:val="100"/>
        </w:rPr>
        <w:t> </w:t>
      </w:r>
      <w:r>
        <w:rPr>
          <w:spacing w:val="-5"/>
          <w:w w:val="100"/>
        </w:rPr>
        <w:t>日，全体合伙人实缴出资人民币</w:t>
      </w:r>
      <w:r>
        <w:rPr>
          <w:spacing w:val="-51"/>
          <w:w w:val="100"/>
        </w:rPr>
        <w:t> </w:t>
      </w:r>
      <w:r>
        <w:rPr>
          <w:rFonts w:ascii="宋体" w:hAnsi="宋体" w:cs="宋体" w:eastAsia="宋体" w:hint="default"/>
          <w:spacing w:val="-1"/>
          <w:w w:val="100"/>
        </w:rPr>
        <w:t>25000</w:t>
      </w:r>
      <w:r>
        <w:rPr>
          <w:rFonts w:ascii="宋体" w:hAnsi="宋体" w:cs="宋体" w:eastAsia="宋体" w:hint="default"/>
          <w:spacing w:val="-53"/>
          <w:w w:val="100"/>
        </w:rPr>
        <w:t> </w:t>
      </w:r>
      <w:r>
        <w:rPr>
          <w:spacing w:val="-10"/>
          <w:w w:val="100"/>
        </w:rPr>
        <w:t>万元已全部到位。（详</w:t>
      </w:r>
      <w:r>
        <w:rPr>
          <w:w w:val="100"/>
        </w:rPr>
        <w:t> </w:t>
      </w:r>
      <w:r>
        <w:rPr/>
        <w:t>见上海证券交易所网站：</w:t>
      </w:r>
      <w:hyperlink r:id="rId12">
        <w:r>
          <w:rPr>
            <w:rFonts w:ascii="宋体" w:hAnsi="宋体" w:cs="宋体" w:eastAsia="宋体" w:hint="default"/>
          </w:rPr>
          <w:t>www.sse.com.cn</w:t>
        </w:r>
      </w:hyperlink>
      <w:r>
        <w:rPr>
          <w:rFonts w:ascii="宋体" w:hAnsi="宋体" w:cs="宋体" w:eastAsia="宋体" w:hint="default"/>
          <w:spacing w:val="-57"/>
        </w:rPr>
        <w:t> </w:t>
      </w:r>
      <w:r>
        <w:rPr/>
        <w:t>科达股份临</w:t>
      </w:r>
      <w:r>
        <w:rPr>
          <w:spacing w:val="-54"/>
        </w:rPr>
        <w:t> </w:t>
      </w:r>
      <w:r>
        <w:rPr>
          <w:rFonts w:ascii="宋体" w:hAnsi="宋体" w:cs="宋体" w:eastAsia="宋体" w:hint="default"/>
        </w:rPr>
        <w:t>2015-045</w:t>
      </w:r>
      <w:r>
        <w:rPr>
          <w:rFonts w:ascii="宋体" w:hAnsi="宋体" w:cs="宋体" w:eastAsia="宋体" w:hint="default"/>
          <w:spacing w:val="-55"/>
        </w:rPr>
        <w:t> </w:t>
      </w:r>
      <w:r>
        <w:rPr/>
        <w:t>号公告；上海证券交易所网站：</w:t>
      </w:r>
      <w:r>
        <w:rPr>
          <w:w w:val="100"/>
        </w:rPr>
        <w:t> </w:t>
      </w:r>
      <w:hyperlink r:id="rId12">
        <w:r>
          <w:rPr>
            <w:rFonts w:ascii="宋体" w:hAnsi="宋体" w:cs="宋体" w:eastAsia="宋体" w:hint="default"/>
          </w:rPr>
          <w:t>www.sse.com.cn</w:t>
        </w:r>
      </w:hyperlink>
      <w:r>
        <w:rPr>
          <w:rFonts w:ascii="宋体" w:hAnsi="宋体" w:cs="宋体" w:eastAsia="宋体" w:hint="default"/>
          <w:spacing w:val="-55"/>
        </w:rPr>
        <w:t> </w:t>
      </w:r>
      <w:r>
        <w:rPr/>
        <w:t>科达股份临</w:t>
      </w:r>
      <w:r>
        <w:rPr>
          <w:spacing w:val="-54"/>
        </w:rPr>
        <w:t> </w:t>
      </w:r>
      <w:r>
        <w:rPr>
          <w:rFonts w:ascii="宋体" w:hAnsi="宋体" w:cs="宋体" w:eastAsia="宋体" w:hint="default"/>
        </w:rPr>
        <w:t>2016-003</w:t>
      </w:r>
      <w:r>
        <w:rPr>
          <w:rFonts w:ascii="宋体" w:hAnsi="宋体" w:cs="宋体" w:eastAsia="宋体" w:hint="default"/>
          <w:spacing w:val="-55"/>
        </w:rPr>
        <w:t> </w:t>
      </w:r>
      <w:r>
        <w:rPr/>
        <w:t>号公告。）</w:t>
      </w:r>
    </w:p>
    <w:p>
      <w:pPr>
        <w:spacing w:line="240" w:lineRule="auto" w:before="2"/>
        <w:rPr>
          <w:rFonts w:ascii="宋体" w:hAnsi="宋体" w:cs="宋体" w:eastAsia="宋体" w:hint="default"/>
          <w:sz w:val="21"/>
          <w:szCs w:val="21"/>
        </w:rPr>
      </w:pPr>
    </w:p>
    <w:p>
      <w:pPr>
        <w:pStyle w:val="Heading2"/>
        <w:spacing w:line="290" w:lineRule="auto" w:before="0"/>
        <w:ind w:left="138" w:right="6859"/>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w w:val="100"/>
        </w:rPr>
        <w:t> </w:t>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2"/>
        <w:spacing w:line="290" w:lineRule="auto" w:before="0"/>
        <w:ind w:left="138" w:right="602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以公允价值计量的金融资产</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324" w:lineRule="auto" w:before="0"/>
        <w:ind w:left="558" w:right="6649" w:hanging="42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重大资产和股权出售</w:t>
      </w:r>
      <w:r>
        <w:rPr>
          <w:w w:val="100"/>
        </w:rPr>
        <w:t> </w:t>
      </w:r>
      <w:r>
        <w:rPr>
          <w:rFonts w:ascii="宋体" w:hAnsi="宋体" w:cs="宋体" w:eastAsia="宋体" w:hint="default"/>
        </w:rPr>
        <w:t>1</w:t>
      </w:r>
      <w:r>
        <w:rPr/>
        <w:t>、股权出售情况</w:t>
      </w:r>
      <w:r>
        <w:rPr>
          <w:b w:val="0"/>
          <w:bCs w:val="0"/>
        </w:rPr>
      </w:r>
    </w:p>
    <w:p>
      <w:pPr>
        <w:pStyle w:val="BodyText"/>
        <w:spacing w:line="314" w:lineRule="auto" w:before="11"/>
        <w:ind w:right="145" w:firstLine="419"/>
        <w:jc w:val="both"/>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47"/>
        </w:rPr>
        <w:t> </w:t>
      </w:r>
      <w:r>
        <w:rPr/>
        <w:t>年</w:t>
      </w:r>
      <w:r>
        <w:rPr>
          <w:spacing w:val="-45"/>
        </w:rPr>
        <w:t> </w:t>
      </w:r>
      <w:r>
        <w:rPr>
          <w:rFonts w:ascii="宋体" w:hAnsi="宋体" w:cs="宋体" w:eastAsia="宋体" w:hint="default"/>
        </w:rPr>
        <w:t>10</w:t>
      </w:r>
      <w:r>
        <w:rPr>
          <w:rFonts w:ascii="宋体" w:hAnsi="宋体" w:cs="宋体" w:eastAsia="宋体" w:hint="default"/>
          <w:spacing w:val="-47"/>
        </w:rPr>
        <w:t> </w:t>
      </w:r>
      <w:r>
        <w:rPr/>
        <w:t>月</w:t>
      </w:r>
      <w:r>
        <w:rPr>
          <w:spacing w:val="-45"/>
        </w:rPr>
        <w:t> </w:t>
      </w:r>
      <w:r>
        <w:rPr>
          <w:rFonts w:ascii="宋体" w:hAnsi="宋体" w:cs="宋体" w:eastAsia="宋体" w:hint="default"/>
        </w:rPr>
        <w:t>9</w:t>
      </w:r>
      <w:r>
        <w:rPr>
          <w:rFonts w:ascii="宋体" w:hAnsi="宋体" w:cs="宋体" w:eastAsia="宋体" w:hint="default"/>
          <w:spacing w:val="-47"/>
        </w:rPr>
        <w:t> </w:t>
      </w:r>
      <w:r>
        <w:rPr>
          <w:spacing w:val="-5"/>
        </w:rPr>
        <w:t>日，公司与山东科达签署股权转让协议，公司拟将持有的大桥公司</w:t>
      </w:r>
      <w:r>
        <w:rPr>
          <w:spacing w:val="-43"/>
        </w:rPr>
        <w:t> </w:t>
      </w:r>
      <w:r>
        <w:rPr>
          <w:rFonts w:ascii="宋体" w:hAnsi="宋体" w:cs="宋体" w:eastAsia="宋体" w:hint="default"/>
        </w:rPr>
        <w:t>50%</w:t>
      </w:r>
      <w:r>
        <w:rPr/>
        <w:t>股权出</w:t>
      </w:r>
      <w:r>
        <w:rPr>
          <w:w w:val="100"/>
        </w:rPr>
        <w:t> </w:t>
      </w:r>
      <w:r>
        <w:rPr/>
        <w:t>售给公司控股股东山东科达</w:t>
      </w:r>
      <w:r>
        <w:rPr>
          <w:rFonts w:ascii="宋体" w:hAnsi="宋体" w:cs="宋体" w:eastAsia="宋体" w:hint="default"/>
        </w:rPr>
        <w:t>,</w:t>
      </w:r>
      <w:r>
        <w:rPr>
          <w:rFonts w:ascii="宋体" w:hAnsi="宋体" w:cs="宋体" w:eastAsia="宋体" w:hint="default"/>
          <w:spacing w:val="-4"/>
        </w:rPr>
        <w:t> </w:t>
      </w:r>
      <w:r>
        <w:rPr/>
        <w:t>公司不再持有大桥公司股权，根据银信资产评估有限公司所出具的</w:t>
      </w:r>
      <w:r>
        <w:rPr>
          <w:w w:val="100"/>
        </w:rPr>
        <w:t> </w:t>
      </w:r>
      <w:r>
        <w:rPr>
          <w:spacing w:val="-3"/>
        </w:rPr>
        <w:t>评估报告，此次出售资产涉及的大桥公司</w:t>
      </w:r>
      <w:r>
        <w:rPr>
          <w:spacing w:val="-42"/>
        </w:rPr>
        <w:t> </w:t>
      </w:r>
      <w:r>
        <w:rPr>
          <w:rFonts w:ascii="宋体" w:hAnsi="宋体" w:cs="宋体" w:eastAsia="宋体" w:hint="default"/>
        </w:rPr>
        <w:t>50%</w:t>
      </w:r>
      <w:r>
        <w:rPr/>
        <w:t>股权的股东权益价值为人民币</w:t>
      </w:r>
      <w:r>
        <w:rPr>
          <w:spacing w:val="-44"/>
        </w:rPr>
        <w:t> </w:t>
      </w:r>
      <w:r>
        <w:rPr>
          <w:rFonts w:ascii="宋体" w:hAnsi="宋体" w:cs="宋体" w:eastAsia="宋体" w:hint="default"/>
        </w:rPr>
        <w:t>23,707</w:t>
      </w:r>
      <w:r>
        <w:rPr>
          <w:rFonts w:ascii="宋体" w:hAnsi="宋体" w:cs="宋体" w:eastAsia="宋体" w:hint="default"/>
          <w:spacing w:val="-41"/>
        </w:rPr>
        <w:t> </w:t>
      </w:r>
      <w:r>
        <w:rPr>
          <w:spacing w:val="-5"/>
        </w:rPr>
        <w:t>万元，根据第</w:t>
      </w:r>
      <w:r>
        <w:rPr>
          <w:spacing w:val="-101"/>
        </w:rPr>
        <w:t> </w:t>
      </w:r>
      <w:r>
        <w:rPr>
          <w:spacing w:val="-101"/>
        </w:rPr>
      </w:r>
      <w:r>
        <w:rPr>
          <w:spacing w:val="-3"/>
        </w:rPr>
        <w:t>七届董事会临时会议决议，本次股权转让的最终交易价格以资产评估报告为准，为人民币</w:t>
      </w:r>
      <w:r>
        <w:rPr>
          <w:spacing w:val="19"/>
        </w:rPr>
        <w:t> </w:t>
      </w:r>
      <w:r>
        <w:rPr>
          <w:rFonts w:ascii="宋体" w:hAnsi="宋体" w:cs="宋体" w:eastAsia="宋体" w:hint="default"/>
        </w:rPr>
        <w:t>23,707</w:t>
      </w:r>
    </w:p>
    <w:p>
      <w:pPr>
        <w:pStyle w:val="BodyText"/>
        <w:spacing w:line="314" w:lineRule="auto"/>
        <w:ind w:right="147"/>
        <w:jc w:val="both"/>
      </w:pPr>
      <w:r>
        <w:rPr/>
        <w:t>万元；</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6"/>
        </w:rPr>
        <w:t> </w:t>
      </w:r>
      <w:r>
        <w:rPr>
          <w:rFonts w:ascii="宋体" w:hAnsi="宋体" w:cs="宋体" w:eastAsia="宋体" w:hint="default"/>
        </w:rPr>
        <w:t>26</w:t>
      </w:r>
      <w:r>
        <w:rPr>
          <w:rFonts w:ascii="宋体" w:hAnsi="宋体" w:cs="宋体" w:eastAsia="宋体" w:hint="default"/>
          <w:spacing w:val="-55"/>
        </w:rPr>
        <w:t> </w:t>
      </w:r>
      <w:r>
        <w:rPr/>
        <w:t>日，公司召开</w:t>
      </w:r>
      <w:r>
        <w:rPr>
          <w:spacing w:val="-54"/>
        </w:rPr>
        <w:t> </w:t>
      </w:r>
      <w:r>
        <w:rPr>
          <w:rFonts w:ascii="宋体" w:hAnsi="宋体" w:cs="宋体" w:eastAsia="宋体" w:hint="default"/>
        </w:rPr>
        <w:t>2015</w:t>
      </w:r>
      <w:r>
        <w:rPr>
          <w:rFonts w:ascii="宋体" w:hAnsi="宋体" w:cs="宋体" w:eastAsia="宋体" w:hint="default"/>
          <w:spacing w:val="-54"/>
        </w:rPr>
        <w:t> </w:t>
      </w:r>
      <w:r>
        <w:rPr/>
        <w:t>年第三次临时股东大会，审议并通过了该股权转让事</w:t>
      </w:r>
      <w:r>
        <w:rPr>
          <w:w w:val="100"/>
        </w:rPr>
        <w:t> </w:t>
      </w:r>
      <w:r>
        <w:rPr/>
        <w:t>项；</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月，本次股权转让事项完成工商变更。本次股权转让价款采取现金方式分三次收</w:t>
      </w:r>
      <w:r>
        <w:rPr>
          <w:w w:val="100"/>
        </w:rPr>
        <w:t> </w:t>
      </w:r>
      <w:r>
        <w:rPr>
          <w:spacing w:val="-5"/>
        </w:rPr>
        <w:t>取：</w:t>
      </w:r>
      <w:r>
        <w:rPr>
          <w:rFonts w:ascii="宋体" w:hAnsi="宋体" w:cs="宋体" w:eastAsia="宋体" w:hint="default"/>
          <w:spacing w:val="-5"/>
        </w:rPr>
        <w:t>2015</w:t>
      </w:r>
      <w:r>
        <w:rPr>
          <w:rFonts w:ascii="宋体" w:hAnsi="宋体" w:cs="宋体" w:eastAsia="宋体" w:hint="default"/>
          <w:spacing w:val="-50"/>
        </w:rPr>
        <w:t> </w:t>
      </w:r>
      <w:r>
        <w:rPr/>
        <w:t>年</w:t>
      </w:r>
      <w:r>
        <w:rPr>
          <w:spacing w:val="-50"/>
        </w:rPr>
        <w:t> </w:t>
      </w:r>
      <w:r>
        <w:rPr>
          <w:rFonts w:ascii="宋体" w:hAnsi="宋体" w:cs="宋体" w:eastAsia="宋体" w:hint="default"/>
        </w:rPr>
        <w:t>11</w:t>
      </w:r>
      <w:r>
        <w:rPr>
          <w:rFonts w:ascii="宋体" w:hAnsi="宋体" w:cs="宋体" w:eastAsia="宋体" w:hint="default"/>
          <w:spacing w:val="-50"/>
        </w:rPr>
        <w:t> </w:t>
      </w:r>
      <w:r>
        <w:rPr/>
        <w:t>月</w:t>
      </w:r>
      <w:r>
        <w:rPr>
          <w:spacing w:val="-52"/>
        </w:rPr>
        <w:t> </w:t>
      </w:r>
      <w:r>
        <w:rPr>
          <w:rFonts w:ascii="宋体" w:hAnsi="宋体" w:cs="宋体" w:eastAsia="宋体" w:hint="default"/>
        </w:rPr>
        <w:t>4</w:t>
      </w:r>
      <w:r>
        <w:rPr>
          <w:rFonts w:ascii="宋体" w:hAnsi="宋体" w:cs="宋体" w:eastAsia="宋体" w:hint="default"/>
          <w:spacing w:val="-50"/>
        </w:rPr>
        <w:t> </w:t>
      </w:r>
      <w:r>
        <w:rPr>
          <w:spacing w:val="-4"/>
        </w:rPr>
        <w:t>日，公司收到股权转让价款</w:t>
      </w:r>
      <w:r>
        <w:rPr>
          <w:spacing w:val="-48"/>
        </w:rPr>
        <w:t> </w:t>
      </w:r>
      <w:r>
        <w:rPr>
          <w:rFonts w:ascii="宋体" w:hAnsi="宋体" w:cs="宋体" w:eastAsia="宋体" w:hint="default"/>
        </w:rPr>
        <w:t>4,741.40</w:t>
      </w:r>
      <w:r>
        <w:rPr>
          <w:rFonts w:ascii="宋体" w:hAnsi="宋体" w:cs="宋体" w:eastAsia="宋体" w:hint="default"/>
          <w:spacing w:val="-52"/>
        </w:rPr>
        <w:t> </w:t>
      </w:r>
      <w:r>
        <w:rPr>
          <w:spacing w:val="-4"/>
        </w:rPr>
        <w:t>万元；</w:t>
      </w:r>
      <w:r>
        <w:rPr>
          <w:rFonts w:ascii="宋体" w:hAnsi="宋体" w:cs="宋体" w:eastAsia="宋体" w:hint="default"/>
          <w:spacing w:val="-4"/>
        </w:rPr>
        <w:t>2015</w:t>
      </w:r>
      <w:r>
        <w:rPr>
          <w:rFonts w:ascii="宋体" w:hAnsi="宋体" w:cs="宋体" w:eastAsia="宋体" w:hint="default"/>
          <w:spacing w:val="-52"/>
        </w:rPr>
        <w:t> </w:t>
      </w:r>
      <w:r>
        <w:rPr/>
        <w:t>年</w:t>
      </w:r>
      <w:r>
        <w:rPr>
          <w:spacing w:val="-50"/>
        </w:rPr>
        <w:t> </w:t>
      </w:r>
      <w:r>
        <w:rPr>
          <w:rFonts w:ascii="宋体" w:hAnsi="宋体" w:cs="宋体" w:eastAsia="宋体" w:hint="default"/>
        </w:rPr>
        <w:t>11</w:t>
      </w:r>
      <w:r>
        <w:rPr>
          <w:rFonts w:ascii="宋体" w:hAnsi="宋体" w:cs="宋体" w:eastAsia="宋体" w:hint="default"/>
          <w:spacing w:val="-52"/>
        </w:rPr>
        <w:t> </w:t>
      </w:r>
      <w:r>
        <w:rPr/>
        <w:t>月</w:t>
      </w:r>
      <w:r>
        <w:rPr>
          <w:spacing w:val="-48"/>
        </w:rPr>
        <w:t> </w:t>
      </w:r>
      <w:r>
        <w:rPr>
          <w:rFonts w:ascii="宋体" w:hAnsi="宋体" w:cs="宋体" w:eastAsia="宋体" w:hint="default"/>
        </w:rPr>
        <w:t>13</w:t>
      </w:r>
      <w:r>
        <w:rPr>
          <w:rFonts w:ascii="宋体" w:hAnsi="宋体" w:cs="宋体" w:eastAsia="宋体" w:hint="default"/>
          <w:spacing w:val="-50"/>
        </w:rPr>
        <w:t> </w:t>
      </w:r>
      <w:r>
        <w:rPr>
          <w:spacing w:val="-5"/>
        </w:rPr>
        <w:t>日，公司收到股</w:t>
      </w:r>
    </w:p>
    <w:p>
      <w:pPr>
        <w:pStyle w:val="BodyText"/>
        <w:spacing w:line="314" w:lineRule="auto"/>
        <w:ind w:left="560" w:right="0" w:hanging="423"/>
        <w:jc w:val="left"/>
        <w:rPr>
          <w:rFonts w:ascii="宋体" w:hAnsi="宋体" w:cs="宋体" w:eastAsia="宋体" w:hint="default"/>
        </w:rPr>
      </w:pPr>
      <w:r>
        <w:rPr/>
        <w:t>权转让价款</w:t>
      </w:r>
      <w:r>
        <w:rPr>
          <w:spacing w:val="-54"/>
        </w:rPr>
        <w:t> </w:t>
      </w:r>
      <w:r>
        <w:rPr>
          <w:rFonts w:ascii="宋体" w:hAnsi="宋体" w:cs="宋体" w:eastAsia="宋体" w:hint="default"/>
        </w:rPr>
        <w:t>14,224.20</w:t>
      </w:r>
      <w:r>
        <w:rPr>
          <w:rFonts w:ascii="宋体" w:hAnsi="宋体" w:cs="宋体" w:eastAsia="宋体" w:hint="default"/>
          <w:spacing w:val="-53"/>
        </w:rPr>
        <w:t> </w:t>
      </w:r>
      <w:r>
        <w:rPr/>
        <w:t>万元；</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29</w:t>
      </w:r>
      <w:r>
        <w:rPr>
          <w:rFonts w:ascii="宋体" w:hAnsi="宋体" w:cs="宋体" w:eastAsia="宋体" w:hint="default"/>
          <w:spacing w:val="-54"/>
        </w:rPr>
        <w:t> </w:t>
      </w:r>
      <w:r>
        <w:rPr/>
        <w:t>日，公司收到股权转让价款</w:t>
      </w:r>
      <w:r>
        <w:rPr>
          <w:spacing w:val="-54"/>
        </w:rPr>
        <w:t> </w:t>
      </w:r>
      <w:r>
        <w:rPr>
          <w:rFonts w:ascii="宋体" w:hAnsi="宋体" w:cs="宋体" w:eastAsia="宋体" w:hint="default"/>
        </w:rPr>
        <w:t>4,741.40</w:t>
      </w:r>
      <w:r>
        <w:rPr>
          <w:rFonts w:ascii="宋体" w:hAnsi="宋体" w:cs="宋体" w:eastAsia="宋体" w:hint="default"/>
          <w:spacing w:val="-53"/>
        </w:rPr>
        <w:t> </w:t>
      </w:r>
      <w:r>
        <w:rPr/>
        <w:t>万元。</w:t>
      </w:r>
      <w:r>
        <w:rPr>
          <w:w w:val="100"/>
        </w:rPr>
        <w:t> </w:t>
      </w:r>
      <w:r>
        <w:rPr>
          <w:rFonts w:ascii="宋体" w:hAnsi="宋体" w:cs="宋体" w:eastAsia="宋体" w:hint="default"/>
          <w:b/>
          <w:bCs/>
        </w:rPr>
        <w:t>2</w:t>
      </w:r>
      <w:r>
        <w:rPr>
          <w:rFonts w:ascii="宋体" w:hAnsi="宋体" w:cs="宋体" w:eastAsia="宋体" w:hint="default"/>
          <w:b/>
          <w:bCs/>
        </w:rPr>
        <w:t>、对上市公司影响</w:t>
      </w:r>
      <w:r>
        <w:rPr>
          <w:rFonts w:ascii="宋体" w:hAnsi="宋体" w:cs="宋体" w:eastAsia="宋体" w:hint="default"/>
        </w:rPr>
      </w:r>
    </w:p>
    <w:p>
      <w:pPr>
        <w:pStyle w:val="BodyText"/>
        <w:spacing w:line="314" w:lineRule="auto"/>
        <w:ind w:right="145" w:firstLine="412"/>
        <w:jc w:val="both"/>
      </w:pPr>
      <w:r>
        <w:rPr>
          <w:spacing w:val="-4"/>
        </w:rPr>
        <w:t>（</w:t>
      </w:r>
      <w:r>
        <w:rPr>
          <w:rFonts w:ascii="宋体" w:hAnsi="宋体" w:cs="宋体" w:eastAsia="宋体" w:hint="default"/>
          <w:spacing w:val="-4"/>
        </w:rPr>
        <w:t>1</w:t>
      </w:r>
      <w:r>
        <w:rPr>
          <w:spacing w:val="-4"/>
        </w:rPr>
        <w:t>）通过本次出售资产，可以进一步优化公司产业布局，符合公司战略发展规划。出售资产</w:t>
      </w:r>
      <w:r>
        <w:rPr>
          <w:w w:val="100"/>
        </w:rPr>
        <w:t> </w:t>
      </w:r>
      <w:r>
        <w:rPr>
          <w:spacing w:val="-2"/>
        </w:rPr>
        <w:t>所得资金将用于偿还公司银行贷款和公司新增业务的拓展，在优化公司资产负债结构的同时，利</w:t>
      </w:r>
      <w:r>
        <w:rPr>
          <w:spacing w:val="-25"/>
        </w:rPr>
        <w:t> </w:t>
      </w:r>
      <w:r>
        <w:rPr>
          <w:spacing w:val="-25"/>
        </w:rPr>
      </w:r>
      <w:r>
        <w:rPr/>
        <w:t>用公司自有资金实现新增业务的拓展。</w:t>
      </w:r>
    </w:p>
    <w:p>
      <w:pPr>
        <w:pStyle w:val="BodyText"/>
        <w:spacing w:line="360" w:lineRule="auto" w:before="71"/>
        <w:ind w:left="558" w:right="0"/>
        <w:jc w:val="left"/>
      </w:pPr>
      <w:r>
        <w:rPr/>
        <w:t>（</w:t>
      </w:r>
      <w:r>
        <w:rPr>
          <w:rFonts w:ascii="宋体" w:hAnsi="宋体" w:cs="宋体" w:eastAsia="宋体" w:hint="default"/>
        </w:rPr>
        <w:t>2</w:t>
      </w:r>
      <w:r>
        <w:rPr/>
        <w:t>）对公司财务状况和经营成果产生的影响</w:t>
      </w:r>
      <w:r>
        <w:rPr>
          <w:w w:val="100"/>
        </w:rPr>
        <w:t> </w:t>
      </w:r>
      <w:r>
        <w:rPr>
          <w:spacing w:val="-4"/>
        </w:rPr>
        <w:t>截止</w:t>
      </w:r>
      <w:r>
        <w:rPr>
          <w:rFonts w:ascii="宋体" w:hAnsi="宋体" w:cs="宋体" w:eastAsia="宋体" w:hint="default"/>
          <w:spacing w:val="-4"/>
        </w:rPr>
        <w:t>2015</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31</w:t>
      </w:r>
      <w:r>
        <w:rPr>
          <w:spacing w:val="-4"/>
        </w:rPr>
        <w:t>日，大桥公司经审计的账面净资产为</w:t>
      </w:r>
      <w:r>
        <w:rPr>
          <w:rFonts w:ascii="宋体" w:hAnsi="宋体" w:cs="宋体" w:eastAsia="宋体" w:hint="default"/>
          <w:spacing w:val="-4"/>
        </w:rPr>
        <w:t>3.83</w:t>
      </w:r>
      <w:r>
        <w:rPr>
          <w:spacing w:val="-4"/>
        </w:rPr>
        <w:t>亿元，评估值</w:t>
      </w:r>
      <w:r>
        <w:rPr>
          <w:rFonts w:ascii="宋体" w:hAnsi="宋体" w:cs="宋体" w:eastAsia="宋体" w:hint="default"/>
          <w:spacing w:val="-4"/>
        </w:rPr>
        <w:t>4.74</w:t>
      </w:r>
      <w:r>
        <w:rPr>
          <w:spacing w:val="-4"/>
        </w:rPr>
        <w:t>亿元，评估值高</w:t>
      </w:r>
    </w:p>
    <w:p>
      <w:pPr>
        <w:pStyle w:val="BodyText"/>
        <w:spacing w:line="255" w:lineRule="exact" w:before="0"/>
        <w:ind w:right="0"/>
        <w:jc w:val="left"/>
      </w:pPr>
      <w:r>
        <w:rPr/>
        <w:t>于净资产</w:t>
      </w:r>
      <w:r>
        <w:rPr>
          <w:rFonts w:ascii="宋体" w:hAnsi="宋体" w:cs="宋体" w:eastAsia="宋体" w:hint="default"/>
        </w:rPr>
        <w:t>0.91</w:t>
      </w:r>
      <w:r>
        <w:rPr/>
        <w:t>亿元。公司持有大桥公司</w:t>
      </w:r>
      <w:r>
        <w:rPr>
          <w:rFonts w:ascii="宋体" w:hAnsi="宋体" w:cs="宋体" w:eastAsia="宋体" w:hint="default"/>
        </w:rPr>
        <w:t>50%</w:t>
      </w:r>
      <w:r>
        <w:rPr/>
        <w:t>的股权，本次股权转让增加上市公司投资收益</w:t>
      </w:r>
      <w:r>
        <w:rPr>
          <w:rFonts w:ascii="宋体" w:hAnsi="宋体" w:cs="宋体" w:eastAsia="宋体" w:hint="default"/>
        </w:rPr>
        <w:t>0.455</w:t>
      </w:r>
      <w:r>
        <w:rPr/>
        <w:t>亿</w:t>
      </w:r>
    </w:p>
    <w:p>
      <w:pPr>
        <w:pStyle w:val="BodyText"/>
        <w:spacing w:line="240" w:lineRule="auto" w:before="85"/>
        <w:ind w:right="0"/>
        <w:jc w:val="left"/>
      </w:pPr>
      <w:r>
        <w:rPr/>
        <w:t>元，增加现金流</w:t>
      </w:r>
      <w:r>
        <w:rPr>
          <w:rFonts w:ascii="宋体" w:hAnsi="宋体" w:cs="宋体" w:eastAsia="宋体" w:hint="default"/>
        </w:rPr>
        <w:t>2.37</w:t>
      </w:r>
      <w:r>
        <w:rPr/>
        <w:t>亿元。</w:t>
      </w:r>
    </w:p>
    <w:p>
      <w:pPr>
        <w:spacing w:line="240" w:lineRule="auto" w:before="9"/>
        <w:rPr>
          <w:rFonts w:ascii="宋体" w:hAnsi="宋体" w:cs="宋体" w:eastAsia="宋体" w:hint="default"/>
          <w:sz w:val="15"/>
          <w:szCs w:val="15"/>
        </w:rPr>
      </w:pPr>
    </w:p>
    <w:p>
      <w:pPr>
        <w:pStyle w:val="BodyText"/>
        <w:spacing w:line="314" w:lineRule="auto" w:before="0"/>
        <w:ind w:right="145" w:firstLine="419"/>
        <w:jc w:val="both"/>
      </w:pPr>
      <w:r>
        <w:rPr>
          <w:spacing w:val="-4"/>
        </w:rPr>
        <w:t>（</w:t>
      </w:r>
      <w:r>
        <w:rPr>
          <w:rFonts w:ascii="宋体" w:hAnsi="宋体" w:cs="宋体" w:eastAsia="宋体" w:hint="default"/>
          <w:spacing w:val="-4"/>
        </w:rPr>
        <w:t>3</w:t>
      </w:r>
      <w:r>
        <w:rPr>
          <w:spacing w:val="-4"/>
        </w:rPr>
        <w:t>）大桥公司为公司的合营公司，不纳入公司的合并报表范围，本次交易不会导致公司合并</w:t>
      </w:r>
      <w:r>
        <w:rPr>
          <w:w w:val="100"/>
        </w:rPr>
        <w:t> </w:t>
      </w:r>
      <w:r>
        <w:rPr>
          <w:spacing w:val="-2"/>
        </w:rPr>
        <w:t>报表范围发生变化，公司不存在为大桥公司担保、委托大桥公司理财，以及大桥公司占用公司资</w:t>
      </w:r>
      <w:r>
        <w:rPr>
          <w:spacing w:val="-27"/>
        </w:rPr>
        <w:t> </w:t>
      </w:r>
      <w:r>
        <w:rPr>
          <w:spacing w:val="-27"/>
        </w:rPr>
      </w:r>
      <w:r>
        <w:rPr/>
        <w:t>金等方面的情况。</w:t>
      </w:r>
    </w:p>
    <w:p>
      <w:pPr>
        <w:spacing w:line="240" w:lineRule="auto" w:before="13"/>
        <w:rPr>
          <w:rFonts w:ascii="宋体" w:hAnsi="宋体" w:cs="宋体" w:eastAsia="宋体" w:hint="default"/>
          <w:sz w:val="20"/>
          <w:szCs w:val="20"/>
        </w:rPr>
      </w:pPr>
    </w:p>
    <w:p>
      <w:pPr>
        <w:pStyle w:val="Heading2"/>
        <w:spacing w:line="326" w:lineRule="auto" w:before="0"/>
        <w:ind w:left="558" w:right="5925" w:hanging="420"/>
        <w:jc w:val="left"/>
        <w:rPr>
          <w:b w:val="0"/>
          <w:bCs w:val="0"/>
        </w:rPr>
      </w:pP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27"/>
        </w:rPr>
        <w:t> </w:t>
      </w:r>
      <w:r>
        <w:rPr/>
        <w:t>主要控股参股公司分析</w:t>
      </w:r>
      <w:r>
        <w:rPr>
          <w:spacing w:val="-104"/>
        </w:rPr>
        <w:t> </w:t>
      </w:r>
      <w:r>
        <w:rPr>
          <w:spacing w:val="-104"/>
        </w:rPr>
      </w:r>
      <w:r>
        <w:rPr>
          <w:rFonts w:ascii="宋体" w:hAnsi="宋体" w:cs="宋体" w:eastAsia="宋体" w:hint="default"/>
          <w:spacing w:val="-1"/>
        </w:rPr>
        <w:t>1</w:t>
      </w:r>
      <w:r>
        <w:rPr>
          <w:spacing w:val="-1"/>
        </w:rPr>
        <w:t>、北京百孚思广告有限公司</w:t>
      </w:r>
      <w:r>
        <w:rPr>
          <w:b w:val="0"/>
          <w:bCs w:val="0"/>
          <w:spacing w:val="-1"/>
        </w:rPr>
      </w:r>
    </w:p>
    <w:p>
      <w:pPr>
        <w:spacing w:after="0" w:line="326" w:lineRule="auto"/>
        <w:jc w:val="left"/>
        <w:sectPr>
          <w:pgSz w:w="11910" w:h="16840"/>
          <w:pgMar w:header="855" w:footer="1193" w:top="1280" w:bottom="1380" w:left="1660" w:right="1120"/>
        </w:sectPr>
      </w:pPr>
    </w:p>
    <w:p>
      <w:pPr>
        <w:spacing w:line="240" w:lineRule="auto" w:before="9"/>
        <w:rPr>
          <w:rFonts w:ascii="宋体" w:hAnsi="宋体" w:cs="宋体" w:eastAsia="宋体" w:hint="default"/>
          <w:b/>
          <w:bCs/>
          <w:sz w:val="18"/>
          <w:szCs w:val="18"/>
        </w:rPr>
      </w:pPr>
    </w:p>
    <w:p>
      <w:pPr>
        <w:pStyle w:val="BodyText"/>
        <w:spacing w:line="240" w:lineRule="auto" w:before="36"/>
        <w:ind w:left="558" w:right="0"/>
        <w:jc w:val="left"/>
      </w:pPr>
      <w:r>
        <w:rPr>
          <w:w w:val="100"/>
        </w:rPr>
        <w:t>北京</w:t>
      </w:r>
      <w:r>
        <w:rPr>
          <w:spacing w:val="-3"/>
          <w:w w:val="100"/>
        </w:rPr>
        <w:t>百</w:t>
      </w:r>
      <w:r>
        <w:rPr>
          <w:w w:val="100"/>
        </w:rPr>
        <w:t>孚</w:t>
      </w:r>
      <w:r>
        <w:rPr>
          <w:spacing w:val="-3"/>
          <w:w w:val="100"/>
        </w:rPr>
        <w:t>思</w:t>
      </w:r>
      <w:r>
        <w:rPr>
          <w:w w:val="100"/>
        </w:rPr>
        <w:t>广</w:t>
      </w:r>
      <w:r>
        <w:rPr>
          <w:spacing w:val="-3"/>
          <w:w w:val="100"/>
        </w:rPr>
        <w:t>告</w:t>
      </w:r>
      <w:r>
        <w:rPr>
          <w:w w:val="100"/>
        </w:rPr>
        <w:t>有</w:t>
      </w:r>
      <w:r>
        <w:rPr>
          <w:spacing w:val="-3"/>
          <w:w w:val="100"/>
        </w:rPr>
        <w:t>限</w:t>
      </w:r>
      <w:r>
        <w:rPr>
          <w:w w:val="100"/>
        </w:rPr>
        <w:t>公</w:t>
      </w:r>
      <w:r>
        <w:rPr>
          <w:spacing w:val="-3"/>
          <w:w w:val="100"/>
        </w:rPr>
        <w:t>司</w:t>
      </w:r>
      <w:r>
        <w:rPr>
          <w:w w:val="100"/>
        </w:rPr>
        <w:t>成</w:t>
      </w:r>
      <w:r>
        <w:rPr>
          <w:spacing w:val="-3"/>
          <w:w w:val="100"/>
        </w:rPr>
        <w:t>立</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8</w:t>
      </w:r>
      <w:r>
        <w:rPr>
          <w:rFonts w:ascii="宋体" w:hAnsi="宋体" w:cs="宋体" w:eastAsia="宋体" w:hint="default"/>
          <w:spacing w:val="-53"/>
        </w:rPr>
        <w:t> </w:t>
      </w:r>
      <w:r>
        <w:rPr>
          <w:spacing w:val="-3"/>
          <w:w w:val="100"/>
        </w:rPr>
        <w:t>月</w:t>
      </w:r>
      <w:r>
        <w:rPr>
          <w:spacing w:val="-99"/>
          <w:w w:val="100"/>
        </w:rPr>
        <w:t>，</w:t>
      </w:r>
      <w:r>
        <w:rPr>
          <w:spacing w:val="-3"/>
          <w:w w:val="100"/>
        </w:rPr>
        <w:t>注册</w:t>
      </w:r>
      <w:r>
        <w:rPr>
          <w:w w:val="100"/>
        </w:rPr>
        <w:t>资本</w:t>
      </w:r>
      <w:r>
        <w:rPr>
          <w:spacing w:val="-52"/>
        </w:rPr>
        <w:t> </w:t>
      </w:r>
      <w:r>
        <w:rPr>
          <w:rFonts w:ascii="宋体" w:hAnsi="宋体" w:cs="宋体" w:eastAsia="宋体" w:hint="default"/>
          <w:spacing w:val="-3"/>
          <w:w w:val="100"/>
        </w:rPr>
        <w:t>3</w:t>
      </w:r>
      <w:r>
        <w:rPr>
          <w:rFonts w:ascii="宋体" w:hAnsi="宋体" w:cs="宋体" w:eastAsia="宋体" w:hint="default"/>
          <w:w w:val="100"/>
        </w:rPr>
        <w:t>000</w:t>
      </w:r>
      <w:r>
        <w:rPr>
          <w:rFonts w:ascii="宋体" w:hAnsi="宋体" w:cs="宋体" w:eastAsia="宋体" w:hint="default"/>
          <w:spacing w:val="-55"/>
        </w:rPr>
        <w:t> </w:t>
      </w:r>
      <w:r>
        <w:rPr>
          <w:w w:val="100"/>
        </w:rPr>
        <w:t>万</w:t>
      </w:r>
      <w:r>
        <w:rPr>
          <w:spacing w:val="-3"/>
          <w:w w:val="100"/>
        </w:rPr>
        <w:t>元</w:t>
      </w:r>
      <w:r>
        <w:rPr>
          <w:spacing w:val="-99"/>
          <w:w w:val="100"/>
        </w:rPr>
        <w:t>，</w:t>
      </w:r>
      <w:r>
        <w:rPr>
          <w:spacing w:val="-3"/>
          <w:w w:val="100"/>
        </w:rPr>
        <w:t>注</w:t>
      </w:r>
      <w:r>
        <w:rPr>
          <w:w w:val="100"/>
        </w:rPr>
        <w:t>册</w:t>
      </w:r>
      <w:r>
        <w:rPr>
          <w:spacing w:val="-3"/>
          <w:w w:val="100"/>
        </w:rPr>
        <w:t>地</w:t>
      </w:r>
      <w:r>
        <w:rPr>
          <w:spacing w:val="-2"/>
          <w:w w:val="100"/>
        </w:rPr>
        <w:t>为</w:t>
      </w:r>
      <w:r>
        <w:rPr>
          <w:w w:val="100"/>
        </w:rPr>
        <w:t>北京</w:t>
      </w:r>
      <w:r>
        <w:rPr>
          <w:spacing w:val="-3"/>
          <w:w w:val="100"/>
        </w:rPr>
        <w:t>市</w:t>
      </w:r>
      <w:r>
        <w:rPr>
          <w:w w:val="100"/>
        </w:rPr>
        <w:t>通</w:t>
      </w:r>
      <w:r>
        <w:rPr>
          <w:spacing w:val="-3"/>
          <w:w w:val="100"/>
        </w:rPr>
        <w:t>州</w:t>
      </w:r>
      <w:r>
        <w:rPr>
          <w:spacing w:val="-1"/>
          <w:w w:val="100"/>
        </w:rPr>
        <w:t>区</w:t>
      </w:r>
      <w:r>
        <w:rPr>
          <w:w w:val="100"/>
        </w:rPr>
        <w:t>，</w:t>
      </w:r>
    </w:p>
    <w:p>
      <w:pPr>
        <w:pStyle w:val="BodyText"/>
        <w:spacing w:line="314" w:lineRule="auto" w:before="85"/>
        <w:ind w:right="145"/>
        <w:jc w:val="both"/>
      </w:pPr>
      <w:r>
        <w:rPr>
          <w:rFonts w:ascii="宋体" w:hAnsi="宋体" w:cs="宋体" w:eastAsia="宋体" w:hint="default"/>
        </w:rPr>
        <w:t>2015 </w:t>
      </w:r>
      <w:r>
        <w:rPr>
          <w:spacing w:val="-3"/>
        </w:rPr>
        <w:t>年，公司通过资产收购使百孚思成为公司的全资子公司。百孚思是专注于汽车行业的数字整</w:t>
      </w:r>
      <w:r>
        <w:rPr>
          <w:spacing w:val="-82"/>
        </w:rPr>
        <w:t> </w:t>
      </w:r>
      <w:r>
        <w:rPr>
          <w:spacing w:val="-82"/>
        </w:rPr>
      </w:r>
      <w:r>
        <w:rPr>
          <w:spacing w:val="-3"/>
        </w:rPr>
        <w:t>合营销专业服务提供商，主营业务为品牌及产品的互联网营销、网络公关与网站建设。</w:t>
      </w:r>
      <w:r>
        <w:rPr>
          <w:rFonts w:ascii="宋体" w:hAnsi="宋体" w:cs="宋体" w:eastAsia="宋体" w:hint="default"/>
          <w:spacing w:val="-3"/>
        </w:rPr>
        <w:t>2015 </w:t>
      </w:r>
      <w:r>
        <w:rPr>
          <w:spacing w:val="-3"/>
        </w:rPr>
        <w:t>年是</w:t>
      </w:r>
      <w:r>
        <w:rPr>
          <w:spacing w:val="-75"/>
        </w:rPr>
        <w:t> </w:t>
      </w:r>
      <w:r>
        <w:rPr>
          <w:spacing w:val="-3"/>
        </w:rPr>
        <w:t>百孚思快速发展的一年，业务类型从全案及</w:t>
      </w:r>
      <w:r>
        <w:rPr>
          <w:spacing w:val="-37"/>
        </w:rPr>
        <w:t> </w:t>
      </w:r>
      <w:r>
        <w:rPr>
          <w:rFonts w:ascii="宋体" w:hAnsi="宋体" w:cs="宋体" w:eastAsia="宋体" w:hint="default"/>
        </w:rPr>
        <w:t>EPR</w:t>
      </w:r>
      <w:r>
        <w:rPr>
          <w:rFonts w:ascii="宋体" w:hAnsi="宋体" w:cs="宋体" w:eastAsia="宋体" w:hint="default"/>
          <w:spacing w:val="-37"/>
        </w:rPr>
        <w:t> </w:t>
      </w:r>
      <w:r>
        <w:rPr>
          <w:spacing w:val="-3"/>
        </w:rPr>
        <w:t>业务，拓展到汽车电商业务，</w:t>
      </w:r>
      <w:r>
        <w:rPr>
          <w:rFonts w:ascii="宋体" w:hAnsi="宋体" w:cs="宋体" w:eastAsia="宋体" w:hint="default"/>
          <w:spacing w:val="-3"/>
        </w:rPr>
        <w:t>2015</w:t>
      </w:r>
      <w:r>
        <w:rPr>
          <w:rFonts w:ascii="宋体" w:hAnsi="宋体" w:cs="宋体" w:eastAsia="宋体" w:hint="default"/>
          <w:spacing w:val="-37"/>
        </w:rPr>
        <w:t> </w:t>
      </w:r>
      <w:r>
        <w:rPr/>
        <w:t>年公司正式加</w:t>
      </w:r>
      <w:r>
        <w:rPr>
          <w:spacing w:val="-97"/>
        </w:rPr>
        <w:t> </w:t>
      </w:r>
      <w:r>
        <w:rPr>
          <w:spacing w:val="-97"/>
        </w:rPr>
      </w:r>
      <w:r>
        <w:rPr/>
        <w:t>入</w:t>
      </w:r>
      <w:r>
        <w:rPr>
          <w:spacing w:val="-28"/>
        </w:rPr>
        <w:t> </w:t>
      </w:r>
      <w:r>
        <w:rPr>
          <w:rFonts w:ascii="宋体" w:hAnsi="宋体" w:cs="宋体" w:eastAsia="宋体" w:hint="default"/>
        </w:rPr>
        <w:t>4A</w:t>
      </w:r>
      <w:r>
        <w:rPr>
          <w:rFonts w:ascii="宋体" w:hAnsi="宋体" w:cs="宋体" w:eastAsia="宋体" w:hint="default"/>
          <w:spacing w:val="-31"/>
        </w:rPr>
        <w:t> </w:t>
      </w:r>
      <w:r>
        <w:rPr>
          <w:spacing w:val="-4"/>
        </w:rPr>
        <w:t>广告协会、中国广告协会、中国公共关系协会、中国国际公共关系协会、苏秦会等多个有影</w:t>
      </w:r>
      <w:r>
        <w:rPr>
          <w:spacing w:val="-94"/>
        </w:rPr>
        <w:t> </w:t>
      </w:r>
      <w:r>
        <w:rPr>
          <w:spacing w:val="-94"/>
        </w:rPr>
      </w:r>
      <w:r>
        <w:rPr>
          <w:spacing w:val="-3"/>
        </w:rPr>
        <w:t>响力的行业协会，并获得多个专业奖项，包括艾瑞金瑞奖、金蜜蜂奖、</w:t>
      </w:r>
      <w:r>
        <w:rPr>
          <w:rFonts w:ascii="宋体" w:hAnsi="宋体" w:cs="宋体" w:eastAsia="宋体" w:hint="default"/>
          <w:spacing w:val="-3"/>
        </w:rPr>
        <w:t>2015 </w:t>
      </w:r>
      <w:r>
        <w:rPr/>
        <w:t>年度领军数字营销公</w:t>
      </w:r>
      <w:r>
        <w:rPr>
          <w:spacing w:val="-96"/>
        </w:rPr>
        <w:t> </w:t>
      </w:r>
      <w:r>
        <w:rPr>
          <w:spacing w:val="-96"/>
        </w:rPr>
      </w:r>
      <w:r>
        <w:rPr/>
        <w:t>司、</w:t>
      </w:r>
      <w:r>
        <w:rPr>
          <w:rFonts w:ascii="宋体" w:hAnsi="宋体" w:cs="宋体" w:eastAsia="宋体" w:hint="default"/>
        </w:rPr>
        <w:t>2015</w:t>
      </w:r>
      <w:r>
        <w:rPr>
          <w:rFonts w:ascii="宋体" w:hAnsi="宋体" w:cs="宋体" w:eastAsia="宋体" w:hint="default"/>
          <w:spacing w:val="-58"/>
        </w:rPr>
        <w:t> </w:t>
      </w:r>
      <w:r>
        <w:rPr/>
        <w:t>年度数字营销领军人物、</w:t>
      </w:r>
      <w:r>
        <w:rPr>
          <w:rFonts w:ascii="宋体" w:hAnsi="宋体" w:cs="宋体" w:eastAsia="宋体" w:hint="default"/>
        </w:rPr>
        <w:t>2015</w:t>
      </w:r>
      <w:r>
        <w:rPr>
          <w:rFonts w:ascii="宋体" w:hAnsi="宋体" w:cs="宋体" w:eastAsia="宋体" w:hint="default"/>
          <w:spacing w:val="-58"/>
        </w:rPr>
        <w:t> </w:t>
      </w:r>
      <w:r>
        <w:rPr/>
        <w:t>年度互动营销传播金奖、</w:t>
      </w:r>
      <w:r>
        <w:rPr>
          <w:rFonts w:ascii="宋体" w:hAnsi="宋体" w:cs="宋体" w:eastAsia="宋体" w:hint="default"/>
        </w:rPr>
        <w:t>2015</w:t>
      </w:r>
      <w:r>
        <w:rPr>
          <w:rFonts w:ascii="宋体" w:hAnsi="宋体" w:cs="宋体" w:eastAsia="宋体" w:hint="default"/>
          <w:spacing w:val="-58"/>
        </w:rPr>
        <w:t> </w:t>
      </w:r>
      <w:r>
        <w:rPr>
          <w:spacing w:val="-3"/>
        </w:rPr>
        <w:t>年度（移动</w:t>
      </w:r>
      <w:r>
        <w:rPr>
          <w:rFonts w:ascii="宋体" w:hAnsi="宋体" w:cs="宋体" w:eastAsia="宋体" w:hint="default"/>
          <w:spacing w:val="-3"/>
        </w:rPr>
        <w:t>/</w:t>
      </w:r>
      <w:r>
        <w:rPr>
          <w:spacing w:val="-3"/>
        </w:rPr>
        <w:t>微信）营销传</w:t>
      </w:r>
      <w:r>
        <w:rPr>
          <w:w w:val="100"/>
        </w:rPr>
        <w:t> </w:t>
      </w:r>
      <w:r>
        <w:rPr>
          <w:spacing w:val="-3"/>
        </w:rPr>
        <w:t>播金奖、中国娱乐营销实效大奖、虎啸奖等，大幅度增加了市场及行业影响力，并获得易车 </w:t>
      </w:r>
      <w:r>
        <w:rPr>
          <w:rFonts w:ascii="宋体" w:hAnsi="宋体" w:cs="宋体" w:eastAsia="宋体" w:hint="default"/>
        </w:rPr>
        <w:t>2015</w:t>
      </w:r>
      <w:r>
        <w:rPr>
          <w:rFonts w:ascii="宋体" w:hAnsi="宋体" w:cs="宋体" w:eastAsia="宋体" w:hint="default"/>
          <w:spacing w:val="-81"/>
        </w:rPr>
        <w:t> </w:t>
      </w:r>
      <w:r>
        <w:rPr>
          <w:rFonts w:ascii="宋体" w:hAnsi="宋体" w:cs="宋体" w:eastAsia="宋体" w:hint="default"/>
          <w:spacing w:val="-81"/>
        </w:rPr>
      </w:r>
      <w:r>
        <w:rPr/>
        <w:t>最佳营销合作伙伴奖；汽车之家十年荣誉伙伴等行业媒体奖。</w:t>
      </w:r>
    </w:p>
    <w:p>
      <w:pPr>
        <w:pStyle w:val="BodyText"/>
        <w:spacing w:line="240" w:lineRule="auto"/>
        <w:ind w:left="558" w:right="0"/>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日，百孚思的总资产为</w:t>
      </w:r>
      <w:r>
        <w:rPr>
          <w:spacing w:val="-54"/>
        </w:rPr>
        <w:t> </w:t>
      </w:r>
      <w:r>
        <w:rPr>
          <w:rFonts w:ascii="宋体" w:hAnsi="宋体" w:cs="宋体" w:eastAsia="宋体" w:hint="default"/>
        </w:rPr>
        <w:t>36,142.35</w:t>
      </w:r>
      <w:r>
        <w:rPr>
          <w:rFonts w:ascii="宋体" w:hAnsi="宋体" w:cs="宋体" w:eastAsia="宋体" w:hint="default"/>
          <w:spacing w:val="-56"/>
        </w:rPr>
        <w:t> </w:t>
      </w:r>
      <w:r>
        <w:rPr/>
        <w:t>万元，净资产为</w:t>
      </w:r>
      <w:r>
        <w:rPr>
          <w:spacing w:val="-54"/>
        </w:rPr>
        <w:t> </w:t>
      </w:r>
      <w:r>
        <w:rPr>
          <w:rFonts w:ascii="宋体" w:hAnsi="宋体" w:cs="宋体" w:eastAsia="宋体" w:hint="default"/>
        </w:rPr>
        <w:t>10,940.38</w:t>
      </w:r>
      <w:r>
        <w:rPr>
          <w:rFonts w:ascii="宋体" w:hAnsi="宋体" w:cs="宋体" w:eastAsia="宋体" w:hint="default"/>
          <w:spacing w:val="-53"/>
        </w:rPr>
        <w:t> </w:t>
      </w:r>
      <w:r>
        <w:rPr/>
        <w:t>万元。</w:t>
      </w:r>
      <w:r>
        <w:rPr>
          <w:rFonts w:ascii="宋体" w:hAnsi="宋体" w:cs="宋体" w:eastAsia="宋体" w:hint="default"/>
        </w:rPr>
        <w:t>2015</w:t>
      </w:r>
    </w:p>
    <w:p>
      <w:pPr>
        <w:pStyle w:val="BodyText"/>
        <w:spacing w:line="240" w:lineRule="auto" w:before="85"/>
        <w:ind w:right="0"/>
        <w:jc w:val="left"/>
      </w:pPr>
      <w:r>
        <w:rPr/>
        <w:t>年</w:t>
      </w:r>
      <w:r>
        <w:rPr>
          <w:spacing w:val="-55"/>
        </w:rPr>
        <w:t> </w:t>
      </w:r>
      <w:r>
        <w:rPr>
          <w:rFonts w:ascii="宋体" w:hAnsi="宋体" w:cs="宋体" w:eastAsia="宋体" w:hint="default"/>
        </w:rPr>
        <w:t>9</w:t>
      </w:r>
      <w:r>
        <w:rPr>
          <w:rFonts w:ascii="宋体" w:hAnsi="宋体" w:cs="宋体" w:eastAsia="宋体" w:hint="default"/>
          <w:spacing w:val="-55"/>
        </w:rPr>
        <w:t> </w:t>
      </w:r>
      <w:r>
        <w:rPr/>
        <w:t>月至</w:t>
      </w:r>
      <w:r>
        <w:rPr>
          <w:spacing w:val="-55"/>
        </w:rPr>
        <w:t> </w:t>
      </w:r>
      <w:r>
        <w:rPr>
          <w:rFonts w:ascii="宋体" w:hAnsi="宋体" w:cs="宋体" w:eastAsia="宋体" w:hint="default"/>
        </w:rPr>
        <w:t>12</w:t>
      </w:r>
      <w:r>
        <w:rPr>
          <w:rFonts w:ascii="宋体" w:hAnsi="宋体" w:cs="宋体" w:eastAsia="宋体" w:hint="default"/>
          <w:spacing w:val="-55"/>
        </w:rPr>
        <w:t> </w:t>
      </w:r>
      <w:r>
        <w:rPr/>
        <w:t>月，百孚思实现营业收入</w:t>
      </w:r>
      <w:r>
        <w:rPr>
          <w:spacing w:val="-55"/>
        </w:rPr>
        <w:t> </w:t>
      </w:r>
      <w:r>
        <w:rPr>
          <w:rFonts w:ascii="宋体" w:hAnsi="宋体" w:cs="宋体" w:eastAsia="宋体" w:hint="default"/>
        </w:rPr>
        <w:t>26,261.93</w:t>
      </w:r>
      <w:r>
        <w:rPr>
          <w:rFonts w:ascii="宋体" w:hAnsi="宋体" w:cs="宋体" w:eastAsia="宋体" w:hint="default"/>
          <w:spacing w:val="-55"/>
        </w:rPr>
        <w:t> </w:t>
      </w:r>
      <w:r>
        <w:rPr/>
        <w:t>万元，实现净利润</w:t>
      </w:r>
      <w:r>
        <w:rPr>
          <w:spacing w:val="-55"/>
        </w:rPr>
        <w:t> </w:t>
      </w:r>
      <w:r>
        <w:rPr>
          <w:rFonts w:ascii="宋体" w:hAnsi="宋体" w:cs="宋体" w:eastAsia="宋体" w:hint="default"/>
        </w:rPr>
        <w:t>2,122.18</w:t>
      </w:r>
      <w:r>
        <w:rPr>
          <w:rFonts w:ascii="宋体" w:hAnsi="宋体" w:cs="宋体" w:eastAsia="宋体" w:hint="default"/>
          <w:spacing w:val="-57"/>
        </w:rPr>
        <w:t> </w:t>
      </w:r>
      <w:r>
        <w:rPr/>
        <w:t>万元（摘自《审阅</w:t>
      </w:r>
    </w:p>
    <w:p>
      <w:pPr>
        <w:pStyle w:val="BodyText"/>
        <w:spacing w:line="314" w:lineRule="auto" w:before="85"/>
        <w:ind w:right="0"/>
        <w:jc w:val="left"/>
      </w:pPr>
      <w:r>
        <w:rPr>
          <w:spacing w:val="-4"/>
        </w:rPr>
        <w:t>报告》天健审【</w:t>
      </w:r>
      <w:r>
        <w:rPr>
          <w:rFonts w:ascii="宋体" w:hAnsi="宋体" w:cs="宋体" w:eastAsia="宋体" w:hint="default"/>
          <w:spacing w:val="-4"/>
        </w:rPr>
        <w:t>2016</w:t>
      </w:r>
      <w:r>
        <w:rPr>
          <w:spacing w:val="-4"/>
        </w:rPr>
        <w:t>】</w:t>
      </w:r>
      <w:r>
        <w:rPr>
          <w:rFonts w:ascii="宋体" w:hAnsi="宋体" w:cs="宋体" w:eastAsia="宋体" w:hint="default"/>
          <w:spacing w:val="-4"/>
        </w:rPr>
        <w:t>448</w:t>
      </w:r>
      <w:r>
        <w:rPr>
          <w:rFonts w:ascii="宋体" w:hAnsi="宋体" w:cs="宋体" w:eastAsia="宋体" w:hint="default"/>
          <w:spacing w:val="-49"/>
        </w:rPr>
        <w:t> </w:t>
      </w:r>
      <w:r>
        <w:rPr>
          <w:spacing w:val="-5"/>
        </w:rPr>
        <w:t>号）。</w:t>
      </w:r>
      <w:r>
        <w:rPr>
          <w:rFonts w:ascii="宋体" w:hAnsi="宋体" w:cs="宋体" w:eastAsia="宋体" w:hint="default"/>
          <w:spacing w:val="-5"/>
        </w:rPr>
        <w:t>2015</w:t>
      </w:r>
      <w:r>
        <w:rPr>
          <w:rFonts w:ascii="宋体" w:hAnsi="宋体" w:cs="宋体" w:eastAsia="宋体" w:hint="default"/>
          <w:spacing w:val="-49"/>
        </w:rPr>
        <w:t> </w:t>
      </w:r>
      <w:r>
        <w:rPr/>
        <w:t>年</w:t>
      </w:r>
      <w:r>
        <w:rPr>
          <w:spacing w:val="-47"/>
        </w:rPr>
        <w:t> </w:t>
      </w:r>
      <w:r>
        <w:rPr>
          <w:rFonts w:ascii="宋体" w:hAnsi="宋体" w:cs="宋体" w:eastAsia="宋体" w:hint="default"/>
        </w:rPr>
        <w:t>1</w:t>
      </w:r>
      <w:r>
        <w:rPr>
          <w:rFonts w:ascii="宋体" w:hAnsi="宋体" w:cs="宋体" w:eastAsia="宋体" w:hint="default"/>
          <w:spacing w:val="-49"/>
        </w:rPr>
        <w:t> </w:t>
      </w:r>
      <w:r>
        <w:rPr/>
        <w:t>月至</w:t>
      </w:r>
      <w:r>
        <w:rPr>
          <w:spacing w:val="-47"/>
        </w:rPr>
        <w:t> </w:t>
      </w:r>
      <w:r>
        <w:rPr>
          <w:rFonts w:ascii="宋体" w:hAnsi="宋体" w:cs="宋体" w:eastAsia="宋体" w:hint="default"/>
        </w:rPr>
        <w:t>12</w:t>
      </w:r>
      <w:r>
        <w:rPr>
          <w:rFonts w:ascii="宋体" w:hAnsi="宋体" w:cs="宋体" w:eastAsia="宋体" w:hint="default"/>
          <w:spacing w:val="-49"/>
        </w:rPr>
        <w:t> </w:t>
      </w:r>
      <w:r>
        <w:rPr>
          <w:spacing w:val="-3"/>
        </w:rPr>
        <w:t>月，百孚思实现营业收入</w:t>
      </w:r>
      <w:r>
        <w:rPr>
          <w:spacing w:val="-49"/>
        </w:rPr>
        <w:t> </w:t>
      </w:r>
      <w:r>
        <w:rPr>
          <w:rFonts w:ascii="宋体" w:hAnsi="宋体" w:cs="宋体" w:eastAsia="宋体" w:hint="default"/>
        </w:rPr>
        <w:t>51,532.51</w:t>
      </w:r>
      <w:r>
        <w:rPr>
          <w:rFonts w:ascii="宋体" w:hAnsi="宋体" w:cs="宋体" w:eastAsia="宋体" w:hint="default"/>
          <w:spacing w:val="-46"/>
        </w:rPr>
        <w:t> </w:t>
      </w:r>
      <w:r>
        <w:rPr>
          <w:spacing w:val="-5"/>
        </w:rPr>
        <w:t>万元，实</w:t>
      </w:r>
      <w:r>
        <w:rPr>
          <w:spacing w:val="-102"/>
        </w:rPr>
        <w:t> </w:t>
      </w:r>
      <w:r>
        <w:rPr>
          <w:spacing w:val="-102"/>
        </w:rPr>
      </w:r>
      <w:r>
        <w:rPr/>
        <w:t>现净利润</w:t>
      </w:r>
      <w:r>
        <w:rPr>
          <w:spacing w:val="-54"/>
        </w:rPr>
        <w:t> </w:t>
      </w:r>
      <w:r>
        <w:rPr>
          <w:rFonts w:ascii="宋体" w:hAnsi="宋体" w:cs="宋体" w:eastAsia="宋体" w:hint="default"/>
        </w:rPr>
        <w:t>5,267.63</w:t>
      </w:r>
      <w:r>
        <w:rPr>
          <w:rFonts w:ascii="宋体" w:hAnsi="宋体" w:cs="宋体" w:eastAsia="宋体" w:hint="default"/>
          <w:spacing w:val="-56"/>
        </w:rPr>
        <w:t> </w:t>
      </w:r>
      <w:r>
        <w:rPr/>
        <w:t>万元（摘自《审计报告》天健审【</w:t>
      </w:r>
      <w:r>
        <w:rPr>
          <w:rFonts w:ascii="宋体" w:hAnsi="宋体" w:cs="宋体" w:eastAsia="宋体" w:hint="default"/>
        </w:rPr>
        <w:t>2016</w:t>
      </w:r>
      <w:r>
        <w:rPr/>
        <w:t>】</w:t>
      </w:r>
      <w:r>
        <w:rPr>
          <w:rFonts w:ascii="宋体" w:hAnsi="宋体" w:cs="宋体" w:eastAsia="宋体" w:hint="default"/>
        </w:rPr>
        <w:t>447</w:t>
      </w:r>
      <w:r>
        <w:rPr>
          <w:rFonts w:ascii="宋体" w:hAnsi="宋体" w:cs="宋体" w:eastAsia="宋体" w:hint="default"/>
          <w:spacing w:val="-54"/>
        </w:rPr>
        <w:t> </w:t>
      </w:r>
      <w:r>
        <w:rPr/>
        <w:t>号）。</w:t>
      </w:r>
    </w:p>
    <w:p>
      <w:pPr>
        <w:spacing w:line="376" w:lineRule="auto" w:before="2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、上海同立广告传播有限公司</w:t>
      </w:r>
      <w:r>
        <w:rPr>
          <w:rFonts w:ascii="宋体" w:hAnsi="宋体" w:cs="宋体" w:eastAsia="宋体" w:hint="default"/>
          <w:b/>
          <w:bCs/>
          <w:w w:val="100"/>
          <w:sz w:val="21"/>
          <w:szCs w:val="21"/>
        </w:rPr>
        <w:t> </w:t>
      </w:r>
      <w:r>
        <w:rPr>
          <w:rFonts w:ascii="宋体" w:hAnsi="宋体" w:cs="宋体" w:eastAsia="宋体" w:hint="default"/>
          <w:spacing w:val="-2"/>
          <w:sz w:val="21"/>
          <w:szCs w:val="21"/>
        </w:rPr>
        <w:t>上海同立广告传播有限公司成立于</w:t>
      </w:r>
      <w:r>
        <w:rPr>
          <w:rFonts w:ascii="宋体" w:hAnsi="宋体" w:cs="宋体" w:eastAsia="宋体" w:hint="default"/>
          <w:spacing w:val="-2"/>
          <w:sz w:val="21"/>
          <w:szCs w:val="21"/>
        </w:rPr>
        <w:t>2006</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月，注册资本</w:t>
      </w:r>
      <w:r>
        <w:rPr>
          <w:rFonts w:ascii="宋体" w:hAnsi="宋体" w:cs="宋体" w:eastAsia="宋体" w:hint="default"/>
          <w:spacing w:val="-2"/>
          <w:sz w:val="21"/>
          <w:szCs w:val="21"/>
        </w:rPr>
        <w:t>1800</w:t>
      </w:r>
      <w:r>
        <w:rPr>
          <w:rFonts w:ascii="宋体" w:hAnsi="宋体" w:cs="宋体" w:eastAsia="宋体" w:hint="default"/>
          <w:spacing w:val="-2"/>
          <w:sz w:val="21"/>
          <w:szCs w:val="21"/>
        </w:rPr>
        <w:t>万元，注册地为上海市浦东新</w:t>
      </w:r>
    </w:p>
    <w:p>
      <w:pPr>
        <w:pStyle w:val="BodyText"/>
        <w:spacing w:line="364" w:lineRule="auto" w:before="25"/>
        <w:ind w:right="144"/>
        <w:jc w:val="left"/>
      </w:pPr>
      <w:r>
        <w:rPr>
          <w:spacing w:val="-2"/>
        </w:rPr>
        <w:t>区，</w:t>
      </w:r>
      <w:r>
        <w:rPr>
          <w:rFonts w:ascii="宋体" w:hAnsi="宋体" w:cs="宋体" w:eastAsia="宋体" w:hint="default"/>
          <w:spacing w:val="-2"/>
        </w:rPr>
        <w:t>2015</w:t>
      </w:r>
      <w:r>
        <w:rPr>
          <w:spacing w:val="-2"/>
        </w:rPr>
        <w:t>年，公司通过资产收购使上海同立成为公司的全资子公司。上海同立立足于线下会展服</w:t>
      </w:r>
      <w:r>
        <w:rPr>
          <w:spacing w:val="-23"/>
        </w:rPr>
        <w:t> </w:t>
      </w:r>
      <w:r>
        <w:rPr>
          <w:spacing w:val="-23"/>
        </w:rPr>
      </w:r>
      <w:r>
        <w:rPr>
          <w:spacing w:val="-2"/>
        </w:rPr>
        <w:t>务，以客户体验为导向，结合互联网营销推广，为客户提供线上线下的整体式营销服务。公司作</w:t>
      </w:r>
      <w:r>
        <w:rPr>
          <w:spacing w:val="-25"/>
        </w:rPr>
        <w:t> </w:t>
      </w:r>
      <w:r>
        <w:rPr>
          <w:spacing w:val="-25"/>
        </w:rPr>
      </w:r>
      <w:r>
        <w:rPr>
          <w:spacing w:val="-6"/>
          <w:w w:val="100"/>
        </w:rPr>
        <w:t>为较早向客户提供事件营销服务的营销与公关企业，主要服务内容包括上市发布活动、公关活动、</w:t>
      </w:r>
      <w:r>
        <w:rPr>
          <w:spacing w:val="-102"/>
          <w:w w:val="100"/>
        </w:rPr>
        <w:t> </w:t>
      </w:r>
      <w:r>
        <w:rPr>
          <w:spacing w:val="-102"/>
          <w:w w:val="100"/>
        </w:rPr>
      </w:r>
      <w:r>
        <w:rPr>
          <w:spacing w:val="-6"/>
        </w:rPr>
        <w:t>用户大会及体验活动、庆典仪式、路演会展、激励年会等服务。在营销行业数字化趋势的推动下，</w:t>
      </w:r>
      <w:r>
        <w:rPr>
          <w:spacing w:val="-54"/>
        </w:rPr>
        <w:t> </w:t>
      </w:r>
      <w:r>
        <w:rPr>
          <w:spacing w:val="-54"/>
        </w:rPr>
      </w:r>
      <w:r>
        <w:rPr>
          <w:spacing w:val="-2"/>
        </w:rPr>
        <w:t>上海同立于</w:t>
      </w:r>
      <w:r>
        <w:rPr>
          <w:rFonts w:ascii="宋体" w:hAnsi="宋体" w:cs="宋体" w:eastAsia="宋体" w:hint="default"/>
          <w:spacing w:val="-2"/>
        </w:rPr>
        <w:t>2013</w:t>
      </w:r>
      <w:r>
        <w:rPr>
          <w:spacing w:val="-2"/>
        </w:rPr>
        <w:t>年逐步开展互联网营销业务。目前，上海同立具备了为客户提供线下营销及线上</w:t>
      </w:r>
      <w:r>
        <w:rPr>
          <w:spacing w:val="-21"/>
        </w:rPr>
        <w:t> </w:t>
      </w:r>
      <w:r>
        <w:rPr>
          <w:spacing w:val="-21"/>
        </w:rPr>
      </w:r>
      <w:r>
        <w:rPr>
          <w:spacing w:val="-2"/>
        </w:rPr>
        <w:t>推广整体式营销公关服务的能力。上海同立深入分析客户需求、结合市场环境，以内容为核心，</w:t>
      </w:r>
      <w:r>
        <w:rPr>
          <w:spacing w:val="-25"/>
        </w:rPr>
        <w:t> </w:t>
      </w:r>
      <w:r>
        <w:rPr>
          <w:spacing w:val="-25"/>
        </w:rPr>
      </w:r>
      <w:r>
        <w:rPr>
          <w:spacing w:val="-2"/>
        </w:rPr>
        <w:t>为客户提供专业化的定制服务。上海同立立足于客户的线下体验，以线下推广为基础，通过互联</w:t>
      </w:r>
      <w:r>
        <w:rPr>
          <w:spacing w:val="-25"/>
        </w:rPr>
        <w:t> </w:t>
      </w:r>
      <w:r>
        <w:rPr>
          <w:spacing w:val="-25"/>
        </w:rPr>
      </w:r>
      <w:r>
        <w:rPr>
          <w:spacing w:val="-2"/>
        </w:rPr>
        <w:t>网媒体、游戏等渠道与线上互动相结合，创造线下线上的</w:t>
      </w:r>
      <w:r>
        <w:rPr>
          <w:rFonts w:ascii="Arial" w:hAnsi="Arial" w:cs="Arial" w:eastAsia="Arial" w:hint="default"/>
          <w:spacing w:val="-2"/>
        </w:rPr>
        <w:t>O2O</w:t>
      </w:r>
      <w:r>
        <w:rPr>
          <w:spacing w:val="-2"/>
        </w:rPr>
        <w:t>传播，为客户提供一体化整合营销</w:t>
      </w:r>
      <w:r>
        <w:rPr>
          <w:spacing w:val="-38"/>
        </w:rPr>
        <w:t> </w:t>
      </w:r>
      <w:r>
        <w:rPr>
          <w:spacing w:val="-38"/>
        </w:rPr>
      </w:r>
      <w:r>
        <w:rPr>
          <w:spacing w:val="-2"/>
        </w:rPr>
        <w:t>公关服务，帮助客户提升品牌形象、扩大市场影响力、提高受众忠诚度、促进产品销售。</w:t>
      </w:r>
      <w:r>
        <w:rPr>
          <w:rFonts w:ascii="宋体" w:hAnsi="宋体" w:cs="宋体" w:eastAsia="宋体" w:hint="default"/>
          <w:spacing w:val="-2"/>
        </w:rPr>
        <w:t>2015</w:t>
      </w:r>
      <w:r>
        <w:rPr>
          <w:spacing w:val="-2"/>
        </w:rPr>
        <w:t>年</w:t>
      </w:r>
      <w:r>
        <w:rPr>
          <w:spacing w:val="-22"/>
        </w:rPr>
        <w:t> </w:t>
      </w:r>
      <w:r>
        <w:rPr>
          <w:spacing w:val="-2"/>
        </w:rPr>
        <w:t>公司在线下的事件营销领域，进一步加强投入，引入“体验营销”，“数字营销”这一系列具有</w:t>
      </w:r>
      <w:r>
        <w:rPr>
          <w:spacing w:val="-25"/>
        </w:rPr>
        <w:t> </w:t>
      </w:r>
      <w:r>
        <w:rPr>
          <w:spacing w:val="-25"/>
        </w:rPr>
      </w:r>
      <w:r>
        <w:rPr>
          <w:spacing w:val="-2"/>
        </w:rPr>
        <w:t>互联网思维的营销新手段，以契合客户以及品牌的发展需求，满足一站式线上结合线下的营销传</w:t>
      </w:r>
      <w:r>
        <w:rPr>
          <w:spacing w:val="-26"/>
        </w:rPr>
        <w:t> </w:t>
      </w:r>
      <w:r>
        <w:rPr>
          <w:spacing w:val="-26"/>
        </w:rPr>
      </w:r>
      <w:r>
        <w:rPr>
          <w:spacing w:val="-2"/>
        </w:rPr>
        <w:t>播模式。在实现线下活动线上传播的同时，在形式上开发数字营销工具和创意，前期充分利用社</w:t>
      </w:r>
      <w:r>
        <w:rPr>
          <w:spacing w:val="-25"/>
        </w:rPr>
        <w:t> </w:t>
      </w:r>
      <w:r>
        <w:rPr>
          <w:spacing w:val="-25"/>
        </w:rPr>
      </w:r>
      <w:r>
        <w:rPr>
          <w:spacing w:val="-2"/>
        </w:rPr>
        <w:t>交网络推广及线下活动直播，在功能上突破以往线上传统的产品展示，加入了更多的促销和互动</w:t>
      </w:r>
      <w:r>
        <w:rPr>
          <w:spacing w:val="-25"/>
        </w:rPr>
        <w:t> </w:t>
      </w:r>
      <w:r>
        <w:rPr>
          <w:spacing w:val="-25"/>
        </w:rPr>
      </w:r>
      <w:r>
        <w:rPr>
          <w:spacing w:val="-2"/>
        </w:rPr>
        <w:t>机制，引入电商模式。即获得了很多的潜在用户信息，也丰富了用户体验，甚至能够带来不错的</w:t>
      </w:r>
      <w:r>
        <w:rPr>
          <w:spacing w:val="-25"/>
        </w:rPr>
        <w:t> </w:t>
      </w:r>
      <w:r>
        <w:rPr>
          <w:spacing w:val="-25"/>
        </w:rPr>
      </w:r>
      <w:r>
        <w:rPr/>
        <w:t>销量。</w:t>
      </w:r>
      <w:r>
        <w:rPr>
          <w:rFonts w:ascii="宋体" w:hAnsi="宋体" w:cs="宋体" w:eastAsia="宋体" w:hint="default"/>
        </w:rPr>
        <w:t>2015</w:t>
      </w:r>
      <w:r>
        <w:rPr/>
        <w:t>年，上海同立完成各类线下，线上联动项目项目总数量超过</w:t>
      </w:r>
      <w:r>
        <w:rPr>
          <w:rFonts w:ascii="宋体" w:hAnsi="宋体" w:cs="宋体" w:eastAsia="宋体" w:hint="default"/>
        </w:rPr>
        <w:t>200</w:t>
      </w:r>
      <w:r>
        <w:rPr/>
        <w:t>个，活动覆盖人数</w:t>
      </w:r>
      <w:r>
        <w:rPr>
          <w:rFonts w:ascii="宋体" w:hAnsi="宋体" w:cs="宋体" w:eastAsia="宋体" w:hint="default"/>
        </w:rPr>
        <w:t>30</w:t>
      </w:r>
      <w:r>
        <w:rPr>
          <w:rFonts w:ascii="宋体" w:hAnsi="宋体" w:cs="宋体" w:eastAsia="宋体" w:hint="default"/>
          <w:w w:val="100"/>
        </w:rPr>
        <w:t> </w:t>
      </w:r>
      <w:r>
        <w:rPr/>
        <w:t>万人，客户转换率</w:t>
      </w:r>
      <w:r>
        <w:rPr>
          <w:rFonts w:ascii="宋体" w:hAnsi="宋体" w:cs="宋体" w:eastAsia="宋体" w:hint="default"/>
        </w:rPr>
        <w:t>10%</w:t>
      </w:r>
      <w:r>
        <w:rPr/>
        <w:t>。</w:t>
      </w:r>
    </w:p>
    <w:p>
      <w:pPr>
        <w:pStyle w:val="BodyText"/>
        <w:spacing w:line="239" w:lineRule="exact" w:before="0"/>
        <w:ind w:left="558" w:right="0"/>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3"/>
        </w:rPr>
        <w:t>日，上海同立的总资产为</w:t>
      </w:r>
      <w:r>
        <w:rPr>
          <w:spacing w:val="-50"/>
        </w:rPr>
        <w:t> </w:t>
      </w:r>
      <w:r>
        <w:rPr>
          <w:rFonts w:ascii="宋体" w:hAnsi="宋体" w:cs="宋体" w:eastAsia="宋体" w:hint="default"/>
        </w:rPr>
        <w:t>22,320.22</w:t>
      </w:r>
      <w:r>
        <w:rPr>
          <w:rFonts w:ascii="宋体" w:hAnsi="宋体" w:cs="宋体" w:eastAsia="宋体" w:hint="default"/>
          <w:spacing w:val="-50"/>
        </w:rPr>
        <w:t> </w:t>
      </w:r>
      <w:r>
        <w:rPr>
          <w:spacing w:val="-3"/>
        </w:rPr>
        <w:t>万元，净资产为</w:t>
      </w:r>
      <w:r>
        <w:rPr>
          <w:spacing w:val="-52"/>
        </w:rPr>
        <w:t> </w:t>
      </w:r>
      <w:r>
        <w:rPr>
          <w:rFonts w:ascii="宋体" w:hAnsi="宋体" w:cs="宋体" w:eastAsia="宋体" w:hint="default"/>
        </w:rPr>
        <w:t>12,822.28</w:t>
      </w:r>
      <w:r>
        <w:rPr>
          <w:rFonts w:ascii="宋体" w:hAnsi="宋体" w:cs="宋体" w:eastAsia="宋体" w:hint="default"/>
          <w:spacing w:val="-49"/>
        </w:rPr>
        <w:t> </w:t>
      </w:r>
      <w:r>
        <w:rPr>
          <w:spacing w:val="-3"/>
        </w:rPr>
        <w:t>万元。</w:t>
      </w:r>
      <w:r>
        <w:rPr>
          <w:rFonts w:ascii="宋体" w:hAnsi="宋体" w:cs="宋体" w:eastAsia="宋体" w:hint="default"/>
          <w:spacing w:val="-3"/>
        </w:rPr>
        <w:t>2015</w:t>
      </w:r>
    </w:p>
    <w:p>
      <w:pPr>
        <w:pStyle w:val="BodyText"/>
        <w:spacing w:line="240" w:lineRule="auto" w:before="85"/>
        <w:ind w:right="0"/>
        <w:jc w:val="left"/>
      </w:pPr>
      <w:r>
        <w:rPr/>
        <w:t>年</w:t>
      </w:r>
      <w:r>
        <w:rPr>
          <w:spacing w:val="-55"/>
        </w:rPr>
        <w:t> </w:t>
      </w:r>
      <w:r>
        <w:rPr>
          <w:rFonts w:ascii="宋体" w:hAnsi="宋体" w:cs="宋体" w:eastAsia="宋体" w:hint="default"/>
        </w:rPr>
        <w:t>9</w:t>
      </w:r>
      <w:r>
        <w:rPr>
          <w:rFonts w:ascii="宋体" w:hAnsi="宋体" w:cs="宋体" w:eastAsia="宋体" w:hint="default"/>
          <w:spacing w:val="-55"/>
        </w:rPr>
        <w:t> </w:t>
      </w:r>
      <w:r>
        <w:rPr/>
        <w:t>月至</w:t>
      </w:r>
      <w:r>
        <w:rPr>
          <w:spacing w:val="-55"/>
        </w:rPr>
        <w:t> </w:t>
      </w:r>
      <w:r>
        <w:rPr>
          <w:rFonts w:ascii="宋体" w:hAnsi="宋体" w:cs="宋体" w:eastAsia="宋体" w:hint="default"/>
        </w:rPr>
        <w:t>12</w:t>
      </w:r>
      <w:r>
        <w:rPr>
          <w:rFonts w:ascii="宋体" w:hAnsi="宋体" w:cs="宋体" w:eastAsia="宋体" w:hint="default"/>
          <w:spacing w:val="-55"/>
        </w:rPr>
        <w:t> </w:t>
      </w:r>
      <w:r>
        <w:rPr/>
        <w:t>月，上海同立实现营业收入</w:t>
      </w:r>
      <w:r>
        <w:rPr>
          <w:spacing w:val="-55"/>
        </w:rPr>
        <w:t> </w:t>
      </w:r>
      <w:r>
        <w:rPr>
          <w:rFonts w:ascii="宋体" w:hAnsi="宋体" w:cs="宋体" w:eastAsia="宋体" w:hint="default"/>
        </w:rPr>
        <w:t>12,886.81</w:t>
      </w:r>
      <w:r>
        <w:rPr>
          <w:rFonts w:ascii="宋体" w:hAnsi="宋体" w:cs="宋体" w:eastAsia="宋体" w:hint="default"/>
          <w:spacing w:val="-57"/>
        </w:rPr>
        <w:t> </w:t>
      </w:r>
      <w:r>
        <w:rPr/>
        <w:t>万元，实现净利润</w:t>
      </w:r>
      <w:r>
        <w:rPr>
          <w:spacing w:val="-55"/>
        </w:rPr>
        <w:t> </w:t>
      </w:r>
      <w:r>
        <w:rPr>
          <w:rFonts w:ascii="宋体" w:hAnsi="宋体" w:cs="宋体" w:eastAsia="宋体" w:hint="default"/>
        </w:rPr>
        <w:t>1,942.71</w:t>
      </w:r>
      <w:r>
        <w:rPr>
          <w:rFonts w:ascii="宋体" w:hAnsi="宋体" w:cs="宋体" w:eastAsia="宋体" w:hint="default"/>
          <w:spacing w:val="-54"/>
        </w:rPr>
        <w:t> </w:t>
      </w:r>
      <w:r>
        <w:rPr/>
        <w:t>万元（摘自《审</w:t>
      </w:r>
    </w:p>
    <w:p>
      <w:pPr>
        <w:pStyle w:val="BodyText"/>
        <w:spacing w:line="314" w:lineRule="auto" w:before="85"/>
        <w:ind w:right="0"/>
        <w:jc w:val="left"/>
      </w:pPr>
      <w:r>
        <w:rPr>
          <w:spacing w:val="-11"/>
        </w:rPr>
        <w:t>阅报告》天健审【</w:t>
      </w:r>
      <w:r>
        <w:rPr>
          <w:rFonts w:ascii="宋体" w:hAnsi="宋体" w:cs="宋体" w:eastAsia="宋体" w:hint="default"/>
          <w:spacing w:val="-11"/>
        </w:rPr>
        <w:t>2016</w:t>
      </w:r>
      <w:r>
        <w:rPr>
          <w:spacing w:val="-11"/>
        </w:rPr>
        <w:t>】</w:t>
      </w:r>
      <w:r>
        <w:rPr>
          <w:rFonts w:ascii="宋体" w:hAnsi="宋体" w:cs="宋体" w:eastAsia="宋体" w:hint="default"/>
          <w:spacing w:val="-11"/>
        </w:rPr>
        <w:t>526</w:t>
      </w:r>
      <w:r>
        <w:rPr>
          <w:rFonts w:ascii="宋体" w:hAnsi="宋体" w:cs="宋体" w:eastAsia="宋体" w:hint="default"/>
          <w:spacing w:val="-47"/>
        </w:rPr>
        <w:t> </w:t>
      </w:r>
      <w:r>
        <w:rPr>
          <w:spacing w:val="-16"/>
        </w:rPr>
        <w:t>号）。</w:t>
      </w:r>
      <w:r>
        <w:rPr>
          <w:rFonts w:ascii="宋体" w:hAnsi="宋体" w:cs="宋体" w:eastAsia="宋体" w:hint="default"/>
          <w:spacing w:val="-16"/>
        </w:rPr>
        <w:t>2015</w:t>
      </w:r>
      <w:r>
        <w:rPr>
          <w:rFonts w:ascii="宋体" w:hAnsi="宋体" w:cs="宋体" w:eastAsia="宋体" w:hint="default"/>
          <w:spacing w:val="-47"/>
        </w:rPr>
        <w:t> </w:t>
      </w:r>
      <w:r>
        <w:rPr/>
        <w:t>年</w:t>
      </w:r>
      <w:r>
        <w:rPr>
          <w:spacing w:val="-49"/>
        </w:rPr>
        <w:t> </w:t>
      </w:r>
      <w:r>
        <w:rPr>
          <w:rFonts w:ascii="宋体" w:hAnsi="宋体" w:cs="宋体" w:eastAsia="宋体" w:hint="default"/>
        </w:rPr>
        <w:t>1</w:t>
      </w:r>
      <w:r>
        <w:rPr>
          <w:rFonts w:ascii="宋体" w:hAnsi="宋体" w:cs="宋体" w:eastAsia="宋体" w:hint="default"/>
          <w:spacing w:val="-47"/>
        </w:rPr>
        <w:t> </w:t>
      </w:r>
      <w:r>
        <w:rPr/>
        <w:t>月至</w:t>
      </w:r>
      <w:r>
        <w:rPr>
          <w:spacing w:val="-47"/>
        </w:rPr>
        <w:t> </w:t>
      </w:r>
      <w:r>
        <w:rPr>
          <w:rFonts w:ascii="宋体" w:hAnsi="宋体" w:cs="宋体" w:eastAsia="宋体" w:hint="default"/>
        </w:rPr>
        <w:t>12</w:t>
      </w:r>
      <w:r>
        <w:rPr>
          <w:rFonts w:ascii="宋体" w:hAnsi="宋体" w:cs="宋体" w:eastAsia="宋体" w:hint="default"/>
          <w:spacing w:val="-49"/>
        </w:rPr>
        <w:t> </w:t>
      </w:r>
      <w:r>
        <w:rPr>
          <w:spacing w:val="-6"/>
        </w:rPr>
        <w:t>月，上海同立实现营业收入</w:t>
      </w:r>
      <w:r>
        <w:rPr>
          <w:spacing w:val="-46"/>
        </w:rPr>
        <w:t> </w:t>
      </w:r>
      <w:r>
        <w:rPr>
          <w:rFonts w:ascii="宋体" w:hAnsi="宋体" w:cs="宋体" w:eastAsia="宋体" w:hint="default"/>
        </w:rPr>
        <w:t>27,729.20</w:t>
      </w:r>
      <w:r>
        <w:rPr>
          <w:rFonts w:ascii="宋体" w:hAnsi="宋体" w:cs="宋体" w:eastAsia="宋体" w:hint="default"/>
          <w:spacing w:val="-47"/>
        </w:rPr>
        <w:t> </w:t>
      </w:r>
      <w:r>
        <w:rPr/>
        <w:t>万元，</w:t>
      </w:r>
      <w:r>
        <w:rPr>
          <w:spacing w:val="-102"/>
        </w:rPr>
        <w:t> </w:t>
      </w:r>
      <w:r>
        <w:rPr>
          <w:spacing w:val="-102"/>
        </w:rPr>
      </w:r>
      <w:r>
        <w:rPr/>
        <w:t>实现净利润</w:t>
      </w:r>
      <w:r>
        <w:rPr>
          <w:spacing w:val="-55"/>
        </w:rPr>
        <w:t> </w:t>
      </w:r>
      <w:r>
        <w:rPr>
          <w:rFonts w:ascii="宋体" w:hAnsi="宋体" w:cs="宋体" w:eastAsia="宋体" w:hint="default"/>
        </w:rPr>
        <w:t>3,688.76</w:t>
      </w:r>
      <w:r>
        <w:rPr>
          <w:rFonts w:ascii="宋体" w:hAnsi="宋体" w:cs="宋体" w:eastAsia="宋体" w:hint="default"/>
          <w:spacing w:val="-55"/>
        </w:rPr>
        <w:t> </w:t>
      </w:r>
      <w:r>
        <w:rPr/>
        <w:t>万元（摘自《审计报告》天健审【</w:t>
      </w:r>
      <w:r>
        <w:rPr>
          <w:rFonts w:ascii="宋体" w:hAnsi="宋体" w:cs="宋体" w:eastAsia="宋体" w:hint="default"/>
        </w:rPr>
        <w:t>2016</w:t>
      </w:r>
      <w:r>
        <w:rPr/>
        <w:t>】</w:t>
      </w:r>
      <w:r>
        <w:rPr>
          <w:rFonts w:ascii="宋体" w:hAnsi="宋体" w:cs="宋体" w:eastAsia="宋体" w:hint="default"/>
        </w:rPr>
        <w:t>525</w:t>
      </w:r>
      <w:r>
        <w:rPr>
          <w:rFonts w:ascii="宋体" w:hAnsi="宋体" w:cs="宋体" w:eastAsia="宋体" w:hint="default"/>
          <w:spacing w:val="-57"/>
        </w:rPr>
        <w:t> </w:t>
      </w:r>
      <w:r>
        <w:rPr/>
        <w:t>号）。</w:t>
      </w:r>
    </w:p>
    <w:p>
      <w:pPr>
        <w:spacing w:after="0" w:line="314" w:lineRule="auto"/>
        <w:jc w:val="left"/>
        <w:sectPr>
          <w:pgSz w:w="11910" w:h="16840"/>
          <w:pgMar w:header="855" w:footer="1193" w:top="1280" w:bottom="1380" w:left="1660" w:right="1120"/>
        </w:sectPr>
      </w:pPr>
    </w:p>
    <w:p>
      <w:pPr>
        <w:spacing w:line="240" w:lineRule="auto" w:before="9"/>
        <w:rPr>
          <w:rFonts w:ascii="宋体" w:hAnsi="宋体" w:cs="宋体" w:eastAsia="宋体" w:hint="default"/>
          <w:sz w:val="18"/>
          <w:szCs w:val="18"/>
        </w:rPr>
      </w:pPr>
    </w:p>
    <w:p>
      <w:pPr>
        <w:pStyle w:val="Heading2"/>
        <w:spacing w:line="240" w:lineRule="auto"/>
        <w:ind w:left="560" w:right="99"/>
        <w:jc w:val="left"/>
        <w:rPr>
          <w:b w:val="0"/>
          <w:bCs w:val="0"/>
        </w:rPr>
      </w:pPr>
      <w:r>
        <w:rPr>
          <w:rFonts w:ascii="宋体" w:hAnsi="宋体" w:cs="宋体" w:eastAsia="宋体" w:hint="default"/>
        </w:rPr>
        <w:t>3</w:t>
      </w:r>
      <w:r>
        <w:rPr/>
        <w:t>、广州华邑品牌数字营销有限公司</w:t>
      </w:r>
      <w:r>
        <w:rPr>
          <w:b w:val="0"/>
          <w:bCs w:val="0"/>
        </w:rPr>
      </w:r>
    </w:p>
    <w:p>
      <w:pPr>
        <w:pStyle w:val="BodyText"/>
        <w:spacing w:line="314" w:lineRule="auto" w:before="85"/>
        <w:ind w:right="205" w:firstLine="482"/>
        <w:jc w:val="both"/>
      </w:pPr>
      <w:r>
        <w:rPr/>
        <w:t>广州华邑品牌数字营销有限公司成立于</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月，注册资本</w:t>
      </w:r>
      <w:r>
        <w:rPr>
          <w:spacing w:val="-53"/>
        </w:rPr>
        <w:t> </w:t>
      </w:r>
      <w:r>
        <w:rPr>
          <w:rFonts w:ascii="宋体" w:hAnsi="宋体" w:cs="宋体" w:eastAsia="宋体" w:hint="default"/>
        </w:rPr>
        <w:t>500</w:t>
      </w:r>
      <w:r>
        <w:rPr>
          <w:rFonts w:ascii="宋体" w:hAnsi="宋体" w:cs="宋体" w:eastAsia="宋体" w:hint="default"/>
          <w:spacing w:val="-55"/>
        </w:rPr>
        <w:t> </w:t>
      </w:r>
      <w:r>
        <w:rPr/>
        <w:t>万元，注册地为广州市</w:t>
      </w:r>
      <w:r>
        <w:rPr>
          <w:w w:val="100"/>
        </w:rPr>
        <w:t> </w:t>
      </w:r>
      <w:r>
        <w:rPr>
          <w:spacing w:val="-3"/>
        </w:rPr>
        <w:t>天河区，</w:t>
      </w:r>
      <w:r>
        <w:rPr>
          <w:rFonts w:ascii="宋体" w:hAnsi="宋体" w:cs="宋体" w:eastAsia="宋体" w:hint="default"/>
          <w:spacing w:val="-3"/>
        </w:rPr>
        <w:t>2015 </w:t>
      </w:r>
      <w:r>
        <w:rPr>
          <w:spacing w:val="-3"/>
        </w:rPr>
        <w:t>年，公司通过资产收购使华邑众为成为公司的全资子公司。华邑众为的主营业务是</w:t>
      </w:r>
      <w:r>
        <w:rPr>
          <w:spacing w:val="-68"/>
        </w:rPr>
        <w:t> </w:t>
      </w:r>
      <w:r>
        <w:rPr>
          <w:spacing w:val="-68"/>
        </w:rPr>
      </w:r>
      <w:r>
        <w:rPr>
          <w:spacing w:val="-2"/>
        </w:rPr>
        <w:t>为快速消费品如食品饮料、保健品、家化产品等企业、汽车行业企业以及电商平台的企业提供创</w:t>
      </w:r>
      <w:r>
        <w:rPr>
          <w:spacing w:val="-25"/>
        </w:rPr>
        <w:t> </w:t>
      </w:r>
      <w:r>
        <w:rPr>
          <w:spacing w:val="-25"/>
        </w:rPr>
      </w:r>
      <w:r>
        <w:rPr>
          <w:spacing w:val="-4"/>
        </w:rPr>
        <w:t>意策划、品牌营销、产品推广等互联网营销服务。</w:t>
      </w:r>
      <w:r>
        <w:rPr>
          <w:spacing w:val="35"/>
        </w:rPr>
        <w:t> </w:t>
      </w:r>
      <w:r>
        <w:rPr>
          <w:spacing w:val="-3"/>
        </w:rPr>
        <w:t>随着互联网的发展和兴起，华邑众为抓住互联</w:t>
      </w:r>
      <w:r>
        <w:rPr>
          <w:spacing w:val="-91"/>
        </w:rPr>
        <w:t> </w:t>
      </w:r>
      <w:r>
        <w:rPr>
          <w:spacing w:val="-91"/>
        </w:rPr>
      </w:r>
      <w:r>
        <w:rPr>
          <w:spacing w:val="-2"/>
        </w:rPr>
        <w:t>网营销高速发展的机遇，以创意带动线上线下一体的整合传播。创意策划作为互联网营销产业链</w:t>
      </w:r>
      <w:r>
        <w:rPr>
          <w:spacing w:val="-25"/>
        </w:rPr>
        <w:t> </w:t>
      </w:r>
      <w:r>
        <w:rPr>
          <w:spacing w:val="-25"/>
        </w:rPr>
      </w:r>
      <w:r>
        <w:rPr>
          <w:spacing w:val="-6"/>
        </w:rPr>
        <w:t>中的重要环节，可改善或加强目标受众的需求、态度或行为。华邑众为以此为根本，以客户品牌、</w:t>
      </w:r>
      <w:r>
        <w:rPr>
          <w:spacing w:val="-54"/>
        </w:rPr>
        <w:t> </w:t>
      </w:r>
      <w:r>
        <w:rPr>
          <w:spacing w:val="-54"/>
        </w:rPr>
      </w:r>
      <w:r>
        <w:rPr>
          <w:spacing w:val="-2"/>
        </w:rPr>
        <w:t>产品或信息为素材，为客户提供创意策划方案，再通过大众媒介传播渠道，同时依托线下活动管</w:t>
      </w:r>
      <w:r>
        <w:rPr>
          <w:spacing w:val="-25"/>
        </w:rPr>
        <w:t> </w:t>
      </w:r>
      <w:r>
        <w:rPr>
          <w:spacing w:val="-25"/>
        </w:rPr>
      </w:r>
      <w:r>
        <w:rPr>
          <w:spacing w:val="-3"/>
        </w:rPr>
        <w:t>理和活动策划等形式，采取线上线下整合传播的方式，为客户提供服务。华邑众为独有的“</w:t>
      </w:r>
      <w:r>
        <w:rPr>
          <w:rFonts w:ascii="宋体" w:hAnsi="宋体" w:cs="宋体" w:eastAsia="宋体" w:hint="default"/>
          <w:spacing w:val="-3"/>
        </w:rPr>
        <w:t>3P </w:t>
      </w:r>
      <w:r>
        <w:rPr/>
        <w:t>交</w:t>
      </w:r>
      <w:r>
        <w:rPr>
          <w:spacing w:val="-74"/>
        </w:rPr>
        <w:t> </w:t>
      </w:r>
      <w:r>
        <w:rPr>
          <w:spacing w:val="-2"/>
        </w:rPr>
        <w:t>互方法论”能有效解决品牌在互联网环境下品牌传播的有效性问题，受到品牌主的认可，带来大</w:t>
      </w:r>
      <w:r>
        <w:rPr>
          <w:spacing w:val="-26"/>
        </w:rPr>
        <w:t> </w:t>
      </w:r>
      <w:r>
        <w:rPr>
          <w:spacing w:val="-26"/>
        </w:rPr>
      </w:r>
      <w:r>
        <w:rPr>
          <w:spacing w:val="-3"/>
        </w:rPr>
        <w:t>品牌客户与行业性客户，过去华邑众为独有的“</w:t>
      </w:r>
      <w:r>
        <w:rPr>
          <w:rFonts w:ascii="宋体" w:hAnsi="宋体" w:cs="宋体" w:eastAsia="宋体" w:hint="default"/>
          <w:spacing w:val="-3"/>
        </w:rPr>
        <w:t>3P</w:t>
      </w:r>
      <w:r>
        <w:rPr>
          <w:rFonts w:ascii="宋体" w:hAnsi="宋体" w:cs="宋体" w:eastAsia="宋体" w:hint="default"/>
          <w:spacing w:val="-39"/>
        </w:rPr>
        <w:t> </w:t>
      </w:r>
      <w:r>
        <w:rPr/>
        <w:t>交互方法论”在市场创造了不少极具影响力的</w:t>
      </w:r>
      <w:r>
        <w:rPr>
          <w:spacing w:val="-98"/>
        </w:rPr>
        <w:t> </w:t>
      </w:r>
      <w:r>
        <w:rPr>
          <w:spacing w:val="-98"/>
        </w:rPr>
      </w:r>
      <w:r>
        <w:rPr>
          <w:spacing w:val="-3"/>
        </w:rPr>
        <w:t>案例，比如，韩后的张太“天下无三”项目，脉动的“马上体”项目等。</w:t>
      </w:r>
      <w:r>
        <w:rPr>
          <w:rFonts w:ascii="宋体" w:hAnsi="宋体" w:cs="宋体" w:eastAsia="宋体" w:hint="default"/>
          <w:spacing w:val="-3"/>
        </w:rPr>
        <w:t>2015 </w:t>
      </w:r>
      <w:r>
        <w:rPr/>
        <w:t>年华邑众为迎来了</w:t>
      </w:r>
      <w:r>
        <w:rPr>
          <w:spacing w:val="-94"/>
        </w:rPr>
        <w:t> </w:t>
      </w:r>
      <w:r>
        <w:rPr>
          <w:spacing w:val="-94"/>
        </w:rPr>
      </w:r>
      <w:r>
        <w:rPr>
          <w:spacing w:val="-6"/>
        </w:rPr>
        <w:t>丸美眼霜这样重量级的项目。在手机领域，也为</w:t>
      </w:r>
      <w:r>
        <w:rPr>
          <w:spacing w:val="-42"/>
        </w:rPr>
        <w:t> </w:t>
      </w:r>
      <w:r>
        <w:rPr>
          <w:rFonts w:ascii="宋体" w:hAnsi="宋体" w:cs="宋体" w:eastAsia="宋体" w:hint="default"/>
        </w:rPr>
        <w:t>VIVO</w:t>
      </w:r>
      <w:r>
        <w:rPr>
          <w:rFonts w:ascii="宋体" w:hAnsi="宋体" w:cs="宋体" w:eastAsia="宋体" w:hint="default"/>
          <w:spacing w:val="-41"/>
        </w:rPr>
        <w:t> </w:t>
      </w:r>
      <w:r>
        <w:rPr/>
        <w:t>打造了苍白体这样让手机圈标杆性新产品整</w:t>
      </w:r>
      <w:r>
        <w:rPr>
          <w:spacing w:val="-101"/>
        </w:rPr>
        <w:t> </w:t>
      </w:r>
      <w:r>
        <w:rPr>
          <w:spacing w:val="-101"/>
        </w:rPr>
      </w:r>
      <w:r>
        <w:rPr>
          <w:spacing w:val="-2"/>
        </w:rPr>
        <w:t>合营销项目，继而带动手机行业其他品牌，包括金立、酷派等，推动了华邑众为在手机行业的整</w:t>
      </w:r>
      <w:r>
        <w:rPr>
          <w:spacing w:val="-26"/>
        </w:rPr>
        <w:t> </w:t>
      </w:r>
      <w:r>
        <w:rPr>
          <w:spacing w:val="-26"/>
        </w:rPr>
      </w:r>
      <w:r>
        <w:rPr/>
        <w:t>体业务发展。</w:t>
      </w:r>
    </w:p>
    <w:p>
      <w:pPr>
        <w:pStyle w:val="BodyText"/>
        <w:spacing w:line="240" w:lineRule="auto"/>
        <w:ind w:left="620" w:right="99"/>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日，华邑众为的总资产为</w:t>
      </w:r>
      <w:r>
        <w:rPr>
          <w:spacing w:val="-55"/>
        </w:rPr>
        <w:t> </w:t>
      </w:r>
      <w:r>
        <w:rPr>
          <w:rFonts w:ascii="宋体" w:hAnsi="宋体" w:cs="宋体" w:eastAsia="宋体" w:hint="default"/>
        </w:rPr>
        <w:t>13,611.58</w:t>
      </w:r>
      <w:r>
        <w:rPr>
          <w:rFonts w:ascii="宋体" w:hAnsi="宋体" w:cs="宋体" w:eastAsia="宋体" w:hint="default"/>
          <w:spacing w:val="-55"/>
        </w:rPr>
        <w:t> </w:t>
      </w:r>
      <w:r>
        <w:rPr/>
        <w:t>万元，净资产为</w:t>
      </w:r>
      <w:r>
        <w:rPr>
          <w:spacing w:val="-55"/>
        </w:rPr>
        <w:t> </w:t>
      </w:r>
      <w:r>
        <w:rPr>
          <w:rFonts w:ascii="宋体" w:hAnsi="宋体" w:cs="宋体" w:eastAsia="宋体" w:hint="default"/>
        </w:rPr>
        <w:t>8,167.10</w:t>
      </w:r>
      <w:r>
        <w:rPr>
          <w:rFonts w:ascii="宋体" w:hAnsi="宋体" w:cs="宋体" w:eastAsia="宋体" w:hint="default"/>
          <w:spacing w:val="-54"/>
        </w:rPr>
        <w:t> </w:t>
      </w:r>
      <w:r>
        <w:rPr/>
        <w:t>万元。</w:t>
      </w:r>
      <w:r>
        <w:rPr>
          <w:rFonts w:ascii="宋体" w:hAnsi="宋体" w:cs="宋体" w:eastAsia="宋体" w:hint="default"/>
        </w:rPr>
        <w:t>2015</w:t>
      </w:r>
    </w:p>
    <w:p>
      <w:pPr>
        <w:pStyle w:val="BodyText"/>
        <w:spacing w:line="240" w:lineRule="auto" w:before="85"/>
        <w:ind w:right="99"/>
        <w:jc w:val="left"/>
      </w:pPr>
      <w:r>
        <w:rPr/>
        <w:t>年</w:t>
      </w:r>
      <w:r>
        <w:rPr>
          <w:spacing w:val="-54"/>
        </w:rPr>
        <w:t> </w:t>
      </w:r>
      <w:r>
        <w:rPr>
          <w:rFonts w:ascii="宋体" w:hAnsi="宋体" w:cs="宋体" w:eastAsia="宋体" w:hint="default"/>
        </w:rPr>
        <w:t>9</w:t>
      </w:r>
      <w:r>
        <w:rPr>
          <w:rFonts w:ascii="宋体" w:hAnsi="宋体" w:cs="宋体" w:eastAsia="宋体" w:hint="default"/>
          <w:spacing w:val="-54"/>
        </w:rPr>
        <w:t> </w:t>
      </w:r>
      <w:r>
        <w:rPr/>
        <w:t>月至</w:t>
      </w:r>
      <w:r>
        <w:rPr>
          <w:spacing w:val="-54"/>
        </w:rPr>
        <w:t> </w:t>
      </w:r>
      <w:r>
        <w:rPr>
          <w:rFonts w:ascii="宋体" w:hAnsi="宋体" w:cs="宋体" w:eastAsia="宋体" w:hint="default"/>
        </w:rPr>
        <w:t>12</w:t>
      </w:r>
      <w:r>
        <w:rPr>
          <w:rFonts w:ascii="宋体" w:hAnsi="宋体" w:cs="宋体" w:eastAsia="宋体" w:hint="default"/>
          <w:spacing w:val="-54"/>
        </w:rPr>
        <w:t> </w:t>
      </w:r>
      <w:r>
        <w:rPr/>
        <w:t>月，华邑众为实现营业收入</w:t>
      </w:r>
      <w:r>
        <w:rPr>
          <w:spacing w:val="-54"/>
        </w:rPr>
        <w:t> </w:t>
      </w:r>
      <w:r>
        <w:rPr>
          <w:rFonts w:ascii="宋体" w:hAnsi="宋体" w:cs="宋体" w:eastAsia="宋体" w:hint="default"/>
        </w:rPr>
        <w:t>10,492.27</w:t>
      </w:r>
      <w:r>
        <w:rPr>
          <w:rFonts w:ascii="宋体" w:hAnsi="宋体" w:cs="宋体" w:eastAsia="宋体" w:hint="default"/>
          <w:spacing w:val="-56"/>
        </w:rPr>
        <w:t> </w:t>
      </w:r>
      <w:r>
        <w:rPr/>
        <w:t>万元，实现净利润</w:t>
      </w:r>
      <w:r>
        <w:rPr>
          <w:spacing w:val="-54"/>
        </w:rPr>
        <w:t> </w:t>
      </w:r>
      <w:r>
        <w:rPr>
          <w:rFonts w:ascii="宋体" w:hAnsi="宋体" w:cs="宋体" w:eastAsia="宋体" w:hint="default"/>
        </w:rPr>
        <w:t>915.01</w:t>
      </w:r>
      <w:r>
        <w:rPr>
          <w:rFonts w:ascii="宋体" w:hAnsi="宋体" w:cs="宋体" w:eastAsia="宋体" w:hint="default"/>
          <w:spacing w:val="-56"/>
        </w:rPr>
        <w:t> </w:t>
      </w:r>
      <w:r>
        <w:rPr/>
        <w:t>万元（摘自《审阅</w:t>
      </w:r>
    </w:p>
    <w:p>
      <w:pPr>
        <w:pStyle w:val="BodyText"/>
        <w:spacing w:line="314" w:lineRule="auto" w:before="85"/>
        <w:ind w:right="99"/>
        <w:jc w:val="left"/>
      </w:pPr>
      <w:r>
        <w:rPr/>
        <w:t>报告》天健审【</w:t>
      </w:r>
      <w:r>
        <w:rPr>
          <w:rFonts w:ascii="宋体" w:hAnsi="宋体" w:cs="宋体" w:eastAsia="宋体" w:hint="default"/>
        </w:rPr>
        <w:t>2016</w:t>
      </w:r>
      <w:r>
        <w:rPr/>
        <w:t>】</w:t>
      </w:r>
      <w:r>
        <w:rPr>
          <w:rFonts w:ascii="宋体" w:hAnsi="宋体" w:cs="宋体" w:eastAsia="宋体" w:hint="default"/>
        </w:rPr>
        <w:t>493</w:t>
      </w:r>
      <w:r>
        <w:rPr>
          <w:rFonts w:ascii="宋体" w:hAnsi="宋体" w:cs="宋体" w:eastAsia="宋体" w:hint="default"/>
          <w:spacing w:val="-53"/>
        </w:rPr>
        <w:t> </w:t>
      </w:r>
      <w:r>
        <w:rPr/>
        <w:t>号）。</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月至</w:t>
      </w:r>
      <w:r>
        <w:rPr>
          <w:spacing w:val="-53"/>
        </w:rPr>
        <w:t> </w:t>
      </w:r>
      <w:r>
        <w:rPr>
          <w:rFonts w:ascii="宋体" w:hAnsi="宋体" w:cs="宋体" w:eastAsia="宋体" w:hint="default"/>
        </w:rPr>
        <w:t>12</w:t>
      </w:r>
      <w:r>
        <w:rPr>
          <w:rFonts w:ascii="宋体" w:hAnsi="宋体" w:cs="宋体" w:eastAsia="宋体" w:hint="default"/>
          <w:spacing w:val="-55"/>
        </w:rPr>
        <w:t> </w:t>
      </w:r>
      <w:r>
        <w:rPr/>
        <w:t>月，华邑众为实现营业收入</w:t>
      </w:r>
      <w:r>
        <w:rPr>
          <w:spacing w:val="-52"/>
        </w:rPr>
        <w:t> </w:t>
      </w:r>
      <w:r>
        <w:rPr>
          <w:rFonts w:ascii="宋体" w:hAnsi="宋体" w:cs="宋体" w:eastAsia="宋体" w:hint="default"/>
        </w:rPr>
        <w:t>27,548.24</w:t>
      </w:r>
      <w:r>
        <w:rPr>
          <w:rFonts w:ascii="宋体" w:hAnsi="宋体" w:cs="宋体" w:eastAsia="宋体" w:hint="default"/>
          <w:spacing w:val="-50"/>
        </w:rPr>
        <w:t> </w:t>
      </w:r>
      <w:r>
        <w:rPr/>
        <w:t>万元，</w:t>
      </w:r>
      <w:r>
        <w:rPr>
          <w:w w:val="100"/>
        </w:rPr>
        <w:t> </w:t>
      </w:r>
      <w:r>
        <w:rPr/>
        <w:t>实现净利润</w:t>
      </w:r>
      <w:r>
        <w:rPr>
          <w:spacing w:val="-55"/>
        </w:rPr>
        <w:t> </w:t>
      </w:r>
      <w:r>
        <w:rPr>
          <w:rFonts w:ascii="宋体" w:hAnsi="宋体" w:cs="宋体" w:eastAsia="宋体" w:hint="default"/>
        </w:rPr>
        <w:t>4,067.27</w:t>
      </w:r>
      <w:r>
        <w:rPr>
          <w:rFonts w:ascii="宋体" w:hAnsi="宋体" w:cs="宋体" w:eastAsia="宋体" w:hint="default"/>
          <w:spacing w:val="-55"/>
        </w:rPr>
        <w:t> </w:t>
      </w:r>
      <w:r>
        <w:rPr/>
        <w:t>万元（摘自《审计报告》天健审【</w:t>
      </w:r>
      <w:r>
        <w:rPr>
          <w:rFonts w:ascii="宋体" w:hAnsi="宋体" w:cs="宋体" w:eastAsia="宋体" w:hint="default"/>
        </w:rPr>
        <w:t>2016</w:t>
      </w:r>
      <w:r>
        <w:rPr/>
        <w:t>】</w:t>
      </w:r>
      <w:r>
        <w:rPr>
          <w:rFonts w:ascii="宋体" w:hAnsi="宋体" w:cs="宋体" w:eastAsia="宋体" w:hint="default"/>
        </w:rPr>
        <w:t>492</w:t>
      </w:r>
      <w:r>
        <w:rPr>
          <w:rFonts w:ascii="宋体" w:hAnsi="宋体" w:cs="宋体" w:eastAsia="宋体" w:hint="default"/>
          <w:spacing w:val="-57"/>
        </w:rPr>
        <w:t> </w:t>
      </w:r>
      <w:r>
        <w:rPr/>
        <w:t>号）。</w:t>
      </w:r>
    </w:p>
    <w:p>
      <w:pPr>
        <w:pStyle w:val="Heading2"/>
        <w:spacing w:line="240" w:lineRule="auto" w:before="20"/>
        <w:ind w:left="620" w:right="99"/>
        <w:jc w:val="left"/>
        <w:rPr>
          <w:b w:val="0"/>
          <w:bCs w:val="0"/>
        </w:rPr>
      </w:pPr>
      <w:r>
        <w:rPr>
          <w:rFonts w:ascii="宋体" w:hAnsi="宋体" w:cs="宋体" w:eastAsia="宋体" w:hint="default"/>
        </w:rPr>
        <w:t>4</w:t>
      </w:r>
      <w:r>
        <w:rPr/>
        <w:t>、广东雨林木风计算机科技有限公司</w:t>
      </w:r>
      <w:r>
        <w:rPr>
          <w:b w:val="0"/>
          <w:bCs w:val="0"/>
        </w:rPr>
      </w:r>
    </w:p>
    <w:p>
      <w:pPr>
        <w:pStyle w:val="BodyText"/>
        <w:spacing w:line="314" w:lineRule="auto" w:before="85"/>
        <w:ind w:right="205" w:firstLine="482"/>
        <w:jc w:val="both"/>
      </w:pPr>
      <w:r>
        <w:rPr/>
        <w:t>广东雨林木风计算机科技有限公司成立于</w:t>
      </w:r>
      <w:r>
        <w:rPr>
          <w:spacing w:val="-52"/>
        </w:rPr>
        <w:t> </w:t>
      </w:r>
      <w:r>
        <w:rPr>
          <w:rFonts w:ascii="宋体" w:hAnsi="宋体" w:cs="宋体" w:eastAsia="宋体" w:hint="default"/>
        </w:rPr>
        <w:t>2007</w:t>
      </w:r>
      <w:r>
        <w:rPr>
          <w:rFonts w:ascii="宋体" w:hAnsi="宋体" w:cs="宋体" w:eastAsia="宋体" w:hint="default"/>
          <w:spacing w:val="-51"/>
        </w:rPr>
        <w:t> </w:t>
      </w:r>
      <w:r>
        <w:rPr/>
        <w:t>年</w:t>
      </w:r>
      <w:r>
        <w:rPr>
          <w:spacing w:val="-54"/>
        </w:rPr>
        <w:t> </w:t>
      </w:r>
      <w:r>
        <w:rPr>
          <w:rFonts w:ascii="宋体" w:hAnsi="宋体" w:cs="宋体" w:eastAsia="宋体" w:hint="default"/>
        </w:rPr>
        <w:t>12</w:t>
      </w:r>
      <w:r>
        <w:rPr>
          <w:rFonts w:ascii="宋体" w:hAnsi="宋体" w:cs="宋体" w:eastAsia="宋体" w:hint="default"/>
          <w:spacing w:val="-52"/>
        </w:rPr>
        <w:t> </w:t>
      </w:r>
      <w:r>
        <w:rPr>
          <w:spacing w:val="-5"/>
        </w:rPr>
        <w:t>月，注册资本</w:t>
      </w:r>
      <w:r>
        <w:rPr>
          <w:spacing w:val="-54"/>
        </w:rPr>
        <w:t> </w:t>
      </w:r>
      <w:r>
        <w:rPr>
          <w:rFonts w:ascii="宋体" w:hAnsi="宋体" w:cs="宋体" w:eastAsia="宋体" w:hint="default"/>
        </w:rPr>
        <w:t>1176.4706</w:t>
      </w:r>
      <w:r>
        <w:rPr>
          <w:rFonts w:ascii="宋体" w:hAnsi="宋体" w:cs="宋体" w:eastAsia="宋体" w:hint="default"/>
          <w:spacing w:val="-54"/>
        </w:rPr>
        <w:t> </w:t>
      </w:r>
      <w:r>
        <w:rPr>
          <w:spacing w:val="-5"/>
        </w:rPr>
        <w:t>万元，注册地</w:t>
      </w:r>
      <w:r>
        <w:rPr>
          <w:w w:val="100"/>
        </w:rPr>
        <w:t> </w:t>
      </w:r>
      <w:r>
        <w:rPr>
          <w:spacing w:val="-3"/>
        </w:rPr>
        <w:t>为广东东莞市，</w:t>
      </w:r>
      <w:r>
        <w:rPr>
          <w:rFonts w:ascii="宋体" w:hAnsi="宋体" w:cs="宋体" w:eastAsia="宋体" w:hint="default"/>
          <w:spacing w:val="-3"/>
        </w:rPr>
        <w:t>2015 </w:t>
      </w:r>
      <w:r>
        <w:rPr>
          <w:spacing w:val="-3"/>
        </w:rPr>
        <w:t>年，公司通过资产收购使雨林木风成为公司的全资子公司。雨林木风目前主</w:t>
      </w:r>
      <w:r>
        <w:rPr>
          <w:spacing w:val="-69"/>
        </w:rPr>
        <w:t> </w:t>
      </w:r>
      <w:r>
        <w:rPr>
          <w:spacing w:val="-69"/>
        </w:rPr>
      </w:r>
      <w:r>
        <w:rPr>
          <w:spacing w:val="-1"/>
          <w:w w:val="100"/>
        </w:rPr>
        <w:t>要利用</w:t>
      </w:r>
      <w:r>
        <w:rPr>
          <w:spacing w:val="-48"/>
          <w:w w:val="100"/>
        </w:rPr>
        <w:t> </w:t>
      </w:r>
      <w:r>
        <w:rPr>
          <w:rFonts w:ascii="宋体" w:hAnsi="宋体" w:cs="宋体" w:eastAsia="宋体" w:hint="default"/>
          <w:w w:val="100"/>
        </w:rPr>
        <w:t>114</w:t>
      </w:r>
      <w:r>
        <w:rPr>
          <w:rFonts w:ascii="宋体" w:hAnsi="宋体" w:cs="宋体" w:eastAsia="宋体" w:hint="default"/>
          <w:spacing w:val="-50"/>
          <w:w w:val="100"/>
        </w:rPr>
        <w:t> </w:t>
      </w:r>
      <w:r>
        <w:rPr>
          <w:spacing w:val="-7"/>
          <w:w w:val="100"/>
        </w:rPr>
        <w:t>啦网址导航网站，在为互联网用户提供免费网址导航服务的同时，为第三方搜索引擎、</w:t>
      </w:r>
      <w:r>
        <w:rPr>
          <w:spacing w:val="-103"/>
          <w:w w:val="100"/>
        </w:rPr>
        <w:t> </w:t>
      </w:r>
      <w:r>
        <w:rPr>
          <w:spacing w:val="-103"/>
          <w:w w:val="100"/>
        </w:rPr>
      </w:r>
      <w:r>
        <w:rPr>
          <w:spacing w:val="-2"/>
        </w:rPr>
        <w:t>电商网站等互联网媒体平台客户提供流量导入。随着公司的发展，雨林木风已逐渐开展互联网广</w:t>
      </w:r>
      <w:r>
        <w:rPr>
          <w:spacing w:val="-25"/>
        </w:rPr>
        <w:t> </w:t>
      </w:r>
      <w:r>
        <w:rPr>
          <w:spacing w:val="-25"/>
        </w:rPr>
      </w:r>
      <w:r>
        <w:rPr>
          <w:spacing w:val="-10"/>
          <w:w w:val="100"/>
        </w:rPr>
        <w:t>告代理业务。雨林木风公司</w:t>
      </w:r>
      <w:r>
        <w:rPr>
          <w:spacing w:val="-77"/>
          <w:w w:val="100"/>
        </w:rPr>
        <w:t> </w:t>
      </w:r>
      <w:r>
        <w:rPr>
          <w:rFonts w:ascii="宋体" w:hAnsi="宋体" w:cs="宋体" w:eastAsia="宋体" w:hint="default"/>
          <w:w w:val="100"/>
        </w:rPr>
        <w:t>2015</w:t>
      </w:r>
      <w:r>
        <w:rPr>
          <w:rFonts w:ascii="宋体" w:hAnsi="宋体" w:cs="宋体" w:eastAsia="宋体" w:hint="default"/>
          <w:spacing w:val="-75"/>
          <w:w w:val="100"/>
        </w:rPr>
        <w:t> </w:t>
      </w:r>
      <w:r>
        <w:rPr>
          <w:spacing w:val="-7"/>
          <w:w w:val="100"/>
        </w:rPr>
        <w:t>年度整体发展势头强劲，源自公司旗下两大产品</w:t>
      </w:r>
      <w:r>
        <w:rPr>
          <w:spacing w:val="-77"/>
          <w:w w:val="100"/>
        </w:rPr>
        <w:t> </w:t>
      </w:r>
      <w:r>
        <w:rPr>
          <w:rFonts w:ascii="宋体" w:hAnsi="宋体" w:cs="宋体" w:eastAsia="宋体" w:hint="default"/>
          <w:w w:val="100"/>
        </w:rPr>
        <w:t>114</w:t>
      </w:r>
      <w:r>
        <w:rPr>
          <w:rFonts w:ascii="宋体" w:hAnsi="宋体" w:cs="宋体" w:eastAsia="宋体" w:hint="default"/>
          <w:spacing w:val="-75"/>
          <w:w w:val="100"/>
        </w:rPr>
        <w:t> </w:t>
      </w:r>
      <w:r>
        <w:rPr>
          <w:spacing w:val="-1"/>
          <w:w w:val="100"/>
        </w:rPr>
        <w:t>啦网址导航、</w:t>
      </w:r>
      <w:r>
        <w:rPr>
          <w:spacing w:val="-104"/>
          <w:w w:val="100"/>
        </w:rPr>
        <w:t> </w:t>
      </w:r>
      <w:r>
        <w:rPr>
          <w:spacing w:val="-104"/>
          <w:w w:val="100"/>
        </w:rPr>
      </w:r>
      <w:r>
        <w:rPr>
          <w:spacing w:val="-3"/>
        </w:rPr>
        <w:t>广告代理业务在稳步提升的同时，不断加大创新力度。</w:t>
      </w:r>
      <w:r>
        <w:rPr>
          <w:rFonts w:ascii="宋体" w:hAnsi="宋体" w:cs="宋体" w:eastAsia="宋体" w:hint="default"/>
          <w:spacing w:val="-3"/>
        </w:rPr>
        <w:t>2015</w:t>
      </w:r>
      <w:r>
        <w:rPr>
          <w:rFonts w:ascii="宋体" w:hAnsi="宋体" w:cs="宋体" w:eastAsia="宋体" w:hint="default"/>
          <w:spacing w:val="-34"/>
        </w:rPr>
        <w:t> </w:t>
      </w:r>
      <w:r>
        <w:rPr/>
        <w:t>年</w:t>
      </w:r>
      <w:r>
        <w:rPr>
          <w:spacing w:val="-31"/>
        </w:rPr>
        <w:t> </w:t>
      </w:r>
      <w:r>
        <w:rPr>
          <w:rFonts w:ascii="宋体" w:hAnsi="宋体" w:cs="宋体" w:eastAsia="宋体" w:hint="default"/>
        </w:rPr>
        <w:t>114</w:t>
      </w:r>
      <w:r>
        <w:rPr>
          <w:rFonts w:ascii="宋体" w:hAnsi="宋体" w:cs="宋体" w:eastAsia="宋体" w:hint="default"/>
          <w:spacing w:val="-31"/>
        </w:rPr>
        <w:t> </w:t>
      </w:r>
      <w:r>
        <w:rPr>
          <w:spacing w:val="-3"/>
        </w:rPr>
        <w:t>啦网址导航在技术架构、页面</w:t>
      </w:r>
      <w:r>
        <w:rPr>
          <w:spacing w:val="-95"/>
        </w:rPr>
        <w:t> </w:t>
      </w:r>
      <w:r>
        <w:rPr>
          <w:spacing w:val="-95"/>
        </w:rPr>
      </w:r>
      <w:r>
        <w:rPr>
          <w:spacing w:val="-2"/>
        </w:rPr>
        <w:t>布局、频道建设、品牌宣传方面进行了持续的投入，并吸收众多互联网行业优质资源，打造了新</w:t>
      </w:r>
      <w:r>
        <w:rPr>
          <w:spacing w:val="-25"/>
        </w:rPr>
        <w:t> </w:t>
      </w:r>
      <w:r>
        <w:rPr>
          <w:spacing w:val="-25"/>
        </w:rPr>
      </w:r>
      <w:r>
        <w:rPr>
          <w:spacing w:val="-7"/>
        </w:rPr>
        <w:t>闻、视频、购物、游戏、小说、天气、星座、搞笑等核心频道，显著提升了使用体验及用户黏性。</w:t>
      </w:r>
      <w:r>
        <w:rPr>
          <w:spacing w:val="-18"/>
        </w:rPr>
        <w:t> </w:t>
      </w:r>
      <w:r>
        <w:rPr>
          <w:spacing w:val="-18"/>
        </w:rPr>
      </w:r>
      <w:r>
        <w:rPr/>
        <w:t>广告代理业务在</w:t>
      </w:r>
      <w:r>
        <w:rPr>
          <w:spacing w:val="-29"/>
        </w:rPr>
        <w:t> </w:t>
      </w:r>
      <w:r>
        <w:rPr>
          <w:rFonts w:ascii="宋体" w:hAnsi="宋体" w:cs="宋体" w:eastAsia="宋体" w:hint="default"/>
        </w:rPr>
        <w:t>2015</w:t>
      </w:r>
      <w:r>
        <w:rPr>
          <w:rFonts w:ascii="宋体" w:hAnsi="宋体" w:cs="宋体" w:eastAsia="宋体" w:hint="default"/>
          <w:spacing w:val="-29"/>
        </w:rPr>
        <w:t> </w:t>
      </w:r>
      <w:r>
        <w:rPr>
          <w:spacing w:val="-5"/>
        </w:rPr>
        <w:t>年进行了大力拓展，引进众多优秀人才，并完善团队结构，形成了销售、项</w:t>
      </w:r>
      <w:r>
        <w:rPr>
          <w:spacing w:val="-93"/>
        </w:rPr>
        <w:t> </w:t>
      </w:r>
      <w:r>
        <w:rPr>
          <w:spacing w:val="-93"/>
        </w:rPr>
      </w:r>
      <w:r>
        <w:rPr>
          <w:spacing w:val="-2"/>
        </w:rPr>
        <w:t>目服务、技术支持三大团队，为客户提供从方案策划、媒介投放、精准优化、效果评估等全方位</w:t>
      </w:r>
      <w:r>
        <w:rPr>
          <w:spacing w:val="-25"/>
        </w:rPr>
        <w:t> </w:t>
      </w:r>
      <w:r>
        <w:rPr>
          <w:spacing w:val="-25"/>
        </w:rPr>
      </w:r>
      <w:r>
        <w:rPr>
          <w:spacing w:val="-5"/>
        </w:rPr>
        <w:t>服务。广告资源方面同样进行了大力度拓展，在</w:t>
      </w:r>
      <w:r>
        <w:rPr>
          <w:spacing w:val="-23"/>
        </w:rPr>
        <w:t> </w:t>
      </w:r>
      <w:r>
        <w:rPr>
          <w:rFonts w:ascii="宋体" w:hAnsi="宋体" w:cs="宋体" w:eastAsia="宋体" w:hint="default"/>
        </w:rPr>
        <w:t>PC</w:t>
      </w:r>
      <w:r>
        <w:rPr>
          <w:rFonts w:ascii="宋体" w:hAnsi="宋体" w:cs="宋体" w:eastAsia="宋体" w:hint="default"/>
          <w:spacing w:val="-26"/>
        </w:rPr>
        <w:t> </w:t>
      </w:r>
      <w:r>
        <w:rPr>
          <w:spacing w:val="-3"/>
        </w:rPr>
        <w:t>领域，汇聚了众多知名网址导航优质资源以及</w:t>
      </w:r>
      <w:r>
        <w:rPr>
          <w:spacing w:val="-95"/>
        </w:rPr>
        <w:t> </w:t>
      </w:r>
      <w:r>
        <w:rPr>
          <w:spacing w:val="-95"/>
        </w:rPr>
      </w:r>
      <w:r>
        <w:rPr>
          <w:spacing w:val="-4"/>
        </w:rPr>
        <w:t>独家包断资源，在移动领域，代理了包括广点通、</w:t>
      </w:r>
      <w:r>
        <w:rPr>
          <w:rFonts w:ascii="宋体" w:hAnsi="宋体" w:cs="宋体" w:eastAsia="宋体" w:hint="default"/>
          <w:spacing w:val="-4"/>
        </w:rPr>
        <w:t>UC</w:t>
      </w:r>
      <w:r>
        <w:rPr>
          <w:rFonts w:ascii="宋体" w:hAnsi="宋体" w:cs="宋体" w:eastAsia="宋体" w:hint="default"/>
          <w:spacing w:val="-25"/>
        </w:rPr>
        <w:t> </w:t>
      </w:r>
      <w:r>
        <w:rPr>
          <w:spacing w:val="-4"/>
        </w:rPr>
        <w:t>浏览器、</w:t>
      </w:r>
      <w:r>
        <w:rPr>
          <w:rFonts w:ascii="宋体" w:hAnsi="宋体" w:cs="宋体" w:eastAsia="宋体" w:hint="default"/>
          <w:spacing w:val="-4"/>
        </w:rPr>
        <w:t>WIFI</w:t>
      </w:r>
      <w:r>
        <w:rPr>
          <w:rFonts w:ascii="宋体" w:hAnsi="宋体" w:cs="宋体" w:eastAsia="宋体" w:hint="default"/>
          <w:spacing w:val="-28"/>
        </w:rPr>
        <w:t> </w:t>
      </w:r>
      <w:r>
        <w:rPr>
          <w:spacing w:val="-3"/>
        </w:rPr>
        <w:t>万能钥匙、今日头条等众多优</w:t>
      </w:r>
      <w:r>
        <w:rPr>
          <w:spacing w:val="-93"/>
        </w:rPr>
        <w:t> </w:t>
      </w:r>
      <w:r>
        <w:rPr>
          <w:spacing w:val="-93"/>
        </w:rPr>
      </w:r>
      <w:r>
        <w:rPr>
          <w:spacing w:val="-10"/>
          <w:w w:val="100"/>
        </w:rPr>
        <w:t>质资源，极大的丰富了客户媒体选择。丰富的业务模式也极大的促进了客户拓展，截止</w:t>
      </w:r>
      <w:r>
        <w:rPr>
          <w:spacing w:val="-43"/>
          <w:w w:val="100"/>
        </w:rPr>
        <w:t> </w:t>
      </w:r>
      <w:r>
        <w:rPr>
          <w:rFonts w:ascii="宋体" w:hAnsi="宋体" w:cs="宋体" w:eastAsia="宋体" w:hint="default"/>
          <w:spacing w:val="-1"/>
          <w:w w:val="100"/>
        </w:rPr>
        <w:t>2015</w:t>
      </w:r>
      <w:r>
        <w:rPr>
          <w:rFonts w:ascii="宋体" w:hAnsi="宋体" w:cs="宋体" w:eastAsia="宋体" w:hint="default"/>
          <w:spacing w:val="-47"/>
          <w:w w:val="100"/>
        </w:rPr>
        <w:t> </w:t>
      </w:r>
      <w:r>
        <w:rPr>
          <w:spacing w:val="-1"/>
          <w:w w:val="100"/>
        </w:rPr>
        <w:t>年末，</w:t>
      </w:r>
      <w:r>
        <w:rPr>
          <w:spacing w:val="-101"/>
          <w:w w:val="100"/>
        </w:rPr>
        <w:t> </w:t>
      </w:r>
      <w:r>
        <w:rPr>
          <w:spacing w:val="-101"/>
          <w:w w:val="100"/>
        </w:rPr>
      </w:r>
      <w:r>
        <w:rPr/>
        <w:t>客户已覆盖在八大行业领域，形成了众多知名企业合作案例。</w:t>
      </w:r>
    </w:p>
    <w:p>
      <w:pPr>
        <w:pStyle w:val="BodyText"/>
        <w:spacing w:line="240" w:lineRule="auto"/>
        <w:ind w:left="620" w:right="99"/>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52"/>
        </w:rPr>
        <w:t> </w:t>
      </w:r>
      <w:r>
        <w:rPr/>
        <w:t>年</w:t>
      </w:r>
      <w:r>
        <w:rPr>
          <w:spacing w:val="-49"/>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spacing w:val="-5"/>
        </w:rPr>
        <w:t>日，雨林木风的总资产为</w:t>
      </w:r>
      <w:r>
        <w:rPr>
          <w:spacing w:val="-49"/>
        </w:rPr>
        <w:t> </w:t>
      </w:r>
      <w:r>
        <w:rPr>
          <w:rFonts w:ascii="宋体" w:hAnsi="宋体" w:cs="宋体" w:eastAsia="宋体" w:hint="default"/>
        </w:rPr>
        <w:t>14,368.00</w:t>
      </w:r>
      <w:r>
        <w:rPr>
          <w:rFonts w:ascii="宋体" w:hAnsi="宋体" w:cs="宋体" w:eastAsia="宋体" w:hint="default"/>
          <w:spacing w:val="-49"/>
        </w:rPr>
        <w:t> </w:t>
      </w:r>
      <w:r>
        <w:rPr>
          <w:spacing w:val="-7"/>
        </w:rPr>
        <w:t>万元，净资产为</w:t>
      </w:r>
      <w:r>
        <w:rPr>
          <w:spacing w:val="-49"/>
        </w:rPr>
        <w:t> </w:t>
      </w:r>
      <w:r>
        <w:rPr>
          <w:rFonts w:ascii="宋体" w:hAnsi="宋体" w:cs="宋体" w:eastAsia="宋体" w:hint="default"/>
        </w:rPr>
        <w:t>12,740.20</w:t>
      </w:r>
      <w:r>
        <w:rPr>
          <w:rFonts w:ascii="宋体" w:hAnsi="宋体" w:cs="宋体" w:eastAsia="宋体" w:hint="default"/>
          <w:spacing w:val="-48"/>
        </w:rPr>
        <w:t> </w:t>
      </w:r>
      <w:r>
        <w:rPr>
          <w:spacing w:val="-6"/>
        </w:rPr>
        <w:t>万元。</w:t>
      </w:r>
      <w:r>
        <w:rPr>
          <w:rFonts w:ascii="宋体" w:hAnsi="宋体" w:cs="宋体" w:eastAsia="宋体" w:hint="default"/>
          <w:spacing w:val="-6"/>
        </w:rPr>
        <w:t>2015</w:t>
      </w:r>
    </w:p>
    <w:p>
      <w:pPr>
        <w:pStyle w:val="BodyText"/>
        <w:spacing w:line="240" w:lineRule="auto" w:before="85"/>
        <w:ind w:right="99"/>
        <w:jc w:val="left"/>
      </w:pPr>
      <w:r>
        <w:rPr/>
        <w:t>年</w:t>
      </w:r>
      <w:r>
        <w:rPr>
          <w:spacing w:val="-47"/>
        </w:rPr>
        <w:t> </w:t>
      </w:r>
      <w:r>
        <w:rPr>
          <w:rFonts w:ascii="宋体" w:hAnsi="宋体" w:cs="宋体" w:eastAsia="宋体" w:hint="default"/>
        </w:rPr>
        <w:t>9</w:t>
      </w:r>
      <w:r>
        <w:rPr>
          <w:rFonts w:ascii="宋体" w:hAnsi="宋体" w:cs="宋体" w:eastAsia="宋体" w:hint="default"/>
          <w:spacing w:val="-47"/>
        </w:rPr>
        <w:t> </w:t>
      </w:r>
      <w:r>
        <w:rPr/>
        <w:t>月至</w:t>
      </w:r>
      <w:r>
        <w:rPr>
          <w:spacing w:val="-47"/>
        </w:rPr>
        <w:t> </w:t>
      </w:r>
      <w:r>
        <w:rPr>
          <w:rFonts w:ascii="宋体" w:hAnsi="宋体" w:cs="宋体" w:eastAsia="宋体" w:hint="default"/>
        </w:rPr>
        <w:t>12</w:t>
      </w:r>
      <w:r>
        <w:rPr>
          <w:rFonts w:ascii="宋体" w:hAnsi="宋体" w:cs="宋体" w:eastAsia="宋体" w:hint="default"/>
          <w:spacing w:val="-47"/>
        </w:rPr>
        <w:t> </w:t>
      </w:r>
      <w:r>
        <w:rPr>
          <w:spacing w:val="-4"/>
        </w:rPr>
        <w:t>月，雨林木风实现营业收入</w:t>
      </w:r>
      <w:r>
        <w:rPr>
          <w:spacing w:val="-47"/>
        </w:rPr>
        <w:t> </w:t>
      </w:r>
      <w:r>
        <w:rPr>
          <w:rFonts w:ascii="宋体" w:hAnsi="宋体" w:cs="宋体" w:eastAsia="宋体" w:hint="default"/>
        </w:rPr>
        <w:t>7,606.67</w:t>
      </w:r>
      <w:r>
        <w:rPr>
          <w:rFonts w:ascii="宋体" w:hAnsi="宋体" w:cs="宋体" w:eastAsia="宋体" w:hint="default"/>
          <w:spacing w:val="-50"/>
        </w:rPr>
        <w:t> </w:t>
      </w:r>
      <w:r>
        <w:rPr>
          <w:spacing w:val="-5"/>
        </w:rPr>
        <w:t>万元，实现净利润</w:t>
      </w:r>
      <w:r>
        <w:rPr>
          <w:spacing w:val="-47"/>
        </w:rPr>
        <w:t> </w:t>
      </w:r>
      <w:r>
        <w:rPr>
          <w:rFonts w:ascii="宋体" w:hAnsi="宋体" w:cs="宋体" w:eastAsia="宋体" w:hint="default"/>
        </w:rPr>
        <w:t>1,381.72</w:t>
      </w:r>
      <w:r>
        <w:rPr>
          <w:rFonts w:ascii="宋体" w:hAnsi="宋体" w:cs="宋体" w:eastAsia="宋体" w:hint="default"/>
          <w:spacing w:val="-50"/>
        </w:rPr>
        <w:t> </w:t>
      </w:r>
      <w:r>
        <w:rPr>
          <w:spacing w:val="-7"/>
        </w:rPr>
        <w:t>万元（摘自《审阅</w:t>
      </w:r>
    </w:p>
    <w:p>
      <w:pPr>
        <w:pStyle w:val="BodyText"/>
        <w:spacing w:line="240" w:lineRule="auto" w:before="85"/>
        <w:ind w:right="0"/>
        <w:jc w:val="left"/>
      </w:pPr>
      <w:r>
        <w:rPr/>
        <w:t>报告》天健审【</w:t>
      </w:r>
      <w:r>
        <w:rPr>
          <w:rFonts w:ascii="宋体" w:hAnsi="宋体" w:cs="宋体" w:eastAsia="宋体" w:hint="default"/>
        </w:rPr>
        <w:t>2016</w:t>
      </w:r>
      <w:r>
        <w:rPr/>
        <w:t>】</w:t>
      </w:r>
      <w:r>
        <w:rPr>
          <w:rFonts w:ascii="宋体" w:hAnsi="宋体" w:cs="宋体" w:eastAsia="宋体" w:hint="default"/>
        </w:rPr>
        <w:t>454</w:t>
      </w:r>
      <w:r>
        <w:rPr>
          <w:rFonts w:ascii="宋体" w:hAnsi="宋体" w:cs="宋体" w:eastAsia="宋体" w:hint="default"/>
          <w:spacing w:val="-53"/>
        </w:rPr>
        <w:t> </w:t>
      </w:r>
      <w:r>
        <w:rPr/>
        <w:t>号）。</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月至</w:t>
      </w:r>
      <w:r>
        <w:rPr>
          <w:spacing w:val="-53"/>
        </w:rPr>
        <w:t> </w:t>
      </w:r>
      <w:r>
        <w:rPr>
          <w:rFonts w:ascii="宋体" w:hAnsi="宋体" w:cs="宋体" w:eastAsia="宋体" w:hint="default"/>
        </w:rPr>
        <w:t>12</w:t>
      </w:r>
      <w:r>
        <w:rPr>
          <w:rFonts w:ascii="宋体" w:hAnsi="宋体" w:cs="宋体" w:eastAsia="宋体" w:hint="default"/>
          <w:spacing w:val="-55"/>
        </w:rPr>
        <w:t> </w:t>
      </w:r>
      <w:r>
        <w:rPr/>
        <w:t>月，雨林木风实现营业收入</w:t>
      </w:r>
      <w:r>
        <w:rPr>
          <w:spacing w:val="-52"/>
        </w:rPr>
        <w:t> </w:t>
      </w:r>
      <w:r>
        <w:rPr>
          <w:rFonts w:ascii="宋体" w:hAnsi="宋体" w:cs="宋体" w:eastAsia="宋体" w:hint="default"/>
        </w:rPr>
        <w:t>18,918.44</w:t>
      </w:r>
      <w:r>
        <w:rPr>
          <w:rFonts w:ascii="宋体" w:hAnsi="宋体" w:cs="宋体" w:eastAsia="宋体" w:hint="default"/>
          <w:spacing w:val="-50"/>
        </w:rPr>
        <w:t> </w:t>
      </w:r>
      <w:r>
        <w:rPr/>
        <w:t>万元，</w:t>
      </w:r>
    </w:p>
    <w:p>
      <w:pPr>
        <w:spacing w:after="0" w:line="240" w:lineRule="auto"/>
        <w:jc w:val="left"/>
        <w:sectPr>
          <w:footerReference w:type="default" r:id="rId19"/>
          <w:pgSz w:w="11910" w:h="16840"/>
          <w:pgMar w:footer="1746" w:header="855" w:top="1280" w:bottom="1940" w:left="1660" w:right="1060"/>
          <w:pgNumType w:start="24"/>
        </w:sectPr>
      </w:pPr>
    </w:p>
    <w:p>
      <w:pPr>
        <w:spacing w:line="240" w:lineRule="auto" w:before="9"/>
        <w:rPr>
          <w:rFonts w:ascii="宋体" w:hAnsi="宋体" w:cs="宋体" w:eastAsia="宋体" w:hint="default"/>
          <w:sz w:val="18"/>
          <w:szCs w:val="18"/>
        </w:rPr>
      </w:pPr>
    </w:p>
    <w:p>
      <w:pPr>
        <w:pStyle w:val="Heading2"/>
        <w:spacing w:line="240" w:lineRule="auto"/>
        <w:ind w:left="620" w:right="99"/>
        <w:jc w:val="left"/>
        <w:rPr>
          <w:b w:val="0"/>
          <w:bCs w:val="0"/>
        </w:rPr>
      </w:pPr>
      <w:r>
        <w:rPr>
          <w:rFonts w:ascii="宋体" w:hAnsi="宋体" w:cs="宋体" w:eastAsia="宋体" w:hint="default"/>
        </w:rPr>
        <w:t>5</w:t>
      </w:r>
      <w:r>
        <w:rPr/>
        <w:t>、北京派瑞威行广告有限公司</w:t>
      </w:r>
      <w:r>
        <w:rPr>
          <w:b w:val="0"/>
          <w:bCs w:val="0"/>
        </w:rPr>
      </w:r>
    </w:p>
    <w:p>
      <w:pPr>
        <w:pStyle w:val="BodyText"/>
        <w:spacing w:line="312" w:lineRule="auto" w:before="85"/>
        <w:ind w:right="99" w:firstLine="482"/>
        <w:jc w:val="left"/>
      </w:pPr>
      <w:r>
        <w:rPr/>
        <w:t>北京派瑞威行广告有限公司成立于</w:t>
      </w:r>
      <w:r>
        <w:rPr>
          <w:spacing w:val="-51"/>
        </w:rPr>
        <w:t> </w:t>
      </w:r>
      <w:r>
        <w:rPr>
          <w:rFonts w:ascii="宋体" w:hAnsi="宋体" w:cs="宋体" w:eastAsia="宋体" w:hint="default"/>
        </w:rPr>
        <w:t>2009</w:t>
      </w:r>
      <w:r>
        <w:rPr>
          <w:rFonts w:ascii="宋体" w:hAnsi="宋体" w:cs="宋体" w:eastAsia="宋体" w:hint="default"/>
          <w:spacing w:val="-53"/>
        </w:rPr>
        <w:t> </w:t>
      </w:r>
      <w:r>
        <w:rPr/>
        <w:t>年</w:t>
      </w:r>
      <w:r>
        <w:rPr>
          <w:spacing w:val="-51"/>
        </w:rPr>
        <w:t> </w:t>
      </w:r>
      <w:r>
        <w:rPr>
          <w:rFonts w:ascii="宋体" w:hAnsi="宋体" w:cs="宋体" w:eastAsia="宋体" w:hint="default"/>
        </w:rPr>
        <w:t>5</w:t>
      </w:r>
      <w:r>
        <w:rPr>
          <w:rFonts w:ascii="宋体" w:hAnsi="宋体" w:cs="宋体" w:eastAsia="宋体" w:hint="default"/>
          <w:spacing w:val="-53"/>
        </w:rPr>
        <w:t> </w:t>
      </w:r>
      <w:r>
        <w:rPr>
          <w:spacing w:val="-6"/>
        </w:rPr>
        <w:t>月，注册资本</w:t>
      </w:r>
      <w:r>
        <w:rPr>
          <w:spacing w:val="-51"/>
        </w:rPr>
        <w:t> </w:t>
      </w:r>
      <w:r>
        <w:rPr>
          <w:rFonts w:ascii="宋体" w:hAnsi="宋体" w:cs="宋体" w:eastAsia="宋体" w:hint="default"/>
        </w:rPr>
        <w:t>370.3704</w:t>
      </w:r>
      <w:r>
        <w:rPr>
          <w:rFonts w:ascii="宋体" w:hAnsi="宋体" w:cs="宋体" w:eastAsia="宋体" w:hint="default"/>
          <w:spacing w:val="-51"/>
        </w:rPr>
        <w:t> </w:t>
      </w:r>
      <w:r>
        <w:rPr>
          <w:spacing w:val="-4"/>
        </w:rPr>
        <w:t>万元，注册地为北京市</w:t>
      </w:r>
      <w:r>
        <w:rPr>
          <w:w w:val="100"/>
        </w:rPr>
        <w:t> </w:t>
      </w:r>
      <w:r>
        <w:rPr>
          <w:spacing w:val="-3"/>
        </w:rPr>
        <w:t>海淀区，</w:t>
      </w:r>
      <w:r>
        <w:rPr>
          <w:rFonts w:ascii="宋体" w:hAnsi="宋体" w:cs="宋体" w:eastAsia="宋体" w:hint="default"/>
          <w:spacing w:val="-3"/>
        </w:rPr>
        <w:t>2015 </w:t>
      </w:r>
      <w:r>
        <w:rPr>
          <w:spacing w:val="-3"/>
        </w:rPr>
        <w:t>年，公司通过资产收购使派瑞威行成为公司的全资子公司。派瑞威行主要从事电商</w:t>
      </w:r>
      <w:r>
        <w:rPr>
          <w:spacing w:val="-68"/>
        </w:rPr>
        <w:t> </w:t>
      </w:r>
      <w:r>
        <w:rPr>
          <w:spacing w:val="-68"/>
        </w:rPr>
      </w:r>
      <w:r>
        <w:rPr>
          <w:spacing w:val="-4"/>
          <w:w w:val="100"/>
        </w:rPr>
        <w:t>客户的互联网广告投放代理业务，利用自有的数据平台系统对媒体及客户投放数据进行收集分析，</w:t>
      </w:r>
      <w:r>
        <w:rPr>
          <w:spacing w:val="-84"/>
          <w:w w:val="100"/>
        </w:rPr>
        <w:t> </w:t>
      </w:r>
      <w:r>
        <w:rPr>
          <w:spacing w:val="-84"/>
          <w:w w:val="100"/>
        </w:rPr>
      </w:r>
      <w:r>
        <w:rPr/>
        <w:t>为客户实现广告的精准投放；同时，还为客户提供策略制定、创意策划、媒介购买、广告效果监</w:t>
      </w:r>
      <w:r>
        <w:rPr>
          <w:w w:val="100"/>
        </w:rPr>
        <w:t> </w:t>
      </w:r>
      <w:r>
        <w:rPr>
          <w:spacing w:val="-10"/>
          <w:w w:val="100"/>
        </w:rPr>
        <w:t>测及优化等服务。为了给客户带来高效的广告投放服务，派瑞威行设计研发了“</w:t>
      </w:r>
      <w:r>
        <w:rPr>
          <w:rFonts w:ascii="Arial" w:hAnsi="Arial" w:cs="Arial" w:eastAsia="Arial" w:hint="default"/>
          <w:spacing w:val="-10"/>
          <w:w w:val="100"/>
        </w:rPr>
        <w:t>π</w:t>
      </w:r>
      <w:r>
        <w:rPr>
          <w:rFonts w:ascii="Arial" w:hAnsi="Arial" w:cs="Arial" w:eastAsia="Arial" w:hint="default"/>
          <w:w w:val="100"/>
        </w:rPr>
        <w:t> </w:t>
      </w:r>
      <w:r>
        <w:rPr>
          <w:spacing w:val="-15"/>
          <w:w w:val="100"/>
        </w:rPr>
        <w:t>智能广告系统”，</w:t>
      </w:r>
      <w:r>
        <w:rPr>
          <w:spacing w:val="-89"/>
          <w:w w:val="100"/>
        </w:rPr>
        <w:t> </w:t>
      </w:r>
      <w:r>
        <w:rPr>
          <w:spacing w:val="-89"/>
          <w:w w:val="100"/>
        </w:rPr>
      </w:r>
      <w:r>
        <w:rPr/>
        <w:t>以技术手段进行数据的采集、分析和应用，帮助客户寻找广告信息传播的网络目标受众群，以适</w:t>
      </w:r>
      <w:r>
        <w:rPr>
          <w:w w:val="100"/>
        </w:rPr>
        <w:t> </w:t>
      </w:r>
      <w:r>
        <w:rPr/>
        <w:t>当的媒介及广告位置组合，为广告的精准投放提供数据支持，并随时记录、监控传播效果和实施</w:t>
      </w:r>
      <w:r>
        <w:rPr>
          <w:w w:val="100"/>
        </w:rPr>
        <w:t> </w:t>
      </w:r>
      <w:r>
        <w:rPr/>
        <w:t>进一步的优化。“</w:t>
      </w:r>
      <w:r>
        <w:rPr>
          <w:rFonts w:ascii="Arial" w:hAnsi="Arial" w:cs="Arial" w:eastAsia="Arial" w:hint="default"/>
        </w:rPr>
        <w:t>π</w:t>
      </w:r>
      <w:r>
        <w:rPr>
          <w:rFonts w:ascii="Arial" w:hAnsi="Arial" w:cs="Arial" w:eastAsia="Arial" w:hint="default"/>
          <w:spacing w:val="3"/>
        </w:rPr>
        <w:t> </w:t>
      </w:r>
      <w:r>
        <w:rPr/>
        <w:t>智能广告系统”整合了优质的数据资源，实现了与主流互联网广告交易平台</w:t>
      </w:r>
      <w:r>
        <w:rPr>
          <w:w w:val="100"/>
        </w:rPr>
        <w:t> </w:t>
      </w:r>
      <w:r>
        <w:rPr>
          <w:spacing w:val="-3"/>
        </w:rPr>
        <w:t>的对接，整合了海量用户数据，形成精准用户数据库。</w:t>
      </w:r>
      <w:r>
        <w:rPr>
          <w:rFonts w:ascii="宋体" w:hAnsi="宋体" w:cs="宋体" w:eastAsia="宋体" w:hint="default"/>
          <w:spacing w:val="-3"/>
        </w:rPr>
        <w:t>2015 </w:t>
      </w:r>
      <w:r>
        <w:rPr>
          <w:spacing w:val="-3"/>
        </w:rPr>
        <w:t>年，派瑞威行不断拓展客户群，从最</w:t>
      </w:r>
      <w:r>
        <w:rPr>
          <w:spacing w:val="-77"/>
        </w:rPr>
        <w:t> </w:t>
      </w:r>
      <w:r>
        <w:rPr>
          <w:spacing w:val="-77"/>
        </w:rPr>
      </w:r>
      <w:r>
        <w:rPr>
          <w:spacing w:val="-4"/>
        </w:rPr>
        <w:t>初以服务电商客户为主，拓展到了网服、</w:t>
      </w:r>
      <w:r>
        <w:rPr>
          <w:rFonts w:ascii="宋体" w:hAnsi="宋体" w:cs="宋体" w:eastAsia="宋体" w:hint="default"/>
          <w:spacing w:val="-4"/>
        </w:rPr>
        <w:t>O2O</w:t>
      </w:r>
      <w:r>
        <w:rPr>
          <w:spacing w:val="-4"/>
        </w:rPr>
        <w:t>、教育等多个行业，逐步实现了互联网行业客户全面</w:t>
      </w:r>
      <w:r>
        <w:rPr>
          <w:spacing w:val="-32"/>
        </w:rPr>
        <w:t> </w:t>
      </w:r>
      <w:r>
        <w:rPr>
          <w:spacing w:val="-32"/>
        </w:rPr>
      </w:r>
      <w:r>
        <w:rPr/>
        <w:t>覆盖。在业务板块也不断开拓创新，开辟了搜索业务的第一年即获得较好成绩，而精准业务的突</w:t>
      </w:r>
      <w:r>
        <w:rPr>
          <w:w w:val="100"/>
        </w:rPr>
        <w:t> </w:t>
      </w:r>
      <w:r>
        <w:rPr>
          <w:spacing w:val="-5"/>
        </w:rPr>
        <w:t>破更是帮助公司在业绩上发展迅猛。</w:t>
      </w:r>
      <w:r>
        <w:rPr>
          <w:rFonts w:ascii="宋体" w:hAnsi="宋体" w:cs="宋体" w:eastAsia="宋体" w:hint="default"/>
          <w:spacing w:val="-5"/>
        </w:rPr>
        <w:t>2015 </w:t>
      </w:r>
      <w:r>
        <w:rPr>
          <w:spacing w:val="-9"/>
        </w:rPr>
        <w:t>年，派瑞威行获得多家媒体评选的“优秀服务商”称号，</w:t>
      </w:r>
      <w:r>
        <w:rPr>
          <w:spacing w:val="-83"/>
        </w:rPr>
        <w:t> </w:t>
      </w:r>
      <w:r>
        <w:rPr>
          <w:spacing w:val="-83"/>
        </w:rPr>
      </w:r>
      <w:r>
        <w:rPr>
          <w:spacing w:val="-3"/>
        </w:rPr>
        <w:t>其中在腾讯媒体、今日头条、</w:t>
      </w:r>
      <w:r>
        <w:rPr>
          <w:rFonts w:ascii="宋体" w:hAnsi="宋体" w:cs="宋体" w:eastAsia="宋体" w:hint="default"/>
          <w:spacing w:val="-3"/>
        </w:rPr>
        <w:t>UC</w:t>
      </w:r>
      <w:r>
        <w:rPr>
          <w:rFonts w:ascii="宋体" w:hAnsi="宋体" w:cs="宋体" w:eastAsia="宋体" w:hint="default"/>
          <w:spacing w:val="-55"/>
        </w:rPr>
        <w:t> </w:t>
      </w:r>
      <w:r>
        <w:rPr/>
        <w:t>媒体的投放份额均排名第一，奠定了精准广告代理行业龙头的位</w:t>
      </w:r>
      <w:r>
        <w:rPr>
          <w:w w:val="100"/>
        </w:rPr>
        <w:t> </w:t>
      </w:r>
      <w:r>
        <w:rPr/>
        <w:t>置。客户方面，派瑞威行在与原有的唯品会等大客户继续保持深度全面合作之外，还成功开拓了</w:t>
      </w:r>
      <w:r>
        <w:rPr>
          <w:w w:val="100"/>
        </w:rPr>
        <w:t> </w:t>
      </w:r>
      <w:r>
        <w:rPr>
          <w:spacing w:val="-3"/>
        </w:rPr>
        <w:t>京东、蘑菇街等电商行业的巨头客户。</w:t>
      </w:r>
      <w:r>
        <w:rPr>
          <w:rFonts w:ascii="宋体" w:hAnsi="宋体" w:cs="宋体" w:eastAsia="宋体" w:hint="default"/>
          <w:spacing w:val="-3"/>
        </w:rPr>
        <w:t>2015</w:t>
      </w:r>
      <w:r>
        <w:rPr>
          <w:rFonts w:ascii="宋体" w:hAnsi="宋体" w:cs="宋体" w:eastAsia="宋体" w:hint="default"/>
          <w:spacing w:val="-51"/>
        </w:rPr>
        <w:t> </w:t>
      </w:r>
      <w:r>
        <w:rPr/>
        <w:t>年是派瑞威行正式进入搜索领域的第一年，即成为了</w:t>
      </w:r>
      <w:r>
        <w:rPr>
          <w:spacing w:val="-94"/>
        </w:rPr>
        <w:t> </w:t>
      </w:r>
      <w:r>
        <w:rPr>
          <w:spacing w:val="-94"/>
        </w:rPr>
      </w:r>
      <w:r>
        <w:rPr>
          <w:rFonts w:ascii="宋体" w:hAnsi="宋体" w:cs="宋体" w:eastAsia="宋体" w:hint="default"/>
        </w:rPr>
        <w:t>360</w:t>
      </w:r>
      <w:r>
        <w:rPr/>
        <w:t>、搜狗等搜索媒体的前三大代理商之一。</w:t>
      </w:r>
    </w:p>
    <w:p>
      <w:pPr>
        <w:pStyle w:val="BodyText"/>
        <w:spacing w:line="240" w:lineRule="auto" w:before="22"/>
        <w:ind w:left="558" w:right="99"/>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3"/>
        </w:rPr>
        <w:t>日，派瑞威行的总资产为</w:t>
      </w:r>
      <w:r>
        <w:rPr>
          <w:spacing w:val="-50"/>
        </w:rPr>
        <w:t> </w:t>
      </w:r>
      <w:r>
        <w:rPr>
          <w:rFonts w:ascii="宋体" w:hAnsi="宋体" w:cs="宋体" w:eastAsia="宋体" w:hint="default"/>
        </w:rPr>
        <w:t>49,487.61</w:t>
      </w:r>
      <w:r>
        <w:rPr>
          <w:rFonts w:ascii="宋体" w:hAnsi="宋体" w:cs="宋体" w:eastAsia="宋体" w:hint="default"/>
          <w:spacing w:val="-50"/>
        </w:rPr>
        <w:t> </w:t>
      </w:r>
      <w:r>
        <w:rPr>
          <w:spacing w:val="-3"/>
        </w:rPr>
        <w:t>万元，净资产为</w:t>
      </w:r>
      <w:r>
        <w:rPr>
          <w:spacing w:val="-52"/>
        </w:rPr>
        <w:t> </w:t>
      </w:r>
      <w:r>
        <w:rPr>
          <w:rFonts w:ascii="宋体" w:hAnsi="宋体" w:cs="宋体" w:eastAsia="宋体" w:hint="default"/>
        </w:rPr>
        <w:t>15,966.13</w:t>
      </w:r>
      <w:r>
        <w:rPr>
          <w:rFonts w:ascii="宋体" w:hAnsi="宋体" w:cs="宋体" w:eastAsia="宋体" w:hint="default"/>
          <w:spacing w:val="-49"/>
        </w:rPr>
        <w:t> </w:t>
      </w:r>
      <w:r>
        <w:rPr>
          <w:spacing w:val="-3"/>
        </w:rPr>
        <w:t>万元。</w:t>
      </w:r>
      <w:r>
        <w:rPr>
          <w:rFonts w:ascii="宋体" w:hAnsi="宋体" w:cs="宋体" w:eastAsia="宋体" w:hint="default"/>
          <w:spacing w:val="-3"/>
        </w:rPr>
        <w:t>2015</w:t>
      </w:r>
    </w:p>
    <w:p>
      <w:pPr>
        <w:pStyle w:val="BodyText"/>
        <w:spacing w:line="240" w:lineRule="auto" w:before="85"/>
        <w:ind w:right="0"/>
        <w:jc w:val="both"/>
      </w:pPr>
      <w:r>
        <w:rPr/>
        <w:t>年</w:t>
      </w:r>
      <w:r>
        <w:rPr>
          <w:spacing w:val="-54"/>
        </w:rPr>
        <w:t> </w:t>
      </w:r>
      <w:r>
        <w:rPr>
          <w:rFonts w:ascii="宋体" w:hAnsi="宋体" w:cs="宋体" w:eastAsia="宋体" w:hint="default"/>
        </w:rPr>
        <w:t>9</w:t>
      </w:r>
      <w:r>
        <w:rPr>
          <w:rFonts w:ascii="宋体" w:hAnsi="宋体" w:cs="宋体" w:eastAsia="宋体" w:hint="default"/>
          <w:spacing w:val="-54"/>
        </w:rPr>
        <w:t> </w:t>
      </w:r>
      <w:r>
        <w:rPr/>
        <w:t>月至</w:t>
      </w:r>
      <w:r>
        <w:rPr>
          <w:spacing w:val="-54"/>
        </w:rPr>
        <w:t> </w:t>
      </w:r>
      <w:r>
        <w:rPr>
          <w:rFonts w:ascii="宋体" w:hAnsi="宋体" w:cs="宋体" w:eastAsia="宋体" w:hint="default"/>
        </w:rPr>
        <w:t>12</w:t>
      </w:r>
      <w:r>
        <w:rPr>
          <w:rFonts w:ascii="宋体" w:hAnsi="宋体" w:cs="宋体" w:eastAsia="宋体" w:hint="default"/>
          <w:spacing w:val="-54"/>
        </w:rPr>
        <w:t> </w:t>
      </w:r>
      <w:r>
        <w:rPr/>
        <w:t>月，派瑞威行实现营业收入</w:t>
      </w:r>
      <w:r>
        <w:rPr>
          <w:spacing w:val="-54"/>
        </w:rPr>
        <w:t> </w:t>
      </w:r>
      <w:r>
        <w:rPr>
          <w:rFonts w:ascii="宋体" w:hAnsi="宋体" w:cs="宋体" w:eastAsia="宋体" w:hint="default"/>
        </w:rPr>
        <w:t>67,061.10</w:t>
      </w:r>
      <w:r>
        <w:rPr>
          <w:rFonts w:ascii="宋体" w:hAnsi="宋体" w:cs="宋体" w:eastAsia="宋体" w:hint="default"/>
          <w:spacing w:val="-56"/>
        </w:rPr>
        <w:t> </w:t>
      </w:r>
      <w:r>
        <w:rPr/>
        <w:t>万元，实现净利润</w:t>
      </w:r>
      <w:r>
        <w:rPr>
          <w:spacing w:val="-54"/>
        </w:rPr>
        <w:t> </w:t>
      </w:r>
      <w:r>
        <w:rPr>
          <w:rFonts w:ascii="宋体" w:hAnsi="宋体" w:cs="宋体" w:eastAsia="宋体" w:hint="default"/>
        </w:rPr>
        <w:t>4,230.28</w:t>
      </w:r>
      <w:r>
        <w:rPr>
          <w:rFonts w:ascii="宋体" w:hAnsi="宋体" w:cs="宋体" w:eastAsia="宋体" w:hint="default"/>
          <w:spacing w:val="-53"/>
        </w:rPr>
        <w:t> </w:t>
      </w:r>
      <w:r>
        <w:rPr/>
        <w:t>万元（摘自《审</w:t>
      </w:r>
    </w:p>
    <w:p>
      <w:pPr>
        <w:pStyle w:val="BodyText"/>
        <w:spacing w:line="314" w:lineRule="auto" w:before="85"/>
        <w:ind w:right="222"/>
        <w:jc w:val="both"/>
      </w:pPr>
      <w:r>
        <w:rPr/>
        <w:t>阅报告》天健审【</w:t>
      </w:r>
      <w:r>
        <w:rPr>
          <w:rFonts w:ascii="宋体" w:hAnsi="宋体" w:cs="宋体" w:eastAsia="宋体" w:hint="default"/>
        </w:rPr>
        <w:t>2016</w:t>
      </w:r>
      <w:r>
        <w:rPr/>
        <w:t>】</w:t>
      </w:r>
      <w:r>
        <w:rPr>
          <w:rFonts w:ascii="宋体" w:hAnsi="宋体" w:cs="宋体" w:eastAsia="宋体" w:hint="default"/>
        </w:rPr>
        <w:t>785</w:t>
      </w:r>
      <w:r>
        <w:rPr>
          <w:rFonts w:ascii="宋体" w:hAnsi="宋体" w:cs="宋体" w:eastAsia="宋体" w:hint="default"/>
          <w:spacing w:val="-54"/>
        </w:rPr>
        <w:t> </w:t>
      </w:r>
      <w:r>
        <w:rPr/>
        <w:t>号）。</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月至</w:t>
      </w:r>
      <w:r>
        <w:rPr>
          <w:spacing w:val="-56"/>
        </w:rPr>
        <w:t> </w:t>
      </w:r>
      <w:r>
        <w:rPr>
          <w:rFonts w:ascii="宋体" w:hAnsi="宋体" w:cs="宋体" w:eastAsia="宋体" w:hint="default"/>
        </w:rPr>
        <w:t>12</w:t>
      </w:r>
      <w:r>
        <w:rPr>
          <w:rFonts w:ascii="宋体" w:hAnsi="宋体" w:cs="宋体" w:eastAsia="宋体" w:hint="default"/>
          <w:spacing w:val="-54"/>
        </w:rPr>
        <w:t> </w:t>
      </w:r>
      <w:r>
        <w:rPr/>
        <w:t>月，派瑞威行实现营业收入</w:t>
      </w:r>
      <w:r>
        <w:rPr>
          <w:spacing w:val="-53"/>
        </w:rPr>
        <w:t> </w:t>
      </w:r>
      <w:r>
        <w:rPr>
          <w:rFonts w:ascii="宋体" w:hAnsi="宋体" w:cs="宋体" w:eastAsia="宋体" w:hint="default"/>
        </w:rPr>
        <w:t>160,099.48</w:t>
      </w:r>
      <w:r>
        <w:rPr>
          <w:rFonts w:ascii="宋体" w:hAnsi="宋体" w:cs="宋体" w:eastAsia="宋体" w:hint="default"/>
          <w:spacing w:val="-54"/>
        </w:rPr>
        <w:t> </w:t>
      </w:r>
      <w:r>
        <w:rPr/>
        <w:t>万</w:t>
      </w:r>
      <w:r>
        <w:rPr>
          <w:w w:val="100"/>
        </w:rPr>
        <w:t> </w:t>
      </w:r>
      <w:r>
        <w:rPr/>
        <w:t>元，实现净利润</w:t>
      </w:r>
      <w:r>
        <w:rPr>
          <w:spacing w:val="-54"/>
        </w:rPr>
        <w:t> </w:t>
      </w:r>
      <w:r>
        <w:rPr>
          <w:rFonts w:ascii="宋体" w:hAnsi="宋体" w:cs="宋体" w:eastAsia="宋体" w:hint="default"/>
        </w:rPr>
        <w:t>7,476.88</w:t>
      </w:r>
      <w:r>
        <w:rPr>
          <w:rFonts w:ascii="宋体" w:hAnsi="宋体" w:cs="宋体" w:eastAsia="宋体" w:hint="default"/>
          <w:spacing w:val="-56"/>
        </w:rPr>
        <w:t> </w:t>
      </w:r>
      <w:r>
        <w:rPr/>
        <w:t>万元（摘自《审计报告》天健审【</w:t>
      </w:r>
      <w:r>
        <w:rPr>
          <w:rFonts w:ascii="宋体" w:hAnsi="宋体" w:cs="宋体" w:eastAsia="宋体" w:hint="default"/>
        </w:rPr>
        <w:t>2016</w:t>
      </w:r>
      <w:r>
        <w:rPr/>
        <w:t>】</w:t>
      </w:r>
      <w:r>
        <w:rPr>
          <w:rFonts w:ascii="宋体" w:hAnsi="宋体" w:cs="宋体" w:eastAsia="宋体" w:hint="default"/>
        </w:rPr>
        <w:t>787</w:t>
      </w:r>
      <w:r>
        <w:rPr>
          <w:rFonts w:ascii="宋体" w:hAnsi="宋体" w:cs="宋体" w:eastAsia="宋体" w:hint="default"/>
          <w:spacing w:val="-56"/>
        </w:rPr>
        <w:t> </w:t>
      </w:r>
      <w:r>
        <w:rPr/>
        <w:t>号。</w:t>
      </w:r>
    </w:p>
    <w:p>
      <w:pPr>
        <w:pStyle w:val="Heading2"/>
        <w:spacing w:line="240" w:lineRule="auto" w:before="20"/>
        <w:ind w:left="560" w:right="99"/>
        <w:jc w:val="left"/>
        <w:rPr>
          <w:b w:val="0"/>
          <w:bCs w:val="0"/>
        </w:rPr>
      </w:pPr>
      <w:r>
        <w:rPr>
          <w:rFonts w:ascii="宋体" w:hAnsi="宋体" w:cs="宋体" w:eastAsia="宋体" w:hint="default"/>
        </w:rPr>
        <w:t>6</w:t>
      </w:r>
      <w:r>
        <w:rPr/>
        <w:t>、青岛科达置业有限公司</w:t>
      </w:r>
      <w:r>
        <w:rPr>
          <w:b w:val="0"/>
          <w:bCs w:val="0"/>
        </w:rPr>
      </w:r>
    </w:p>
    <w:p>
      <w:pPr>
        <w:pStyle w:val="BodyText"/>
        <w:spacing w:line="240" w:lineRule="auto" w:before="85"/>
        <w:ind w:left="558" w:right="99"/>
        <w:jc w:val="left"/>
      </w:pPr>
      <w:r>
        <w:rPr/>
        <w:t>青岛科达置业有限公司成立于</w:t>
      </w:r>
      <w:r>
        <w:rPr>
          <w:spacing w:val="-45"/>
        </w:rPr>
        <w:t> </w:t>
      </w:r>
      <w:r>
        <w:rPr>
          <w:rFonts w:ascii="宋体" w:hAnsi="宋体" w:cs="宋体" w:eastAsia="宋体" w:hint="default"/>
        </w:rPr>
        <w:t>2010</w:t>
      </w:r>
      <w:r>
        <w:rPr>
          <w:rFonts w:ascii="宋体" w:hAnsi="宋体" w:cs="宋体" w:eastAsia="宋体" w:hint="default"/>
          <w:spacing w:val="-49"/>
        </w:rPr>
        <w:t> </w:t>
      </w:r>
      <w:r>
        <w:rPr/>
        <w:t>年</w:t>
      </w:r>
      <w:r>
        <w:rPr>
          <w:spacing w:val="-46"/>
        </w:rPr>
        <w:t> </w:t>
      </w:r>
      <w:r>
        <w:rPr>
          <w:rFonts w:ascii="宋体" w:hAnsi="宋体" w:cs="宋体" w:eastAsia="宋体" w:hint="default"/>
        </w:rPr>
        <w:t>9</w:t>
      </w:r>
      <w:r>
        <w:rPr>
          <w:rFonts w:ascii="宋体" w:hAnsi="宋体" w:cs="宋体" w:eastAsia="宋体" w:hint="default"/>
          <w:spacing w:val="-49"/>
        </w:rPr>
        <w:t> </w:t>
      </w:r>
      <w:r>
        <w:rPr>
          <w:spacing w:val="-13"/>
        </w:rPr>
        <w:t>月，注册资本</w:t>
      </w:r>
      <w:r>
        <w:rPr>
          <w:spacing w:val="-45"/>
        </w:rPr>
        <w:t> </w:t>
      </w:r>
      <w:r>
        <w:rPr>
          <w:rFonts w:ascii="宋体" w:hAnsi="宋体" w:cs="宋体" w:eastAsia="宋体" w:hint="default"/>
        </w:rPr>
        <w:t>5000</w:t>
      </w:r>
      <w:r>
        <w:rPr>
          <w:rFonts w:ascii="宋体" w:hAnsi="宋体" w:cs="宋体" w:eastAsia="宋体" w:hint="default"/>
          <w:spacing w:val="-46"/>
        </w:rPr>
        <w:t> </w:t>
      </w:r>
      <w:r>
        <w:rPr>
          <w:spacing w:val="-11"/>
        </w:rPr>
        <w:t>万元，注册地为青岛市黄岛区（原</w:t>
      </w:r>
    </w:p>
    <w:p>
      <w:pPr>
        <w:pStyle w:val="BodyText"/>
        <w:spacing w:line="314" w:lineRule="auto" w:before="85"/>
        <w:ind w:right="270"/>
        <w:jc w:val="both"/>
      </w:pPr>
      <w:r>
        <w:rPr/>
        <w:t>胶南市），为公司的全资子公司。</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日，青岛置业的总资产为</w:t>
      </w:r>
      <w:r>
        <w:rPr>
          <w:spacing w:val="-56"/>
        </w:rPr>
        <w:t> </w:t>
      </w:r>
      <w:r>
        <w:rPr>
          <w:rFonts w:ascii="宋体" w:hAnsi="宋体" w:cs="宋体" w:eastAsia="宋体" w:hint="default"/>
        </w:rPr>
        <w:t>181,969.98</w:t>
      </w:r>
      <w:r>
        <w:rPr>
          <w:rFonts w:ascii="宋体" w:hAnsi="宋体" w:cs="宋体" w:eastAsia="宋体" w:hint="default"/>
          <w:spacing w:val="-53"/>
        </w:rPr>
        <w:t> </w:t>
      </w:r>
      <w:r>
        <w:rPr/>
        <w:t>万元，</w:t>
      </w:r>
      <w:r>
        <w:rPr>
          <w:w w:val="100"/>
        </w:rPr>
        <w:t> </w:t>
      </w:r>
      <w:r>
        <w:rPr>
          <w:spacing w:val="-1"/>
        </w:rPr>
        <w:t>净资产为</w:t>
      </w:r>
      <w:r>
        <w:rPr>
          <w:rFonts w:ascii="宋体" w:hAnsi="宋体" w:cs="宋体" w:eastAsia="宋体" w:hint="default"/>
          <w:spacing w:val="-1"/>
        </w:rPr>
        <w:t>-8,063.51</w:t>
      </w:r>
      <w:r>
        <w:rPr>
          <w:rFonts w:ascii="宋体" w:hAnsi="宋体" w:cs="宋体" w:eastAsia="宋体" w:hint="default"/>
        </w:rPr>
        <w:t> </w:t>
      </w:r>
      <w:r>
        <w:rPr>
          <w:spacing w:val="-2"/>
        </w:rPr>
        <w:t>万元。因其开发的“科达·天意华苑”项目报告期内处于开发建设期，故该</w:t>
      </w:r>
      <w:r>
        <w:rPr>
          <w:spacing w:val="-84"/>
        </w:rPr>
        <w:t> </w:t>
      </w:r>
      <w:r>
        <w:rPr>
          <w:spacing w:val="-84"/>
        </w:rPr>
      </w:r>
      <w:r>
        <w:rPr>
          <w:spacing w:val="-2"/>
        </w:rPr>
        <w:t>项目在本报告期内未有营业收入确认，本报告期内青岛置业实现净利润</w:t>
      </w:r>
      <w:r>
        <w:rPr>
          <w:rFonts w:ascii="宋体" w:hAnsi="宋体" w:cs="宋体" w:eastAsia="宋体" w:hint="default"/>
          <w:spacing w:val="-2"/>
        </w:rPr>
        <w:t>-6,131.41</w:t>
      </w:r>
      <w:r>
        <w:rPr>
          <w:rFonts w:ascii="宋体" w:hAnsi="宋体" w:cs="宋体" w:eastAsia="宋体" w:hint="default"/>
          <w:spacing w:val="22"/>
        </w:rPr>
        <w:t> </w:t>
      </w:r>
      <w:r>
        <w:rPr>
          <w:spacing w:val="-1"/>
        </w:rPr>
        <w:t>万元。</w:t>
      </w:r>
    </w:p>
    <w:p>
      <w:pPr>
        <w:pStyle w:val="BodyText"/>
        <w:spacing w:line="240" w:lineRule="auto"/>
        <w:ind w:left="558" w:right="0"/>
        <w:jc w:val="left"/>
      </w:pPr>
      <w:r>
        <w:rPr/>
        <w:t>青岛</w:t>
      </w:r>
      <w:r>
        <w:rPr>
          <w:rFonts w:ascii="宋体" w:hAnsi="宋体" w:cs="宋体" w:eastAsia="宋体" w:hint="default"/>
        </w:rPr>
        <w:t>"</w:t>
      </w:r>
      <w:r>
        <w:rPr/>
        <w:t>科达·天意华苑</w:t>
      </w:r>
      <w:r>
        <w:rPr>
          <w:rFonts w:ascii="宋体" w:hAnsi="宋体" w:cs="宋体" w:eastAsia="宋体" w:hint="default"/>
        </w:rPr>
        <w:t>"</w:t>
      </w:r>
      <w:r>
        <w:rPr/>
        <w:t>项目占地共计</w:t>
      </w:r>
      <w:r>
        <w:rPr>
          <w:spacing w:val="-52"/>
        </w:rPr>
        <w:t> </w:t>
      </w:r>
      <w:r>
        <w:rPr>
          <w:rFonts w:ascii="宋体" w:hAnsi="宋体" w:cs="宋体" w:eastAsia="宋体" w:hint="default"/>
        </w:rPr>
        <w:t>253</w:t>
      </w:r>
      <w:r>
        <w:rPr>
          <w:rFonts w:ascii="宋体" w:hAnsi="宋体" w:cs="宋体" w:eastAsia="宋体" w:hint="default"/>
          <w:spacing w:val="-54"/>
        </w:rPr>
        <w:t> </w:t>
      </w:r>
      <w:r>
        <w:rPr/>
        <w:t>亩，计划开发建筑面积</w:t>
      </w:r>
      <w:r>
        <w:rPr>
          <w:spacing w:val="-52"/>
        </w:rPr>
        <w:t> </w:t>
      </w:r>
      <w:r>
        <w:rPr>
          <w:rFonts w:ascii="宋体" w:hAnsi="宋体" w:cs="宋体" w:eastAsia="宋体" w:hint="default"/>
        </w:rPr>
        <w:t>47</w:t>
      </w:r>
      <w:r>
        <w:rPr>
          <w:rFonts w:ascii="宋体" w:hAnsi="宋体" w:cs="宋体" w:eastAsia="宋体" w:hint="default"/>
          <w:spacing w:val="-52"/>
        </w:rPr>
        <w:t> </w:t>
      </w:r>
      <w:r>
        <w:rPr/>
        <w:t>万平方米，分二期开发，</w:t>
      </w:r>
    </w:p>
    <w:p>
      <w:pPr>
        <w:pStyle w:val="BodyText"/>
        <w:spacing w:line="240" w:lineRule="auto" w:before="85"/>
        <w:ind w:right="0"/>
        <w:jc w:val="both"/>
      </w:pPr>
      <w:r>
        <w:rPr/>
        <w:t>目前为第一期开发。本期开发土地面积为</w:t>
      </w:r>
      <w:r>
        <w:rPr>
          <w:spacing w:val="-53"/>
        </w:rPr>
        <w:t> </w:t>
      </w:r>
      <w:r>
        <w:rPr>
          <w:rFonts w:ascii="宋体" w:hAnsi="宋体" w:cs="宋体" w:eastAsia="宋体" w:hint="default"/>
        </w:rPr>
        <w:t>156</w:t>
      </w:r>
      <w:r>
        <w:rPr>
          <w:rFonts w:ascii="宋体" w:hAnsi="宋体" w:cs="宋体" w:eastAsia="宋体" w:hint="default"/>
          <w:spacing w:val="-55"/>
        </w:rPr>
        <w:t> </w:t>
      </w:r>
      <w:r>
        <w:rPr/>
        <w:t>亩，总建筑面积为</w:t>
      </w:r>
      <w:r>
        <w:rPr>
          <w:spacing w:val="-53"/>
        </w:rPr>
        <w:t> </w:t>
      </w:r>
      <w:r>
        <w:rPr>
          <w:rFonts w:ascii="宋体" w:hAnsi="宋体" w:cs="宋体" w:eastAsia="宋体" w:hint="default"/>
        </w:rPr>
        <w:t>28.13</w:t>
      </w:r>
      <w:r>
        <w:rPr>
          <w:rFonts w:ascii="宋体" w:hAnsi="宋体" w:cs="宋体" w:eastAsia="宋体" w:hint="default"/>
          <w:spacing w:val="-55"/>
        </w:rPr>
        <w:t> </w:t>
      </w:r>
      <w:r>
        <w:rPr/>
        <w:t>万平方米，其中高层住宅</w:t>
      </w:r>
    </w:p>
    <w:p>
      <w:pPr>
        <w:pStyle w:val="BodyText"/>
        <w:spacing w:line="240" w:lineRule="auto" w:before="85"/>
        <w:ind w:right="0"/>
        <w:jc w:val="both"/>
      </w:pPr>
      <w:r>
        <w:rPr>
          <w:rFonts w:ascii="宋体" w:hAnsi="宋体" w:cs="宋体" w:eastAsia="宋体" w:hint="default"/>
        </w:rPr>
        <w:t>9</w:t>
      </w:r>
      <w:r>
        <w:rPr>
          <w:rFonts w:ascii="宋体" w:hAnsi="宋体" w:cs="宋体" w:eastAsia="宋体" w:hint="default"/>
          <w:spacing w:val="-54"/>
        </w:rPr>
        <w:t> </w:t>
      </w:r>
      <w:r>
        <w:rPr/>
        <w:t>栋，</w:t>
      </w:r>
      <w:r>
        <w:rPr>
          <w:rFonts w:ascii="宋体" w:hAnsi="宋体" w:cs="宋体" w:eastAsia="宋体" w:hint="default"/>
        </w:rPr>
        <w:t>1197</w:t>
      </w:r>
      <w:r>
        <w:rPr>
          <w:rFonts w:ascii="宋体" w:hAnsi="宋体" w:cs="宋体" w:eastAsia="宋体" w:hint="default"/>
          <w:spacing w:val="-56"/>
        </w:rPr>
        <w:t> </w:t>
      </w:r>
      <w:r>
        <w:rPr/>
        <w:t>套，共计</w:t>
      </w:r>
      <w:r>
        <w:rPr>
          <w:spacing w:val="-54"/>
        </w:rPr>
        <w:t> </w:t>
      </w:r>
      <w:r>
        <w:rPr>
          <w:rFonts w:ascii="宋体" w:hAnsi="宋体" w:cs="宋体" w:eastAsia="宋体" w:hint="default"/>
        </w:rPr>
        <w:t>20.32</w:t>
      </w:r>
      <w:r>
        <w:rPr>
          <w:rFonts w:ascii="宋体" w:hAnsi="宋体" w:cs="宋体" w:eastAsia="宋体" w:hint="default"/>
          <w:spacing w:val="-53"/>
        </w:rPr>
        <w:t> </w:t>
      </w:r>
      <w:r>
        <w:rPr/>
        <w:t>万平方米；低层住宅</w:t>
      </w:r>
      <w:r>
        <w:rPr>
          <w:spacing w:val="-54"/>
        </w:rPr>
        <w:t> </w:t>
      </w:r>
      <w:r>
        <w:rPr>
          <w:rFonts w:ascii="宋体" w:hAnsi="宋体" w:cs="宋体" w:eastAsia="宋体" w:hint="default"/>
        </w:rPr>
        <w:t>32</w:t>
      </w:r>
      <w:r>
        <w:rPr>
          <w:rFonts w:ascii="宋体" w:hAnsi="宋体" w:cs="宋体" w:eastAsia="宋体" w:hint="default"/>
          <w:spacing w:val="-56"/>
        </w:rPr>
        <w:t> </w:t>
      </w:r>
      <w:r>
        <w:rPr/>
        <w:t>栋，</w:t>
      </w:r>
      <w:r>
        <w:rPr>
          <w:rFonts w:ascii="宋体" w:hAnsi="宋体" w:cs="宋体" w:eastAsia="宋体" w:hint="default"/>
        </w:rPr>
        <w:t>128</w:t>
      </w:r>
      <w:r>
        <w:rPr>
          <w:rFonts w:ascii="宋体" w:hAnsi="宋体" w:cs="宋体" w:eastAsia="宋体" w:hint="default"/>
          <w:spacing w:val="-54"/>
        </w:rPr>
        <w:t> </w:t>
      </w:r>
      <w:r>
        <w:rPr/>
        <w:t>套，共计</w:t>
      </w:r>
      <w:r>
        <w:rPr>
          <w:spacing w:val="-54"/>
        </w:rPr>
        <w:t> </w:t>
      </w:r>
      <w:r>
        <w:rPr>
          <w:rFonts w:ascii="宋体" w:hAnsi="宋体" w:cs="宋体" w:eastAsia="宋体" w:hint="default"/>
        </w:rPr>
        <w:t>7.14</w:t>
      </w:r>
      <w:r>
        <w:rPr>
          <w:rFonts w:ascii="宋体" w:hAnsi="宋体" w:cs="宋体" w:eastAsia="宋体" w:hint="default"/>
          <w:spacing w:val="-56"/>
        </w:rPr>
        <w:t> </w:t>
      </w:r>
      <w:r>
        <w:rPr/>
        <w:t>万平方米；配套工程</w:t>
      </w:r>
    </w:p>
    <w:p>
      <w:pPr>
        <w:pStyle w:val="BodyText"/>
        <w:spacing w:line="314" w:lineRule="auto" w:before="85"/>
        <w:ind w:right="275"/>
        <w:jc w:val="both"/>
      </w:pPr>
      <w:r>
        <w:rPr>
          <w:rFonts w:ascii="宋体" w:hAnsi="宋体" w:cs="宋体" w:eastAsia="宋体" w:hint="default"/>
        </w:rPr>
        <w:t>0.67</w:t>
      </w:r>
      <w:r>
        <w:rPr>
          <w:rFonts w:ascii="宋体" w:hAnsi="宋体" w:cs="宋体" w:eastAsia="宋体" w:hint="default"/>
          <w:spacing w:val="-56"/>
        </w:rPr>
        <w:t> </w:t>
      </w:r>
      <w:r>
        <w:rPr/>
        <w:t>万平方米。截止到</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日，除部分安装工程外，低层住宅全部完工；高层住宅</w:t>
      </w:r>
      <w:r>
        <w:rPr>
          <w:w w:val="100"/>
        </w:rPr>
        <w:t> </w:t>
      </w:r>
      <w:r>
        <w:rPr/>
        <w:t>全部主体封顶、砌体完成，正在进行绿化景观工程。</w:t>
      </w:r>
    </w:p>
    <w:p>
      <w:pPr>
        <w:pStyle w:val="BodyText"/>
        <w:spacing w:line="240" w:lineRule="auto"/>
        <w:ind w:left="558" w:right="99"/>
        <w:jc w:val="left"/>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48"/>
        </w:rPr>
        <w:t> </w:t>
      </w:r>
      <w:r>
        <w:rPr/>
        <w:t>年</w:t>
      </w:r>
      <w:r>
        <w:rPr>
          <w:spacing w:val="-45"/>
        </w:rPr>
        <w:t> </w:t>
      </w:r>
      <w:r>
        <w:rPr>
          <w:rFonts w:ascii="宋体" w:hAnsi="宋体" w:cs="宋体" w:eastAsia="宋体" w:hint="default"/>
        </w:rPr>
        <w:t>11</w:t>
      </w:r>
      <w:r>
        <w:rPr>
          <w:rFonts w:ascii="宋体" w:hAnsi="宋体" w:cs="宋体" w:eastAsia="宋体" w:hint="default"/>
          <w:spacing w:val="-48"/>
        </w:rPr>
        <w:t> </w:t>
      </w:r>
      <w:r>
        <w:rPr/>
        <w:t>月</w:t>
      </w:r>
      <w:r>
        <w:rPr>
          <w:spacing w:val="-45"/>
        </w:rPr>
        <w:t> </w:t>
      </w:r>
      <w:r>
        <w:rPr>
          <w:rFonts w:ascii="宋体" w:hAnsi="宋体" w:cs="宋体" w:eastAsia="宋体" w:hint="default"/>
        </w:rPr>
        <w:t>2</w:t>
      </w:r>
      <w:r>
        <w:rPr>
          <w:rFonts w:ascii="宋体" w:hAnsi="宋体" w:cs="宋体" w:eastAsia="宋体" w:hint="default"/>
          <w:spacing w:val="-48"/>
        </w:rPr>
        <w:t> </w:t>
      </w:r>
      <w:r>
        <w:rPr>
          <w:spacing w:val="-5"/>
        </w:rPr>
        <w:t>日，青岛</w:t>
      </w:r>
      <w:r>
        <w:rPr>
          <w:rFonts w:ascii="宋体" w:hAnsi="宋体" w:cs="宋体" w:eastAsia="宋体" w:hint="default"/>
          <w:spacing w:val="-5"/>
        </w:rPr>
        <w:t>"</w:t>
      </w:r>
      <w:r>
        <w:rPr>
          <w:spacing w:val="-5"/>
        </w:rPr>
        <w:t>科达·天意华苑</w:t>
      </w:r>
      <w:r>
        <w:rPr>
          <w:rFonts w:ascii="宋体" w:hAnsi="宋体" w:cs="宋体" w:eastAsia="宋体" w:hint="default"/>
          <w:spacing w:val="-5"/>
        </w:rPr>
        <w:t>"</w:t>
      </w:r>
      <w:r>
        <w:rPr>
          <w:spacing w:val="-5"/>
        </w:rPr>
        <w:t>项目首次开盘，推出高层共</w:t>
      </w:r>
      <w:r>
        <w:rPr>
          <w:spacing w:val="-45"/>
        </w:rPr>
        <w:t> </w:t>
      </w:r>
      <w:r>
        <w:rPr>
          <w:rFonts w:ascii="宋体" w:hAnsi="宋体" w:cs="宋体" w:eastAsia="宋体" w:hint="default"/>
        </w:rPr>
        <w:t>1004</w:t>
      </w:r>
      <w:r>
        <w:rPr>
          <w:rFonts w:ascii="宋体" w:hAnsi="宋体" w:cs="宋体" w:eastAsia="宋体" w:hint="default"/>
          <w:spacing w:val="-44"/>
        </w:rPr>
        <w:t> </w:t>
      </w:r>
      <w:r>
        <w:rPr>
          <w:spacing w:val="-7"/>
        </w:rPr>
        <w:t>套，截止到</w:t>
      </w:r>
      <w:r>
        <w:rPr>
          <w:spacing w:val="-45"/>
        </w:rPr>
        <w:t> </w:t>
      </w:r>
      <w:r>
        <w:rPr>
          <w:rFonts w:ascii="宋体" w:hAnsi="宋体" w:cs="宋体" w:eastAsia="宋体" w:hint="default"/>
        </w:rPr>
        <w:t>2015</w:t>
      </w:r>
    </w:p>
    <w:p>
      <w:pPr>
        <w:pStyle w:val="BodyText"/>
        <w:spacing w:line="314" w:lineRule="auto" w:before="85"/>
        <w:ind w:right="208"/>
        <w:jc w:val="both"/>
      </w:pP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7"/>
        </w:rPr>
        <w:t> </w:t>
      </w:r>
      <w:r>
        <w:rPr>
          <w:spacing w:val="-11"/>
        </w:rPr>
        <w:t>日，完成高层签约</w:t>
      </w:r>
      <w:r>
        <w:rPr>
          <w:spacing w:val="-44"/>
        </w:rPr>
        <w:t> </w:t>
      </w:r>
      <w:r>
        <w:rPr>
          <w:rFonts w:ascii="宋体" w:hAnsi="宋体" w:cs="宋体" w:eastAsia="宋体" w:hint="default"/>
        </w:rPr>
        <w:t>731</w:t>
      </w:r>
      <w:r>
        <w:rPr>
          <w:rFonts w:ascii="宋体" w:hAnsi="宋体" w:cs="宋体" w:eastAsia="宋体" w:hint="default"/>
          <w:spacing w:val="-47"/>
        </w:rPr>
        <w:t> </w:t>
      </w:r>
      <w:r>
        <w:rPr>
          <w:spacing w:val="-17"/>
        </w:rPr>
        <w:t>套，签约率</w:t>
      </w:r>
      <w:r>
        <w:rPr>
          <w:spacing w:val="-47"/>
        </w:rPr>
        <w:t> </w:t>
      </w:r>
      <w:r>
        <w:rPr>
          <w:rFonts w:ascii="宋体" w:hAnsi="宋体" w:cs="宋体" w:eastAsia="宋体" w:hint="default"/>
          <w:spacing w:val="-8"/>
        </w:rPr>
        <w:t>72.81%</w:t>
      </w:r>
      <w:r>
        <w:rPr>
          <w:spacing w:val="-8"/>
        </w:rPr>
        <w:t>。青岛</w:t>
      </w:r>
      <w:r>
        <w:rPr>
          <w:rFonts w:ascii="宋体" w:hAnsi="宋体" w:cs="宋体" w:eastAsia="宋体" w:hint="default"/>
          <w:spacing w:val="-8"/>
        </w:rPr>
        <w:t>"</w:t>
      </w:r>
      <w:r>
        <w:rPr>
          <w:spacing w:val="-8"/>
        </w:rPr>
        <w:t>科达·天意华苑</w:t>
      </w:r>
      <w:r>
        <w:rPr>
          <w:rFonts w:ascii="宋体" w:hAnsi="宋体" w:cs="宋体" w:eastAsia="宋体" w:hint="default"/>
          <w:spacing w:val="-8"/>
        </w:rPr>
        <w:t>"</w:t>
      </w:r>
      <w:r>
        <w:rPr>
          <w:spacing w:val="-8"/>
        </w:rPr>
        <w:t>项目已售面积为</w:t>
      </w:r>
      <w:r>
        <w:rPr>
          <w:spacing w:val="-44"/>
        </w:rPr>
        <w:t> </w:t>
      </w:r>
      <w:r>
        <w:rPr>
          <w:rFonts w:ascii="宋体" w:hAnsi="宋体" w:cs="宋体" w:eastAsia="宋体" w:hint="default"/>
        </w:rPr>
        <w:t>9.02</w:t>
      </w:r>
      <w:r>
        <w:rPr>
          <w:rFonts w:ascii="宋体" w:hAnsi="宋体" w:cs="宋体" w:eastAsia="宋体" w:hint="default"/>
          <w:spacing w:val="-102"/>
        </w:rPr>
        <w:t> </w:t>
      </w:r>
      <w:r>
        <w:rPr>
          <w:rFonts w:ascii="宋体" w:hAnsi="宋体" w:cs="宋体" w:eastAsia="宋体" w:hint="default"/>
          <w:spacing w:val="-102"/>
        </w:rPr>
      </w:r>
      <w:r>
        <w:rPr/>
        <w:t>万平方米，销售面积占完工面积比例为</w:t>
      </w:r>
      <w:r>
        <w:rPr>
          <w:spacing w:val="-55"/>
        </w:rPr>
        <w:t> </w:t>
      </w:r>
      <w:r>
        <w:rPr>
          <w:rFonts w:ascii="宋体" w:hAnsi="宋体" w:cs="宋体" w:eastAsia="宋体" w:hint="default"/>
        </w:rPr>
        <w:t>56.94%</w:t>
      </w:r>
      <w:r>
        <w:rPr/>
        <w:t>。</w:t>
      </w:r>
    </w:p>
    <w:p>
      <w:pPr>
        <w:pStyle w:val="Heading2"/>
        <w:spacing w:line="240" w:lineRule="auto" w:before="20"/>
        <w:ind w:left="560" w:right="99"/>
        <w:jc w:val="left"/>
        <w:rPr>
          <w:b w:val="0"/>
          <w:bCs w:val="0"/>
        </w:rPr>
      </w:pPr>
      <w:r>
        <w:rPr>
          <w:rFonts w:ascii="宋体" w:hAnsi="宋体" w:cs="宋体" w:eastAsia="宋体" w:hint="default"/>
        </w:rPr>
        <w:t>7</w:t>
      </w:r>
      <w:r>
        <w:rPr/>
        <w:t>、东营科英置业有限公司</w:t>
      </w:r>
      <w:r>
        <w:rPr>
          <w:b w:val="0"/>
          <w:bCs w:val="0"/>
        </w:rPr>
      </w:r>
    </w:p>
    <w:p>
      <w:pPr>
        <w:pStyle w:val="BodyText"/>
        <w:spacing w:line="314" w:lineRule="auto" w:before="85"/>
        <w:ind w:right="99" w:firstLine="419"/>
        <w:jc w:val="left"/>
      </w:pPr>
      <w:r>
        <w:rPr/>
        <w:t>东营科英置业有限公司成立于</w:t>
      </w:r>
      <w:r>
        <w:rPr>
          <w:spacing w:val="-50"/>
        </w:rPr>
        <w:t> </w:t>
      </w:r>
      <w:r>
        <w:rPr>
          <w:rFonts w:ascii="宋体" w:hAnsi="宋体" w:cs="宋体" w:eastAsia="宋体" w:hint="default"/>
        </w:rPr>
        <w:t>2000</w:t>
      </w:r>
      <w:r>
        <w:rPr>
          <w:rFonts w:ascii="宋体" w:hAnsi="宋体" w:cs="宋体" w:eastAsia="宋体" w:hint="default"/>
          <w:spacing w:val="-53"/>
        </w:rPr>
        <w:t> </w:t>
      </w:r>
      <w:r>
        <w:rPr/>
        <w:t>年</w:t>
      </w:r>
      <w:r>
        <w:rPr>
          <w:spacing w:val="-51"/>
        </w:rPr>
        <w:t> </w:t>
      </w:r>
      <w:r>
        <w:rPr>
          <w:rFonts w:ascii="宋体" w:hAnsi="宋体" w:cs="宋体" w:eastAsia="宋体" w:hint="default"/>
        </w:rPr>
        <w:t>7</w:t>
      </w:r>
      <w:r>
        <w:rPr>
          <w:rFonts w:ascii="宋体" w:hAnsi="宋体" w:cs="宋体" w:eastAsia="宋体" w:hint="default"/>
          <w:spacing w:val="-53"/>
        </w:rPr>
        <w:t> </w:t>
      </w:r>
      <w:r>
        <w:rPr>
          <w:spacing w:val="-4"/>
        </w:rPr>
        <w:t>月，原注册资本</w:t>
      </w:r>
      <w:r>
        <w:rPr>
          <w:spacing w:val="-50"/>
        </w:rPr>
        <w:t> </w:t>
      </w:r>
      <w:r>
        <w:rPr>
          <w:rFonts w:ascii="宋体" w:hAnsi="宋体" w:cs="宋体" w:eastAsia="宋体" w:hint="default"/>
        </w:rPr>
        <w:t>3800</w:t>
      </w:r>
      <w:r>
        <w:rPr>
          <w:rFonts w:ascii="宋体" w:hAnsi="宋体" w:cs="宋体" w:eastAsia="宋体" w:hint="default"/>
          <w:spacing w:val="-53"/>
        </w:rPr>
        <w:t> </w:t>
      </w:r>
      <w:r>
        <w:rPr>
          <w:spacing w:val="-3"/>
        </w:rPr>
        <w:t>万元，</w:t>
      </w:r>
      <w:r>
        <w:rPr>
          <w:rFonts w:ascii="宋体" w:hAnsi="宋体" w:cs="宋体" w:eastAsia="宋体" w:hint="default"/>
          <w:spacing w:val="-3"/>
        </w:rPr>
        <w:t>2013</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12</w:t>
      </w:r>
      <w:r>
        <w:rPr>
          <w:rFonts w:ascii="宋体" w:hAnsi="宋体" w:cs="宋体" w:eastAsia="宋体" w:hint="default"/>
          <w:spacing w:val="-51"/>
        </w:rPr>
        <w:t> </w:t>
      </w:r>
      <w:r>
        <w:rPr>
          <w:spacing w:val="-6"/>
        </w:rPr>
        <w:t>日，注</w:t>
      </w:r>
      <w:r>
        <w:rPr>
          <w:w w:val="100"/>
        </w:rPr>
        <w:t> </w:t>
      </w:r>
      <w:r>
        <w:rPr/>
        <w:t>册资本增资为</w:t>
      </w:r>
      <w:r>
        <w:rPr>
          <w:spacing w:val="-55"/>
        </w:rPr>
        <w:t> </w:t>
      </w:r>
      <w:r>
        <w:rPr>
          <w:rFonts w:ascii="宋体" w:hAnsi="宋体" w:cs="宋体" w:eastAsia="宋体" w:hint="default"/>
        </w:rPr>
        <w:t>6600</w:t>
      </w:r>
      <w:r>
        <w:rPr>
          <w:rFonts w:ascii="宋体" w:hAnsi="宋体" w:cs="宋体" w:eastAsia="宋体" w:hint="default"/>
          <w:spacing w:val="-57"/>
        </w:rPr>
        <w:t> </w:t>
      </w:r>
      <w:r>
        <w:rPr/>
        <w:t>万元，注册地为东营市东城经济开发区，公司现持有其</w:t>
      </w:r>
      <w:r>
        <w:rPr>
          <w:spacing w:val="-55"/>
        </w:rPr>
        <w:t> </w:t>
      </w:r>
      <w:r>
        <w:rPr>
          <w:rFonts w:ascii="宋体" w:hAnsi="宋体" w:cs="宋体" w:eastAsia="宋体" w:hint="default"/>
        </w:rPr>
        <w:t>54.55%</w:t>
      </w:r>
      <w:r>
        <w:rPr/>
        <w:t>的股权。科英</w:t>
      </w:r>
      <w:r>
        <w:rPr>
          <w:w w:val="100"/>
        </w:rPr>
        <w:t> </w:t>
      </w:r>
      <w:r>
        <w:rPr/>
        <w:t>置业经营范围为房地产开发销售。</w:t>
      </w:r>
      <w:r>
        <w:rPr>
          <w:rFonts w:ascii="宋体" w:hAnsi="宋体" w:cs="宋体" w:eastAsia="宋体" w:hint="default"/>
        </w:rPr>
        <w:t>2015</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spacing w:val="-3"/>
        </w:rPr>
        <w:t>日，科英置业的总资产为</w:t>
      </w:r>
      <w:r>
        <w:rPr>
          <w:spacing w:val="-52"/>
        </w:rPr>
        <w:t> </w:t>
      </w:r>
      <w:r>
        <w:rPr>
          <w:rFonts w:ascii="宋体" w:hAnsi="宋体" w:cs="宋体" w:eastAsia="宋体" w:hint="default"/>
        </w:rPr>
        <w:t>89,993.30</w:t>
      </w:r>
      <w:r>
        <w:rPr>
          <w:rFonts w:ascii="宋体" w:hAnsi="宋体" w:cs="宋体" w:eastAsia="宋体" w:hint="default"/>
          <w:spacing w:val="-54"/>
        </w:rPr>
        <w:t> </w:t>
      </w:r>
      <w:r>
        <w:rPr>
          <w:spacing w:val="-4"/>
        </w:rPr>
        <w:t>万元，净</w:t>
      </w:r>
    </w:p>
    <w:p>
      <w:pPr>
        <w:spacing w:after="0" w:line="314" w:lineRule="auto"/>
        <w:jc w:val="left"/>
        <w:sectPr>
          <w:footerReference w:type="default" r:id="rId20"/>
          <w:pgSz w:w="11910" w:h="16840"/>
          <w:pgMar w:footer="1193" w:header="855" w:top="1280" w:bottom="1380" w:left="1660" w:right="1060"/>
          <w:pgNumType w:start="25"/>
        </w:sectPr>
      </w:pPr>
    </w:p>
    <w:p>
      <w:pPr>
        <w:spacing w:line="240" w:lineRule="auto" w:before="9"/>
        <w:rPr>
          <w:rFonts w:ascii="宋体" w:hAnsi="宋体" w:cs="宋体" w:eastAsia="宋体" w:hint="default"/>
          <w:sz w:val="18"/>
          <w:szCs w:val="18"/>
        </w:rPr>
      </w:pPr>
    </w:p>
    <w:p>
      <w:pPr>
        <w:pStyle w:val="BodyText"/>
        <w:spacing w:line="314" w:lineRule="auto" w:before="36"/>
        <w:ind w:right="99"/>
        <w:jc w:val="left"/>
      </w:pPr>
      <w:r>
        <w:rPr/>
        <w:t>资产为</w:t>
      </w:r>
      <w:r>
        <w:rPr>
          <w:spacing w:val="-47"/>
        </w:rPr>
        <w:t> </w:t>
      </w:r>
      <w:r>
        <w:rPr>
          <w:rFonts w:ascii="宋体" w:hAnsi="宋体" w:cs="宋体" w:eastAsia="宋体" w:hint="default"/>
        </w:rPr>
        <w:t>9,354.68</w:t>
      </w:r>
      <w:r>
        <w:rPr>
          <w:rFonts w:ascii="宋体" w:hAnsi="宋体" w:cs="宋体" w:eastAsia="宋体" w:hint="default"/>
          <w:spacing w:val="-47"/>
        </w:rPr>
        <w:t> </w:t>
      </w:r>
      <w:r>
        <w:rPr>
          <w:spacing w:val="-7"/>
        </w:rPr>
        <w:t>万元。报告期内，科英置业实现营业收入</w:t>
      </w:r>
      <w:r>
        <w:rPr>
          <w:spacing w:val="-46"/>
        </w:rPr>
        <w:t> </w:t>
      </w:r>
      <w:r>
        <w:rPr>
          <w:rFonts w:ascii="宋体" w:hAnsi="宋体" w:cs="宋体" w:eastAsia="宋体" w:hint="default"/>
        </w:rPr>
        <w:t>32,659.68</w:t>
      </w:r>
      <w:r>
        <w:rPr>
          <w:rFonts w:ascii="宋体" w:hAnsi="宋体" w:cs="宋体" w:eastAsia="宋体" w:hint="default"/>
          <w:spacing w:val="-47"/>
        </w:rPr>
        <w:t> </w:t>
      </w:r>
      <w:r>
        <w:rPr>
          <w:spacing w:val="-8"/>
        </w:rPr>
        <w:t>万元，实现净利润</w:t>
      </w:r>
      <w:r>
        <w:rPr>
          <w:spacing w:val="-46"/>
        </w:rPr>
        <w:t> </w:t>
      </w:r>
      <w:r>
        <w:rPr>
          <w:rFonts w:ascii="宋体" w:hAnsi="宋体" w:cs="宋体" w:eastAsia="宋体" w:hint="default"/>
        </w:rPr>
        <w:t>1,230.10</w:t>
      </w:r>
      <w:r>
        <w:rPr>
          <w:rFonts w:ascii="宋体" w:hAnsi="宋体" w:cs="宋体" w:eastAsia="宋体" w:hint="default"/>
          <w:spacing w:val="-103"/>
        </w:rPr>
        <w:t> </w:t>
      </w:r>
      <w:r>
        <w:rPr>
          <w:rFonts w:ascii="宋体" w:hAnsi="宋体" w:cs="宋体" w:eastAsia="宋体" w:hint="default"/>
          <w:spacing w:val="-103"/>
        </w:rPr>
      </w:r>
      <w:r>
        <w:rPr/>
        <w:t>万元。</w:t>
      </w:r>
    </w:p>
    <w:p>
      <w:pPr>
        <w:pStyle w:val="BodyText"/>
        <w:spacing w:line="240" w:lineRule="auto"/>
        <w:ind w:left="558" w:right="99"/>
        <w:jc w:val="left"/>
        <w:rPr>
          <w:rFonts w:ascii="宋体" w:hAnsi="宋体" w:cs="宋体" w:eastAsia="宋体" w:hint="default"/>
        </w:rPr>
      </w:pPr>
      <w:r>
        <w:rPr/>
        <w:t>科英置业现共拥有土地</w:t>
      </w:r>
      <w:r>
        <w:rPr>
          <w:spacing w:val="-54"/>
        </w:rPr>
        <w:t> </w:t>
      </w:r>
      <w:r>
        <w:rPr>
          <w:rFonts w:ascii="宋体" w:hAnsi="宋体" w:cs="宋体" w:eastAsia="宋体" w:hint="default"/>
        </w:rPr>
        <w:t>189</w:t>
      </w:r>
      <w:r>
        <w:rPr>
          <w:rFonts w:ascii="宋体" w:hAnsi="宋体" w:cs="宋体" w:eastAsia="宋体" w:hint="default"/>
          <w:spacing w:val="-55"/>
        </w:rPr>
        <w:t> </w:t>
      </w:r>
      <w:r>
        <w:rPr/>
        <w:t>亩，其中北院为</w:t>
      </w:r>
      <w:r>
        <w:rPr>
          <w:spacing w:val="-55"/>
        </w:rPr>
        <w:t> </w:t>
      </w:r>
      <w:r>
        <w:rPr>
          <w:rFonts w:ascii="宋体" w:hAnsi="宋体" w:cs="宋体" w:eastAsia="宋体" w:hint="default"/>
        </w:rPr>
        <w:t>88</w:t>
      </w:r>
      <w:r>
        <w:rPr>
          <w:rFonts w:ascii="宋体" w:hAnsi="宋体" w:cs="宋体" w:eastAsia="宋体" w:hint="default"/>
          <w:spacing w:val="-54"/>
        </w:rPr>
        <w:t> </w:t>
      </w:r>
      <w:r>
        <w:rPr/>
        <w:t>亩，南院为</w:t>
      </w:r>
      <w:r>
        <w:rPr>
          <w:spacing w:val="-55"/>
        </w:rPr>
        <w:t> </w:t>
      </w:r>
      <w:r>
        <w:rPr>
          <w:rFonts w:ascii="宋体" w:hAnsi="宋体" w:cs="宋体" w:eastAsia="宋体" w:hint="default"/>
        </w:rPr>
        <w:t>101</w:t>
      </w:r>
      <w:r>
        <w:rPr>
          <w:rFonts w:ascii="宋体" w:hAnsi="宋体" w:cs="宋体" w:eastAsia="宋体" w:hint="default"/>
          <w:spacing w:val="-57"/>
        </w:rPr>
        <w:t> </w:t>
      </w:r>
      <w:r>
        <w:rPr/>
        <w:t>亩。科英置业现开发的东营</w:t>
      </w:r>
      <w:r>
        <w:rPr>
          <w:rFonts w:ascii="宋体" w:hAnsi="宋体" w:cs="宋体" w:eastAsia="宋体" w:hint="default"/>
        </w:rPr>
        <w:t>"</w:t>
      </w:r>
    </w:p>
    <w:p>
      <w:pPr>
        <w:pStyle w:val="BodyText"/>
        <w:spacing w:line="240" w:lineRule="auto" w:before="85"/>
        <w:ind w:right="0"/>
        <w:jc w:val="both"/>
      </w:pPr>
      <w:r>
        <w:rPr>
          <w:spacing w:val="-7"/>
        </w:rPr>
        <w:t>科达·府左华苑</w:t>
      </w:r>
      <w:r>
        <w:rPr>
          <w:rFonts w:ascii="宋体" w:hAnsi="宋体" w:cs="宋体" w:eastAsia="宋体" w:hint="default"/>
          <w:spacing w:val="-7"/>
        </w:rPr>
        <w:t>"</w:t>
      </w:r>
      <w:r>
        <w:rPr>
          <w:spacing w:val="-7"/>
        </w:rPr>
        <w:t>位于科英置业北院，总建筑面积为</w:t>
      </w:r>
      <w:r>
        <w:rPr>
          <w:spacing w:val="-44"/>
        </w:rPr>
        <w:t> </w:t>
      </w:r>
      <w:r>
        <w:rPr>
          <w:rFonts w:ascii="宋体" w:hAnsi="宋体" w:cs="宋体" w:eastAsia="宋体" w:hint="default"/>
        </w:rPr>
        <w:t>14.18</w:t>
      </w:r>
      <w:r>
        <w:rPr>
          <w:rFonts w:ascii="宋体" w:hAnsi="宋体" w:cs="宋体" w:eastAsia="宋体" w:hint="default"/>
          <w:spacing w:val="-44"/>
        </w:rPr>
        <w:t> </w:t>
      </w:r>
      <w:r>
        <w:rPr>
          <w:spacing w:val="-7"/>
        </w:rPr>
        <w:t>万平方米，其中高层住宅</w:t>
      </w:r>
      <w:r>
        <w:rPr>
          <w:spacing w:val="-40"/>
        </w:rPr>
        <w:t> </w:t>
      </w:r>
      <w:r>
        <w:rPr>
          <w:rFonts w:ascii="宋体" w:hAnsi="宋体" w:cs="宋体" w:eastAsia="宋体" w:hint="default"/>
        </w:rPr>
        <w:t>6</w:t>
      </w:r>
      <w:r>
        <w:rPr>
          <w:rFonts w:ascii="宋体" w:hAnsi="宋体" w:cs="宋体" w:eastAsia="宋体" w:hint="default"/>
          <w:spacing w:val="-44"/>
        </w:rPr>
        <w:t> </w:t>
      </w:r>
      <w:r>
        <w:rPr>
          <w:spacing w:val="-13"/>
        </w:rPr>
        <w:t>栋，</w:t>
      </w:r>
      <w:r>
        <w:rPr>
          <w:rFonts w:ascii="宋体" w:hAnsi="宋体" w:cs="宋体" w:eastAsia="宋体" w:hint="default"/>
          <w:spacing w:val="-13"/>
        </w:rPr>
        <w:t>636</w:t>
      </w:r>
      <w:r>
        <w:rPr>
          <w:rFonts w:ascii="宋体" w:hAnsi="宋体" w:cs="宋体" w:eastAsia="宋体" w:hint="default"/>
          <w:spacing w:val="-44"/>
        </w:rPr>
        <w:t> </w:t>
      </w:r>
      <w:r>
        <w:rPr/>
        <w:t>套，</w:t>
      </w:r>
    </w:p>
    <w:p>
      <w:pPr>
        <w:pStyle w:val="BodyText"/>
        <w:spacing w:line="240" w:lineRule="auto" w:before="85"/>
        <w:ind w:right="0"/>
        <w:jc w:val="both"/>
      </w:pPr>
      <w:r>
        <w:rPr/>
        <w:t>面积共计</w:t>
      </w:r>
      <w:r>
        <w:rPr>
          <w:spacing w:val="-54"/>
        </w:rPr>
        <w:t> </w:t>
      </w:r>
      <w:r>
        <w:rPr>
          <w:rFonts w:ascii="宋体" w:hAnsi="宋体" w:cs="宋体" w:eastAsia="宋体" w:hint="default"/>
        </w:rPr>
        <w:t>9.77</w:t>
      </w:r>
      <w:r>
        <w:rPr>
          <w:rFonts w:ascii="宋体" w:hAnsi="宋体" w:cs="宋体" w:eastAsia="宋体" w:hint="default"/>
          <w:spacing w:val="-56"/>
        </w:rPr>
        <w:t> </w:t>
      </w:r>
      <w:r>
        <w:rPr/>
        <w:t>万平方米（含附属用房）；低层住宅</w:t>
      </w:r>
      <w:r>
        <w:rPr>
          <w:spacing w:val="-56"/>
        </w:rPr>
        <w:t> </w:t>
      </w:r>
      <w:r>
        <w:rPr>
          <w:rFonts w:ascii="宋体" w:hAnsi="宋体" w:cs="宋体" w:eastAsia="宋体" w:hint="default"/>
        </w:rPr>
        <w:t>20</w:t>
      </w:r>
      <w:r>
        <w:rPr>
          <w:rFonts w:ascii="宋体" w:hAnsi="宋体" w:cs="宋体" w:eastAsia="宋体" w:hint="default"/>
          <w:spacing w:val="-54"/>
        </w:rPr>
        <w:t> </w:t>
      </w:r>
      <w:r>
        <w:rPr/>
        <w:t>栋，</w:t>
      </w:r>
      <w:r>
        <w:rPr>
          <w:rFonts w:ascii="宋体" w:hAnsi="宋体" w:cs="宋体" w:eastAsia="宋体" w:hint="default"/>
        </w:rPr>
        <w:t>84</w:t>
      </w:r>
      <w:r>
        <w:rPr>
          <w:rFonts w:ascii="宋体" w:hAnsi="宋体" w:cs="宋体" w:eastAsia="宋体" w:hint="default"/>
          <w:spacing w:val="-56"/>
        </w:rPr>
        <w:t> </w:t>
      </w:r>
      <w:r>
        <w:rPr/>
        <w:t>套，面积共计</w:t>
      </w:r>
      <w:r>
        <w:rPr>
          <w:spacing w:val="-56"/>
        </w:rPr>
        <w:t> </w:t>
      </w:r>
      <w:r>
        <w:rPr>
          <w:rFonts w:ascii="宋体" w:hAnsi="宋体" w:cs="宋体" w:eastAsia="宋体" w:hint="default"/>
        </w:rPr>
        <w:t>4.41</w:t>
      </w:r>
      <w:r>
        <w:rPr>
          <w:rFonts w:ascii="宋体" w:hAnsi="宋体" w:cs="宋体" w:eastAsia="宋体" w:hint="default"/>
          <w:spacing w:val="-53"/>
        </w:rPr>
        <w:t> </w:t>
      </w:r>
      <w:r>
        <w:rPr/>
        <w:t>万平方米（含</w:t>
      </w:r>
    </w:p>
    <w:p>
      <w:pPr>
        <w:pStyle w:val="BodyText"/>
        <w:spacing w:line="314" w:lineRule="auto" w:before="85"/>
        <w:ind w:right="99"/>
        <w:jc w:val="left"/>
      </w:pPr>
      <w:r>
        <w:rPr/>
        <w:t>附属用房）。截止到</w:t>
      </w:r>
      <w:r>
        <w:rPr>
          <w:spacing w:val="-47"/>
        </w:rPr>
        <w:t> </w:t>
      </w:r>
      <w:r>
        <w:rPr>
          <w:rFonts w:ascii="宋体" w:hAnsi="宋体" w:cs="宋体" w:eastAsia="宋体" w:hint="default"/>
        </w:rPr>
        <w:t>2015</w:t>
      </w:r>
      <w:r>
        <w:rPr>
          <w:rFonts w:ascii="宋体" w:hAnsi="宋体" w:cs="宋体" w:eastAsia="宋体" w:hint="default"/>
          <w:spacing w:val="-50"/>
        </w:rPr>
        <w:t> </w:t>
      </w:r>
      <w:r>
        <w:rPr/>
        <w:t>年</w:t>
      </w:r>
      <w:r>
        <w:rPr>
          <w:spacing w:val="-47"/>
        </w:rPr>
        <w:t> </w:t>
      </w:r>
      <w:r>
        <w:rPr>
          <w:rFonts w:ascii="宋体" w:hAnsi="宋体" w:cs="宋体" w:eastAsia="宋体" w:hint="default"/>
        </w:rPr>
        <w:t>12</w:t>
      </w:r>
      <w:r>
        <w:rPr>
          <w:rFonts w:ascii="宋体" w:hAnsi="宋体" w:cs="宋体" w:eastAsia="宋体" w:hint="default"/>
          <w:spacing w:val="-50"/>
        </w:rPr>
        <w:t> </w:t>
      </w:r>
      <w:r>
        <w:rPr/>
        <w:t>月</w:t>
      </w:r>
      <w:r>
        <w:rPr>
          <w:spacing w:val="-47"/>
        </w:rPr>
        <w:t> </w:t>
      </w:r>
      <w:r>
        <w:rPr>
          <w:rFonts w:ascii="宋体" w:hAnsi="宋体" w:cs="宋体" w:eastAsia="宋体" w:hint="default"/>
        </w:rPr>
        <w:t>31</w:t>
      </w:r>
      <w:r>
        <w:rPr>
          <w:rFonts w:ascii="宋体" w:hAnsi="宋体" w:cs="宋体" w:eastAsia="宋体" w:hint="default"/>
          <w:spacing w:val="-50"/>
        </w:rPr>
        <w:t> </w:t>
      </w:r>
      <w:r>
        <w:rPr/>
        <w:t>日，完工建筑面积</w:t>
      </w:r>
      <w:r>
        <w:rPr>
          <w:spacing w:val="-43"/>
        </w:rPr>
        <w:t> </w:t>
      </w:r>
      <w:r>
        <w:rPr>
          <w:rFonts w:ascii="宋体" w:hAnsi="宋体" w:cs="宋体" w:eastAsia="宋体" w:hint="default"/>
        </w:rPr>
        <w:t>14.18</w:t>
      </w:r>
      <w:r>
        <w:rPr>
          <w:rFonts w:ascii="宋体" w:hAnsi="宋体" w:cs="宋体" w:eastAsia="宋体" w:hint="default"/>
          <w:spacing w:val="-46"/>
        </w:rPr>
        <w:t> </w:t>
      </w:r>
      <w:r>
        <w:rPr/>
        <w:t>万平方米，完工比例为</w:t>
      </w:r>
      <w:r>
        <w:rPr>
          <w:spacing w:val="-42"/>
        </w:rPr>
        <w:t> </w:t>
      </w:r>
      <w:r>
        <w:rPr>
          <w:rFonts w:ascii="宋体" w:hAnsi="宋体" w:cs="宋体" w:eastAsia="宋体" w:hint="default"/>
        </w:rPr>
        <w:t>100.00%</w:t>
      </w:r>
      <w:r>
        <w:rPr/>
        <w:t>，</w:t>
      </w:r>
      <w:r>
        <w:rPr>
          <w:spacing w:val="-103"/>
        </w:rPr>
        <w:t> </w:t>
      </w:r>
      <w:r>
        <w:rPr/>
        <w:t>其中高层住宅已达到交房标准，低层住宅内外装饰已完成。</w:t>
      </w:r>
    </w:p>
    <w:p>
      <w:pPr>
        <w:pStyle w:val="BodyText"/>
        <w:spacing w:line="240" w:lineRule="auto"/>
        <w:ind w:left="558" w:right="99"/>
        <w:jc w:val="left"/>
      </w:pPr>
      <w:r>
        <w:rPr>
          <w:rFonts w:ascii="宋体" w:hAnsi="宋体" w:cs="宋体" w:eastAsia="宋体" w:hint="default"/>
        </w:rPr>
        <w:t>2013</w:t>
      </w:r>
      <w:r>
        <w:rPr>
          <w:rFonts w:ascii="宋体" w:hAnsi="宋体" w:cs="宋体" w:eastAsia="宋体" w:hint="default"/>
          <w:spacing w:val="-51"/>
        </w:rPr>
        <w:t> </w:t>
      </w:r>
      <w:r>
        <w:rPr/>
        <w:t>年</w:t>
      </w:r>
      <w:r>
        <w:rPr>
          <w:spacing w:val="-49"/>
        </w:rPr>
        <w:t> </w:t>
      </w:r>
      <w:r>
        <w:rPr>
          <w:rFonts w:ascii="宋体" w:hAnsi="宋体" w:cs="宋体" w:eastAsia="宋体" w:hint="default"/>
        </w:rPr>
        <w:t>5</w:t>
      </w:r>
      <w:r>
        <w:rPr>
          <w:rFonts w:ascii="宋体" w:hAnsi="宋体" w:cs="宋体" w:eastAsia="宋体" w:hint="default"/>
          <w:spacing w:val="-51"/>
        </w:rPr>
        <w:t> </w:t>
      </w:r>
      <w:r>
        <w:rPr/>
        <w:t>月</w:t>
      </w:r>
      <w:r>
        <w:rPr>
          <w:spacing w:val="-49"/>
        </w:rPr>
        <w:t> </w:t>
      </w:r>
      <w:r>
        <w:rPr>
          <w:rFonts w:ascii="宋体" w:hAnsi="宋体" w:cs="宋体" w:eastAsia="宋体" w:hint="default"/>
        </w:rPr>
        <w:t>19</w:t>
      </w:r>
      <w:r>
        <w:rPr>
          <w:rFonts w:ascii="宋体" w:hAnsi="宋体" w:cs="宋体" w:eastAsia="宋体" w:hint="default"/>
          <w:spacing w:val="-51"/>
        </w:rPr>
        <w:t> </w:t>
      </w:r>
      <w:r>
        <w:rPr>
          <w:spacing w:val="-3"/>
        </w:rPr>
        <w:t>日，东营</w:t>
      </w:r>
      <w:r>
        <w:rPr>
          <w:rFonts w:ascii="宋体" w:hAnsi="宋体" w:cs="宋体" w:eastAsia="宋体" w:hint="default"/>
          <w:spacing w:val="-3"/>
        </w:rPr>
        <w:t>"</w:t>
      </w:r>
      <w:r>
        <w:rPr>
          <w:spacing w:val="-3"/>
        </w:rPr>
        <w:t>科达·府左华苑</w:t>
      </w:r>
      <w:r>
        <w:rPr>
          <w:rFonts w:ascii="宋体" w:hAnsi="宋体" w:cs="宋体" w:eastAsia="宋体" w:hint="default"/>
          <w:spacing w:val="-3"/>
        </w:rPr>
        <w:t>"</w:t>
      </w:r>
      <w:r>
        <w:rPr>
          <w:spacing w:val="-3"/>
        </w:rPr>
        <w:t>项目首次开盘。截止到</w:t>
      </w:r>
      <w:r>
        <w:rPr>
          <w:spacing w:val="-49"/>
        </w:rPr>
        <w:t> </w:t>
      </w:r>
      <w:r>
        <w:rPr>
          <w:rFonts w:ascii="宋体" w:hAnsi="宋体" w:cs="宋体" w:eastAsia="宋体" w:hint="default"/>
        </w:rPr>
        <w:t>2015</w:t>
      </w:r>
      <w:r>
        <w:rPr>
          <w:rFonts w:ascii="宋体" w:hAnsi="宋体" w:cs="宋体" w:eastAsia="宋体" w:hint="default"/>
          <w:spacing w:val="-51"/>
        </w:rPr>
        <w:t> </w:t>
      </w:r>
      <w:r>
        <w:rPr/>
        <w:t>年</w:t>
      </w:r>
      <w:r>
        <w:rPr>
          <w:spacing w:val="-48"/>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51"/>
        </w:rPr>
        <w:t> </w:t>
      </w:r>
      <w:r>
        <w:rPr>
          <w:spacing w:val="-3"/>
        </w:rPr>
        <w:t>日，科达</w:t>
      </w:r>
    </w:p>
    <w:p>
      <w:pPr>
        <w:pStyle w:val="BodyText"/>
        <w:spacing w:line="314" w:lineRule="auto" w:before="85"/>
        <w:ind w:right="99"/>
        <w:jc w:val="left"/>
      </w:pPr>
      <w:r>
        <w:rPr/>
        <w:t>•府左华苑高层推出</w:t>
      </w:r>
      <w:r>
        <w:rPr>
          <w:spacing w:val="-48"/>
        </w:rPr>
        <w:t> </w:t>
      </w:r>
      <w:r>
        <w:rPr>
          <w:rFonts w:ascii="宋体" w:hAnsi="宋体" w:cs="宋体" w:eastAsia="宋体" w:hint="default"/>
        </w:rPr>
        <w:t>636</w:t>
      </w:r>
      <w:r>
        <w:rPr>
          <w:rFonts w:ascii="宋体" w:hAnsi="宋体" w:cs="宋体" w:eastAsia="宋体" w:hint="default"/>
          <w:spacing w:val="-47"/>
        </w:rPr>
        <w:t> </w:t>
      </w:r>
      <w:r>
        <w:rPr>
          <w:spacing w:val="-4"/>
        </w:rPr>
        <w:t>套，签约</w:t>
      </w:r>
      <w:r>
        <w:rPr>
          <w:spacing w:val="-46"/>
        </w:rPr>
        <w:t> </w:t>
      </w:r>
      <w:r>
        <w:rPr>
          <w:rFonts w:ascii="宋体" w:hAnsi="宋体" w:cs="宋体" w:eastAsia="宋体" w:hint="default"/>
        </w:rPr>
        <w:t>469</w:t>
      </w:r>
      <w:r>
        <w:rPr>
          <w:rFonts w:ascii="宋体" w:hAnsi="宋体" w:cs="宋体" w:eastAsia="宋体" w:hint="default"/>
          <w:spacing w:val="-48"/>
        </w:rPr>
        <w:t> </w:t>
      </w:r>
      <w:r>
        <w:rPr>
          <w:spacing w:val="-4"/>
        </w:rPr>
        <w:t>套，签约率</w:t>
      </w:r>
      <w:r>
        <w:rPr>
          <w:spacing w:val="-45"/>
        </w:rPr>
        <w:t> </w:t>
      </w:r>
      <w:r>
        <w:rPr>
          <w:rFonts w:ascii="宋体" w:hAnsi="宋体" w:cs="宋体" w:eastAsia="宋体" w:hint="default"/>
          <w:spacing w:val="-3"/>
        </w:rPr>
        <w:t>73.74%</w:t>
      </w:r>
      <w:r>
        <w:rPr>
          <w:spacing w:val="-3"/>
        </w:rPr>
        <w:t>，已售面积为</w:t>
      </w:r>
      <w:r>
        <w:rPr>
          <w:spacing w:val="-46"/>
        </w:rPr>
        <w:t> </w:t>
      </w:r>
      <w:r>
        <w:rPr>
          <w:rFonts w:ascii="宋体" w:hAnsi="宋体" w:cs="宋体" w:eastAsia="宋体" w:hint="default"/>
        </w:rPr>
        <w:t>7.50</w:t>
      </w:r>
      <w:r>
        <w:rPr>
          <w:rFonts w:ascii="宋体" w:hAnsi="宋体" w:cs="宋体" w:eastAsia="宋体" w:hint="default"/>
          <w:spacing w:val="-46"/>
        </w:rPr>
        <w:t> </w:t>
      </w:r>
      <w:r>
        <w:rPr>
          <w:spacing w:val="-3"/>
        </w:rPr>
        <w:t>万平方米，销售面积</w:t>
      </w:r>
      <w:r>
        <w:rPr>
          <w:spacing w:val="-102"/>
        </w:rPr>
        <w:t> </w:t>
      </w:r>
      <w:r>
        <w:rPr>
          <w:spacing w:val="-102"/>
        </w:rPr>
      </w:r>
      <w:r>
        <w:rPr/>
        <w:t>占完工面积比例为</w:t>
      </w:r>
      <w:r>
        <w:rPr>
          <w:spacing w:val="-56"/>
        </w:rPr>
        <w:t> </w:t>
      </w:r>
      <w:r>
        <w:rPr>
          <w:rFonts w:ascii="宋体" w:hAnsi="宋体" w:cs="宋体" w:eastAsia="宋体" w:hint="default"/>
        </w:rPr>
        <w:t>52.89%</w:t>
      </w:r>
      <w:r>
        <w:rPr/>
        <w:t>。</w:t>
      </w:r>
    </w:p>
    <w:p>
      <w:pPr>
        <w:pStyle w:val="Heading2"/>
        <w:spacing w:line="240" w:lineRule="auto" w:before="20"/>
        <w:ind w:left="560" w:right="99"/>
        <w:jc w:val="left"/>
        <w:rPr>
          <w:b w:val="0"/>
          <w:bCs w:val="0"/>
        </w:rPr>
      </w:pPr>
      <w:r>
        <w:rPr>
          <w:rFonts w:ascii="宋体" w:hAnsi="宋体" w:cs="宋体" w:eastAsia="宋体" w:hint="default"/>
        </w:rPr>
        <w:t>8</w:t>
      </w:r>
      <w:r>
        <w:rPr/>
        <w:t>、滨州市科达置业有限公司</w:t>
      </w:r>
      <w:r>
        <w:rPr>
          <w:b w:val="0"/>
          <w:bCs w:val="0"/>
        </w:rPr>
      </w:r>
    </w:p>
    <w:p>
      <w:pPr>
        <w:pStyle w:val="BodyText"/>
        <w:spacing w:line="240" w:lineRule="auto" w:before="85"/>
        <w:ind w:left="558" w:right="99"/>
        <w:jc w:val="left"/>
      </w:pPr>
      <w:r>
        <w:rPr>
          <w:w w:val="100"/>
        </w:rPr>
        <w:t>滨州</w:t>
      </w:r>
      <w:r>
        <w:rPr>
          <w:spacing w:val="-3"/>
          <w:w w:val="100"/>
        </w:rPr>
        <w:t>市</w:t>
      </w:r>
      <w:r>
        <w:rPr>
          <w:w w:val="100"/>
        </w:rPr>
        <w:t>科</w:t>
      </w:r>
      <w:r>
        <w:rPr>
          <w:spacing w:val="-3"/>
          <w:w w:val="100"/>
        </w:rPr>
        <w:t>达</w:t>
      </w:r>
      <w:r>
        <w:rPr>
          <w:w w:val="100"/>
        </w:rPr>
        <w:t>置</w:t>
      </w:r>
      <w:r>
        <w:rPr>
          <w:spacing w:val="-3"/>
          <w:w w:val="100"/>
        </w:rPr>
        <w:t>业</w:t>
      </w:r>
      <w:r>
        <w:rPr>
          <w:w w:val="100"/>
        </w:rPr>
        <w:t>有</w:t>
      </w:r>
      <w:r>
        <w:rPr>
          <w:spacing w:val="-3"/>
          <w:w w:val="100"/>
        </w:rPr>
        <w:t>限</w:t>
      </w:r>
      <w:r>
        <w:rPr>
          <w:w w:val="100"/>
        </w:rPr>
        <w:t>公</w:t>
      </w:r>
      <w:r>
        <w:rPr>
          <w:spacing w:val="-3"/>
          <w:w w:val="100"/>
        </w:rPr>
        <w:t>司</w:t>
      </w:r>
      <w:r>
        <w:rPr>
          <w:w w:val="100"/>
        </w:rPr>
        <w:t>成</w:t>
      </w:r>
      <w:r>
        <w:rPr>
          <w:spacing w:val="-3"/>
          <w:w w:val="100"/>
        </w:rPr>
        <w:t>立</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4</w:t>
      </w:r>
      <w:r>
        <w:rPr>
          <w:rFonts w:ascii="宋体" w:hAnsi="宋体" w:cs="宋体" w:eastAsia="宋体" w:hint="default"/>
          <w:spacing w:val="-53"/>
        </w:rPr>
        <w:t> </w:t>
      </w:r>
      <w:r>
        <w:rPr>
          <w:spacing w:val="-3"/>
          <w:w w:val="100"/>
        </w:rPr>
        <w:t>月</w:t>
      </w:r>
      <w:r>
        <w:rPr>
          <w:spacing w:val="-99"/>
          <w:w w:val="100"/>
        </w:rPr>
        <w:t>，</w:t>
      </w:r>
      <w:r>
        <w:rPr>
          <w:spacing w:val="-3"/>
          <w:w w:val="100"/>
        </w:rPr>
        <w:t>注册</w:t>
      </w:r>
      <w:r>
        <w:rPr>
          <w:w w:val="100"/>
        </w:rPr>
        <w:t>资本</w:t>
      </w:r>
      <w:r>
        <w:rPr>
          <w:spacing w:val="-52"/>
        </w:rPr>
        <w:t> </w:t>
      </w:r>
      <w:r>
        <w:rPr>
          <w:rFonts w:ascii="宋体" w:hAnsi="宋体" w:cs="宋体" w:eastAsia="宋体" w:hint="default"/>
          <w:spacing w:val="-3"/>
          <w:w w:val="100"/>
        </w:rPr>
        <w:t>1</w:t>
      </w:r>
      <w:r>
        <w:rPr>
          <w:rFonts w:ascii="宋体" w:hAnsi="宋体" w:cs="宋体" w:eastAsia="宋体" w:hint="default"/>
          <w:w w:val="100"/>
        </w:rPr>
        <w:t>000</w:t>
      </w:r>
      <w:r>
        <w:rPr>
          <w:rFonts w:ascii="宋体" w:hAnsi="宋体" w:cs="宋体" w:eastAsia="宋体" w:hint="default"/>
          <w:spacing w:val="-55"/>
        </w:rPr>
        <w:t> </w:t>
      </w:r>
      <w:r>
        <w:rPr>
          <w:w w:val="100"/>
        </w:rPr>
        <w:t>万</w:t>
      </w:r>
      <w:r>
        <w:rPr>
          <w:spacing w:val="-3"/>
          <w:w w:val="100"/>
        </w:rPr>
        <w:t>元</w:t>
      </w:r>
      <w:r>
        <w:rPr>
          <w:spacing w:val="-99"/>
          <w:w w:val="100"/>
        </w:rPr>
        <w:t>，</w:t>
      </w:r>
      <w:r>
        <w:rPr>
          <w:spacing w:val="-3"/>
          <w:w w:val="100"/>
        </w:rPr>
        <w:t>注</w:t>
      </w:r>
      <w:r>
        <w:rPr>
          <w:w w:val="100"/>
        </w:rPr>
        <w:t>册</w:t>
      </w:r>
      <w:r>
        <w:rPr>
          <w:spacing w:val="-3"/>
          <w:w w:val="100"/>
        </w:rPr>
        <w:t>地为</w:t>
      </w:r>
      <w:r>
        <w:rPr>
          <w:w w:val="100"/>
        </w:rPr>
        <w:t>滨州</w:t>
      </w:r>
      <w:r>
        <w:rPr>
          <w:spacing w:val="-3"/>
          <w:w w:val="100"/>
        </w:rPr>
        <w:t>市</w:t>
      </w:r>
      <w:r>
        <w:rPr>
          <w:w w:val="100"/>
        </w:rPr>
        <w:t>高</w:t>
      </w:r>
      <w:r>
        <w:rPr>
          <w:spacing w:val="-3"/>
          <w:w w:val="100"/>
        </w:rPr>
        <w:t>新</w:t>
      </w:r>
      <w:r>
        <w:rPr>
          <w:w w:val="100"/>
        </w:rPr>
        <w:t>区，</w:t>
      </w:r>
    </w:p>
    <w:p>
      <w:pPr>
        <w:pStyle w:val="BodyText"/>
        <w:spacing w:line="314" w:lineRule="auto" w:before="85"/>
        <w:ind w:right="205"/>
        <w:jc w:val="both"/>
      </w:pPr>
      <w:r>
        <w:rPr>
          <w:spacing w:val="-9"/>
          <w:w w:val="100"/>
        </w:rPr>
        <w:t>为公司的全资子公司。</w:t>
      </w:r>
      <w:r>
        <w:rPr>
          <w:rFonts w:ascii="宋体" w:hAnsi="宋体" w:cs="宋体" w:eastAsia="宋体" w:hint="default"/>
          <w:spacing w:val="-9"/>
          <w:w w:val="100"/>
        </w:rPr>
        <w:t>2015</w:t>
      </w:r>
      <w:r>
        <w:rPr>
          <w:rFonts w:ascii="宋体" w:hAnsi="宋体" w:cs="宋体" w:eastAsia="宋体" w:hint="default"/>
          <w:spacing w:val="-59"/>
          <w:w w:val="100"/>
        </w:rPr>
        <w:t> </w:t>
      </w:r>
      <w:r>
        <w:rPr>
          <w:w w:val="100"/>
        </w:rPr>
        <w:t>年</w:t>
      </w:r>
      <w:r>
        <w:rPr>
          <w:spacing w:val="-56"/>
          <w:w w:val="100"/>
        </w:rPr>
        <w:t> </w:t>
      </w:r>
      <w:r>
        <w:rPr>
          <w:rFonts w:ascii="宋体" w:hAnsi="宋体" w:cs="宋体" w:eastAsia="宋体" w:hint="default"/>
          <w:w w:val="100"/>
        </w:rPr>
        <w:t>12</w:t>
      </w:r>
      <w:r>
        <w:rPr>
          <w:rFonts w:ascii="宋体" w:hAnsi="宋体" w:cs="宋体" w:eastAsia="宋体" w:hint="default"/>
          <w:spacing w:val="-59"/>
          <w:w w:val="100"/>
        </w:rPr>
        <w:t> </w:t>
      </w:r>
      <w:r>
        <w:rPr>
          <w:w w:val="100"/>
        </w:rPr>
        <w:t>月</w:t>
      </w:r>
      <w:r>
        <w:rPr>
          <w:spacing w:val="-59"/>
          <w:w w:val="100"/>
        </w:rPr>
        <w:t> </w:t>
      </w:r>
      <w:r>
        <w:rPr>
          <w:rFonts w:ascii="宋体" w:hAnsi="宋体" w:cs="宋体" w:eastAsia="宋体" w:hint="default"/>
          <w:w w:val="100"/>
        </w:rPr>
        <w:t>31</w:t>
      </w:r>
      <w:r>
        <w:rPr>
          <w:rFonts w:ascii="宋体" w:hAnsi="宋体" w:cs="宋体" w:eastAsia="宋体" w:hint="default"/>
          <w:spacing w:val="-59"/>
          <w:w w:val="100"/>
        </w:rPr>
        <w:t> </w:t>
      </w:r>
      <w:r>
        <w:rPr>
          <w:spacing w:val="-11"/>
          <w:w w:val="100"/>
        </w:rPr>
        <w:t>日，滨州置业的总资产为</w:t>
      </w:r>
      <w:r>
        <w:rPr>
          <w:spacing w:val="-56"/>
          <w:w w:val="100"/>
        </w:rPr>
        <w:t> </w:t>
      </w:r>
      <w:r>
        <w:rPr>
          <w:rFonts w:ascii="宋体" w:hAnsi="宋体" w:cs="宋体" w:eastAsia="宋体" w:hint="default"/>
          <w:spacing w:val="-1"/>
          <w:w w:val="100"/>
        </w:rPr>
        <w:t>18,412.04</w:t>
      </w:r>
      <w:r>
        <w:rPr>
          <w:rFonts w:ascii="宋体" w:hAnsi="宋体" w:cs="宋体" w:eastAsia="宋体" w:hint="default"/>
          <w:spacing w:val="-57"/>
          <w:w w:val="100"/>
        </w:rPr>
        <w:t> </w:t>
      </w:r>
      <w:r>
        <w:rPr>
          <w:spacing w:val="-9"/>
          <w:w w:val="100"/>
        </w:rPr>
        <w:t>万元，净资产为</w:t>
      </w:r>
      <w:r>
        <w:rPr>
          <w:rFonts w:ascii="宋体" w:hAnsi="宋体" w:cs="宋体" w:eastAsia="宋体" w:hint="default"/>
          <w:spacing w:val="-9"/>
          <w:w w:val="100"/>
        </w:rPr>
        <w:t>-154.13</w:t>
      </w:r>
      <w:r>
        <w:rPr>
          <w:rFonts w:ascii="宋体" w:hAnsi="宋体" w:cs="宋体" w:eastAsia="宋体" w:hint="default"/>
          <w:w w:val="100"/>
        </w:rPr>
        <w:t> </w:t>
      </w:r>
      <w:r>
        <w:rPr>
          <w:spacing w:val="-2"/>
        </w:rPr>
        <w:t>万元。滨州置业为房地产开发企业，承担公司在滨州地区的房地产开发业务。报告期内，滨州置</w:t>
      </w:r>
      <w:r>
        <w:rPr>
          <w:spacing w:val="-26"/>
        </w:rPr>
        <w:t> </w:t>
      </w:r>
      <w:r>
        <w:rPr>
          <w:spacing w:val="-26"/>
        </w:rPr>
      </w:r>
      <w:r>
        <w:rPr/>
        <w:t>业实现营业收入</w:t>
      </w:r>
      <w:r>
        <w:rPr>
          <w:spacing w:val="-55"/>
        </w:rPr>
        <w:t> </w:t>
      </w:r>
      <w:r>
        <w:rPr>
          <w:rFonts w:ascii="宋体" w:hAnsi="宋体" w:cs="宋体" w:eastAsia="宋体" w:hint="default"/>
        </w:rPr>
        <w:t>3,901.03</w:t>
      </w:r>
      <w:r>
        <w:rPr>
          <w:rFonts w:ascii="宋体" w:hAnsi="宋体" w:cs="宋体" w:eastAsia="宋体" w:hint="default"/>
          <w:spacing w:val="-57"/>
        </w:rPr>
        <w:t> </w:t>
      </w:r>
      <w:r>
        <w:rPr/>
        <w:t>万元，实现净利润</w:t>
      </w:r>
      <w:r>
        <w:rPr>
          <w:rFonts w:ascii="宋体" w:hAnsi="宋体" w:cs="宋体" w:eastAsia="宋体" w:hint="default"/>
        </w:rPr>
        <w:t>-101.68</w:t>
      </w:r>
      <w:r>
        <w:rPr>
          <w:rFonts w:ascii="宋体" w:hAnsi="宋体" w:cs="宋体" w:eastAsia="宋体" w:hint="default"/>
          <w:spacing w:val="-54"/>
        </w:rPr>
        <w:t> </w:t>
      </w:r>
      <w:r>
        <w:rPr/>
        <w:t>万元。</w:t>
      </w:r>
    </w:p>
    <w:p>
      <w:pPr>
        <w:pStyle w:val="BodyText"/>
        <w:spacing w:line="240" w:lineRule="auto"/>
        <w:ind w:left="558" w:right="99"/>
        <w:jc w:val="left"/>
      </w:pPr>
      <w:r>
        <w:rPr/>
        <w:t>滨州</w:t>
      </w:r>
      <w:r>
        <w:rPr>
          <w:rFonts w:ascii="宋体" w:hAnsi="宋体" w:cs="宋体" w:eastAsia="宋体" w:hint="default"/>
        </w:rPr>
        <w:t>"</w:t>
      </w:r>
      <w:r>
        <w:rPr/>
        <w:t>科达·璟致湾城</w:t>
      </w:r>
      <w:r>
        <w:rPr>
          <w:rFonts w:ascii="宋体" w:hAnsi="宋体" w:cs="宋体" w:eastAsia="宋体" w:hint="default"/>
        </w:rPr>
        <w:t>"</w:t>
      </w:r>
      <w:r>
        <w:rPr>
          <w:rFonts w:ascii="宋体" w:hAnsi="宋体" w:cs="宋体" w:eastAsia="宋体" w:hint="default"/>
          <w:spacing w:val="-4"/>
        </w:rPr>
        <w:t> </w:t>
      </w:r>
      <w:r>
        <w:rPr/>
        <w:t>项目占地共计约</w:t>
      </w:r>
      <w:r>
        <w:rPr>
          <w:spacing w:val="-54"/>
        </w:rPr>
        <w:t> </w:t>
      </w:r>
      <w:r>
        <w:rPr>
          <w:rFonts w:ascii="宋体" w:hAnsi="宋体" w:cs="宋体" w:eastAsia="宋体" w:hint="default"/>
        </w:rPr>
        <w:t>715.45</w:t>
      </w:r>
      <w:r>
        <w:rPr>
          <w:rFonts w:ascii="宋体" w:hAnsi="宋体" w:cs="宋体" w:eastAsia="宋体" w:hint="default"/>
          <w:spacing w:val="-53"/>
        </w:rPr>
        <w:t> </w:t>
      </w:r>
      <w:r>
        <w:rPr/>
        <w:t>亩，计划开发建筑面积</w:t>
      </w:r>
      <w:r>
        <w:rPr>
          <w:spacing w:val="-54"/>
        </w:rPr>
        <w:t> </w:t>
      </w:r>
      <w:r>
        <w:rPr>
          <w:rFonts w:ascii="宋体" w:hAnsi="宋体" w:cs="宋体" w:eastAsia="宋体" w:hint="default"/>
        </w:rPr>
        <w:t>86.27</w:t>
      </w:r>
      <w:r>
        <w:rPr>
          <w:rFonts w:ascii="宋体" w:hAnsi="宋体" w:cs="宋体" w:eastAsia="宋体" w:hint="default"/>
          <w:spacing w:val="-56"/>
        </w:rPr>
        <w:t> </w:t>
      </w:r>
      <w:r>
        <w:rPr/>
        <w:t>万平方米，分</w:t>
      </w:r>
    </w:p>
    <w:p>
      <w:pPr>
        <w:pStyle w:val="BodyText"/>
        <w:spacing w:line="240" w:lineRule="auto" w:before="85"/>
        <w:ind w:right="0"/>
        <w:jc w:val="both"/>
      </w:pPr>
      <w:r>
        <w:rPr/>
        <w:t>四期开发。一期开发土地面积为</w:t>
      </w:r>
      <w:r>
        <w:rPr>
          <w:spacing w:val="-53"/>
        </w:rPr>
        <w:t> </w:t>
      </w:r>
      <w:r>
        <w:rPr>
          <w:rFonts w:ascii="宋体" w:hAnsi="宋体" w:cs="宋体" w:eastAsia="宋体" w:hint="default"/>
        </w:rPr>
        <w:t>196.60</w:t>
      </w:r>
      <w:r>
        <w:rPr>
          <w:rFonts w:ascii="宋体" w:hAnsi="宋体" w:cs="宋体" w:eastAsia="宋体" w:hint="default"/>
          <w:spacing w:val="-55"/>
        </w:rPr>
        <w:t> </w:t>
      </w:r>
      <w:r>
        <w:rPr/>
        <w:t>亩，总建筑面积为</w:t>
      </w:r>
      <w:r>
        <w:rPr>
          <w:spacing w:val="-53"/>
        </w:rPr>
        <w:t> </w:t>
      </w:r>
      <w:r>
        <w:rPr>
          <w:rFonts w:ascii="宋体" w:hAnsi="宋体" w:cs="宋体" w:eastAsia="宋体" w:hint="default"/>
        </w:rPr>
        <w:t>12.52</w:t>
      </w:r>
      <w:r>
        <w:rPr>
          <w:rFonts w:ascii="宋体" w:hAnsi="宋体" w:cs="宋体" w:eastAsia="宋体" w:hint="default"/>
          <w:spacing w:val="-53"/>
        </w:rPr>
        <w:t> </w:t>
      </w:r>
      <w:r>
        <w:rPr/>
        <w:t>万平方米，其中高层住宅</w:t>
      </w:r>
      <w:r>
        <w:rPr>
          <w:spacing w:val="-50"/>
        </w:rPr>
        <w:t> </w:t>
      </w:r>
      <w:r>
        <w:rPr>
          <w:rFonts w:ascii="宋体" w:hAnsi="宋体" w:cs="宋体" w:eastAsia="宋体" w:hint="default"/>
        </w:rPr>
        <w:t>9</w:t>
      </w:r>
      <w:r>
        <w:rPr>
          <w:rFonts w:ascii="宋体" w:hAnsi="宋体" w:cs="宋体" w:eastAsia="宋体" w:hint="default"/>
          <w:spacing w:val="-53"/>
        </w:rPr>
        <w:t> </w:t>
      </w:r>
      <w:r>
        <w:rPr/>
        <w:t>栋，</w:t>
      </w:r>
    </w:p>
    <w:p>
      <w:pPr>
        <w:pStyle w:val="BodyText"/>
        <w:spacing w:line="240" w:lineRule="auto" w:before="85"/>
        <w:ind w:right="0"/>
        <w:jc w:val="both"/>
        <w:rPr>
          <w:rFonts w:ascii="宋体" w:hAnsi="宋体" w:cs="宋体" w:eastAsia="宋体" w:hint="default"/>
        </w:rPr>
      </w:pPr>
      <w:r>
        <w:rPr>
          <w:rFonts w:ascii="宋体" w:hAnsi="宋体" w:cs="宋体" w:eastAsia="宋体" w:hint="default"/>
        </w:rPr>
        <w:t>356</w:t>
      </w:r>
      <w:r>
        <w:rPr>
          <w:rFonts w:ascii="宋体" w:hAnsi="宋体" w:cs="宋体" w:eastAsia="宋体" w:hint="default"/>
          <w:spacing w:val="-48"/>
        </w:rPr>
        <w:t> </w:t>
      </w:r>
      <w:r>
        <w:rPr>
          <w:spacing w:val="-5"/>
        </w:rPr>
        <w:t>套，共计</w:t>
      </w:r>
      <w:r>
        <w:rPr>
          <w:spacing w:val="-51"/>
        </w:rPr>
        <w:t> </w:t>
      </w:r>
      <w:r>
        <w:rPr>
          <w:rFonts w:ascii="宋体" w:hAnsi="宋体" w:cs="宋体" w:eastAsia="宋体" w:hint="default"/>
        </w:rPr>
        <w:t>5.81</w:t>
      </w:r>
      <w:r>
        <w:rPr>
          <w:rFonts w:ascii="宋体" w:hAnsi="宋体" w:cs="宋体" w:eastAsia="宋体" w:hint="default"/>
          <w:spacing w:val="-51"/>
        </w:rPr>
        <w:t> </w:t>
      </w:r>
      <w:r>
        <w:rPr>
          <w:spacing w:val="-3"/>
        </w:rPr>
        <w:t>万平方米；多层住宅</w:t>
      </w:r>
      <w:r>
        <w:rPr>
          <w:spacing w:val="-51"/>
        </w:rPr>
        <w:t> </w:t>
      </w:r>
      <w:r>
        <w:rPr>
          <w:rFonts w:ascii="宋体" w:hAnsi="宋体" w:cs="宋体" w:eastAsia="宋体" w:hint="default"/>
        </w:rPr>
        <w:t>12</w:t>
      </w:r>
      <w:r>
        <w:rPr>
          <w:rFonts w:ascii="宋体" w:hAnsi="宋体" w:cs="宋体" w:eastAsia="宋体" w:hint="default"/>
          <w:spacing w:val="-51"/>
        </w:rPr>
        <w:t> </w:t>
      </w:r>
      <w:r>
        <w:rPr>
          <w:spacing w:val="-4"/>
        </w:rPr>
        <w:t>栋，</w:t>
      </w:r>
      <w:r>
        <w:rPr>
          <w:rFonts w:ascii="宋体" w:hAnsi="宋体" w:cs="宋体" w:eastAsia="宋体" w:hint="default"/>
          <w:spacing w:val="-4"/>
        </w:rPr>
        <w:t>280</w:t>
      </w:r>
      <w:r>
        <w:rPr>
          <w:rFonts w:ascii="宋体" w:hAnsi="宋体" w:cs="宋体" w:eastAsia="宋体" w:hint="default"/>
          <w:spacing w:val="-51"/>
        </w:rPr>
        <w:t> </w:t>
      </w:r>
      <w:r>
        <w:rPr>
          <w:spacing w:val="-5"/>
        </w:rPr>
        <w:t>套，共计</w:t>
      </w:r>
      <w:r>
        <w:rPr>
          <w:spacing w:val="-51"/>
        </w:rPr>
        <w:t> </w:t>
      </w:r>
      <w:r>
        <w:rPr>
          <w:rFonts w:ascii="宋体" w:hAnsi="宋体" w:cs="宋体" w:eastAsia="宋体" w:hint="default"/>
        </w:rPr>
        <w:t>4.58</w:t>
      </w:r>
      <w:r>
        <w:rPr>
          <w:rFonts w:ascii="宋体" w:hAnsi="宋体" w:cs="宋体" w:eastAsia="宋体" w:hint="default"/>
          <w:spacing w:val="-48"/>
        </w:rPr>
        <w:t> </w:t>
      </w:r>
      <w:r>
        <w:rPr>
          <w:spacing w:val="-3"/>
        </w:rPr>
        <w:t>万平方米；低层住宅</w:t>
      </w:r>
      <w:r>
        <w:rPr>
          <w:spacing w:val="-47"/>
        </w:rPr>
        <w:t> </w:t>
      </w:r>
      <w:r>
        <w:rPr>
          <w:rFonts w:ascii="宋体" w:hAnsi="宋体" w:cs="宋体" w:eastAsia="宋体" w:hint="default"/>
        </w:rPr>
        <w:t>13</w:t>
      </w:r>
      <w:r>
        <w:rPr>
          <w:rFonts w:ascii="宋体" w:hAnsi="宋体" w:cs="宋体" w:eastAsia="宋体" w:hint="default"/>
          <w:spacing w:val="-48"/>
        </w:rPr>
        <w:t> </w:t>
      </w:r>
      <w:r>
        <w:rPr>
          <w:spacing w:val="-6"/>
        </w:rPr>
        <w:t>栋，</w:t>
      </w:r>
      <w:r>
        <w:rPr>
          <w:rFonts w:ascii="宋体" w:hAnsi="宋体" w:cs="宋体" w:eastAsia="宋体" w:hint="default"/>
          <w:spacing w:val="-6"/>
        </w:rPr>
        <w:t>58</w:t>
      </w:r>
      <w:r>
        <w:rPr>
          <w:rFonts w:ascii="宋体" w:hAnsi="宋体" w:cs="宋体" w:eastAsia="宋体" w:hint="default"/>
        </w:rPr>
      </w:r>
    </w:p>
    <w:p>
      <w:pPr>
        <w:pStyle w:val="BodyText"/>
        <w:spacing w:line="240" w:lineRule="auto" w:before="85"/>
        <w:ind w:right="0"/>
        <w:jc w:val="both"/>
      </w:pPr>
      <w:r>
        <w:rPr/>
        <w:t>套，共计</w:t>
      </w:r>
      <w:r>
        <w:rPr>
          <w:spacing w:val="-53"/>
        </w:rPr>
        <w:t> </w:t>
      </w:r>
      <w:r>
        <w:rPr>
          <w:rFonts w:ascii="宋体" w:hAnsi="宋体" w:cs="宋体" w:eastAsia="宋体" w:hint="default"/>
        </w:rPr>
        <w:t>2.09</w:t>
      </w:r>
      <w:r>
        <w:rPr>
          <w:rFonts w:ascii="宋体" w:hAnsi="宋体" w:cs="宋体" w:eastAsia="宋体" w:hint="default"/>
          <w:spacing w:val="-55"/>
        </w:rPr>
        <w:t> </w:t>
      </w:r>
      <w:r>
        <w:rPr/>
        <w:t>万平方米；会所</w:t>
      </w:r>
      <w:r>
        <w:rPr>
          <w:spacing w:val="-52"/>
        </w:rPr>
        <w:t> </w:t>
      </w:r>
      <w:r>
        <w:rPr>
          <w:rFonts w:ascii="宋体" w:hAnsi="宋体" w:cs="宋体" w:eastAsia="宋体" w:hint="default"/>
        </w:rPr>
        <w:t>0.46</w:t>
      </w:r>
      <w:r>
        <w:rPr>
          <w:rFonts w:ascii="宋体" w:hAnsi="宋体" w:cs="宋体" w:eastAsia="宋体" w:hint="default"/>
          <w:spacing w:val="-55"/>
        </w:rPr>
        <w:t> </w:t>
      </w:r>
      <w:r>
        <w:rPr/>
        <w:t>万平方米。</w:t>
      </w:r>
    </w:p>
    <w:p>
      <w:pPr>
        <w:pStyle w:val="BodyText"/>
        <w:spacing w:line="240" w:lineRule="auto" w:before="85"/>
        <w:ind w:left="558" w:right="99"/>
        <w:jc w:val="left"/>
      </w:pPr>
      <w:r>
        <w:rPr>
          <w:rFonts w:ascii="宋体" w:hAnsi="宋体" w:cs="宋体" w:eastAsia="宋体" w:hint="default"/>
        </w:rPr>
        <w:t>2013</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3"/>
        </w:rPr>
        <w:t>日</w:t>
      </w:r>
      <w:r>
        <w:rPr>
          <w:rFonts w:ascii="宋体" w:hAnsi="宋体" w:cs="宋体" w:eastAsia="宋体" w:hint="default"/>
          <w:spacing w:val="-3"/>
        </w:rPr>
        <w:t>"</w:t>
      </w:r>
      <w:r>
        <w:rPr>
          <w:spacing w:val="-3"/>
        </w:rPr>
        <w:t>科达·璟致湾城</w:t>
      </w:r>
      <w:r>
        <w:rPr>
          <w:rFonts w:ascii="宋体" w:hAnsi="宋体" w:cs="宋体" w:eastAsia="宋体" w:hint="default"/>
          <w:spacing w:val="-3"/>
        </w:rPr>
        <w:t>"</w:t>
      </w:r>
      <w:r>
        <w:rPr>
          <w:rFonts w:ascii="宋体" w:hAnsi="宋体" w:cs="宋体" w:eastAsia="宋体" w:hint="default"/>
          <w:spacing w:val="5"/>
        </w:rPr>
        <w:t> </w:t>
      </w:r>
      <w:r>
        <w:rPr>
          <w:spacing w:val="-3"/>
        </w:rPr>
        <w:t>项目首次开盘，截止到</w:t>
      </w:r>
      <w:r>
        <w:rPr>
          <w:spacing w:val="-52"/>
        </w:rPr>
        <w:t> </w:t>
      </w:r>
      <w:r>
        <w:rPr>
          <w:rFonts w:ascii="宋体" w:hAnsi="宋体" w:cs="宋体" w:eastAsia="宋体" w:hint="default"/>
        </w:rPr>
        <w:t>2015</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1"/>
        </w:rPr>
        <w:t> </w:t>
      </w:r>
      <w:r>
        <w:rPr>
          <w:rFonts w:ascii="宋体" w:hAnsi="宋体" w:cs="宋体" w:eastAsia="宋体" w:hint="default"/>
        </w:rPr>
        <w:t>31</w:t>
      </w:r>
      <w:r>
        <w:rPr>
          <w:rFonts w:ascii="宋体" w:hAnsi="宋体" w:cs="宋体" w:eastAsia="宋体" w:hint="default"/>
          <w:spacing w:val="-52"/>
        </w:rPr>
        <w:t> </w:t>
      </w:r>
      <w:r>
        <w:rPr>
          <w:spacing w:val="-3"/>
        </w:rPr>
        <w:t>日，多层住宅</w:t>
      </w:r>
    </w:p>
    <w:p>
      <w:pPr>
        <w:pStyle w:val="BodyText"/>
        <w:spacing w:line="240" w:lineRule="auto" w:before="85"/>
        <w:ind w:right="0"/>
        <w:jc w:val="both"/>
      </w:pPr>
      <w:r>
        <w:rPr>
          <w:rFonts w:ascii="宋体" w:hAnsi="宋体" w:cs="宋体" w:eastAsia="宋体" w:hint="default"/>
        </w:rPr>
        <w:t>240</w:t>
      </w:r>
      <w:r>
        <w:rPr>
          <w:rFonts w:ascii="宋体" w:hAnsi="宋体" w:cs="宋体" w:eastAsia="宋体" w:hint="default"/>
          <w:spacing w:val="-54"/>
        </w:rPr>
        <w:t> </w:t>
      </w:r>
      <w:r>
        <w:rPr/>
        <w:t>套，完成认购</w:t>
      </w:r>
      <w:r>
        <w:rPr>
          <w:spacing w:val="-54"/>
        </w:rPr>
        <w:t> </w:t>
      </w:r>
      <w:r>
        <w:rPr>
          <w:rFonts w:ascii="宋体" w:hAnsi="宋体" w:cs="宋体" w:eastAsia="宋体" w:hint="default"/>
        </w:rPr>
        <w:t>133</w:t>
      </w:r>
      <w:r>
        <w:rPr>
          <w:rFonts w:ascii="宋体" w:hAnsi="宋体" w:cs="宋体" w:eastAsia="宋体" w:hint="default"/>
          <w:spacing w:val="-53"/>
        </w:rPr>
        <w:t> </w:t>
      </w:r>
      <w:r>
        <w:rPr/>
        <w:t>套，认购率</w:t>
      </w:r>
      <w:r>
        <w:rPr>
          <w:spacing w:val="-54"/>
        </w:rPr>
        <w:t> </w:t>
      </w:r>
      <w:r>
        <w:rPr>
          <w:rFonts w:ascii="宋体" w:hAnsi="宋体" w:cs="宋体" w:eastAsia="宋体" w:hint="default"/>
        </w:rPr>
        <w:t>55.42%</w:t>
      </w:r>
      <w:r>
        <w:rPr/>
        <w:t>；别墅</w:t>
      </w:r>
      <w:r>
        <w:rPr>
          <w:spacing w:val="-54"/>
        </w:rPr>
        <w:t> </w:t>
      </w:r>
      <w:r>
        <w:rPr>
          <w:rFonts w:ascii="宋体" w:hAnsi="宋体" w:cs="宋体" w:eastAsia="宋体" w:hint="default"/>
        </w:rPr>
        <w:t>44</w:t>
      </w:r>
      <w:r>
        <w:rPr>
          <w:rFonts w:ascii="宋体" w:hAnsi="宋体" w:cs="宋体" w:eastAsia="宋体" w:hint="default"/>
          <w:spacing w:val="-53"/>
        </w:rPr>
        <w:t> </w:t>
      </w:r>
      <w:r>
        <w:rPr/>
        <w:t>套，认购</w:t>
      </w:r>
      <w:r>
        <w:rPr>
          <w:spacing w:val="-56"/>
        </w:rPr>
        <w:t> </w:t>
      </w:r>
      <w:r>
        <w:rPr>
          <w:rFonts w:ascii="宋体" w:hAnsi="宋体" w:cs="宋体" w:eastAsia="宋体" w:hint="default"/>
        </w:rPr>
        <w:t>7</w:t>
      </w:r>
      <w:r>
        <w:rPr>
          <w:rFonts w:ascii="宋体" w:hAnsi="宋体" w:cs="宋体" w:eastAsia="宋体" w:hint="default"/>
          <w:spacing w:val="-54"/>
        </w:rPr>
        <w:t> </w:t>
      </w:r>
      <w:r>
        <w:rPr/>
        <w:t>套，认购率</w:t>
      </w:r>
      <w:r>
        <w:rPr>
          <w:spacing w:val="-56"/>
        </w:rPr>
        <w:t> </w:t>
      </w:r>
      <w:r>
        <w:rPr>
          <w:rFonts w:ascii="宋体" w:hAnsi="宋体" w:cs="宋体" w:eastAsia="宋体" w:hint="default"/>
        </w:rPr>
        <w:t>15.91%</w:t>
      </w:r>
      <w:r>
        <w:rPr/>
        <w:t>。</w:t>
      </w:r>
    </w:p>
    <w:p>
      <w:pPr>
        <w:pStyle w:val="Heading2"/>
        <w:spacing w:line="240" w:lineRule="auto" w:before="85"/>
        <w:ind w:left="560" w:right="99"/>
        <w:jc w:val="left"/>
        <w:rPr>
          <w:b w:val="0"/>
          <w:bCs w:val="0"/>
        </w:rPr>
      </w:pPr>
      <w:r>
        <w:rPr>
          <w:rFonts w:ascii="宋体" w:hAnsi="宋体" w:cs="宋体" w:eastAsia="宋体" w:hint="default"/>
        </w:rPr>
        <w:t>9</w:t>
      </w:r>
      <w:r>
        <w:rPr/>
        <w:t>、科达半导体有限公司</w:t>
      </w:r>
      <w:r>
        <w:rPr>
          <w:b w:val="0"/>
          <w:bCs w:val="0"/>
        </w:rPr>
      </w:r>
    </w:p>
    <w:p>
      <w:pPr>
        <w:pStyle w:val="BodyText"/>
        <w:spacing w:line="314" w:lineRule="auto" w:before="85"/>
        <w:ind w:right="205" w:firstLine="419"/>
        <w:jc w:val="both"/>
      </w:pPr>
      <w:r>
        <w:rPr>
          <w:spacing w:val="-2"/>
          <w:w w:val="100"/>
        </w:rPr>
        <w:t>科达半导体有限公司成立于</w:t>
      </w:r>
      <w:r>
        <w:rPr>
          <w:spacing w:val="-54"/>
          <w:w w:val="100"/>
        </w:rPr>
        <w:t> </w:t>
      </w:r>
      <w:r>
        <w:rPr>
          <w:rFonts w:ascii="宋体" w:hAnsi="宋体" w:cs="宋体" w:eastAsia="宋体" w:hint="default"/>
          <w:spacing w:val="-1"/>
          <w:w w:val="100"/>
        </w:rPr>
        <w:t>2007</w:t>
      </w:r>
      <w:r>
        <w:rPr>
          <w:rFonts w:ascii="宋体" w:hAnsi="宋体" w:cs="宋体" w:eastAsia="宋体" w:hint="default"/>
          <w:spacing w:val="-58"/>
          <w:w w:val="100"/>
        </w:rPr>
        <w:t> </w:t>
      </w:r>
      <w:r>
        <w:rPr>
          <w:w w:val="100"/>
        </w:rPr>
        <w:t>年</w:t>
      </w:r>
      <w:r>
        <w:rPr>
          <w:spacing w:val="-54"/>
          <w:w w:val="100"/>
        </w:rPr>
        <w:t> </w:t>
      </w:r>
      <w:r>
        <w:rPr>
          <w:rFonts w:ascii="宋体" w:hAnsi="宋体" w:cs="宋体" w:eastAsia="宋体" w:hint="default"/>
          <w:spacing w:val="-2"/>
          <w:w w:val="100"/>
        </w:rPr>
        <w:t>10</w:t>
      </w:r>
      <w:r>
        <w:rPr>
          <w:rFonts w:ascii="宋体" w:hAnsi="宋体" w:cs="宋体" w:eastAsia="宋体" w:hint="default"/>
          <w:spacing w:val="-58"/>
          <w:w w:val="100"/>
        </w:rPr>
        <w:t> </w:t>
      </w:r>
      <w:r>
        <w:rPr>
          <w:spacing w:val="-19"/>
          <w:w w:val="100"/>
        </w:rPr>
        <w:t>月，注册资本</w:t>
      </w:r>
      <w:r>
        <w:rPr>
          <w:spacing w:val="-58"/>
          <w:w w:val="100"/>
        </w:rPr>
        <w:t> </w:t>
      </w:r>
      <w:r>
        <w:rPr>
          <w:rFonts w:ascii="宋体" w:hAnsi="宋体" w:cs="宋体" w:eastAsia="宋体" w:hint="default"/>
          <w:w w:val="100"/>
        </w:rPr>
        <w:t>5000</w:t>
      </w:r>
      <w:r>
        <w:rPr>
          <w:rFonts w:ascii="宋体" w:hAnsi="宋体" w:cs="宋体" w:eastAsia="宋体" w:hint="default"/>
          <w:spacing w:val="-58"/>
          <w:w w:val="100"/>
        </w:rPr>
        <w:t> </w:t>
      </w:r>
      <w:r>
        <w:rPr>
          <w:spacing w:val="-13"/>
          <w:w w:val="100"/>
        </w:rPr>
        <w:t>万元，科英置业持有其</w:t>
      </w:r>
      <w:r>
        <w:rPr>
          <w:spacing w:val="-54"/>
          <w:w w:val="100"/>
        </w:rPr>
        <w:t> </w:t>
      </w:r>
      <w:r>
        <w:rPr>
          <w:rFonts w:ascii="宋体" w:hAnsi="宋体" w:cs="宋体" w:eastAsia="宋体" w:hint="default"/>
          <w:spacing w:val="-2"/>
          <w:w w:val="100"/>
        </w:rPr>
        <w:t>60%</w:t>
      </w:r>
      <w:r>
        <w:rPr>
          <w:spacing w:val="-2"/>
          <w:w w:val="100"/>
        </w:rPr>
        <w:t>的股权，</w:t>
      </w:r>
      <w:r>
        <w:rPr>
          <w:w w:val="100"/>
        </w:rPr>
        <w:t> </w:t>
      </w:r>
      <w:r>
        <w:rPr/>
        <w:t>公司间接拥有</w:t>
      </w:r>
      <w:r>
        <w:rPr>
          <w:spacing w:val="-45"/>
        </w:rPr>
        <w:t> </w:t>
      </w:r>
      <w:r>
        <w:rPr>
          <w:rFonts w:ascii="宋体" w:hAnsi="宋体" w:cs="宋体" w:eastAsia="宋体" w:hint="default"/>
          <w:spacing w:val="-4"/>
        </w:rPr>
        <w:t>32.73%</w:t>
      </w:r>
      <w:r>
        <w:rPr>
          <w:spacing w:val="-4"/>
        </w:rPr>
        <w:t>的权益，为公司间接控制的孙公司。</w:t>
      </w:r>
      <w:r>
        <w:rPr>
          <w:rFonts w:ascii="宋体" w:hAnsi="宋体" w:cs="宋体" w:eastAsia="宋体" w:hint="default"/>
          <w:spacing w:val="-4"/>
        </w:rPr>
        <w:t>2015</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5"/>
        </w:rPr>
        <w:t>日，科达半导体的总资</w:t>
      </w:r>
      <w:r>
        <w:rPr>
          <w:spacing w:val="-101"/>
        </w:rPr>
        <w:t> </w:t>
      </w:r>
      <w:r>
        <w:rPr>
          <w:spacing w:val="-101"/>
        </w:rPr>
      </w:r>
      <w:r>
        <w:rPr/>
        <w:t>产为</w:t>
      </w:r>
      <w:r>
        <w:rPr>
          <w:spacing w:val="-44"/>
        </w:rPr>
        <w:t> </w:t>
      </w:r>
      <w:r>
        <w:rPr>
          <w:rFonts w:ascii="宋体" w:hAnsi="宋体" w:cs="宋体" w:eastAsia="宋体" w:hint="default"/>
        </w:rPr>
        <w:t>2,720.28</w:t>
      </w:r>
      <w:r>
        <w:rPr>
          <w:rFonts w:ascii="宋体" w:hAnsi="宋体" w:cs="宋体" w:eastAsia="宋体" w:hint="default"/>
          <w:spacing w:val="-47"/>
        </w:rPr>
        <w:t> </w:t>
      </w:r>
      <w:r>
        <w:rPr/>
        <w:t>万元，净资产为</w:t>
      </w:r>
      <w:r>
        <w:rPr>
          <w:rFonts w:ascii="宋体" w:hAnsi="宋体" w:cs="宋体" w:eastAsia="宋体" w:hint="default"/>
        </w:rPr>
        <w:t>-1,265.33</w:t>
      </w:r>
      <w:r>
        <w:rPr>
          <w:rFonts w:ascii="宋体" w:hAnsi="宋体" w:cs="宋体" w:eastAsia="宋体" w:hint="default"/>
          <w:spacing w:val="-47"/>
        </w:rPr>
        <w:t> </w:t>
      </w:r>
      <w:r>
        <w:rPr>
          <w:spacing w:val="-3"/>
        </w:rPr>
        <w:t>万元。科达半导体的主营业务为设计、生产、销售半导</w:t>
      </w:r>
      <w:r>
        <w:rPr>
          <w:spacing w:val="-102"/>
        </w:rPr>
        <w:t> </w:t>
      </w:r>
      <w:r>
        <w:rPr>
          <w:spacing w:val="-102"/>
        </w:rPr>
      </w:r>
      <w:r>
        <w:rPr/>
        <w:t>体元器件。报告期内，科达半导体实现营业收入</w:t>
      </w:r>
      <w:r>
        <w:rPr>
          <w:spacing w:val="-56"/>
        </w:rPr>
        <w:t> </w:t>
      </w:r>
      <w:r>
        <w:rPr>
          <w:rFonts w:ascii="宋体" w:hAnsi="宋体" w:cs="宋体" w:eastAsia="宋体" w:hint="default"/>
        </w:rPr>
        <w:t>714.18</w:t>
      </w:r>
      <w:r>
        <w:rPr>
          <w:rFonts w:ascii="宋体" w:hAnsi="宋体" w:cs="宋体" w:eastAsia="宋体" w:hint="default"/>
          <w:spacing w:val="-58"/>
        </w:rPr>
        <w:t> </w:t>
      </w:r>
      <w:r>
        <w:rPr/>
        <w:t>万元，实现净利润</w:t>
      </w:r>
      <w:r>
        <w:rPr>
          <w:rFonts w:ascii="宋体" w:hAnsi="宋体" w:cs="宋体" w:eastAsia="宋体" w:hint="default"/>
        </w:rPr>
        <w:t>-7.01</w:t>
      </w:r>
      <w:r>
        <w:rPr>
          <w:rFonts w:ascii="宋体" w:hAnsi="宋体" w:cs="宋体" w:eastAsia="宋体" w:hint="default"/>
          <w:spacing w:val="-55"/>
        </w:rPr>
        <w:t> </w:t>
      </w:r>
      <w:r>
        <w:rPr/>
        <w:t>万元。</w:t>
      </w:r>
    </w:p>
    <w:p>
      <w:pPr>
        <w:spacing w:line="240" w:lineRule="auto" w:before="3"/>
        <w:rPr>
          <w:rFonts w:ascii="宋体" w:hAnsi="宋体" w:cs="宋体" w:eastAsia="宋体" w:hint="default"/>
          <w:sz w:val="21"/>
          <w:szCs w:val="21"/>
        </w:rPr>
      </w:pPr>
    </w:p>
    <w:p>
      <w:pPr>
        <w:pStyle w:val="Heading2"/>
        <w:spacing w:line="264" w:lineRule="auto" w:before="0"/>
        <w:ind w:left="138" w:right="6081"/>
        <w:jc w:val="left"/>
        <w:rPr>
          <w:rFonts w:ascii="宋体" w:hAnsi="宋体" w:cs="宋体" w:eastAsia="宋体" w:hint="default"/>
          <w:b w:val="0"/>
          <w:bCs w:val="0"/>
        </w:rPr>
      </w:pPr>
      <w:r>
        <w:rPr>
          <w:rFonts w:ascii="Calibri" w:hAnsi="Calibri" w:cs="Calibri" w:eastAsia="Calibri" w:hint="default"/>
        </w:rPr>
        <w:t>(</w:t>
      </w:r>
      <w:r>
        <w:rPr/>
        <w:t>八</w:t>
      </w:r>
      <w:r>
        <w:rPr>
          <w:rFonts w:ascii="Calibri" w:hAnsi="Calibri" w:cs="Calibri" w:eastAsia="Calibri" w:hint="default"/>
        </w:rPr>
        <w:t>)</w:t>
      </w:r>
      <w:r>
        <w:rPr>
          <w:rFonts w:ascii="Calibri" w:hAnsi="Calibri" w:cs="Calibri" w:eastAsia="Calibri" w:hint="default"/>
          <w:spacing w:val="28"/>
        </w:rPr>
        <w:t> </w:t>
      </w:r>
      <w:r>
        <w:rPr/>
        <w:t>公司控制的结构化主体情况</w:t>
      </w:r>
      <w:r>
        <w:rPr>
          <w:w w:val="100"/>
        </w:rPr>
        <w:t> </w:t>
      </w:r>
      <w:r>
        <w:rPr>
          <w:rFonts w:ascii="宋体" w:hAnsi="宋体" w:cs="宋体" w:eastAsia="宋体" w:hint="default"/>
          <w:b w:val="0"/>
          <w:bCs w:val="0"/>
        </w:rPr>
        <w:t>无</w:t>
      </w:r>
    </w:p>
    <w:p>
      <w:pPr>
        <w:pStyle w:val="Heading2"/>
        <w:spacing w:line="240" w:lineRule="auto" w:before="37"/>
        <w:ind w:left="138" w:right="0"/>
        <w:jc w:val="both"/>
        <w:rPr>
          <w:b w:val="0"/>
          <w:bCs w:val="0"/>
        </w:rPr>
      </w:pPr>
      <w:r>
        <w:rPr/>
        <w:t>三、公司关于公司未来发展的讨论与分析</w:t>
      </w:r>
      <w:r>
        <w:rPr>
          <w:b w:val="0"/>
          <w:bCs w:val="0"/>
        </w:rPr>
      </w:r>
    </w:p>
    <w:p>
      <w:pPr>
        <w:pStyle w:val="Heading2"/>
        <w:spacing w:line="326" w:lineRule="auto" w:before="56"/>
        <w:ind w:left="558" w:right="6290"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行业竞争格局和发展趋势</w:t>
      </w:r>
      <w:r>
        <w:rPr>
          <w:w w:val="100"/>
        </w:rPr>
        <w:t> </w:t>
      </w:r>
      <w:r>
        <w:rPr>
          <w:rFonts w:ascii="宋体" w:hAnsi="宋体" w:cs="宋体" w:eastAsia="宋体" w:hint="default"/>
        </w:rPr>
        <w:t>1</w:t>
      </w:r>
      <w:r>
        <w:rPr/>
        <w:t>、行业竞争格局</w:t>
      </w:r>
      <w:r>
        <w:rPr>
          <w:b w:val="0"/>
          <w:bCs w:val="0"/>
        </w:rPr>
      </w:r>
    </w:p>
    <w:p>
      <w:pPr>
        <w:pStyle w:val="Heading2"/>
        <w:spacing w:line="314" w:lineRule="auto" w:before="9"/>
        <w:ind w:left="620" w:right="3214" w:hanging="60"/>
        <w:jc w:val="left"/>
        <w:rPr>
          <w:b w:val="0"/>
          <w:bCs w:val="0"/>
        </w:rPr>
      </w:pPr>
      <w:r>
        <w:rPr/>
        <w:t>（</w:t>
      </w:r>
      <w:r>
        <w:rPr>
          <w:rFonts w:ascii="宋体" w:hAnsi="宋体" w:cs="宋体" w:eastAsia="宋体" w:hint="default"/>
        </w:rPr>
        <w:t>1</w:t>
      </w:r>
      <w:r>
        <w:rPr/>
        <w:t>）互联网营销行业</w:t>
      </w:r>
      <w:r>
        <w:rPr>
          <w:spacing w:val="-103"/>
        </w:rPr>
        <w:t> </w:t>
      </w:r>
      <w:r>
        <w:rPr>
          <w:spacing w:val="-1"/>
        </w:rPr>
        <w:t>互联网营销处于发展初期，竞争格局分散。</w:t>
      </w:r>
      <w:r>
        <w:rPr>
          <w:b w:val="0"/>
          <w:bCs w:val="0"/>
          <w:spacing w:val="-1"/>
        </w:rPr>
      </w:r>
    </w:p>
    <w:p>
      <w:pPr>
        <w:pStyle w:val="BodyText"/>
        <w:spacing w:line="314" w:lineRule="auto"/>
        <w:ind w:right="206" w:firstLine="479"/>
        <w:jc w:val="both"/>
      </w:pPr>
      <w:r>
        <w:rPr>
          <w:spacing w:val="-3"/>
        </w:rPr>
        <w:t>互联网营销延续了传统营销发展初期“大市场、小公司”的格局，市场份额较为分散。目前</w:t>
      </w:r>
      <w:r>
        <w:rPr>
          <w:w w:val="100"/>
        </w:rPr>
        <w:t> </w:t>
      </w:r>
      <w:r>
        <w:rPr>
          <w:spacing w:val="-2"/>
        </w:rPr>
        <w:t>阶段，互联网营销的进入壁垒并不高。首先在传统营销下，媒体属于稀缺资源，与媒体保持良好</w:t>
      </w:r>
      <w:r>
        <w:rPr>
          <w:spacing w:val="-25"/>
        </w:rPr>
        <w:t> </w:t>
      </w:r>
      <w:r>
        <w:rPr>
          <w:spacing w:val="-25"/>
        </w:rPr>
      </w:r>
      <w:r>
        <w:rPr>
          <w:spacing w:val="-2"/>
        </w:rPr>
        <w:t>合作关系构成了行业进入壁垒，但在互联网背景下，一方面海量的网站构成了丰富的媒体广告资</w:t>
      </w:r>
    </w:p>
    <w:p>
      <w:pPr>
        <w:spacing w:after="0" w:line="314" w:lineRule="auto"/>
        <w:jc w:val="both"/>
        <w:sectPr>
          <w:pgSz w:w="11910" w:h="16840"/>
          <w:pgMar w:header="855" w:footer="1193" w:top="1280" w:bottom="1380" w:left="1660" w:right="1060"/>
        </w:sectPr>
      </w:pPr>
    </w:p>
    <w:p>
      <w:pPr>
        <w:spacing w:line="240" w:lineRule="auto" w:before="9"/>
        <w:rPr>
          <w:rFonts w:ascii="宋体" w:hAnsi="宋体" w:cs="宋体" w:eastAsia="宋体" w:hint="default"/>
          <w:sz w:val="18"/>
          <w:szCs w:val="18"/>
        </w:rPr>
      </w:pPr>
    </w:p>
    <w:p>
      <w:pPr>
        <w:pStyle w:val="BodyText"/>
        <w:spacing w:line="314" w:lineRule="auto" w:before="36"/>
        <w:ind w:right="337"/>
        <w:jc w:val="both"/>
      </w:pPr>
      <w:r>
        <w:rPr>
          <w:spacing w:val="-2"/>
        </w:rPr>
        <w:t>源库，另外一方面主流门户网站之间竞争激烈，存在营收压力。其次，互联网营销公司没有政策</w:t>
      </w:r>
      <w:r>
        <w:rPr>
          <w:spacing w:val="-24"/>
        </w:rPr>
        <w:t> </w:t>
      </w:r>
      <w:r>
        <w:rPr>
          <w:spacing w:val="-24"/>
        </w:rPr>
      </w:r>
      <w:r>
        <w:rPr/>
        <w:t>牌照限制，资金要求也较低，这些都进一步降低了互联网营销行业进入壁垒。</w:t>
      </w:r>
    </w:p>
    <w:p>
      <w:pPr>
        <w:spacing w:line="314" w:lineRule="auto" w:before="20"/>
        <w:ind w:left="618" w:right="0" w:firstLine="2"/>
        <w:jc w:val="left"/>
        <w:rPr>
          <w:rFonts w:ascii="宋体" w:hAnsi="宋体" w:cs="宋体" w:eastAsia="宋体" w:hint="default"/>
          <w:sz w:val="21"/>
          <w:szCs w:val="21"/>
        </w:rPr>
      </w:pPr>
      <w:r>
        <w:rPr>
          <w:rFonts w:ascii="宋体" w:hAnsi="宋体" w:cs="宋体" w:eastAsia="宋体" w:hint="default"/>
          <w:b/>
          <w:bCs/>
          <w:sz w:val="21"/>
          <w:szCs w:val="21"/>
        </w:rPr>
        <w:t>互联网营销公司数量众多，差距较小。</w:t>
      </w:r>
      <w:r>
        <w:rPr>
          <w:rFonts w:ascii="宋体" w:hAnsi="宋体" w:cs="宋体" w:eastAsia="宋体" w:hint="default"/>
          <w:b/>
          <w:bCs/>
          <w:w w:val="100"/>
          <w:sz w:val="21"/>
          <w:szCs w:val="21"/>
        </w:rPr>
        <w:t> </w:t>
      </w:r>
      <w:r>
        <w:rPr>
          <w:rFonts w:ascii="宋体" w:hAnsi="宋体" w:cs="宋体" w:eastAsia="宋体" w:hint="default"/>
          <w:spacing w:val="-3"/>
          <w:sz w:val="21"/>
          <w:szCs w:val="21"/>
        </w:rPr>
        <w:t>互联网营销行业是随着互联网产业发展而产生和逐渐成长的新兴行业，目前行业集中度不高。</w:t>
      </w:r>
    </w:p>
    <w:p>
      <w:pPr>
        <w:pStyle w:val="BodyText"/>
        <w:spacing w:line="314" w:lineRule="auto"/>
        <w:ind w:right="337"/>
        <w:jc w:val="both"/>
      </w:pPr>
      <w:r>
        <w:rPr>
          <w:spacing w:val="-2"/>
        </w:rPr>
        <w:t>与国外成熟市场的互联网营销服务行业相似，我国互联网营销服务行业属于开放性行业，没有严</w:t>
      </w:r>
      <w:r>
        <w:rPr>
          <w:spacing w:val="-25"/>
        </w:rPr>
        <w:t> </w:t>
      </w:r>
      <w:r>
        <w:rPr>
          <w:spacing w:val="-25"/>
        </w:rPr>
      </w:r>
      <w:r>
        <w:rPr>
          <w:spacing w:val="-2"/>
        </w:rPr>
        <w:t>格的行业壁垒和管制，行业内参与者众多且细分化程度较高。各家互联网营销服务商根据自身定</w:t>
      </w:r>
      <w:r>
        <w:rPr>
          <w:spacing w:val="-25"/>
        </w:rPr>
        <w:t> </w:t>
      </w:r>
      <w:r>
        <w:rPr>
          <w:spacing w:val="-25"/>
        </w:rPr>
      </w:r>
      <w:r>
        <w:rPr/>
        <w:t>位、拥有的独特资源优势参与行业竞争，整个行业市场化程度较高。</w:t>
      </w:r>
    </w:p>
    <w:p>
      <w:pPr>
        <w:spacing w:line="314" w:lineRule="auto" w:before="2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）基础设施建设行业</w:t>
      </w:r>
      <w:r>
        <w:rPr>
          <w:rFonts w:ascii="宋体" w:hAnsi="宋体" w:cs="宋体" w:eastAsia="宋体" w:hint="default"/>
          <w:b/>
          <w:bCs/>
          <w:w w:val="100"/>
          <w:sz w:val="21"/>
          <w:szCs w:val="21"/>
        </w:rPr>
        <w:t> </w:t>
      </w:r>
      <w:r>
        <w:rPr>
          <w:rFonts w:ascii="宋体" w:hAnsi="宋体" w:cs="宋体" w:eastAsia="宋体" w:hint="default"/>
          <w:spacing w:val="-2"/>
          <w:sz w:val="21"/>
          <w:szCs w:val="21"/>
        </w:rPr>
        <w:t>从行业整体来看，基础设施建设行业属于完全竞争行业，但在细分市场领域又存在着不同的</w:t>
      </w:r>
    </w:p>
    <w:p>
      <w:pPr>
        <w:pStyle w:val="BodyText"/>
        <w:spacing w:line="314" w:lineRule="auto"/>
        <w:ind w:right="337"/>
        <w:jc w:val="both"/>
      </w:pPr>
      <w:r>
        <w:rPr>
          <w:spacing w:val="-2"/>
        </w:rPr>
        <w:t>竞争格局，具体到公司所涉及的基础设施施工与设计两大领域就存在一定的区别。基础设施施工</w:t>
      </w:r>
      <w:r>
        <w:rPr>
          <w:spacing w:val="-25"/>
        </w:rPr>
        <w:t> </w:t>
      </w:r>
      <w:r>
        <w:rPr>
          <w:spacing w:val="-25"/>
        </w:rPr>
      </w:r>
      <w:r>
        <w:rPr>
          <w:spacing w:val="-2"/>
        </w:rPr>
        <w:t>领域，在充分竞争的同时，又存在着较复杂的地域因素和政府意志因素，而基础设施设计领域，</w:t>
      </w:r>
      <w:r>
        <w:rPr>
          <w:spacing w:val="-25"/>
        </w:rPr>
        <w:t> </w:t>
      </w:r>
      <w:r>
        <w:rPr>
          <w:spacing w:val="-25"/>
        </w:rPr>
      </w:r>
      <w:r>
        <w:rPr/>
        <w:t>由于公司目前设计业务规模较小，服务范围主要集中于东营及周边地区，因此竞争压力较小。</w:t>
      </w:r>
    </w:p>
    <w:p>
      <w:pPr>
        <w:spacing w:line="314" w:lineRule="auto" w:before="2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）房地产开发行业</w:t>
      </w:r>
      <w:r>
        <w:rPr>
          <w:rFonts w:ascii="宋体" w:hAnsi="宋体" w:cs="宋体" w:eastAsia="宋体" w:hint="default"/>
          <w:b/>
          <w:bCs/>
          <w:w w:val="100"/>
          <w:sz w:val="21"/>
          <w:szCs w:val="21"/>
        </w:rPr>
        <w:t> </w:t>
      </w:r>
      <w:r>
        <w:rPr>
          <w:rFonts w:ascii="宋体" w:hAnsi="宋体" w:cs="宋体" w:eastAsia="宋体" w:hint="default"/>
          <w:spacing w:val="-2"/>
          <w:sz w:val="21"/>
          <w:szCs w:val="21"/>
        </w:rPr>
        <w:t>房地产开发行业基本属于完全竞争行业，从行业的产业链来看，基本不存在非市场因素的干</w:t>
      </w:r>
    </w:p>
    <w:p>
      <w:pPr>
        <w:pStyle w:val="BodyText"/>
        <w:spacing w:line="314" w:lineRule="auto"/>
        <w:ind w:right="337"/>
        <w:jc w:val="both"/>
      </w:pPr>
      <w:r>
        <w:rPr>
          <w:spacing w:val="-2"/>
        </w:rPr>
        <w:t>扰。在取得土地使用权阶段，影响竞争格局的主要是房地产开发企业的资金实力与融资能力，而</w:t>
      </w:r>
      <w:r>
        <w:rPr>
          <w:spacing w:val="-25"/>
        </w:rPr>
        <w:t> </w:t>
      </w:r>
      <w:r>
        <w:rPr>
          <w:spacing w:val="-25"/>
        </w:rPr>
      </w:r>
      <w:r>
        <w:rPr>
          <w:spacing w:val="-2"/>
        </w:rPr>
        <w:t>在销售阶段，影响因素主要包括房地产开发企业的品牌及所建楼盘的本身价值因素，包括地段、</w:t>
      </w:r>
      <w:r>
        <w:rPr>
          <w:spacing w:val="-25"/>
        </w:rPr>
        <w:t> </w:t>
      </w:r>
      <w:r>
        <w:rPr>
          <w:spacing w:val="-25"/>
        </w:rPr>
      </w:r>
      <w:r>
        <w:rPr>
          <w:spacing w:val="-2"/>
        </w:rPr>
        <w:t>周边配套及价格等。公司目前的房地产开发业务主要是在东营、青岛、滨州进行，东营与滨州均</w:t>
      </w:r>
      <w:r>
        <w:rPr>
          <w:spacing w:val="-25"/>
        </w:rPr>
        <w:t> </w:t>
      </w:r>
      <w:r>
        <w:rPr>
          <w:spacing w:val="-25"/>
        </w:rPr>
      </w:r>
      <w:r>
        <w:rPr>
          <w:spacing w:val="-2"/>
        </w:rPr>
        <w:t>为三线城市，竞争压力相对较小，特别是公司在东营所开发楼盘“府左华苑”具有明显地段优势</w:t>
      </w:r>
      <w:r>
        <w:rPr>
          <w:spacing w:val="-25"/>
        </w:rPr>
        <w:t> </w:t>
      </w:r>
      <w:r>
        <w:rPr>
          <w:spacing w:val="-25"/>
        </w:rPr>
      </w:r>
      <w:r>
        <w:rPr/>
        <w:t>及品牌优势，但随着恒大、绿城、阳光</w:t>
      </w:r>
      <w:r>
        <w:rPr>
          <w:spacing w:val="-55"/>
        </w:rPr>
        <w:t> </w:t>
      </w:r>
      <w:r>
        <w:rPr>
          <w:rFonts w:ascii="宋体" w:hAnsi="宋体" w:cs="宋体" w:eastAsia="宋体" w:hint="default"/>
        </w:rPr>
        <w:t>100</w:t>
      </w:r>
      <w:r>
        <w:rPr>
          <w:rFonts w:ascii="宋体" w:hAnsi="宋体" w:cs="宋体" w:eastAsia="宋体" w:hint="default"/>
          <w:spacing w:val="-55"/>
        </w:rPr>
        <w:t> </w:t>
      </w:r>
      <w:r>
        <w:rPr/>
        <w:t>等一线开发商的进入及本地开发商的增多，东营房地</w:t>
      </w:r>
      <w:r>
        <w:rPr>
          <w:w w:val="100"/>
        </w:rPr>
        <w:t> </w:t>
      </w:r>
      <w:r>
        <w:rPr>
          <w:spacing w:val="-2"/>
        </w:rPr>
        <w:t>产市场竞争日趋激烈；青岛房地产市场更是一线开发商林立，竞争更激烈。但随着消费群体由投</w:t>
      </w:r>
      <w:r>
        <w:rPr>
          <w:spacing w:val="-25"/>
        </w:rPr>
        <w:t> </w:t>
      </w:r>
      <w:r>
        <w:rPr>
          <w:spacing w:val="-25"/>
        </w:rPr>
      </w:r>
      <w:r>
        <w:rPr>
          <w:spacing w:val="-2"/>
        </w:rPr>
        <w:t>资者向刚需者的转变，三线城市的竞争格局又存在着细微的变化。在三线城市存在着本土房企与</w:t>
      </w:r>
      <w:r>
        <w:rPr>
          <w:spacing w:val="-25"/>
        </w:rPr>
        <w:t> </w:t>
      </w:r>
      <w:r>
        <w:rPr>
          <w:spacing w:val="-25"/>
        </w:rPr>
      </w:r>
      <w:r>
        <w:rPr>
          <w:spacing w:val="-2"/>
        </w:rPr>
        <w:t>外地房企的竞争，在该竞争中，本土房企具有本地化的优势，更易取得本地消费者的信任，若在</w:t>
      </w:r>
      <w:r>
        <w:rPr>
          <w:spacing w:val="-25"/>
        </w:rPr>
        <w:t> </w:t>
      </w:r>
      <w:r>
        <w:rPr>
          <w:spacing w:val="-25"/>
        </w:rPr>
      </w:r>
      <w:r>
        <w:rPr/>
        <w:t>品牌、品质方面，本土房企能够实现与外地房企的趋同，则本土房企会占据一定的竞争优势。</w:t>
      </w:r>
    </w:p>
    <w:p>
      <w:pPr>
        <w:pStyle w:val="Heading2"/>
        <w:spacing w:line="240" w:lineRule="auto" w:before="20"/>
        <w:ind w:left="560" w:right="0"/>
        <w:jc w:val="left"/>
        <w:rPr>
          <w:b w:val="0"/>
          <w:bCs w:val="0"/>
        </w:rPr>
      </w:pPr>
      <w:r>
        <w:rPr>
          <w:rFonts w:ascii="宋体" w:hAnsi="宋体" w:cs="宋体" w:eastAsia="宋体" w:hint="default"/>
        </w:rPr>
        <w:t>2</w:t>
      </w:r>
      <w:r>
        <w:rPr/>
        <w:t>、行业发展趋势</w:t>
      </w:r>
      <w:r>
        <w:rPr>
          <w:b w:val="0"/>
          <w:bCs w:val="0"/>
        </w:rPr>
      </w:r>
    </w:p>
    <w:p>
      <w:pPr>
        <w:pStyle w:val="Heading2"/>
        <w:spacing w:line="240" w:lineRule="auto" w:before="85"/>
        <w:ind w:left="560" w:right="0"/>
        <w:jc w:val="left"/>
        <w:rPr>
          <w:b w:val="0"/>
          <w:bCs w:val="0"/>
        </w:rPr>
      </w:pPr>
      <w:r>
        <w:rPr/>
        <w:t>（</w:t>
      </w:r>
      <w:r>
        <w:rPr>
          <w:rFonts w:ascii="宋体" w:hAnsi="宋体" w:cs="宋体" w:eastAsia="宋体" w:hint="default"/>
        </w:rPr>
        <w:t>1</w:t>
      </w:r>
      <w:r>
        <w:rPr/>
        <w:t>）互联网营销行业</w:t>
      </w:r>
      <w:r>
        <w:rPr>
          <w:b w:val="0"/>
          <w:bCs w:val="0"/>
        </w:rPr>
      </w:r>
    </w:p>
    <w:p>
      <w:pPr>
        <w:spacing w:line="314" w:lineRule="auto" w:before="85"/>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①全产业链布局的整合方式</w:t>
      </w:r>
      <w:r>
        <w:rPr>
          <w:rFonts w:ascii="宋体" w:hAnsi="宋体" w:cs="宋体" w:eastAsia="宋体" w:hint="default"/>
          <w:b/>
          <w:bCs/>
          <w:w w:val="100"/>
          <w:sz w:val="21"/>
          <w:szCs w:val="21"/>
        </w:rPr>
        <w:t> </w:t>
      </w:r>
      <w:r>
        <w:rPr>
          <w:rFonts w:ascii="宋体" w:hAnsi="宋体" w:cs="宋体" w:eastAsia="宋体" w:hint="default"/>
          <w:spacing w:val="-2"/>
          <w:sz w:val="21"/>
          <w:szCs w:val="21"/>
        </w:rPr>
        <w:t>互联网营销产业链在经历了由简单的广告代理投放向服务更加细分专业化、分工更加明确的</w:t>
      </w:r>
    </w:p>
    <w:p>
      <w:pPr>
        <w:pStyle w:val="BodyText"/>
        <w:spacing w:line="314" w:lineRule="auto"/>
        <w:ind w:left="558" w:right="0" w:hanging="420"/>
        <w:jc w:val="left"/>
      </w:pPr>
      <w:r>
        <w:rPr/>
        <w:t>产业链分散式经营之后，目前又逐渐走向产业链的整合。</w:t>
      </w:r>
      <w:r>
        <w:rPr>
          <w:w w:val="100"/>
        </w:rPr>
        <w:t> </w:t>
      </w:r>
      <w:r>
        <w:rPr>
          <w:spacing w:val="-2"/>
        </w:rPr>
        <w:t>针对目前互联网营销行业的现状及未来广阔前景，打通互联网营销产业链，整合有技术、有</w:t>
      </w:r>
    </w:p>
    <w:p>
      <w:pPr>
        <w:pStyle w:val="BodyText"/>
        <w:spacing w:line="314" w:lineRule="auto"/>
        <w:ind w:left="558" w:right="0" w:hanging="420"/>
        <w:jc w:val="left"/>
      </w:pPr>
      <w:r>
        <w:rPr/>
        <w:t>渠道的公司将成为行业发展的必然趋势，也将在未来获得巨大收益。</w:t>
      </w:r>
      <w:r>
        <w:rPr>
          <w:w w:val="100"/>
        </w:rPr>
        <w:t> </w:t>
      </w:r>
      <w:r>
        <w:rPr>
          <w:spacing w:val="-2"/>
        </w:rPr>
        <w:t>从目前国内外互联网营销行业整合的情况来看，主要有广告代理商向下游整合和渠道商向上</w:t>
      </w:r>
    </w:p>
    <w:p>
      <w:pPr>
        <w:pStyle w:val="BodyText"/>
        <w:spacing w:line="314" w:lineRule="auto"/>
        <w:ind w:left="558" w:right="0" w:hanging="420"/>
        <w:jc w:val="left"/>
      </w:pPr>
      <w:r>
        <w:rPr/>
        <w:t>游整合这两种方式，而并购是实现这两种方式全产业链打通的主要手段。</w:t>
      </w:r>
      <w:r>
        <w:rPr>
          <w:w w:val="100"/>
        </w:rPr>
        <w:t> </w:t>
      </w:r>
      <w:r>
        <w:rPr>
          <w:spacing w:val="-2"/>
        </w:rPr>
        <w:t>广告代理商作为最常见的公司类型，除了经营广告代理业务，正逐渐向下游创意策划、媒体</w:t>
      </w:r>
    </w:p>
    <w:p>
      <w:pPr>
        <w:pStyle w:val="BodyText"/>
        <w:spacing w:line="314" w:lineRule="auto"/>
        <w:ind w:right="337"/>
        <w:jc w:val="both"/>
      </w:pPr>
      <w:r>
        <w:rPr/>
        <w:t>采购、公共关系业务发展，而随着大数据的兴起、</w:t>
      </w:r>
      <w:r>
        <w:rPr>
          <w:rFonts w:ascii="宋体" w:hAnsi="宋体" w:cs="宋体" w:eastAsia="宋体" w:hint="default"/>
        </w:rPr>
        <w:t>DSP</w:t>
      </w:r>
      <w:r>
        <w:rPr>
          <w:rFonts w:ascii="宋体" w:hAnsi="宋体" w:cs="宋体" w:eastAsia="宋体" w:hint="default"/>
          <w:spacing w:val="-57"/>
        </w:rPr>
        <w:t> </w:t>
      </w:r>
      <w:r>
        <w:rPr/>
        <w:t>和程序化购买的发展，广告代理公司也逐</w:t>
      </w:r>
      <w:r>
        <w:rPr>
          <w:w w:val="100"/>
        </w:rPr>
        <w:t> </w:t>
      </w:r>
      <w:r>
        <w:rPr>
          <w:spacing w:val="-2"/>
        </w:rPr>
        <w:t>步往互联网营销的技术领域渗透，通过吸纳数据分析、互联网技术公司得以完善产业链。目前，</w:t>
      </w:r>
      <w:r>
        <w:rPr>
          <w:spacing w:val="-25"/>
        </w:rPr>
        <w:t> </w:t>
      </w:r>
      <w:r>
        <w:rPr>
          <w:spacing w:val="-25"/>
        </w:rPr>
      </w:r>
      <w:r>
        <w:rPr>
          <w:spacing w:val="-2"/>
        </w:rPr>
        <w:t>市场上大部分互联网营销整合都是采用这种方式进行，主要是由于广告代理业务门槛较低、且便</w:t>
      </w:r>
      <w:r>
        <w:rPr>
          <w:spacing w:val="-25"/>
        </w:rPr>
        <w:t> </w:t>
      </w:r>
      <w:r>
        <w:rPr>
          <w:spacing w:val="-25"/>
        </w:rPr>
      </w:r>
      <w:r>
        <w:rPr>
          <w:spacing w:val="-2"/>
        </w:rPr>
        <w:t>于传统广告代理企业的数字化转型。在打通产业链并得到适当的发展后，企业会继续通过并购的</w:t>
      </w:r>
      <w:r>
        <w:rPr>
          <w:spacing w:val="-25"/>
        </w:rPr>
        <w:t> </w:t>
      </w:r>
      <w:r>
        <w:rPr>
          <w:spacing w:val="-25"/>
        </w:rPr>
      </w:r>
      <w:r>
        <w:rPr/>
        <w:t>方式拓展渠道，开发客户，从而得到更长远的发展。</w:t>
      </w:r>
    </w:p>
    <w:p>
      <w:pPr>
        <w:spacing w:after="0" w:line="314" w:lineRule="auto"/>
        <w:jc w:val="both"/>
        <w:sectPr>
          <w:pgSz w:w="11910" w:h="16840"/>
          <w:pgMar w:header="855" w:footer="1193" w:top="1280" w:bottom="1380" w:left="1660" w:right="940"/>
        </w:sectPr>
      </w:pPr>
    </w:p>
    <w:p>
      <w:pPr>
        <w:spacing w:line="240" w:lineRule="auto" w:before="9"/>
        <w:rPr>
          <w:rFonts w:ascii="宋体" w:hAnsi="宋体" w:cs="宋体" w:eastAsia="宋体" w:hint="default"/>
          <w:sz w:val="18"/>
          <w:szCs w:val="18"/>
        </w:rPr>
      </w:pPr>
    </w:p>
    <w:p>
      <w:pPr>
        <w:pStyle w:val="BodyText"/>
        <w:spacing w:line="314" w:lineRule="auto" w:before="36"/>
        <w:ind w:right="157" w:firstLine="419"/>
        <w:jc w:val="both"/>
      </w:pPr>
      <w:r>
        <w:rPr>
          <w:spacing w:val="-2"/>
        </w:rPr>
        <w:t>相比以上的整合方式，由渠道商向上游整合则更对企业自身的技术水平和渠道资源有较高要</w:t>
      </w:r>
      <w:r>
        <w:rPr>
          <w:w w:val="100"/>
        </w:rPr>
        <w:t> </w:t>
      </w:r>
      <w:r>
        <w:rPr>
          <w:spacing w:val="-2"/>
        </w:rPr>
        <w:t>求。这类企业通过手中掌握的数字平台，逐渐向上游广告交易平台发展、客户平台发展，从而实</w:t>
      </w:r>
      <w:r>
        <w:rPr>
          <w:spacing w:val="-25"/>
        </w:rPr>
        <w:t> </w:t>
      </w:r>
      <w:r>
        <w:rPr>
          <w:spacing w:val="-25"/>
        </w:rPr>
      </w:r>
      <w:r>
        <w:rPr>
          <w:spacing w:val="-2"/>
        </w:rPr>
        <w:t>现全产业链的打通。目前，通过这种方式实现整合的主要是国内外大型互联网企业，如雅虎收购</w:t>
      </w:r>
      <w:r>
        <w:rPr>
          <w:spacing w:val="-25"/>
        </w:rPr>
        <w:t> </w:t>
      </w:r>
      <w:r>
        <w:rPr>
          <w:spacing w:val="-25"/>
        </w:rPr>
      </w:r>
      <w:r>
        <w:rPr>
          <w:rFonts w:ascii="宋体" w:hAnsi="宋体" w:cs="宋体" w:eastAsia="宋体" w:hint="default"/>
        </w:rPr>
        <w:t>RightMedia</w:t>
      </w:r>
      <w:r>
        <w:rPr/>
        <w:t>、</w:t>
      </w:r>
      <w:r>
        <w:rPr>
          <w:rFonts w:ascii="宋体" w:hAnsi="宋体" w:cs="宋体" w:eastAsia="宋体" w:hint="default"/>
        </w:rPr>
        <w:t>Google</w:t>
      </w:r>
      <w:r>
        <w:rPr>
          <w:rFonts w:ascii="宋体" w:hAnsi="宋体" w:cs="宋体" w:eastAsia="宋体" w:hint="default"/>
          <w:spacing w:val="-53"/>
        </w:rPr>
        <w:t> </w:t>
      </w:r>
      <w:r>
        <w:rPr/>
        <w:t>收购</w:t>
      </w:r>
      <w:r>
        <w:rPr>
          <w:spacing w:val="-54"/>
        </w:rPr>
        <w:t> </w:t>
      </w:r>
      <w:r>
        <w:rPr>
          <w:rFonts w:ascii="宋体" w:hAnsi="宋体" w:cs="宋体" w:eastAsia="宋体" w:hint="default"/>
        </w:rPr>
        <w:t>DoubleClick</w:t>
      </w:r>
      <w:r>
        <w:rPr/>
        <w:t>、微软收购</w:t>
      </w:r>
      <w:r>
        <w:rPr>
          <w:spacing w:val="-55"/>
        </w:rPr>
        <w:t> </w:t>
      </w:r>
      <w:r>
        <w:rPr>
          <w:rFonts w:ascii="宋体" w:hAnsi="宋体" w:cs="宋体" w:eastAsia="宋体" w:hint="default"/>
        </w:rPr>
        <w:t>AdECN</w:t>
      </w:r>
      <w:r>
        <w:rPr>
          <w:rFonts w:ascii="宋体" w:hAnsi="宋体" w:cs="宋体" w:eastAsia="宋体" w:hint="default"/>
          <w:spacing w:val="-55"/>
        </w:rPr>
        <w:t> </w:t>
      </w:r>
      <w:r>
        <w:rPr/>
        <w:t>等。</w:t>
      </w:r>
    </w:p>
    <w:p>
      <w:pPr>
        <w:spacing w:line="314" w:lineRule="auto" w:before="2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②多元化媒体下的整合服务</w:t>
      </w:r>
      <w:r>
        <w:rPr>
          <w:rFonts w:ascii="宋体" w:hAnsi="宋体" w:cs="宋体" w:eastAsia="宋体" w:hint="default"/>
          <w:b/>
          <w:bCs/>
          <w:w w:val="100"/>
          <w:sz w:val="21"/>
          <w:szCs w:val="21"/>
        </w:rPr>
        <w:t> </w:t>
      </w:r>
      <w:r>
        <w:rPr>
          <w:rFonts w:ascii="宋体" w:hAnsi="宋体" w:cs="宋体" w:eastAsia="宋体" w:hint="default"/>
          <w:spacing w:val="-2"/>
          <w:sz w:val="21"/>
          <w:szCs w:val="21"/>
        </w:rPr>
        <w:t>互联网营销市场的多元化发展，将为互联网营销行业发展带来新的挑战和机遇。以客户需求</w:t>
      </w:r>
    </w:p>
    <w:p>
      <w:pPr>
        <w:pStyle w:val="BodyText"/>
        <w:spacing w:line="314" w:lineRule="auto"/>
        <w:ind w:right="0"/>
        <w:jc w:val="left"/>
      </w:pPr>
      <w:r>
        <w:rPr>
          <w:spacing w:val="-2"/>
        </w:rPr>
        <w:t>为出发，为客户提供深度服务，围绕客户进行整体式的营销方式势必成为今后互联网营销行业的</w:t>
      </w:r>
      <w:r>
        <w:rPr>
          <w:spacing w:val="-25"/>
        </w:rPr>
        <w:t> </w:t>
      </w:r>
      <w:r>
        <w:rPr>
          <w:spacing w:val="-25"/>
        </w:rPr>
      </w:r>
      <w:r>
        <w:rPr/>
        <w:t>发展趋势。</w:t>
      </w:r>
    </w:p>
    <w:p>
      <w:pPr>
        <w:spacing w:line="314" w:lineRule="auto" w:before="2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③客户服务更加深入全面</w:t>
      </w:r>
      <w:r>
        <w:rPr>
          <w:rFonts w:ascii="宋体" w:hAnsi="宋体" w:cs="宋体" w:eastAsia="宋体" w:hint="default"/>
          <w:b/>
          <w:bCs/>
          <w:w w:val="100"/>
          <w:sz w:val="21"/>
          <w:szCs w:val="21"/>
        </w:rPr>
        <w:t> </w:t>
      </w:r>
      <w:r>
        <w:rPr>
          <w:rFonts w:ascii="宋体" w:hAnsi="宋体" w:cs="宋体" w:eastAsia="宋体" w:hint="default"/>
          <w:spacing w:val="-2"/>
          <w:sz w:val="21"/>
          <w:szCs w:val="21"/>
        </w:rPr>
        <w:t>随着互联网营销行业的逐渐发展与成熟，广告主在互联网营销的投放热情不断提高，不同行</w:t>
      </w:r>
    </w:p>
    <w:p>
      <w:pPr>
        <w:pStyle w:val="BodyText"/>
        <w:spacing w:line="314" w:lineRule="auto"/>
        <w:ind w:left="558" w:right="0" w:hanging="420"/>
        <w:jc w:val="left"/>
      </w:pPr>
      <w:r>
        <w:rPr/>
        <w:t>业的广告主开始使用互联网营销服务，并逐渐增加互联网营销的投放量。</w:t>
      </w:r>
      <w:r>
        <w:rPr>
          <w:w w:val="100"/>
        </w:rPr>
        <w:t> </w:t>
      </w:r>
      <w:r>
        <w:rPr>
          <w:spacing w:val="-2"/>
        </w:rPr>
        <w:t>互联网营销市场的不断扩大及客户认知度、信赖度的不断提升，使各行业客户在互联网营销</w:t>
      </w:r>
    </w:p>
    <w:p>
      <w:pPr>
        <w:pStyle w:val="BodyText"/>
        <w:spacing w:line="314" w:lineRule="auto"/>
        <w:ind w:right="0"/>
        <w:jc w:val="left"/>
      </w:pPr>
      <w:r>
        <w:rPr>
          <w:spacing w:val="-2"/>
        </w:rPr>
        <w:t>服务的投入不断加大。立足行业客户，对特定行业客户进行深度挖掘、提供全方位服务也成为互</w:t>
      </w:r>
      <w:r>
        <w:rPr>
          <w:spacing w:val="-25"/>
        </w:rPr>
        <w:t> </w:t>
      </w:r>
      <w:r>
        <w:rPr>
          <w:spacing w:val="-25"/>
        </w:rPr>
      </w:r>
      <w:r>
        <w:rPr/>
        <w:t>联网营销企业的主要发展方向之一。</w:t>
      </w:r>
    </w:p>
    <w:p>
      <w:pPr>
        <w:spacing w:line="314" w:lineRule="auto" w:before="2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④大数据下的精准投放</w:t>
      </w:r>
      <w:r>
        <w:rPr>
          <w:rFonts w:ascii="宋体" w:hAnsi="宋体" w:cs="宋体" w:eastAsia="宋体" w:hint="default"/>
          <w:b/>
          <w:bCs/>
          <w:w w:val="100"/>
          <w:sz w:val="21"/>
          <w:szCs w:val="21"/>
        </w:rPr>
        <w:t> </w:t>
      </w:r>
      <w:r>
        <w:rPr>
          <w:rFonts w:ascii="宋体" w:hAnsi="宋体" w:cs="宋体" w:eastAsia="宋体" w:hint="default"/>
          <w:spacing w:val="-2"/>
          <w:sz w:val="21"/>
          <w:szCs w:val="21"/>
        </w:rPr>
        <w:t>大数据的出现和发展为互联网营销带来了新的发展机遇，使得广告投放更为精准。在互联网</w:t>
      </w:r>
    </w:p>
    <w:p>
      <w:pPr>
        <w:pStyle w:val="BodyText"/>
        <w:spacing w:line="314" w:lineRule="auto"/>
        <w:ind w:right="157"/>
        <w:jc w:val="both"/>
      </w:pPr>
      <w:r>
        <w:rPr>
          <w:spacing w:val="-2"/>
        </w:rPr>
        <w:t>媒体环境下，互联网营销过程中每个环节的数据都得到十分及时、准确的收集。针对广告受众数</w:t>
      </w:r>
      <w:r>
        <w:rPr>
          <w:spacing w:val="-25"/>
        </w:rPr>
        <w:t> </w:t>
      </w:r>
      <w:r>
        <w:rPr>
          <w:spacing w:val="-25"/>
        </w:rPr>
      </w:r>
      <w:r>
        <w:rPr>
          <w:spacing w:val="-2"/>
        </w:rPr>
        <w:t>据的积累，可判定受众的不同属性及偏好等特征，为消费者洞察和营销决策带来极大的便利。然</w:t>
      </w:r>
      <w:r>
        <w:rPr>
          <w:spacing w:val="-25"/>
        </w:rPr>
        <w:t> </w:t>
      </w:r>
      <w:r>
        <w:rPr>
          <w:spacing w:val="-25"/>
        </w:rPr>
      </w:r>
      <w:r>
        <w:rPr>
          <w:spacing w:val="-2"/>
        </w:rPr>
        <w:t>而，单个行为数据本身对广告投放的帮助十分有限，只有当数据之间实现连接，其价值才会释放</w:t>
      </w:r>
      <w:r>
        <w:rPr>
          <w:spacing w:val="-25"/>
        </w:rPr>
        <w:t> </w:t>
      </w:r>
      <w:r>
        <w:rPr>
          <w:spacing w:val="-25"/>
        </w:rPr>
      </w:r>
      <w:r>
        <w:rPr>
          <w:spacing w:val="-2"/>
        </w:rPr>
        <w:t>出来，帮助广告代理商更为精准的定位目标受众。因此，收集、整合、共享数据成为广告公司充</w:t>
      </w:r>
      <w:r>
        <w:rPr>
          <w:spacing w:val="-25"/>
        </w:rPr>
        <w:t> </w:t>
      </w:r>
      <w:r>
        <w:rPr>
          <w:spacing w:val="-25"/>
        </w:rPr>
      </w:r>
      <w:r>
        <w:rPr/>
        <w:t>分挖掘大数据营销价值的必要条件。</w:t>
      </w:r>
    </w:p>
    <w:p>
      <w:pPr>
        <w:pStyle w:val="BodyText"/>
        <w:spacing w:line="314" w:lineRule="auto"/>
        <w:ind w:right="157" w:firstLine="419"/>
        <w:jc w:val="both"/>
      </w:pPr>
      <w:r>
        <w:rPr>
          <w:spacing w:val="-2"/>
        </w:rPr>
        <w:t>在海量数据的环境下，广告公司利用网页分析、数据挖掘等关键技术，获取、分析用户有效</w:t>
      </w:r>
      <w:r>
        <w:rPr>
          <w:w w:val="100"/>
        </w:rPr>
        <w:t> </w:t>
      </w:r>
      <w:r>
        <w:rPr>
          <w:spacing w:val="-2"/>
        </w:rPr>
        <w:t>数据，并进行优化分类，在后期投放时通过分类进行偏好匹配，从而实现广告的精准投放。互联</w:t>
      </w:r>
      <w:r>
        <w:rPr>
          <w:spacing w:val="-25"/>
        </w:rPr>
        <w:t> </w:t>
      </w:r>
      <w:r>
        <w:rPr>
          <w:spacing w:val="-25"/>
        </w:rPr>
      </w:r>
      <w:r>
        <w:rPr>
          <w:spacing w:val="-2"/>
        </w:rPr>
        <w:t>网广告的精准投放一改传统投放中粗放式的投放模式，实现对受众更加具有针对性的营销，有效</w:t>
      </w:r>
      <w:r>
        <w:rPr>
          <w:spacing w:val="-25"/>
        </w:rPr>
        <w:t> </w:t>
      </w:r>
      <w:r>
        <w:rPr>
          <w:spacing w:val="-25"/>
        </w:rPr>
      </w:r>
      <w:r>
        <w:rPr/>
        <w:t>的节省了投放成本。</w:t>
      </w:r>
    </w:p>
    <w:p>
      <w:pPr>
        <w:pStyle w:val="BodyText"/>
        <w:spacing w:line="240" w:lineRule="auto"/>
        <w:ind w:left="558" w:right="0"/>
        <w:jc w:val="left"/>
      </w:pPr>
      <w:r>
        <w:rPr/>
        <w:t>广告公司的精准化、专业化、数字化必将成为互联网营销行业发展的主要趋势。</w:t>
      </w:r>
    </w:p>
    <w:p>
      <w:pPr>
        <w:spacing w:line="314" w:lineRule="auto" w:before="85"/>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）基础设施建设行业</w:t>
      </w:r>
      <w:r>
        <w:rPr>
          <w:rFonts w:ascii="宋体" w:hAnsi="宋体" w:cs="宋体" w:eastAsia="宋体" w:hint="default"/>
          <w:b/>
          <w:bCs/>
          <w:w w:val="100"/>
          <w:sz w:val="21"/>
          <w:szCs w:val="21"/>
        </w:rPr>
        <w:t> </w:t>
      </w:r>
      <w:r>
        <w:rPr>
          <w:rFonts w:ascii="宋体" w:hAnsi="宋体" w:cs="宋体" w:eastAsia="宋体" w:hint="default"/>
          <w:spacing w:val="-2"/>
          <w:sz w:val="21"/>
          <w:szCs w:val="21"/>
        </w:rPr>
        <w:t>目前，我国经济正在进入从高速增长转为中高速增长的“新常态”，但城镇化建设的推进仍</w:t>
      </w:r>
    </w:p>
    <w:p>
      <w:pPr>
        <w:pStyle w:val="BodyText"/>
        <w:spacing w:line="314" w:lineRule="auto"/>
        <w:ind w:right="0"/>
        <w:jc w:val="left"/>
        <w:rPr>
          <w:rFonts w:ascii="宋体" w:hAnsi="宋体" w:cs="宋体" w:eastAsia="宋体" w:hint="default"/>
        </w:rPr>
      </w:pPr>
      <w:r>
        <w:rPr>
          <w:spacing w:val="-2"/>
        </w:rPr>
        <w:t>将带来大量城市房屋建设、城市基础设施建设、城市商业设施建设的需求，同时大量工业与能源</w:t>
      </w:r>
      <w:r>
        <w:rPr>
          <w:spacing w:val="-25"/>
        </w:rPr>
        <w:t> </w:t>
      </w:r>
      <w:r>
        <w:rPr>
          <w:spacing w:val="-25"/>
        </w:rPr>
      </w:r>
      <w:r>
        <w:rPr/>
        <w:t>基地建设、交通设施建设等市场也将保持旺盛的需求。根据《国家公路网规划（</w:t>
      </w:r>
      <w:r>
        <w:rPr>
          <w:rFonts w:ascii="宋体" w:hAnsi="宋体" w:cs="宋体" w:eastAsia="宋体" w:hint="default"/>
        </w:rPr>
        <w:t>2013</w:t>
      </w:r>
      <w:r>
        <w:rPr>
          <w:rFonts w:ascii="宋体" w:hAnsi="宋体" w:cs="宋体" w:eastAsia="宋体" w:hint="default"/>
          <w:spacing w:val="-56"/>
        </w:rPr>
        <w:t> </w:t>
      </w:r>
      <w:r>
        <w:rPr/>
        <w:t>年—</w:t>
      </w:r>
      <w:r>
        <w:rPr>
          <w:rFonts w:ascii="宋体" w:hAnsi="宋体" w:cs="宋体" w:eastAsia="宋体" w:hint="default"/>
        </w:rPr>
        <w:t>2030</w:t>
      </w:r>
      <w:r>
        <w:rPr>
          <w:rFonts w:ascii="宋体" w:hAnsi="宋体" w:cs="宋体" w:eastAsia="宋体" w:hint="default"/>
          <w:w w:val="100"/>
        </w:rPr>
        <w:t> </w:t>
      </w:r>
      <w:r>
        <w:rPr>
          <w:spacing w:val="-2"/>
        </w:rPr>
        <w:t>年）》，国家公路网由普通国道和国家高速公路两个路网层次构成，普通国道网总规模约</w:t>
      </w:r>
      <w:r>
        <w:rPr>
          <w:spacing w:val="25"/>
        </w:rPr>
        <w:t> </w:t>
      </w:r>
      <w:r>
        <w:rPr>
          <w:rFonts w:ascii="宋体" w:hAnsi="宋体" w:cs="宋体" w:eastAsia="宋体" w:hint="default"/>
          <w:spacing w:val="-1"/>
        </w:rPr>
        <w:t>26.5</w:t>
      </w:r>
    </w:p>
    <w:p>
      <w:pPr>
        <w:pStyle w:val="BodyText"/>
        <w:spacing w:line="240" w:lineRule="auto"/>
        <w:ind w:right="0"/>
        <w:jc w:val="left"/>
        <w:rPr>
          <w:rFonts w:ascii="宋体" w:hAnsi="宋体" w:cs="宋体" w:eastAsia="宋体" w:hint="default"/>
        </w:rPr>
      </w:pPr>
      <w:r>
        <w:rPr>
          <w:w w:val="100"/>
        </w:rPr>
        <w:t>万公</w:t>
      </w:r>
      <w:r>
        <w:rPr>
          <w:spacing w:val="-3"/>
          <w:w w:val="100"/>
        </w:rPr>
        <w:t>里</w:t>
      </w:r>
      <w:r>
        <w:rPr>
          <w:spacing w:val="-101"/>
          <w:w w:val="100"/>
        </w:rPr>
        <w:t>，</w:t>
      </w:r>
      <w:r>
        <w:rPr>
          <w:spacing w:val="-3"/>
          <w:w w:val="100"/>
        </w:rPr>
        <w:t>共</w:t>
      </w:r>
      <w:r>
        <w:rPr>
          <w:w w:val="100"/>
        </w:rPr>
        <w:t>约</w:t>
      </w:r>
      <w:r>
        <w:rPr>
          <w:spacing w:val="-5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w w:val="100"/>
        </w:rPr>
        <w:t>万</w:t>
      </w:r>
      <w:r>
        <w:rPr>
          <w:spacing w:val="-3"/>
          <w:w w:val="100"/>
        </w:rPr>
        <w:t>公</w:t>
      </w:r>
      <w:r>
        <w:rPr>
          <w:w w:val="100"/>
        </w:rPr>
        <w:t>里</w:t>
      </w:r>
      <w:r>
        <w:rPr>
          <w:spacing w:val="-3"/>
          <w:w w:val="100"/>
        </w:rPr>
        <w:t>现</w:t>
      </w:r>
      <w:r>
        <w:rPr>
          <w:w w:val="100"/>
        </w:rPr>
        <w:t>有公</w:t>
      </w:r>
      <w:r>
        <w:rPr>
          <w:spacing w:val="-3"/>
          <w:w w:val="100"/>
        </w:rPr>
        <w:t>路</w:t>
      </w:r>
      <w:r>
        <w:rPr>
          <w:w w:val="100"/>
        </w:rPr>
        <w:t>需</w:t>
      </w:r>
      <w:r>
        <w:rPr>
          <w:spacing w:val="-3"/>
          <w:w w:val="100"/>
        </w:rPr>
        <w:t>要</w:t>
      </w:r>
      <w:r>
        <w:rPr>
          <w:w w:val="100"/>
        </w:rPr>
        <w:t>升</w:t>
      </w:r>
      <w:r>
        <w:rPr>
          <w:spacing w:val="-3"/>
          <w:w w:val="100"/>
        </w:rPr>
        <w:t>级</w:t>
      </w:r>
      <w:r>
        <w:rPr>
          <w:w w:val="100"/>
        </w:rPr>
        <w:t>改</w:t>
      </w:r>
      <w:r>
        <w:rPr>
          <w:spacing w:val="-3"/>
          <w:w w:val="100"/>
        </w:rPr>
        <w:t>造</w:t>
      </w:r>
      <w:r>
        <w:rPr>
          <w:spacing w:val="-101"/>
          <w:w w:val="100"/>
        </w:rPr>
        <w:t>、</w:t>
      </w:r>
      <w:r>
        <w:rPr>
          <w:rFonts w:ascii="宋体" w:hAnsi="宋体" w:cs="宋体" w:eastAsia="宋体" w:hint="default"/>
          <w:w w:val="100"/>
        </w:rPr>
        <w:t>0</w:t>
      </w:r>
      <w:r>
        <w:rPr>
          <w:rFonts w:ascii="宋体" w:hAnsi="宋体" w:cs="宋体" w:eastAsia="宋体" w:hint="default"/>
          <w:spacing w:val="-3"/>
          <w:w w:val="100"/>
        </w:rPr>
        <w:t>.</w:t>
      </w:r>
      <w:r>
        <w:rPr>
          <w:rFonts w:ascii="宋体" w:hAnsi="宋体" w:cs="宋体" w:eastAsia="宋体" w:hint="default"/>
          <w:w w:val="100"/>
        </w:rPr>
        <w:t>8</w:t>
      </w:r>
      <w:r>
        <w:rPr>
          <w:rFonts w:ascii="宋体" w:hAnsi="宋体" w:cs="宋体" w:eastAsia="宋体" w:hint="default"/>
          <w:spacing w:val="-55"/>
        </w:rPr>
        <w:t> </w:t>
      </w:r>
      <w:r>
        <w:rPr>
          <w:w w:val="100"/>
        </w:rPr>
        <w:t>万公</w:t>
      </w:r>
      <w:r>
        <w:rPr>
          <w:spacing w:val="-3"/>
          <w:w w:val="100"/>
        </w:rPr>
        <w:t>里</w:t>
      </w:r>
      <w:r>
        <w:rPr>
          <w:w w:val="100"/>
        </w:rPr>
        <w:t>需</w:t>
      </w:r>
      <w:r>
        <w:rPr>
          <w:spacing w:val="-3"/>
          <w:w w:val="100"/>
        </w:rPr>
        <w:t>要</w:t>
      </w:r>
      <w:r>
        <w:rPr>
          <w:w w:val="100"/>
        </w:rPr>
        <w:t>新</w:t>
      </w:r>
      <w:r>
        <w:rPr>
          <w:spacing w:val="-3"/>
          <w:w w:val="100"/>
        </w:rPr>
        <w:t>建</w:t>
      </w:r>
      <w:r>
        <w:rPr>
          <w:spacing w:val="-101"/>
          <w:w w:val="100"/>
        </w:rPr>
        <w:t>，</w:t>
      </w:r>
      <w:r>
        <w:rPr>
          <w:spacing w:val="-3"/>
          <w:w w:val="100"/>
        </w:rPr>
        <w:t>国</w:t>
      </w:r>
      <w:r>
        <w:rPr>
          <w:w w:val="100"/>
        </w:rPr>
        <w:t>家</w:t>
      </w:r>
      <w:r>
        <w:rPr>
          <w:spacing w:val="-3"/>
          <w:w w:val="100"/>
        </w:rPr>
        <w:t>高速</w:t>
      </w:r>
      <w:r>
        <w:rPr>
          <w:w w:val="100"/>
        </w:rPr>
        <w:t>公路</w:t>
      </w:r>
      <w:r>
        <w:rPr>
          <w:spacing w:val="-3"/>
          <w:w w:val="100"/>
        </w:rPr>
        <w:t>网</w:t>
      </w:r>
      <w:r>
        <w:rPr>
          <w:w w:val="100"/>
        </w:rPr>
        <w:t>总</w:t>
      </w:r>
      <w:r>
        <w:rPr>
          <w:spacing w:val="-3"/>
          <w:w w:val="100"/>
        </w:rPr>
        <w:t>计</w:t>
      </w:r>
      <w:r>
        <w:rPr>
          <w:w w:val="100"/>
        </w:rPr>
        <w:t>约</w:t>
      </w:r>
      <w:r>
        <w:rPr>
          <w:spacing w:val="-53"/>
        </w:rPr>
        <w:t> </w:t>
      </w:r>
      <w:r>
        <w:rPr>
          <w:rFonts w:ascii="宋体" w:hAnsi="宋体" w:cs="宋体" w:eastAsia="宋体" w:hint="default"/>
          <w:spacing w:val="-3"/>
          <w:w w:val="100"/>
        </w:rPr>
        <w:t>1</w:t>
      </w:r>
      <w:r>
        <w:rPr>
          <w:rFonts w:ascii="宋体" w:hAnsi="宋体" w:cs="宋体" w:eastAsia="宋体" w:hint="default"/>
          <w:w w:val="100"/>
        </w:rPr>
        <w:t>1.8</w:t>
      </w:r>
    </w:p>
    <w:p>
      <w:pPr>
        <w:pStyle w:val="BodyText"/>
        <w:spacing w:line="240" w:lineRule="auto" w:before="85"/>
        <w:ind w:right="0"/>
        <w:jc w:val="left"/>
      </w:pPr>
      <w:r>
        <w:rPr/>
        <w:t>万公里，其中在建</w:t>
      </w:r>
      <w:r>
        <w:rPr>
          <w:spacing w:val="-55"/>
        </w:rPr>
        <w:t> </w:t>
      </w:r>
      <w:r>
        <w:rPr>
          <w:rFonts w:ascii="宋体" w:hAnsi="宋体" w:cs="宋体" w:eastAsia="宋体" w:hint="default"/>
        </w:rPr>
        <w:t>2.2</w:t>
      </w:r>
      <w:r>
        <w:rPr>
          <w:rFonts w:ascii="宋体" w:hAnsi="宋体" w:cs="宋体" w:eastAsia="宋体" w:hint="default"/>
          <w:spacing w:val="-54"/>
        </w:rPr>
        <w:t> </w:t>
      </w:r>
      <w:r>
        <w:rPr/>
        <w:t>万公里、待建约</w:t>
      </w:r>
      <w:r>
        <w:rPr>
          <w:spacing w:val="-55"/>
        </w:rPr>
        <w:t> </w:t>
      </w:r>
      <w:r>
        <w:rPr>
          <w:rFonts w:ascii="宋体" w:hAnsi="宋体" w:cs="宋体" w:eastAsia="宋体" w:hint="default"/>
        </w:rPr>
        <w:t>2.5</w:t>
      </w:r>
      <w:r>
        <w:rPr>
          <w:rFonts w:ascii="宋体" w:hAnsi="宋体" w:cs="宋体" w:eastAsia="宋体" w:hint="default"/>
          <w:spacing w:val="-55"/>
        </w:rPr>
        <w:t> </w:t>
      </w:r>
      <w:r>
        <w:rPr/>
        <w:t>万公里。</w:t>
      </w:r>
    </w:p>
    <w:p>
      <w:pPr>
        <w:pStyle w:val="BodyText"/>
        <w:spacing w:line="314" w:lineRule="auto" w:before="85"/>
        <w:ind w:right="145" w:firstLine="419"/>
        <w:jc w:val="both"/>
      </w:pPr>
      <w:r>
        <w:rPr>
          <w:rFonts w:ascii="宋体" w:hAnsi="宋体" w:cs="宋体" w:eastAsia="宋体" w:hint="default"/>
        </w:rPr>
        <w:t>2014</w:t>
      </w:r>
      <w:r>
        <w:rPr>
          <w:rFonts w:ascii="宋体" w:hAnsi="宋体" w:cs="宋体" w:eastAsia="宋体" w:hint="default"/>
          <w:spacing w:val="-44"/>
        </w:rPr>
        <w:t> </w:t>
      </w:r>
      <w:r>
        <w:rPr/>
        <w:t>年</w:t>
      </w:r>
      <w:r>
        <w:rPr>
          <w:spacing w:val="-42"/>
        </w:rPr>
        <w:t> </w:t>
      </w:r>
      <w:r>
        <w:rPr>
          <w:rFonts w:ascii="宋体" w:hAnsi="宋体" w:cs="宋体" w:eastAsia="宋体" w:hint="default"/>
        </w:rPr>
        <w:t>10</w:t>
      </w:r>
      <w:r>
        <w:rPr>
          <w:rFonts w:ascii="宋体" w:hAnsi="宋体" w:cs="宋体" w:eastAsia="宋体" w:hint="default"/>
          <w:spacing w:val="-44"/>
        </w:rPr>
        <w:t> </w:t>
      </w:r>
      <w:r>
        <w:rPr/>
        <w:t>月</w:t>
      </w:r>
      <w:r>
        <w:rPr>
          <w:spacing w:val="-42"/>
        </w:rPr>
        <w:t> </w:t>
      </w:r>
      <w:r>
        <w:rPr>
          <w:rFonts w:ascii="宋体" w:hAnsi="宋体" w:cs="宋体" w:eastAsia="宋体" w:hint="default"/>
        </w:rPr>
        <w:t>23</w:t>
      </w:r>
      <w:r>
        <w:rPr>
          <w:rFonts w:ascii="宋体" w:hAnsi="宋体" w:cs="宋体" w:eastAsia="宋体" w:hint="default"/>
          <w:spacing w:val="-42"/>
        </w:rPr>
        <w:t> </w:t>
      </w:r>
      <w:r>
        <w:rPr>
          <w:spacing w:val="-3"/>
        </w:rPr>
        <w:t>日，山东省发布的《山东省新型城镇化规划（</w:t>
      </w:r>
      <w:r>
        <w:rPr>
          <w:rFonts w:ascii="宋体" w:hAnsi="宋体" w:cs="宋体" w:eastAsia="宋体" w:hint="default"/>
          <w:spacing w:val="-3"/>
        </w:rPr>
        <w:t>2014</w:t>
      </w:r>
      <w:r>
        <w:rPr>
          <w:spacing w:val="-3"/>
        </w:rPr>
        <w:t>—</w:t>
      </w:r>
      <w:r>
        <w:rPr>
          <w:rFonts w:ascii="宋体" w:hAnsi="宋体" w:cs="宋体" w:eastAsia="宋体" w:hint="default"/>
          <w:spacing w:val="-3"/>
        </w:rPr>
        <w:t>2020</w:t>
      </w:r>
      <w:r>
        <w:rPr>
          <w:spacing w:val="-3"/>
        </w:rPr>
        <w:t>）》，对城镇化的</w:t>
      </w:r>
      <w:r>
        <w:rPr>
          <w:w w:val="100"/>
        </w:rPr>
        <w:t> </w:t>
      </w:r>
      <w:r>
        <w:rPr>
          <w:spacing w:val="-5"/>
        </w:rPr>
        <w:t>发展路径、主要目标和战略任务提出了进一步的要求，并提出到</w:t>
      </w:r>
      <w:r>
        <w:rPr>
          <w:spacing w:val="-35"/>
        </w:rPr>
        <w:t> </w:t>
      </w:r>
      <w:r>
        <w:rPr>
          <w:rFonts w:ascii="宋体" w:hAnsi="宋体" w:cs="宋体" w:eastAsia="宋体" w:hint="default"/>
        </w:rPr>
        <w:t>2020</w:t>
      </w:r>
      <w:r>
        <w:rPr>
          <w:rFonts w:ascii="宋体" w:hAnsi="宋体" w:cs="宋体" w:eastAsia="宋体" w:hint="default"/>
          <w:spacing w:val="-37"/>
        </w:rPr>
        <w:t> </w:t>
      </w:r>
      <w:r>
        <w:rPr/>
        <w:t>年全省常住人口城镇化率达</w:t>
      </w:r>
      <w:r>
        <w:rPr>
          <w:spacing w:val="-98"/>
        </w:rPr>
        <w:t> </w:t>
      </w:r>
      <w:r>
        <w:rPr>
          <w:spacing w:val="-98"/>
        </w:rPr>
      </w:r>
      <w:r>
        <w:rPr/>
        <w:t>到</w:t>
      </w:r>
      <w:r>
        <w:rPr>
          <w:spacing w:val="-44"/>
        </w:rPr>
        <w:t> </w:t>
      </w:r>
      <w:r>
        <w:rPr>
          <w:rFonts w:ascii="宋体" w:hAnsi="宋体" w:cs="宋体" w:eastAsia="宋体" w:hint="default"/>
        </w:rPr>
        <w:t>62%</w:t>
      </w:r>
      <w:r>
        <w:rPr/>
        <w:t>左右</w:t>
      </w:r>
      <w:r>
        <w:rPr>
          <w:rFonts w:ascii="宋体" w:hAnsi="宋体" w:cs="宋体" w:eastAsia="宋体" w:hint="default"/>
        </w:rPr>
        <w:t>(</w:t>
      </w:r>
      <w:r>
        <w:rPr/>
        <w:t>户籍人口城镇化率达到</w:t>
      </w:r>
      <w:r>
        <w:rPr>
          <w:spacing w:val="-43"/>
        </w:rPr>
        <w:t> </w:t>
      </w:r>
      <w:r>
        <w:rPr>
          <w:rFonts w:ascii="宋体" w:hAnsi="宋体" w:cs="宋体" w:eastAsia="宋体" w:hint="default"/>
          <w:spacing w:val="-6"/>
        </w:rPr>
        <w:t>52%</w:t>
      </w:r>
      <w:r>
        <w:rPr>
          <w:spacing w:val="-6"/>
        </w:rPr>
        <w:t>左右</w:t>
      </w:r>
      <w:r>
        <w:rPr>
          <w:rFonts w:ascii="宋体" w:hAnsi="宋体" w:cs="宋体" w:eastAsia="宋体" w:hint="default"/>
          <w:spacing w:val="-6"/>
        </w:rPr>
        <w:t>)</w:t>
      </w:r>
      <w:r>
        <w:rPr>
          <w:spacing w:val="-6"/>
        </w:rPr>
        <w:t>，努力实现</w:t>
      </w:r>
      <w:r>
        <w:rPr>
          <w:spacing w:val="-44"/>
        </w:rPr>
        <w:t> </w:t>
      </w:r>
      <w:r>
        <w:rPr>
          <w:rFonts w:ascii="宋体" w:hAnsi="宋体" w:cs="宋体" w:eastAsia="宋体" w:hint="default"/>
        </w:rPr>
        <w:t>700</w:t>
      </w:r>
      <w:r>
        <w:rPr>
          <w:rFonts w:ascii="宋体" w:hAnsi="宋体" w:cs="宋体" w:eastAsia="宋体" w:hint="default"/>
          <w:spacing w:val="-44"/>
        </w:rPr>
        <w:t> </w:t>
      </w:r>
      <w:r>
        <w:rPr>
          <w:spacing w:val="-5"/>
        </w:rPr>
        <w:t>万左右农业转移人口在城镇落户，促</w:t>
      </w:r>
      <w:r>
        <w:rPr>
          <w:spacing w:val="-101"/>
        </w:rPr>
        <w:t> </w:t>
      </w:r>
      <w:r>
        <w:rPr>
          <w:spacing w:val="-101"/>
        </w:rPr>
      </w:r>
      <w:r>
        <w:rPr/>
        <w:t>进</w:t>
      </w:r>
      <w:r>
        <w:rPr>
          <w:spacing w:val="-35"/>
        </w:rPr>
        <w:t> </w:t>
      </w:r>
      <w:r>
        <w:rPr>
          <w:rFonts w:ascii="宋体" w:hAnsi="宋体" w:cs="宋体" w:eastAsia="宋体" w:hint="default"/>
        </w:rPr>
        <w:t>1000</w:t>
      </w:r>
      <w:r>
        <w:rPr>
          <w:rFonts w:ascii="宋体" w:hAnsi="宋体" w:cs="宋体" w:eastAsia="宋体" w:hint="default"/>
          <w:spacing w:val="-35"/>
        </w:rPr>
        <w:t> </w:t>
      </w:r>
      <w:r>
        <w:rPr>
          <w:spacing w:val="-3"/>
        </w:rPr>
        <w:t>万左右城中村居民完全市民化；城镇基础设施进一步完善，小城镇燃气普及率达到</w:t>
      </w:r>
      <w:r>
        <w:rPr>
          <w:spacing w:val="-34"/>
        </w:rPr>
        <w:t> </w:t>
      </w:r>
      <w:r>
        <w:rPr>
          <w:rFonts w:ascii="宋体" w:hAnsi="宋体" w:cs="宋体" w:eastAsia="宋体" w:hint="default"/>
        </w:rPr>
        <w:t>90%</w:t>
      </w:r>
      <w:r>
        <w:rPr/>
        <w:t>以</w:t>
      </w:r>
      <w:r>
        <w:rPr>
          <w:spacing w:val="-98"/>
        </w:rPr>
        <w:t> </w:t>
      </w:r>
      <w:r>
        <w:rPr>
          <w:spacing w:val="-6"/>
        </w:rPr>
        <w:t>上，污水处理率达到</w:t>
      </w:r>
      <w:r>
        <w:rPr>
          <w:spacing w:val="-32"/>
        </w:rPr>
        <w:t> </w:t>
      </w:r>
      <w:r>
        <w:rPr>
          <w:rFonts w:ascii="宋体" w:hAnsi="宋体" w:cs="宋体" w:eastAsia="宋体" w:hint="default"/>
          <w:spacing w:val="-4"/>
        </w:rPr>
        <w:t>80%</w:t>
      </w:r>
      <w:r>
        <w:rPr>
          <w:spacing w:val="-4"/>
        </w:rPr>
        <w:t>以上，生活垃圾处理率达到</w:t>
      </w:r>
      <w:r>
        <w:rPr>
          <w:spacing w:val="-35"/>
        </w:rPr>
        <w:t> </w:t>
      </w:r>
      <w:r>
        <w:rPr>
          <w:rFonts w:ascii="宋体" w:hAnsi="宋体" w:cs="宋体" w:eastAsia="宋体" w:hint="default"/>
          <w:spacing w:val="-4"/>
        </w:rPr>
        <w:t>100%</w:t>
      </w:r>
      <w:r>
        <w:rPr>
          <w:spacing w:val="-4"/>
        </w:rPr>
        <w:t>，污水集中处理率达到</w:t>
      </w:r>
      <w:r>
        <w:rPr>
          <w:spacing w:val="-35"/>
        </w:rPr>
        <w:t> </w:t>
      </w:r>
      <w:r>
        <w:rPr>
          <w:rFonts w:ascii="宋体" w:hAnsi="宋体" w:cs="宋体" w:eastAsia="宋体" w:hint="default"/>
          <w:spacing w:val="-5"/>
        </w:rPr>
        <w:t>95%</w:t>
      </w:r>
      <w:r>
        <w:rPr>
          <w:spacing w:val="-5"/>
        </w:rPr>
        <w:t>；县市之间、</w:t>
      </w:r>
    </w:p>
    <w:p>
      <w:pPr>
        <w:spacing w:after="0" w:line="314" w:lineRule="auto"/>
        <w:jc w:val="both"/>
        <w:sectPr>
          <w:footerReference w:type="default" r:id="rId21"/>
          <w:pgSz w:w="11910" w:h="16840"/>
          <w:pgMar w:footer="1193" w:header="855" w:top="1280" w:bottom="1380" w:left="1660" w:right="1120"/>
          <w:pgNumType w:start="28"/>
        </w:sectPr>
      </w:pPr>
    </w:p>
    <w:p>
      <w:pPr>
        <w:spacing w:line="240" w:lineRule="auto" w:before="9"/>
        <w:rPr>
          <w:rFonts w:ascii="宋体" w:hAnsi="宋体" w:cs="宋体" w:eastAsia="宋体" w:hint="default"/>
          <w:sz w:val="18"/>
          <w:szCs w:val="18"/>
        </w:rPr>
      </w:pPr>
    </w:p>
    <w:p>
      <w:pPr>
        <w:pStyle w:val="BodyText"/>
        <w:spacing w:line="314" w:lineRule="auto" w:before="36"/>
        <w:ind w:right="157"/>
        <w:jc w:val="both"/>
      </w:pPr>
      <w:r>
        <w:rPr>
          <w:spacing w:val="-2"/>
        </w:rPr>
        <w:t>县市与乡镇之间实现二级以上公路连接，农村新型社区与乡镇之间实现四级以上公路连接，实现</w:t>
      </w:r>
      <w:r>
        <w:rPr>
          <w:spacing w:val="-24"/>
        </w:rPr>
        <w:t> </w:t>
      </w:r>
      <w:r>
        <w:rPr>
          <w:spacing w:val="-24"/>
        </w:rPr>
      </w:r>
      <w:r>
        <w:rPr/>
        <w:t>中心村等级公路全覆盖。</w:t>
      </w:r>
    </w:p>
    <w:p>
      <w:pPr>
        <w:pStyle w:val="BodyText"/>
        <w:spacing w:line="314" w:lineRule="auto"/>
        <w:ind w:right="150" w:firstLine="419"/>
        <w:jc w:val="both"/>
      </w:pPr>
      <w:r>
        <w:rPr>
          <w:spacing w:val="-12"/>
          <w:w w:val="100"/>
        </w:rPr>
        <w:t>在推进城镇化的布局中，该规划指出：积极对接国家城镇化空间布局，充分利用“黄”、“蓝”</w:t>
      </w:r>
      <w:r>
        <w:rPr>
          <w:w w:val="100"/>
        </w:rPr>
        <w:t> </w:t>
      </w:r>
      <w:r>
        <w:rPr>
          <w:spacing w:val="-2"/>
        </w:rPr>
        <w:t>两区政策机遇，构建“一群（山东半岛城市群）、一带（鲁南城镇发展带）、双核（济南、青岛</w:t>
      </w:r>
      <w:r>
        <w:rPr>
          <w:spacing w:val="-25"/>
        </w:rPr>
        <w:t> </w:t>
      </w:r>
      <w:r>
        <w:rPr>
          <w:spacing w:val="-25"/>
        </w:rPr>
      </w:r>
      <w:r>
        <w:rPr>
          <w:spacing w:val="-2"/>
        </w:rPr>
        <w:t>两大中心城市）、六区（六个城镇密集区）”的省域新型城镇化总体格局；完善高速公路网络和</w:t>
      </w:r>
      <w:r>
        <w:rPr>
          <w:spacing w:val="-26"/>
        </w:rPr>
        <w:t> </w:t>
      </w:r>
      <w:r>
        <w:rPr>
          <w:spacing w:val="-26"/>
        </w:rPr>
      </w:r>
      <w:r>
        <w:rPr>
          <w:spacing w:val="-2"/>
        </w:rPr>
        <w:t>快读轨道交通网络体系，加快建设青烟威荣城际铁路、文莱高速公路，加强骨干道路网对接，推</w:t>
      </w:r>
      <w:r>
        <w:rPr>
          <w:spacing w:val="-26"/>
        </w:rPr>
        <w:t> </w:t>
      </w:r>
      <w:r>
        <w:rPr>
          <w:spacing w:val="-26"/>
        </w:rPr>
      </w:r>
      <w:r>
        <w:rPr/>
        <w:t>进一体化公交服务；加快济东高速公路和济南</w:t>
      </w:r>
      <w:r>
        <w:rPr>
          <w:rFonts w:ascii="宋体" w:hAnsi="宋体" w:cs="宋体" w:eastAsia="宋体" w:hint="default"/>
        </w:rPr>
        <w:t>-</w:t>
      </w:r>
      <w:r>
        <w:rPr/>
        <w:t>滨州</w:t>
      </w:r>
      <w:r>
        <w:rPr>
          <w:rFonts w:ascii="宋体" w:hAnsi="宋体" w:cs="宋体" w:eastAsia="宋体" w:hint="default"/>
        </w:rPr>
        <w:t>-</w:t>
      </w:r>
      <w:r>
        <w:rPr/>
        <w:t>东营城际铁路建设。</w:t>
      </w:r>
    </w:p>
    <w:p>
      <w:pPr>
        <w:pStyle w:val="BodyText"/>
        <w:spacing w:line="240" w:lineRule="auto"/>
        <w:ind w:right="147"/>
        <w:jc w:val="right"/>
      </w:pPr>
      <w:r>
        <w:rPr>
          <w:spacing w:val="-4"/>
        </w:rPr>
        <w:t>在交通运输网络建设中，该规划指出：到 </w:t>
      </w:r>
      <w:r>
        <w:rPr>
          <w:rFonts w:ascii="宋体" w:hAnsi="宋体" w:cs="宋体" w:eastAsia="宋体" w:hint="default"/>
        </w:rPr>
        <w:t>2020</w:t>
      </w:r>
      <w:r>
        <w:rPr>
          <w:rFonts w:ascii="宋体" w:hAnsi="宋体" w:cs="宋体" w:eastAsia="宋体" w:hint="default"/>
          <w:spacing w:val="-50"/>
        </w:rPr>
        <w:t> </w:t>
      </w:r>
      <w:r>
        <w:rPr>
          <w:spacing w:val="-4"/>
        </w:rPr>
        <w:t>年，加快构筑“三横四纵”综合运输通道，实</w:t>
      </w:r>
    </w:p>
    <w:p>
      <w:pPr>
        <w:pStyle w:val="BodyText"/>
        <w:spacing w:line="240" w:lineRule="auto" w:before="85"/>
        <w:ind w:right="0"/>
        <w:jc w:val="both"/>
      </w:pPr>
      <w:r>
        <w:rPr/>
        <w:t>现济南至周边省会城市</w:t>
      </w:r>
      <w:r>
        <w:rPr>
          <w:spacing w:val="-53"/>
        </w:rPr>
        <w:t> </w:t>
      </w:r>
      <w:r>
        <w:rPr>
          <w:rFonts w:ascii="宋体" w:hAnsi="宋体" w:cs="宋体" w:eastAsia="宋体" w:hint="default"/>
        </w:rPr>
        <w:t>3</w:t>
      </w:r>
      <w:r>
        <w:rPr>
          <w:rFonts w:ascii="宋体" w:hAnsi="宋体" w:cs="宋体" w:eastAsia="宋体" w:hint="default"/>
          <w:spacing w:val="-56"/>
        </w:rPr>
        <w:t> </w:t>
      </w:r>
      <w:r>
        <w:rPr/>
        <w:t>小时可达，济南和青岛至省内其他设区市</w:t>
      </w:r>
      <w:r>
        <w:rPr>
          <w:spacing w:val="-54"/>
        </w:rPr>
        <w:t> </w:t>
      </w:r>
      <w:r>
        <w:rPr>
          <w:rFonts w:ascii="宋体" w:hAnsi="宋体" w:cs="宋体" w:eastAsia="宋体" w:hint="default"/>
        </w:rPr>
        <w:t>2</w:t>
      </w:r>
      <w:r>
        <w:rPr>
          <w:rFonts w:ascii="宋体" w:hAnsi="宋体" w:cs="宋体" w:eastAsia="宋体" w:hint="default"/>
          <w:spacing w:val="-54"/>
        </w:rPr>
        <w:t> </w:t>
      </w:r>
      <w:r>
        <w:rPr/>
        <w:t>小时可达，快速铁路通达除</w:t>
      </w:r>
    </w:p>
    <w:p>
      <w:pPr>
        <w:pStyle w:val="BodyText"/>
        <w:spacing w:line="314" w:lineRule="auto" w:before="85"/>
        <w:ind w:right="147"/>
        <w:jc w:val="right"/>
      </w:pPr>
      <w:r>
        <w:rPr>
          <w:spacing w:val="-5"/>
        </w:rPr>
        <w:t>滨州、东营外的所有设区市，</w:t>
      </w:r>
      <w:r>
        <w:rPr>
          <w:rFonts w:ascii="宋体" w:hAnsi="宋体" w:cs="宋体" w:eastAsia="宋体" w:hint="default"/>
          <w:spacing w:val="-5"/>
        </w:rPr>
        <w:t>95%</w:t>
      </w:r>
      <w:r>
        <w:rPr>
          <w:spacing w:val="-5"/>
        </w:rPr>
        <w:t>以上的县级行政单元在地面交通</w:t>
      </w:r>
      <w:r>
        <w:rPr>
          <w:spacing w:val="-40"/>
        </w:rPr>
        <w:t> </w:t>
      </w:r>
      <w:r>
        <w:rPr>
          <w:rFonts w:ascii="宋体" w:hAnsi="宋体" w:cs="宋体" w:eastAsia="宋体" w:hint="default"/>
        </w:rPr>
        <w:t>100</w:t>
      </w:r>
      <w:r>
        <w:rPr>
          <w:rFonts w:ascii="宋体" w:hAnsi="宋体" w:cs="宋体" w:eastAsia="宋体" w:hint="default"/>
          <w:spacing w:val="-40"/>
        </w:rPr>
        <w:t> </w:t>
      </w:r>
      <w:r>
        <w:rPr/>
        <w:t>公里或</w:t>
      </w:r>
      <w:r>
        <w:rPr>
          <w:spacing w:val="-43"/>
        </w:rPr>
        <w:t> </w:t>
      </w:r>
      <w:r>
        <w:rPr>
          <w:rFonts w:ascii="宋体" w:hAnsi="宋体" w:cs="宋体" w:eastAsia="宋体" w:hint="default"/>
        </w:rPr>
        <w:t>1.5</w:t>
      </w:r>
      <w:r>
        <w:rPr>
          <w:rFonts w:ascii="宋体" w:hAnsi="宋体" w:cs="宋体" w:eastAsia="宋体" w:hint="default"/>
          <w:spacing w:val="-39"/>
        </w:rPr>
        <w:t> </w:t>
      </w:r>
      <w:r>
        <w:rPr/>
        <w:t>小时车程内享受</w:t>
      </w:r>
      <w:r>
        <w:rPr>
          <w:w w:val="100"/>
        </w:rPr>
        <w:t> </w:t>
      </w:r>
      <w:r>
        <w:rPr>
          <w:spacing w:val="-2"/>
        </w:rPr>
        <w:t>到航空服务；建设德州</w:t>
      </w:r>
      <w:r>
        <w:rPr>
          <w:rFonts w:ascii="宋体" w:hAnsi="宋体" w:cs="宋体" w:eastAsia="宋体" w:hint="default"/>
          <w:spacing w:val="-2"/>
        </w:rPr>
        <w:t>-</w:t>
      </w:r>
      <w:r>
        <w:rPr>
          <w:spacing w:val="-2"/>
        </w:rPr>
        <w:t>上饶、济南</w:t>
      </w:r>
      <w:r>
        <w:rPr>
          <w:rFonts w:ascii="宋体" w:hAnsi="宋体" w:cs="宋体" w:eastAsia="宋体" w:hint="default"/>
          <w:spacing w:val="-2"/>
        </w:rPr>
        <w:t>-</w:t>
      </w:r>
      <w:r>
        <w:rPr>
          <w:spacing w:val="-2"/>
        </w:rPr>
        <w:t>东营、潍坊</w:t>
      </w:r>
      <w:r>
        <w:rPr>
          <w:rFonts w:ascii="宋体" w:hAnsi="宋体" w:cs="宋体" w:eastAsia="宋体" w:hint="default"/>
          <w:spacing w:val="-2"/>
        </w:rPr>
        <w:t>-</w:t>
      </w:r>
      <w:r>
        <w:rPr>
          <w:spacing w:val="-2"/>
        </w:rPr>
        <w:t>日照、龙口</w:t>
      </w:r>
      <w:r>
        <w:rPr>
          <w:rFonts w:ascii="宋体" w:hAnsi="宋体" w:cs="宋体" w:eastAsia="宋体" w:hint="default"/>
          <w:spacing w:val="-2"/>
        </w:rPr>
        <w:t>-</w:t>
      </w:r>
      <w:r>
        <w:rPr>
          <w:spacing w:val="-2"/>
        </w:rPr>
        <w:t>青岛四条高速公路，形成“八纵、</w:t>
      </w:r>
      <w:r>
        <w:rPr>
          <w:spacing w:val="-67"/>
        </w:rPr>
        <w:t> </w:t>
      </w:r>
      <w:r>
        <w:rPr>
          <w:spacing w:val="-67"/>
        </w:rPr>
      </w:r>
      <w:r>
        <w:rPr>
          <w:spacing w:val="-4"/>
        </w:rPr>
        <w:t>四横、一环、八连”的高速公路交通格局。（摘自《山东省新型城镇化规划（</w:t>
      </w:r>
      <w:r>
        <w:rPr>
          <w:rFonts w:ascii="宋体" w:hAnsi="宋体" w:cs="宋体" w:eastAsia="宋体" w:hint="default"/>
          <w:spacing w:val="-4"/>
        </w:rPr>
        <w:t>2014-2020</w:t>
      </w:r>
      <w:r>
        <w:rPr>
          <w:rFonts w:ascii="宋体" w:hAnsi="宋体" w:cs="宋体" w:eastAsia="宋体" w:hint="default"/>
          <w:spacing w:val="6"/>
        </w:rPr>
        <w:t> </w:t>
      </w:r>
      <w:r>
        <w:rPr>
          <w:spacing w:val="-10"/>
        </w:rPr>
        <w:t>年）》）</w:t>
      </w:r>
      <w:r>
        <w:rPr>
          <w:w w:val="100"/>
        </w:rPr>
        <w:t> </w:t>
      </w:r>
      <w:r>
        <w:rPr>
          <w:spacing w:val="-2"/>
        </w:rPr>
        <w:t>山东省“十三五”规划纲要提出，加快构建现代综合交通体系。建设高速铁路网，完善高速</w:t>
      </w:r>
    </w:p>
    <w:p>
      <w:pPr>
        <w:pStyle w:val="BodyText"/>
        <w:spacing w:line="314" w:lineRule="auto"/>
        <w:ind w:left="663" w:right="153" w:hanging="526"/>
        <w:jc w:val="left"/>
      </w:pPr>
      <w:r>
        <w:rPr/>
        <w:t>公路网，实现市市通快铁、县县通高速，推动全省城际间快连快通。</w:t>
      </w:r>
      <w:r>
        <w:rPr>
          <w:w w:val="100"/>
        </w:rPr>
        <w:t> </w:t>
      </w:r>
      <w:r>
        <w:rPr/>
        <w:t>“十三五”期间</w:t>
      </w:r>
      <w:r>
        <w:rPr>
          <w:rFonts w:ascii="宋体" w:hAnsi="宋体" w:cs="宋体" w:eastAsia="宋体" w:hint="default"/>
        </w:rPr>
        <w:t>,</w:t>
      </w:r>
      <w:r>
        <w:rPr/>
        <w:t>山东省将规划建设</w:t>
      </w:r>
      <w:r>
        <w:rPr>
          <w:rFonts w:ascii="宋体" w:hAnsi="宋体" w:cs="宋体" w:eastAsia="宋体" w:hint="default"/>
        </w:rPr>
        <w:t>(</w:t>
      </w:r>
      <w:r>
        <w:rPr/>
        <w:t>改扩建</w:t>
      </w:r>
      <w:r>
        <w:rPr>
          <w:rFonts w:ascii="宋体" w:hAnsi="宋体" w:cs="宋体" w:eastAsia="宋体" w:hint="default"/>
        </w:rPr>
        <w:t>)</w:t>
      </w:r>
      <w:r>
        <w:rPr/>
        <w:t>高速公路</w:t>
      </w:r>
      <w:r>
        <w:rPr>
          <w:spacing w:val="-54"/>
        </w:rPr>
        <w:t> </w:t>
      </w:r>
      <w:r>
        <w:rPr>
          <w:rFonts w:ascii="宋体" w:hAnsi="宋体" w:cs="宋体" w:eastAsia="宋体" w:hint="default"/>
        </w:rPr>
        <w:t>2030</w:t>
      </w:r>
      <w:r>
        <w:rPr>
          <w:rFonts w:ascii="宋体" w:hAnsi="宋体" w:cs="宋体" w:eastAsia="宋体" w:hint="default"/>
          <w:spacing w:val="-56"/>
        </w:rPr>
        <w:t> </w:t>
      </w:r>
      <w:r>
        <w:rPr/>
        <w:t>公里</w:t>
      </w:r>
      <w:r>
        <w:rPr>
          <w:rFonts w:ascii="宋体" w:hAnsi="宋体" w:cs="宋体" w:eastAsia="宋体" w:hint="default"/>
        </w:rPr>
        <w:t>,</w:t>
      </w:r>
      <w:r>
        <w:rPr/>
        <w:t>其中新开工建设高速公路</w:t>
      </w:r>
    </w:p>
    <w:p>
      <w:pPr>
        <w:pStyle w:val="BodyText"/>
        <w:spacing w:line="314" w:lineRule="auto"/>
        <w:ind w:right="145"/>
        <w:jc w:val="both"/>
      </w:pPr>
      <w:r>
        <w:rPr>
          <w:rFonts w:ascii="宋体" w:hAnsi="宋体" w:cs="宋体" w:eastAsia="宋体" w:hint="default"/>
        </w:rPr>
        <w:t>1350</w:t>
      </w:r>
      <w:r>
        <w:rPr>
          <w:rFonts w:ascii="宋体" w:hAnsi="宋体" w:cs="宋体" w:eastAsia="宋体" w:hint="default"/>
          <w:spacing w:val="-56"/>
        </w:rPr>
        <w:t> </w:t>
      </w:r>
      <w:r>
        <w:rPr/>
        <w:t>公里</w:t>
      </w:r>
      <w:r>
        <w:rPr>
          <w:rFonts w:ascii="宋体" w:hAnsi="宋体" w:cs="宋体" w:eastAsia="宋体" w:hint="default"/>
        </w:rPr>
        <w:t>,</w:t>
      </w:r>
      <w:r>
        <w:rPr/>
        <w:t>包括鱼台至菏泽高速、济南至泰安高速、济南绕城高速二环线东环</w:t>
      </w:r>
      <w:r>
        <w:rPr>
          <w:rFonts w:ascii="宋体" w:hAnsi="宋体" w:cs="宋体" w:eastAsia="宋体" w:hint="default"/>
        </w:rPr>
        <w:t>(</w:t>
      </w:r>
      <w:r>
        <w:rPr/>
        <w:t>唐王立交至埠村</w:t>
      </w:r>
      <w:r>
        <w:rPr>
          <w:rFonts w:ascii="宋体" w:hAnsi="宋体" w:cs="宋体" w:eastAsia="宋体" w:hint="default"/>
        </w:rPr>
        <w:t>)</w:t>
      </w:r>
      <w:r>
        <w:rPr>
          <w:rFonts w:ascii="宋体" w:hAnsi="宋体" w:cs="宋体" w:eastAsia="宋体" w:hint="default"/>
          <w:w w:val="100"/>
        </w:rPr>
        <w:t> </w:t>
      </w:r>
      <w:r>
        <w:rPr>
          <w:spacing w:val="-4"/>
        </w:rPr>
        <w:t>段、济南绕城高速二环线西环等高速。加强城市交通体系建设</w:t>
      </w:r>
      <w:r>
        <w:rPr>
          <w:rFonts w:ascii="宋体" w:hAnsi="宋体" w:cs="宋体" w:eastAsia="宋体" w:hint="default"/>
          <w:spacing w:val="-4"/>
        </w:rPr>
        <w:t>,</w:t>
      </w:r>
      <w:r>
        <w:rPr>
          <w:spacing w:val="-4"/>
        </w:rPr>
        <w:t>加快以轨道交通为主体的城市快速</w:t>
      </w:r>
      <w:r>
        <w:rPr>
          <w:spacing w:val="-31"/>
        </w:rPr>
        <w:t> </w:t>
      </w:r>
      <w:r>
        <w:rPr>
          <w:spacing w:val="-31"/>
        </w:rPr>
      </w:r>
      <w:r>
        <w:rPr>
          <w:spacing w:val="-2"/>
        </w:rPr>
        <w:t>通道建设</w:t>
      </w:r>
      <w:r>
        <w:rPr>
          <w:rFonts w:ascii="宋体" w:hAnsi="宋体" w:cs="宋体" w:eastAsia="宋体" w:hint="default"/>
          <w:spacing w:val="-2"/>
        </w:rPr>
        <w:t>,</w:t>
      </w:r>
      <w:r>
        <w:rPr>
          <w:spacing w:val="-2"/>
        </w:rPr>
        <w:t>推进济南、青岛地铁和轻轨建设</w:t>
      </w:r>
      <w:r>
        <w:rPr>
          <w:rFonts w:ascii="宋体" w:hAnsi="宋体" w:cs="宋体" w:eastAsia="宋体" w:hint="default"/>
          <w:spacing w:val="-2"/>
        </w:rPr>
        <w:t>,</w:t>
      </w:r>
      <w:r>
        <w:rPr>
          <w:spacing w:val="-2"/>
        </w:rPr>
        <w:t>启动烟台、潍坊、淄博、临沂、济宁、威海、日照等</w:t>
      </w:r>
      <w:r>
        <w:rPr>
          <w:spacing w:val="-30"/>
        </w:rPr>
        <w:t> </w:t>
      </w:r>
      <w:r>
        <w:rPr>
          <w:spacing w:val="-30"/>
        </w:rPr>
      </w:r>
      <w:r>
        <w:rPr/>
        <w:t>市轨道交通规划建设。</w:t>
      </w:r>
    </w:p>
    <w:p>
      <w:pPr>
        <w:pStyle w:val="BodyText"/>
        <w:spacing w:line="314" w:lineRule="auto"/>
        <w:ind w:right="147" w:firstLine="419"/>
        <w:jc w:val="both"/>
      </w:pPr>
      <w:r>
        <w:rPr>
          <w:spacing w:val="-2"/>
        </w:rPr>
        <w:t>当前</w:t>
      </w:r>
      <w:r>
        <w:rPr>
          <w:rFonts w:ascii="宋体" w:hAnsi="宋体" w:cs="宋体" w:eastAsia="宋体" w:hint="default"/>
          <w:spacing w:val="-2"/>
        </w:rPr>
        <w:t>,</w:t>
      </w:r>
      <w:r>
        <w:rPr>
          <w:spacing w:val="-2"/>
        </w:rPr>
        <w:t>农村依然是基础设施建设的薄弱点。今后五年</w:t>
      </w:r>
      <w:r>
        <w:rPr>
          <w:rFonts w:ascii="宋体" w:hAnsi="宋体" w:cs="宋体" w:eastAsia="宋体" w:hint="default"/>
          <w:spacing w:val="-2"/>
        </w:rPr>
        <w:t>,</w:t>
      </w:r>
      <w:r>
        <w:rPr>
          <w:spacing w:val="-2"/>
        </w:rPr>
        <w:t>山东省将以保障农民基本生产生活条件</w:t>
      </w:r>
      <w:r>
        <w:rPr>
          <w:w w:val="100"/>
        </w:rPr>
        <w:t> </w:t>
      </w:r>
      <w:r>
        <w:rPr>
          <w:spacing w:val="-4"/>
        </w:rPr>
        <w:t>为目标</w:t>
      </w:r>
      <w:r>
        <w:rPr>
          <w:rFonts w:ascii="宋体" w:hAnsi="宋体" w:cs="宋体" w:eastAsia="宋体" w:hint="default"/>
          <w:spacing w:val="-4"/>
        </w:rPr>
        <w:t>,</w:t>
      </w:r>
      <w:r>
        <w:rPr>
          <w:spacing w:val="-4"/>
        </w:rPr>
        <w:t>加大公共财政投入力度</w:t>
      </w:r>
      <w:r>
        <w:rPr>
          <w:rFonts w:ascii="宋体" w:hAnsi="宋体" w:cs="宋体" w:eastAsia="宋体" w:hint="default"/>
          <w:spacing w:val="-4"/>
        </w:rPr>
        <w:t>,</w:t>
      </w:r>
      <w:r>
        <w:rPr>
          <w:spacing w:val="-4"/>
        </w:rPr>
        <w:t>推动基础设施、公共设施向农村辐射延伸。五年内</w:t>
      </w:r>
      <w:r>
        <w:rPr>
          <w:rFonts w:ascii="宋体" w:hAnsi="宋体" w:cs="宋体" w:eastAsia="宋体" w:hint="default"/>
          <w:spacing w:val="-4"/>
        </w:rPr>
        <w:t>,</w:t>
      </w:r>
      <w:r>
        <w:rPr>
          <w:spacing w:val="-4"/>
        </w:rPr>
        <w:t>全省村庄道路</w:t>
      </w:r>
      <w:r>
        <w:rPr>
          <w:spacing w:val="-30"/>
        </w:rPr>
        <w:t> </w:t>
      </w:r>
      <w:r>
        <w:rPr>
          <w:spacing w:val="-30"/>
        </w:rPr>
      </w:r>
      <w:r>
        <w:rPr>
          <w:spacing w:val="-2"/>
        </w:rPr>
        <w:t>硬化将逐步由“村村通”到“户户通”,主要道路及公共场所设置路灯</w:t>
      </w:r>
      <w:r>
        <w:rPr>
          <w:rFonts w:ascii="宋体" w:hAnsi="宋体" w:cs="宋体" w:eastAsia="宋体" w:hint="default"/>
          <w:spacing w:val="-2"/>
        </w:rPr>
        <w:t>,</w:t>
      </w:r>
      <w:r>
        <w:rPr>
          <w:spacing w:val="-2"/>
        </w:rPr>
        <w:t>主次道路设置排水沟渠。</w:t>
      </w:r>
      <w:r>
        <w:rPr>
          <w:spacing w:val="-31"/>
        </w:rPr>
        <w:t> </w:t>
      </w:r>
      <w:r>
        <w:rPr>
          <w:spacing w:val="-31"/>
        </w:rPr>
      </w:r>
      <w:r>
        <w:rPr/>
        <w:t>到</w:t>
      </w:r>
      <w:r>
        <w:rPr>
          <w:spacing w:val="-54"/>
        </w:rPr>
        <w:t> </w:t>
      </w:r>
      <w:r>
        <w:rPr>
          <w:rFonts w:ascii="宋体" w:hAnsi="宋体" w:cs="宋体" w:eastAsia="宋体" w:hint="default"/>
        </w:rPr>
        <w:t>2020</w:t>
      </w:r>
      <w:r>
        <w:rPr>
          <w:rFonts w:ascii="宋体" w:hAnsi="宋体" w:cs="宋体" w:eastAsia="宋体" w:hint="default"/>
          <w:spacing w:val="-54"/>
        </w:rPr>
        <w:t> </w:t>
      </w:r>
      <w:r>
        <w:rPr/>
        <w:t>年</w:t>
      </w:r>
      <w:r>
        <w:rPr>
          <w:rFonts w:ascii="宋体" w:hAnsi="宋体" w:cs="宋体" w:eastAsia="宋体" w:hint="default"/>
        </w:rPr>
        <w:t>,</w:t>
      </w:r>
      <w:r>
        <w:rPr/>
        <w:t>全省完成</w:t>
      </w:r>
      <w:r>
        <w:rPr>
          <w:spacing w:val="-54"/>
        </w:rPr>
        <w:t> </w:t>
      </w:r>
      <w:r>
        <w:rPr>
          <w:rFonts w:ascii="宋体" w:hAnsi="宋体" w:cs="宋体" w:eastAsia="宋体" w:hint="default"/>
        </w:rPr>
        <w:t>1.22</w:t>
      </w:r>
      <w:r>
        <w:rPr>
          <w:rFonts w:ascii="宋体" w:hAnsi="宋体" w:cs="宋体" w:eastAsia="宋体" w:hint="default"/>
          <w:spacing w:val="-56"/>
        </w:rPr>
        <w:t> </w:t>
      </w:r>
      <w:r>
        <w:rPr/>
        <w:t>万个行政村的环境综合整治任务。</w:t>
      </w:r>
    </w:p>
    <w:p>
      <w:pPr>
        <w:pStyle w:val="BodyText"/>
        <w:spacing w:line="314" w:lineRule="auto"/>
        <w:ind w:right="157" w:firstLine="419"/>
        <w:jc w:val="both"/>
      </w:pPr>
      <w:r>
        <w:rPr>
          <w:spacing w:val="-2"/>
        </w:rPr>
        <w:t>东营市“十三五”规划提出，推进以人为核心的新型城镇化。以争创联合国人居环境奖为抓</w:t>
      </w:r>
      <w:r>
        <w:rPr>
          <w:w w:val="100"/>
        </w:rPr>
        <w:t> </w:t>
      </w:r>
      <w:r>
        <w:rPr>
          <w:spacing w:val="-2"/>
        </w:rPr>
        <w:t>手，突出“大空间、大绿地、大水面、大湿地”特色，提升规划建设管理水平，加快海绵城市建</w:t>
      </w:r>
      <w:r>
        <w:rPr>
          <w:spacing w:val="-26"/>
        </w:rPr>
        <w:t> </w:t>
      </w:r>
      <w:r>
        <w:rPr>
          <w:spacing w:val="-26"/>
        </w:rPr>
      </w:r>
      <w:r>
        <w:rPr/>
        <w:t>设。</w:t>
      </w:r>
    </w:p>
    <w:p>
      <w:pPr>
        <w:pStyle w:val="BodyText"/>
        <w:spacing w:line="240" w:lineRule="auto"/>
        <w:ind w:left="558" w:right="0"/>
        <w:jc w:val="left"/>
      </w:pPr>
      <w:r>
        <w:rPr/>
        <w:t>以上可以看出，基础设施建设行业将保持一个平稳发展的趋势。</w:t>
      </w:r>
    </w:p>
    <w:p>
      <w:pPr>
        <w:pStyle w:val="Heading2"/>
        <w:spacing w:line="240" w:lineRule="auto" w:before="85"/>
        <w:ind w:left="560" w:right="0"/>
        <w:jc w:val="left"/>
        <w:rPr>
          <w:b w:val="0"/>
          <w:bCs w:val="0"/>
        </w:rPr>
      </w:pPr>
      <w:r>
        <w:rPr/>
        <w:t>（</w:t>
      </w:r>
      <w:r>
        <w:rPr>
          <w:rFonts w:ascii="宋体" w:hAnsi="宋体" w:cs="宋体" w:eastAsia="宋体" w:hint="default"/>
        </w:rPr>
        <w:t>3</w:t>
      </w:r>
      <w:r>
        <w:rPr/>
        <w:t>）房地产开发行业</w:t>
      </w:r>
      <w:r>
        <w:rPr>
          <w:b w:val="0"/>
          <w:bCs w:val="0"/>
        </w:rPr>
      </w:r>
    </w:p>
    <w:p>
      <w:pPr>
        <w:pStyle w:val="BodyText"/>
        <w:spacing w:line="314" w:lineRule="auto" w:before="85"/>
        <w:ind w:right="145" w:firstLine="419"/>
        <w:jc w:val="both"/>
      </w:pPr>
      <w:r>
        <w:rPr>
          <w:rFonts w:ascii="宋体" w:hAnsi="宋体" w:cs="宋体" w:eastAsia="宋体" w:hint="default"/>
        </w:rPr>
        <w:t>2016</w:t>
      </w:r>
      <w:r>
        <w:rPr>
          <w:rFonts w:ascii="宋体" w:hAnsi="宋体" w:cs="宋体" w:eastAsia="宋体" w:hint="default"/>
          <w:spacing w:val="-4"/>
        </w:rPr>
        <w:t> </w:t>
      </w:r>
      <w:r>
        <w:rPr>
          <w:spacing w:val="-3"/>
        </w:rPr>
        <w:t>年，房地产行业政策面环境较好，中央经济工作会议明确将房地产去库存列为供给侧改</w:t>
      </w:r>
      <w:r>
        <w:rPr>
          <w:w w:val="100"/>
        </w:rPr>
        <w:t> </w:t>
      </w:r>
      <w:r>
        <w:rPr>
          <w:spacing w:val="-2"/>
        </w:rPr>
        <w:t>革重要任务，大多数地方尤其是二三线城市鼓励住房消费的有关政策持续明朗。央行货币政策大</w:t>
      </w:r>
      <w:r>
        <w:rPr>
          <w:spacing w:val="-26"/>
        </w:rPr>
        <w:t> </w:t>
      </w:r>
      <w:r>
        <w:rPr>
          <w:spacing w:val="-26"/>
        </w:rPr>
      </w:r>
      <w:r>
        <w:rPr>
          <w:spacing w:val="-2"/>
        </w:rPr>
        <w:t>体保持稳定，存贷款利率处在相对低位，有利于释放购房需求。但从中长期角度看，中国房地产</w:t>
      </w:r>
      <w:r>
        <w:rPr>
          <w:spacing w:val="-25"/>
        </w:rPr>
        <w:t> </w:t>
      </w:r>
      <w:r>
        <w:rPr>
          <w:spacing w:val="-25"/>
        </w:rPr>
      </w:r>
      <w:r>
        <w:rPr>
          <w:spacing w:val="-4"/>
        </w:rPr>
        <w:t>市场的爆发式增长阶段已经过去，</w:t>
      </w:r>
      <w:r>
        <w:rPr>
          <w:rFonts w:ascii="宋体" w:hAnsi="宋体" w:cs="宋体" w:eastAsia="宋体" w:hint="default"/>
          <w:spacing w:val="-4"/>
        </w:rPr>
        <w:t>2016</w:t>
      </w:r>
      <w:r>
        <w:rPr>
          <w:rFonts w:ascii="宋体" w:hAnsi="宋体" w:cs="宋体" w:eastAsia="宋体" w:hint="default"/>
          <w:spacing w:val="67"/>
        </w:rPr>
        <w:t> </w:t>
      </w:r>
      <w:r>
        <w:rPr>
          <w:spacing w:val="-4"/>
        </w:rPr>
        <w:t>年全年房地产市场整体仍处于调整转型期。市场分化格局</w:t>
      </w:r>
      <w:r>
        <w:rPr>
          <w:spacing w:val="-93"/>
        </w:rPr>
        <w:t> </w:t>
      </w:r>
      <w:r>
        <w:rPr>
          <w:spacing w:val="-93"/>
        </w:rPr>
      </w:r>
      <w:r>
        <w:rPr>
          <w:spacing w:val="-2"/>
        </w:rPr>
        <w:t>延续。一线城市由于经济发展良好，人口聚集力较强，房地产市场保持良好发展态势，住宅价格</w:t>
      </w:r>
      <w:r>
        <w:rPr>
          <w:spacing w:val="-25"/>
        </w:rPr>
        <w:t> </w:t>
      </w:r>
      <w:r>
        <w:rPr>
          <w:spacing w:val="-25"/>
        </w:rPr>
      </w:r>
      <w:r>
        <w:rPr>
          <w:spacing w:val="-2"/>
        </w:rPr>
        <w:t>存上涨动力；二线城市商品住宅市场分化明显，一部分人口集聚、交通便利的区域中心城市和次</w:t>
      </w:r>
      <w:r>
        <w:rPr>
          <w:spacing w:val="-25"/>
        </w:rPr>
        <w:t> </w:t>
      </w:r>
      <w:r>
        <w:rPr>
          <w:spacing w:val="-25"/>
        </w:rPr>
      </w:r>
      <w:r>
        <w:rPr>
          <w:spacing w:val="-2"/>
        </w:rPr>
        <w:t>级区域中心城市去库存进程可能加速，但多数城市去库存进程仍将比较缓慢。而大部分三四线城</w:t>
      </w:r>
      <w:r>
        <w:rPr>
          <w:spacing w:val="-25"/>
        </w:rPr>
        <w:t> </w:t>
      </w:r>
      <w:r>
        <w:rPr>
          <w:spacing w:val="-25"/>
        </w:rPr>
      </w:r>
      <w:r>
        <w:rPr/>
        <w:t>市房地产市场去库存仍将面临较大困难，且房价存在较大的下行压力。</w:t>
      </w:r>
    </w:p>
    <w:p>
      <w:pPr>
        <w:spacing w:after="0" w:line="314" w:lineRule="auto"/>
        <w:jc w:val="both"/>
        <w:sectPr>
          <w:pgSz w:w="11910" w:h="16840"/>
          <w:pgMar w:header="855" w:footer="1193" w:top="1280" w:bottom="1380" w:left="1660" w:right="1120"/>
        </w:sectPr>
      </w:pPr>
    </w:p>
    <w:p>
      <w:pPr>
        <w:spacing w:line="240" w:lineRule="auto" w:before="11"/>
        <w:rPr>
          <w:rFonts w:ascii="宋体" w:hAnsi="宋体" w:cs="宋体" w:eastAsia="宋体" w:hint="default"/>
          <w:sz w:val="12"/>
          <w:szCs w:val="12"/>
        </w:rPr>
      </w:pPr>
    </w:p>
    <w:p>
      <w:pPr>
        <w:spacing w:line="326" w:lineRule="auto" w:before="36"/>
        <w:ind w:left="55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公司发展战略</w:t>
      </w:r>
      <w:r>
        <w:rPr>
          <w:rFonts w:ascii="宋体" w:hAnsi="宋体" w:cs="宋体" w:eastAsia="宋体" w:hint="default"/>
          <w:b/>
          <w:bCs/>
          <w:spacing w:val="-102"/>
          <w:sz w:val="21"/>
          <w:szCs w:val="21"/>
        </w:rPr>
        <w:t> </w:t>
      </w:r>
      <w:r>
        <w:rPr>
          <w:rFonts w:ascii="宋体" w:hAnsi="宋体" w:cs="宋体" w:eastAsia="宋体" w:hint="default"/>
          <w:spacing w:val="-2"/>
          <w:sz w:val="21"/>
          <w:szCs w:val="21"/>
        </w:rPr>
        <w:t>通过对上述行业竞争格局与发展趋势的分析，结合公司的实际情况，公司对“互联网营销行</w:t>
      </w:r>
    </w:p>
    <w:p>
      <w:pPr>
        <w:pStyle w:val="BodyText"/>
        <w:spacing w:line="314" w:lineRule="auto" w:before="9"/>
        <w:ind w:right="148"/>
        <w:jc w:val="both"/>
      </w:pPr>
      <w:r>
        <w:rPr>
          <w:spacing w:val="-6"/>
        </w:rPr>
        <w:t>业、基础设施建设、房地产开发”三大业务确定了新的发展战略，公司将发挥平台优势优先发展，</w:t>
      </w:r>
      <w:r>
        <w:rPr>
          <w:spacing w:val="-53"/>
        </w:rPr>
        <w:t> </w:t>
      </w:r>
      <w:r>
        <w:rPr>
          <w:spacing w:val="-53"/>
        </w:rPr>
      </w:r>
      <w:r>
        <w:rPr>
          <w:spacing w:val="-2"/>
        </w:rPr>
        <w:t>积极支持互联网营销业务的发展；保持基础设施建设业务的稳定；适度收缩房地产开发业务，多</w:t>
      </w:r>
      <w:r>
        <w:rPr>
          <w:spacing w:val="-27"/>
        </w:rPr>
        <w:t> </w:t>
      </w:r>
      <w:r>
        <w:rPr>
          <w:spacing w:val="-27"/>
        </w:rPr>
      </w:r>
      <w:r>
        <w:rPr/>
        <w:t>措并举快速降低房地产业务的库存。</w:t>
      </w:r>
    </w:p>
    <w:p>
      <w:pPr>
        <w:pStyle w:val="Heading2"/>
        <w:spacing w:line="240" w:lineRule="auto" w:before="20"/>
        <w:ind w:left="560" w:right="0"/>
        <w:jc w:val="left"/>
        <w:rPr>
          <w:b w:val="0"/>
          <w:bCs w:val="0"/>
        </w:rPr>
      </w:pPr>
      <w:r>
        <w:rPr>
          <w:rFonts w:ascii="宋体" w:hAnsi="宋体" w:cs="宋体" w:eastAsia="宋体" w:hint="default"/>
        </w:rPr>
        <w:t>1</w:t>
      </w:r>
      <w:r>
        <w:rPr/>
        <w:t>、互联网营销业务</w:t>
      </w:r>
      <w:r>
        <w:rPr>
          <w:b w:val="0"/>
          <w:bCs w:val="0"/>
        </w:rPr>
      </w:r>
    </w:p>
    <w:p>
      <w:pPr>
        <w:pStyle w:val="BodyText"/>
        <w:spacing w:line="240" w:lineRule="auto" w:before="85"/>
        <w:ind w:left="558" w:right="0"/>
        <w:jc w:val="left"/>
      </w:pPr>
      <w:r>
        <w:rPr>
          <w:rFonts w:ascii="宋体" w:hAnsi="宋体" w:cs="宋体" w:eastAsia="宋体" w:hint="default"/>
        </w:rPr>
        <w:t>2015</w:t>
      </w:r>
      <w:r>
        <w:rPr>
          <w:rFonts w:ascii="宋体" w:hAnsi="宋体" w:cs="宋体" w:eastAsia="宋体" w:hint="default"/>
          <w:spacing w:val="10"/>
        </w:rPr>
        <w:t> </w:t>
      </w:r>
      <w:r>
        <w:rPr>
          <w:spacing w:val="-3"/>
        </w:rPr>
        <w:t>年，公司发行股份及支付现金购买百孚思、上海同立、华邑众为、雨林木风、派瑞威行</w:t>
      </w:r>
    </w:p>
    <w:p>
      <w:pPr>
        <w:pStyle w:val="BodyText"/>
        <w:spacing w:line="314" w:lineRule="auto" w:before="85"/>
        <w:ind w:left="558" w:right="0" w:hanging="420"/>
        <w:jc w:val="left"/>
      </w:pPr>
      <w:r>
        <w:rPr>
          <w:rFonts w:ascii="宋体" w:hAnsi="宋体" w:cs="宋体" w:eastAsia="宋体" w:hint="default"/>
        </w:rPr>
        <w:t>100%</w:t>
      </w:r>
      <w:r>
        <w:rPr/>
        <w:t>股权，积极布局互联网营销领域。</w:t>
      </w:r>
      <w:r>
        <w:rPr>
          <w:w w:val="100"/>
        </w:rPr>
        <w:t> </w:t>
      </w:r>
      <w:r>
        <w:rPr>
          <w:spacing w:val="-2"/>
        </w:rPr>
        <w:t>公司董事会认为，随着互联网和移动互联网的快速发展，互联网广告在中国广告市场结构中</w:t>
      </w:r>
    </w:p>
    <w:p>
      <w:pPr>
        <w:pStyle w:val="BodyText"/>
        <w:spacing w:line="240" w:lineRule="auto"/>
        <w:ind w:right="0"/>
        <w:jc w:val="both"/>
      </w:pPr>
      <w:r>
        <w:rPr/>
        <w:t>的地位越来越重要，预计</w:t>
      </w:r>
      <w:r>
        <w:rPr>
          <w:spacing w:val="-56"/>
        </w:rPr>
        <w:t> </w:t>
      </w:r>
      <w:r>
        <w:rPr>
          <w:rFonts w:ascii="宋体" w:hAnsi="宋体" w:cs="宋体" w:eastAsia="宋体" w:hint="default"/>
        </w:rPr>
        <w:t>2017</w:t>
      </w:r>
      <w:r>
        <w:rPr>
          <w:rFonts w:ascii="宋体" w:hAnsi="宋体" w:cs="宋体" w:eastAsia="宋体" w:hint="default"/>
          <w:spacing w:val="-56"/>
        </w:rPr>
        <w:t> </w:t>
      </w:r>
      <w:r>
        <w:rPr/>
        <w:t>年市场规模可达</w:t>
      </w:r>
      <w:r>
        <w:rPr>
          <w:spacing w:val="-54"/>
        </w:rPr>
        <w:t> </w:t>
      </w:r>
      <w:r>
        <w:rPr>
          <w:rFonts w:ascii="宋体" w:hAnsi="宋体" w:cs="宋体" w:eastAsia="宋体" w:hint="default"/>
        </w:rPr>
        <w:t>2862</w:t>
      </w:r>
      <w:r>
        <w:rPr>
          <w:rFonts w:ascii="宋体" w:hAnsi="宋体" w:cs="宋体" w:eastAsia="宋体" w:hint="default"/>
          <w:spacing w:val="-53"/>
        </w:rPr>
        <w:t> </w:t>
      </w:r>
      <w:r>
        <w:rPr/>
        <w:t>亿元。上市公司通过重组，迅速切入具有良</w:t>
      </w:r>
    </w:p>
    <w:p>
      <w:pPr>
        <w:pStyle w:val="BodyText"/>
        <w:spacing w:line="307" w:lineRule="auto" w:before="85"/>
        <w:ind w:right="147"/>
        <w:jc w:val="both"/>
      </w:pPr>
      <w:r>
        <w:rPr/>
        <w:t>好发展前景的数字营销行业，为加强对新并入</w:t>
      </w:r>
      <w:r>
        <w:rPr>
          <w:spacing w:val="-56"/>
        </w:rPr>
        <w:t> </w:t>
      </w:r>
      <w:r>
        <w:rPr>
          <w:rFonts w:ascii="Arial" w:hAnsi="Arial" w:cs="Arial" w:eastAsia="Arial" w:hint="default"/>
        </w:rPr>
        <w:t>5</w:t>
      </w:r>
      <w:r>
        <w:rPr>
          <w:rFonts w:ascii="Arial" w:hAnsi="Arial" w:cs="Arial" w:eastAsia="Arial" w:hint="default"/>
          <w:spacing w:val="-11"/>
        </w:rPr>
        <w:t> </w:t>
      </w:r>
      <w:r>
        <w:rPr/>
        <w:t>家互联网营销公司的整合和业务协同，上市公司</w:t>
      </w:r>
      <w:r>
        <w:rPr>
          <w:w w:val="100"/>
        </w:rPr>
        <w:t> </w:t>
      </w:r>
      <w:r>
        <w:rPr>
          <w:spacing w:val="-2"/>
        </w:rPr>
        <w:t>设立链动（杭州）投资有限公司及链动数据技术（北京）有限公司，其中链动（杭州）投资有限</w:t>
      </w:r>
      <w:r>
        <w:rPr>
          <w:spacing w:val="-26"/>
        </w:rPr>
        <w:t> </w:t>
      </w:r>
      <w:r>
        <w:rPr>
          <w:spacing w:val="-26"/>
        </w:rPr>
      </w:r>
      <w:r>
        <w:rPr>
          <w:spacing w:val="-2"/>
        </w:rPr>
        <w:t>公司以投资和管控为核心，实现业务、财务、人力资源、内控等方面的统一管理；链动数据技术</w:t>
      </w:r>
    </w:p>
    <w:p>
      <w:pPr>
        <w:pStyle w:val="BodyText"/>
        <w:spacing w:line="314" w:lineRule="auto" w:before="26"/>
        <w:ind w:right="157"/>
        <w:jc w:val="both"/>
      </w:pPr>
      <w:r>
        <w:rPr>
          <w:spacing w:val="-2"/>
        </w:rPr>
        <w:t>（北京）有限公司以数据平台为核心，构建统一的数据后台，整合各子公司业务经营过程中积累</w:t>
      </w:r>
      <w:r>
        <w:rPr>
          <w:spacing w:val="-25"/>
        </w:rPr>
        <w:t> </w:t>
      </w:r>
      <w:r>
        <w:rPr>
          <w:spacing w:val="-25"/>
        </w:rPr>
      </w:r>
      <w:r>
        <w:rPr/>
        <w:t>的业务端的数据资料，为各子公司的业务发展提供后台管理服务与数据技术支持。</w:t>
      </w:r>
    </w:p>
    <w:p>
      <w:pPr>
        <w:pStyle w:val="BodyText"/>
        <w:spacing w:line="314" w:lineRule="auto"/>
        <w:ind w:right="0" w:firstLine="419"/>
        <w:jc w:val="left"/>
      </w:pPr>
      <w:r>
        <w:rPr>
          <w:spacing w:val="-2"/>
        </w:rPr>
        <w:t>在重组及整合的基础上，上市公司确立了未来“聚焦与裂变”的发展模式，聚焦即将业务扩</w:t>
      </w:r>
      <w:r>
        <w:rPr>
          <w:w w:val="100"/>
        </w:rPr>
        <w:t> </w:t>
      </w:r>
      <w:r>
        <w:rPr>
          <w:spacing w:val="-2"/>
        </w:rPr>
        <w:t>展重心聚焦于数字营销行业中高景气度、大市场容量的汽车服务领域，立足于汽车线下场景入口</w:t>
      </w:r>
    </w:p>
    <w:p>
      <w:pPr>
        <w:pStyle w:val="BodyText"/>
        <w:spacing w:line="309" w:lineRule="auto"/>
        <w:ind w:right="0"/>
        <w:jc w:val="left"/>
      </w:pPr>
      <w:r>
        <w:rPr>
          <w:rFonts w:ascii="Arial" w:hAnsi="Arial" w:cs="Arial" w:eastAsia="Arial" w:hint="default"/>
        </w:rPr>
        <w:t>+</w:t>
      </w:r>
      <w:r>
        <w:rPr/>
        <w:t>线上数字营销，构建“汽车前市场”的数据服务平台，以此形成“汽车前市场”领域的行业应</w:t>
      </w:r>
      <w:r>
        <w:rPr>
          <w:w w:val="100"/>
        </w:rPr>
        <w:t> </w:t>
      </w:r>
      <w:r>
        <w:rPr>
          <w:spacing w:val="-2"/>
        </w:rPr>
        <w:t>用优势，并利用互联网渠道和大数据优势，延伸至拥有更大市场容量和发展前景的汽车电商、汽</w:t>
      </w:r>
      <w:r>
        <w:rPr>
          <w:spacing w:val="-25"/>
        </w:rPr>
        <w:t> </w:t>
      </w:r>
      <w:r>
        <w:rPr>
          <w:spacing w:val="-25"/>
        </w:rPr>
      </w:r>
      <w:r>
        <w:rPr>
          <w:spacing w:val="-2"/>
        </w:rPr>
        <w:t>车金融等“汽车后市场”。裂变即通过链动数据整合各子公司在汽车营销垂直领域中主要节点如</w:t>
      </w:r>
      <w:r>
        <w:rPr>
          <w:spacing w:val="-25"/>
        </w:rPr>
        <w:t> </w:t>
      </w:r>
      <w:r>
        <w:rPr>
          <w:spacing w:val="-25"/>
        </w:rPr>
      </w:r>
      <w:r>
        <w:rPr>
          <w:spacing w:val="-4"/>
        </w:rPr>
        <w:t>发布会、会展、调研、公关、代理、投放、广告监测、媒体、电商、</w:t>
      </w:r>
      <w:r>
        <w:rPr>
          <w:rFonts w:ascii="Arial" w:hAnsi="Arial" w:cs="Arial" w:eastAsia="Arial" w:hint="default"/>
          <w:spacing w:val="-4"/>
        </w:rPr>
        <w:t>O2O </w:t>
      </w:r>
      <w:r>
        <w:rPr/>
        <w:t>等关键节点所积累的基</w:t>
      </w:r>
      <w:r>
        <w:rPr>
          <w:spacing w:val="-99"/>
        </w:rPr>
        <w:t> </w:t>
      </w:r>
      <w:r>
        <w:rPr>
          <w:spacing w:val="-99"/>
        </w:rPr>
      </w:r>
      <w:r>
        <w:rPr>
          <w:spacing w:val="-2"/>
        </w:rPr>
        <w:t>于用户行为的数据资源，在采集和处理数据资源的基础上，进行建模分析、解读挖掘、乃至预测</w:t>
      </w:r>
      <w:r>
        <w:rPr>
          <w:spacing w:val="-26"/>
        </w:rPr>
        <w:t> </w:t>
      </w:r>
      <w:r>
        <w:rPr>
          <w:spacing w:val="-26"/>
        </w:rPr>
      </w:r>
      <w:r>
        <w:rPr>
          <w:spacing w:val="-2"/>
        </w:rPr>
        <w:t>趋势，通过技术手段打通各业务间的壁垒，向下覆盖技术端，开发大数据广告投放平台和广告监</w:t>
      </w:r>
      <w:r>
        <w:rPr>
          <w:spacing w:val="-26"/>
        </w:rPr>
        <w:t> </w:t>
      </w:r>
      <w:r>
        <w:rPr>
          <w:spacing w:val="-26"/>
        </w:rPr>
      </w:r>
      <w:r>
        <w:rPr>
          <w:spacing w:val="-2"/>
        </w:rPr>
        <w:t>测系统，用数据指导投放和营销策略；向上拓展到媒体端，如子公司的网络导航、及新媒体，支</w:t>
      </w:r>
      <w:r>
        <w:rPr>
          <w:spacing w:val="-26"/>
        </w:rPr>
        <w:t> </w:t>
      </w:r>
      <w:r>
        <w:rPr>
          <w:spacing w:val="-26"/>
        </w:rPr>
      </w:r>
      <w:r>
        <w:rPr>
          <w:spacing w:val="-2"/>
        </w:rPr>
        <w:t>持其发展成为移动互联网及垂直行业的重要流量入口，由此激发各业务的深层次融合与协同，构</w:t>
      </w:r>
      <w:r>
        <w:rPr>
          <w:spacing w:val="-26"/>
        </w:rPr>
        <w:t> </w:t>
      </w:r>
      <w:r>
        <w:rPr>
          <w:spacing w:val="-26"/>
        </w:rPr>
      </w:r>
      <w:r>
        <w:rPr/>
        <w:t>建独立的汽车数据服务生态系统，成为国内汽车数据服务行业领先者。</w:t>
      </w:r>
    </w:p>
    <w:p>
      <w:pPr>
        <w:pStyle w:val="BodyText"/>
        <w:spacing w:line="314" w:lineRule="auto" w:before="24"/>
        <w:ind w:right="0" w:firstLine="419"/>
        <w:jc w:val="left"/>
      </w:pPr>
      <w:r>
        <w:rPr>
          <w:spacing w:val="-2"/>
        </w:rPr>
        <w:t>上市公司目前正在进行第二轮的并购重组，并购行业仍为互联网营销及相关行业，上市公司</w:t>
      </w:r>
      <w:r>
        <w:rPr>
          <w:w w:val="100"/>
        </w:rPr>
        <w:t> </w:t>
      </w:r>
      <w:r>
        <w:rPr/>
        <w:t>将积极推进本次重组，以完成上述发展战略，</w:t>
      </w:r>
    </w:p>
    <w:p>
      <w:pPr>
        <w:spacing w:line="314" w:lineRule="auto" w:before="2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、基础设施建设业务</w:t>
      </w:r>
      <w:r>
        <w:rPr>
          <w:rFonts w:ascii="宋体" w:hAnsi="宋体" w:cs="宋体" w:eastAsia="宋体" w:hint="default"/>
          <w:b/>
          <w:bCs/>
          <w:spacing w:val="-103"/>
          <w:sz w:val="21"/>
          <w:szCs w:val="21"/>
        </w:rPr>
        <w:t> </w:t>
      </w:r>
      <w:r>
        <w:rPr>
          <w:rFonts w:ascii="宋体" w:hAnsi="宋体" w:cs="宋体" w:eastAsia="宋体" w:hint="default"/>
          <w:spacing w:val="-2"/>
          <w:sz w:val="21"/>
          <w:szCs w:val="21"/>
        </w:rPr>
        <w:t>无论是从公司行业利润空间变化引发的需求，还是从行业快速发展的需求，规范化的公司管</w:t>
      </w:r>
    </w:p>
    <w:p>
      <w:pPr>
        <w:pStyle w:val="BodyText"/>
        <w:spacing w:line="314" w:lineRule="auto"/>
        <w:ind w:right="157"/>
        <w:jc w:val="both"/>
      </w:pPr>
      <w:r>
        <w:rPr>
          <w:spacing w:val="-2"/>
        </w:rPr>
        <w:t>控与成本控制管理是公司必然的选择和核心竞争力，也是急切需要解决的核心问题。因此，公司</w:t>
      </w:r>
      <w:r>
        <w:rPr>
          <w:spacing w:val="-25"/>
        </w:rPr>
        <w:t> </w:t>
      </w:r>
      <w:r>
        <w:rPr>
          <w:spacing w:val="-25"/>
        </w:rPr>
      </w:r>
      <w:r>
        <w:rPr>
          <w:spacing w:val="-2"/>
        </w:rPr>
        <w:t>将抓住政府投资建设黄河三角洲高效生态经济区和山东半岛蓝色经济区的发展机遇，在国家大力</w:t>
      </w:r>
      <w:r>
        <w:rPr>
          <w:spacing w:val="-25"/>
        </w:rPr>
        <w:t> </w:t>
      </w:r>
      <w:r>
        <w:rPr>
          <w:spacing w:val="-25"/>
        </w:rPr>
      </w:r>
      <w:r>
        <w:rPr>
          <w:spacing w:val="-2"/>
        </w:rPr>
        <w:t>支持基础设施建设投资的大背景下，以山东省内特别是东营及周边地区的基础设施建设为根基，</w:t>
      </w:r>
      <w:r>
        <w:rPr>
          <w:spacing w:val="-25"/>
        </w:rPr>
        <w:t> </w:t>
      </w:r>
      <w:r>
        <w:rPr>
          <w:spacing w:val="-25"/>
        </w:rPr>
      </w:r>
      <w:r>
        <w:rPr>
          <w:spacing w:val="-2"/>
        </w:rPr>
        <w:t>做好项目储备工作。同时公司将利用目前有利的环境，集中精力引进新的经营机制，提升管理水</w:t>
      </w:r>
      <w:r>
        <w:rPr>
          <w:spacing w:val="-25"/>
        </w:rPr>
        <w:t> </w:t>
      </w:r>
      <w:r>
        <w:rPr>
          <w:spacing w:val="-25"/>
        </w:rPr>
      </w:r>
      <w:r>
        <w:rPr/>
        <w:t>平，加大市场开发力度，加强成本控制，挖掘潜力。</w:t>
      </w:r>
    </w:p>
    <w:p>
      <w:pPr>
        <w:pStyle w:val="BodyText"/>
        <w:spacing w:line="314" w:lineRule="auto"/>
        <w:ind w:left="558" w:right="0"/>
        <w:jc w:val="left"/>
      </w:pPr>
      <w:r>
        <w:rPr>
          <w:rFonts w:ascii="宋体" w:hAnsi="宋体" w:cs="宋体" w:eastAsia="宋体" w:hint="default"/>
          <w:b/>
          <w:bCs/>
        </w:rPr>
        <w:t>3</w:t>
      </w:r>
      <w:r>
        <w:rPr>
          <w:rFonts w:ascii="宋体" w:hAnsi="宋体" w:cs="宋体" w:eastAsia="宋体" w:hint="default"/>
          <w:b/>
          <w:bCs/>
        </w:rPr>
        <w:t>、房地产开发业务</w:t>
      </w:r>
      <w:r>
        <w:rPr>
          <w:rFonts w:ascii="宋体" w:hAnsi="宋体" w:cs="宋体" w:eastAsia="宋体" w:hint="default"/>
          <w:b/>
          <w:bCs/>
          <w:spacing w:val="-103"/>
        </w:rPr>
        <w:t> </w:t>
      </w:r>
      <w:r>
        <w:rPr>
          <w:spacing w:val="-2"/>
        </w:rPr>
        <w:t>在目前市场形势及未来发展趋势下，公司将适度收缩房地产开发业务，多措并举快速降低房</w:t>
      </w:r>
    </w:p>
    <w:p>
      <w:pPr>
        <w:pStyle w:val="BodyText"/>
        <w:spacing w:line="240" w:lineRule="auto"/>
        <w:ind w:right="0"/>
        <w:jc w:val="both"/>
      </w:pPr>
      <w:r>
        <w:rPr/>
        <w:t>地产业务的库存，以回笼资金。</w:t>
      </w:r>
    </w:p>
    <w:p>
      <w:pPr>
        <w:spacing w:after="0" w:line="240" w:lineRule="auto"/>
        <w:jc w:val="both"/>
        <w:sectPr>
          <w:footerReference w:type="default" r:id="rId22"/>
          <w:pgSz w:w="11910" w:h="16840"/>
          <w:pgMar w:footer="1193" w:header="855" w:top="1280" w:bottom="1380" w:left="1660" w:right="1120"/>
        </w:sectPr>
      </w:pPr>
    </w:p>
    <w:p>
      <w:pPr>
        <w:spacing w:line="240" w:lineRule="auto" w:before="9"/>
        <w:rPr>
          <w:rFonts w:ascii="宋体" w:hAnsi="宋体" w:cs="宋体" w:eastAsia="宋体" w:hint="default"/>
          <w:sz w:val="18"/>
          <w:szCs w:val="18"/>
        </w:rPr>
      </w:pPr>
    </w:p>
    <w:p>
      <w:pPr>
        <w:pStyle w:val="Heading2"/>
        <w:spacing w:line="240" w:lineRule="auto"/>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经营计划</w:t>
      </w:r>
      <w:r>
        <w:rPr>
          <w:b w:val="0"/>
          <w:bCs w:val="0"/>
        </w:rPr>
      </w:r>
    </w:p>
    <w:p>
      <w:pPr>
        <w:pStyle w:val="BodyText"/>
        <w:spacing w:line="240" w:lineRule="auto" w:before="58"/>
        <w:ind w:left="558" w:right="0"/>
        <w:jc w:val="left"/>
        <w:rPr>
          <w:rFonts w:ascii="宋体" w:hAnsi="宋体" w:cs="宋体" w:eastAsia="宋体" w:hint="default"/>
        </w:rPr>
      </w:pPr>
      <w:r>
        <w:rPr>
          <w:rFonts w:ascii="宋体" w:hAnsi="宋体" w:cs="宋体" w:eastAsia="宋体" w:hint="default"/>
          <w:w w:val="100"/>
        </w:rPr>
        <w:t>2016</w:t>
      </w:r>
      <w:r>
        <w:rPr>
          <w:rFonts w:ascii="宋体" w:hAnsi="宋体" w:cs="宋体" w:eastAsia="宋体" w:hint="default"/>
          <w:spacing w:val="-77"/>
        </w:rPr>
        <w:t> </w:t>
      </w:r>
      <w:r>
        <w:rPr>
          <w:spacing w:val="-3"/>
          <w:w w:val="100"/>
        </w:rPr>
        <w:t>年</w:t>
      </w:r>
      <w:r>
        <w:rPr>
          <w:w w:val="100"/>
        </w:rPr>
        <w:t>公</w:t>
      </w:r>
      <w:r>
        <w:rPr>
          <w:spacing w:val="-3"/>
          <w:w w:val="100"/>
        </w:rPr>
        <w:t>司</w:t>
      </w:r>
      <w:r>
        <w:rPr>
          <w:w w:val="100"/>
        </w:rPr>
        <w:t>预</w:t>
      </w:r>
      <w:r>
        <w:rPr>
          <w:spacing w:val="-3"/>
          <w:w w:val="100"/>
        </w:rPr>
        <w:t>计</w:t>
      </w:r>
      <w:r>
        <w:rPr>
          <w:w w:val="100"/>
        </w:rPr>
        <w:t>实</w:t>
      </w:r>
      <w:r>
        <w:rPr>
          <w:spacing w:val="-3"/>
          <w:w w:val="100"/>
        </w:rPr>
        <w:t>现</w:t>
      </w:r>
      <w:r>
        <w:rPr>
          <w:w w:val="100"/>
        </w:rPr>
        <w:t>营</w:t>
      </w:r>
      <w:r>
        <w:rPr>
          <w:spacing w:val="-3"/>
          <w:w w:val="100"/>
        </w:rPr>
        <w:t>业</w:t>
      </w:r>
      <w:r>
        <w:rPr>
          <w:w w:val="100"/>
        </w:rPr>
        <w:t>收入</w:t>
      </w:r>
      <w:r>
        <w:rPr>
          <w:spacing w:val="-76"/>
        </w:rPr>
        <w:t> </w:t>
      </w:r>
      <w:r>
        <w:rPr>
          <w:rFonts w:ascii="宋体" w:hAnsi="宋体" w:cs="宋体" w:eastAsia="宋体" w:hint="default"/>
          <w:w w:val="100"/>
        </w:rPr>
        <w:t>56</w:t>
      </w:r>
      <w:r>
        <w:rPr>
          <w:rFonts w:ascii="宋体" w:hAnsi="宋体" w:cs="宋体" w:eastAsia="宋体" w:hint="default"/>
          <w:spacing w:val="-3"/>
          <w:w w:val="100"/>
        </w:rPr>
        <w:t>.</w:t>
      </w:r>
      <w:r>
        <w:rPr>
          <w:rFonts w:ascii="宋体" w:hAnsi="宋体" w:cs="宋体" w:eastAsia="宋体" w:hint="default"/>
          <w:w w:val="100"/>
        </w:rPr>
        <w:t>77</w:t>
      </w:r>
      <w:r>
        <w:rPr>
          <w:rFonts w:ascii="宋体" w:hAnsi="宋体" w:cs="宋体" w:eastAsia="宋体" w:hint="default"/>
          <w:spacing w:val="-77"/>
        </w:rPr>
        <w:t> </w:t>
      </w:r>
      <w:r>
        <w:rPr>
          <w:w w:val="100"/>
        </w:rPr>
        <w:t>亿</w:t>
      </w:r>
      <w:r>
        <w:rPr>
          <w:spacing w:val="-3"/>
          <w:w w:val="100"/>
        </w:rPr>
        <w:t>元</w:t>
      </w:r>
      <w:r>
        <w:rPr>
          <w:w w:val="100"/>
        </w:rPr>
        <w:t>左</w:t>
      </w:r>
      <w:r>
        <w:rPr>
          <w:spacing w:val="-3"/>
          <w:w w:val="100"/>
        </w:rPr>
        <w:t>右</w:t>
      </w:r>
      <w:r>
        <w:rPr>
          <w:spacing w:val="-106"/>
          <w:w w:val="100"/>
        </w:rPr>
        <w:t>，</w:t>
      </w:r>
      <w:r>
        <w:rPr>
          <w:spacing w:val="-3"/>
          <w:w w:val="100"/>
        </w:rPr>
        <w:t>其中</w:t>
      </w:r>
      <w:r>
        <w:rPr>
          <w:w w:val="100"/>
        </w:rPr>
        <w:t>互联</w:t>
      </w:r>
      <w:r>
        <w:rPr>
          <w:spacing w:val="-3"/>
          <w:w w:val="100"/>
        </w:rPr>
        <w:t>网</w:t>
      </w:r>
      <w:r>
        <w:rPr>
          <w:w w:val="100"/>
        </w:rPr>
        <w:t>营</w:t>
      </w:r>
      <w:r>
        <w:rPr>
          <w:spacing w:val="-3"/>
          <w:w w:val="100"/>
        </w:rPr>
        <w:t>销</w:t>
      </w:r>
      <w:r>
        <w:rPr>
          <w:w w:val="100"/>
        </w:rPr>
        <w:t>业</w:t>
      </w:r>
      <w:r>
        <w:rPr>
          <w:spacing w:val="-3"/>
          <w:w w:val="100"/>
        </w:rPr>
        <w:t>务</w:t>
      </w:r>
      <w:r>
        <w:rPr>
          <w:w w:val="100"/>
        </w:rPr>
        <w:t>预</w:t>
      </w:r>
      <w:r>
        <w:rPr>
          <w:spacing w:val="-3"/>
          <w:w w:val="100"/>
        </w:rPr>
        <w:t>计</w:t>
      </w:r>
      <w:r>
        <w:rPr>
          <w:w w:val="100"/>
        </w:rPr>
        <w:t>实</w:t>
      </w:r>
      <w:r>
        <w:rPr>
          <w:spacing w:val="-3"/>
          <w:w w:val="100"/>
        </w:rPr>
        <w:t>现</w:t>
      </w:r>
      <w:r>
        <w:rPr>
          <w:w w:val="100"/>
        </w:rPr>
        <w:t>营业</w:t>
      </w:r>
      <w:r>
        <w:rPr>
          <w:spacing w:val="-3"/>
          <w:w w:val="100"/>
        </w:rPr>
        <w:t>收</w:t>
      </w:r>
      <w:r>
        <w:rPr>
          <w:w w:val="100"/>
        </w:rPr>
        <w:t>入</w:t>
      </w:r>
      <w:r>
        <w:rPr>
          <w:spacing w:val="-76"/>
        </w:rPr>
        <w:t> </w:t>
      </w:r>
      <w:r>
        <w:rPr>
          <w:rFonts w:ascii="宋体" w:hAnsi="宋体" w:cs="宋体" w:eastAsia="宋体" w:hint="default"/>
          <w:w w:val="100"/>
        </w:rPr>
        <w:t>36</w:t>
      </w:r>
      <w:r>
        <w:rPr>
          <w:rFonts w:ascii="宋体" w:hAnsi="宋体" w:cs="宋体" w:eastAsia="宋体" w:hint="default"/>
          <w:spacing w:val="-3"/>
          <w:w w:val="100"/>
        </w:rPr>
        <w:t>.</w:t>
      </w:r>
      <w:r>
        <w:rPr>
          <w:rFonts w:ascii="宋体" w:hAnsi="宋体" w:cs="宋体" w:eastAsia="宋体" w:hint="default"/>
          <w:w w:val="100"/>
        </w:rPr>
        <w:t>12</w:t>
      </w:r>
    </w:p>
    <w:p>
      <w:pPr>
        <w:pStyle w:val="BodyText"/>
        <w:spacing w:line="240" w:lineRule="auto" w:before="85"/>
        <w:ind w:right="0"/>
        <w:jc w:val="both"/>
      </w:pPr>
      <w:r>
        <w:rPr/>
        <w:t>亿元，比公司</w:t>
      </w:r>
      <w:r>
        <w:rPr>
          <w:spacing w:val="-55"/>
        </w:rPr>
        <w:t> </w:t>
      </w:r>
      <w:r>
        <w:rPr>
          <w:rFonts w:ascii="宋体" w:hAnsi="宋体" w:cs="宋体" w:eastAsia="宋体" w:hint="default"/>
        </w:rPr>
        <w:t>2015</w:t>
      </w:r>
      <w:r>
        <w:rPr>
          <w:rFonts w:ascii="宋体" w:hAnsi="宋体" w:cs="宋体" w:eastAsia="宋体" w:hint="default"/>
          <w:spacing w:val="-56"/>
        </w:rPr>
        <w:t> </w:t>
      </w:r>
      <w:r>
        <w:rPr/>
        <w:t>年实现的互联网营销业务营业收入增长</w:t>
      </w:r>
      <w:r>
        <w:rPr>
          <w:spacing w:val="-54"/>
        </w:rPr>
        <w:t> </w:t>
      </w:r>
      <w:r>
        <w:rPr>
          <w:rFonts w:ascii="宋体" w:hAnsi="宋体" w:cs="宋体" w:eastAsia="宋体" w:hint="default"/>
        </w:rPr>
        <w:t>190.59%</w:t>
      </w:r>
      <w:r>
        <w:rPr/>
        <w:t>，比公司</w:t>
      </w:r>
      <w:r>
        <w:rPr>
          <w:spacing w:val="-56"/>
        </w:rPr>
        <w:t> </w:t>
      </w:r>
      <w:r>
        <w:rPr>
          <w:rFonts w:ascii="宋体" w:hAnsi="宋体" w:cs="宋体" w:eastAsia="宋体" w:hint="default"/>
        </w:rPr>
        <w:t>2015</w:t>
      </w:r>
      <w:r>
        <w:rPr>
          <w:rFonts w:ascii="宋体" w:hAnsi="宋体" w:cs="宋体" w:eastAsia="宋体" w:hint="default"/>
          <w:spacing w:val="-54"/>
        </w:rPr>
        <w:t> </w:t>
      </w:r>
      <w:r>
        <w:rPr/>
        <w:t>年收购的五家</w:t>
      </w:r>
    </w:p>
    <w:p>
      <w:pPr>
        <w:pStyle w:val="BodyText"/>
        <w:spacing w:line="240" w:lineRule="auto" w:before="85"/>
        <w:ind w:right="0"/>
        <w:jc w:val="both"/>
      </w:pPr>
      <w:r>
        <w:rPr/>
        <w:t>互联网营销公司实现的营业收入增长</w:t>
      </w:r>
      <w:r>
        <w:rPr>
          <w:spacing w:val="-54"/>
        </w:rPr>
        <w:t> </w:t>
      </w:r>
      <w:r>
        <w:rPr>
          <w:rFonts w:ascii="宋体" w:hAnsi="宋体" w:cs="宋体" w:eastAsia="宋体" w:hint="default"/>
        </w:rPr>
        <w:t>26.38%</w:t>
      </w:r>
      <w:r>
        <w:rPr/>
        <w:t>（公司于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日完成收购百孚思、上海同</w:t>
      </w:r>
    </w:p>
    <w:p>
      <w:pPr>
        <w:pStyle w:val="BodyText"/>
        <w:spacing w:line="240" w:lineRule="auto" w:before="85"/>
        <w:ind w:right="0"/>
        <w:jc w:val="both"/>
      </w:pPr>
      <w:r>
        <w:rPr/>
        <w:t>立、华邑众为、雨林木风、派瑞威行五家公司，根据会计准则，公司自</w:t>
      </w:r>
      <w:r>
        <w:rPr>
          <w:spacing w:val="-55"/>
        </w:rPr>
        <w:t> </w:t>
      </w:r>
      <w:r>
        <w:rPr>
          <w:rFonts w:ascii="宋体" w:hAnsi="宋体" w:cs="宋体" w:eastAsia="宋体" w:hint="default"/>
        </w:rPr>
        <w:t>9</w:t>
      </w:r>
      <w:r>
        <w:rPr>
          <w:rFonts w:ascii="宋体" w:hAnsi="宋体" w:cs="宋体" w:eastAsia="宋体" w:hint="default"/>
          <w:spacing w:val="-55"/>
        </w:rPr>
        <w:t> </w:t>
      </w:r>
      <w:r>
        <w:rPr/>
        <w:t>月份将上述五家公司纳</w:t>
      </w:r>
    </w:p>
    <w:p>
      <w:pPr>
        <w:pStyle w:val="BodyText"/>
        <w:spacing w:line="240" w:lineRule="auto" w:before="85"/>
        <w:ind w:right="0"/>
        <w:jc w:val="both"/>
      </w:pPr>
      <w:r>
        <w:rPr>
          <w:spacing w:val="-3"/>
        </w:rPr>
        <w:t>入合并报表范围）；基础设施建设业务预计实现营业收入</w:t>
      </w:r>
      <w:r>
        <w:rPr>
          <w:spacing w:val="-39"/>
        </w:rPr>
        <w:t> </w:t>
      </w:r>
      <w:r>
        <w:rPr>
          <w:rFonts w:ascii="宋体" w:hAnsi="宋体" w:cs="宋体" w:eastAsia="宋体" w:hint="default"/>
        </w:rPr>
        <w:t>6.69</w:t>
      </w:r>
      <w:r>
        <w:rPr>
          <w:rFonts w:ascii="宋体" w:hAnsi="宋体" w:cs="宋体" w:eastAsia="宋体" w:hint="default"/>
          <w:spacing w:val="-40"/>
        </w:rPr>
        <w:t> </w:t>
      </w:r>
      <w:r>
        <w:rPr>
          <w:spacing w:val="-4"/>
        </w:rPr>
        <w:t>亿元，比</w:t>
      </w:r>
      <w:r>
        <w:rPr>
          <w:spacing w:val="-40"/>
        </w:rPr>
        <w:t> </w:t>
      </w:r>
      <w:r>
        <w:rPr>
          <w:rFonts w:ascii="宋体" w:hAnsi="宋体" w:cs="宋体" w:eastAsia="宋体" w:hint="default"/>
        </w:rPr>
        <w:t>2015</w:t>
      </w:r>
      <w:r>
        <w:rPr>
          <w:rFonts w:ascii="宋体" w:hAnsi="宋体" w:cs="宋体" w:eastAsia="宋体" w:hint="default"/>
          <w:spacing w:val="-39"/>
        </w:rPr>
        <w:t> </w:t>
      </w:r>
      <w:r>
        <w:rPr/>
        <w:t>年减少</w:t>
      </w:r>
      <w:r>
        <w:rPr>
          <w:spacing w:val="-40"/>
        </w:rPr>
        <w:t> </w:t>
      </w:r>
      <w:r>
        <w:rPr>
          <w:rFonts w:ascii="宋体" w:hAnsi="宋体" w:cs="宋体" w:eastAsia="宋体" w:hint="default"/>
          <w:spacing w:val="-4"/>
        </w:rPr>
        <w:t>15.64%</w:t>
      </w:r>
      <w:r>
        <w:rPr>
          <w:spacing w:val="-4"/>
        </w:rPr>
        <w:t>；房</w:t>
      </w:r>
      <w:r>
        <w:rPr/>
      </w:r>
    </w:p>
    <w:p>
      <w:pPr>
        <w:pStyle w:val="BodyText"/>
        <w:spacing w:line="240" w:lineRule="auto" w:before="85"/>
        <w:ind w:right="0"/>
        <w:jc w:val="both"/>
      </w:pPr>
      <w:r>
        <w:rPr/>
        <w:t>地产开发业务预计实现营业收入</w:t>
      </w:r>
      <w:r>
        <w:rPr>
          <w:spacing w:val="-46"/>
        </w:rPr>
        <w:t> </w:t>
      </w:r>
      <w:r>
        <w:rPr>
          <w:rFonts w:ascii="宋体" w:hAnsi="宋体" w:cs="宋体" w:eastAsia="宋体" w:hint="default"/>
        </w:rPr>
        <w:t>13.96</w:t>
      </w:r>
      <w:r>
        <w:rPr>
          <w:rFonts w:ascii="宋体" w:hAnsi="宋体" w:cs="宋体" w:eastAsia="宋体" w:hint="default"/>
          <w:spacing w:val="-46"/>
        </w:rPr>
        <w:t> </w:t>
      </w:r>
      <w:r>
        <w:rPr>
          <w:spacing w:val="-7"/>
        </w:rPr>
        <w:t>亿元，比</w:t>
      </w:r>
      <w:r>
        <w:rPr>
          <w:spacing w:val="-46"/>
        </w:rPr>
        <w:t> </w:t>
      </w:r>
      <w:r>
        <w:rPr>
          <w:rFonts w:ascii="宋体" w:hAnsi="宋体" w:cs="宋体" w:eastAsia="宋体" w:hint="default"/>
        </w:rPr>
        <w:t>2015</w:t>
      </w:r>
      <w:r>
        <w:rPr>
          <w:rFonts w:ascii="宋体" w:hAnsi="宋体" w:cs="宋体" w:eastAsia="宋体" w:hint="default"/>
          <w:spacing w:val="-45"/>
        </w:rPr>
        <w:t> </w:t>
      </w:r>
      <w:r>
        <w:rPr/>
        <w:t>年增长</w:t>
      </w:r>
      <w:r>
        <w:rPr>
          <w:spacing w:val="-46"/>
        </w:rPr>
        <w:t> </w:t>
      </w:r>
      <w:r>
        <w:rPr>
          <w:rFonts w:ascii="宋体" w:hAnsi="宋体" w:cs="宋体" w:eastAsia="宋体" w:hint="default"/>
          <w:spacing w:val="-3"/>
        </w:rPr>
        <w:t>253.42%</w:t>
      </w:r>
      <w:r>
        <w:rPr>
          <w:spacing w:val="-3"/>
        </w:rPr>
        <w:t>（公司目前开发的三个房地</w:t>
      </w:r>
    </w:p>
    <w:p>
      <w:pPr>
        <w:spacing w:before="85"/>
        <w:ind w:left="138" w:right="0" w:firstLine="0"/>
        <w:jc w:val="both"/>
        <w:rPr>
          <w:rFonts w:ascii="宋体" w:hAnsi="宋体" w:cs="宋体" w:eastAsia="宋体" w:hint="default"/>
          <w:sz w:val="21"/>
          <w:szCs w:val="21"/>
        </w:rPr>
      </w:pPr>
      <w:r>
        <w:rPr>
          <w:rFonts w:ascii="宋体" w:hAnsi="宋体" w:cs="宋体" w:eastAsia="宋体" w:hint="default"/>
          <w:sz w:val="21"/>
          <w:szCs w:val="21"/>
        </w:rPr>
        <w:t>产项目将集中在</w:t>
      </w:r>
      <w:r>
        <w:rPr>
          <w:rFonts w:ascii="宋体" w:hAnsi="宋体" w:cs="宋体" w:eastAsia="宋体" w:hint="default"/>
          <w:spacing w:val="-56"/>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年交房并确认收入）。</w:t>
      </w:r>
      <w:r>
        <w:rPr>
          <w:rFonts w:ascii="宋体" w:hAnsi="宋体" w:cs="宋体" w:eastAsia="宋体" w:hint="default"/>
          <w:b/>
          <w:bCs/>
          <w:sz w:val="21"/>
          <w:szCs w:val="21"/>
        </w:rPr>
        <w:t>（特别说明：本经营计划是基于公司目前的业务现</w:t>
      </w:r>
      <w:r>
        <w:rPr>
          <w:rFonts w:ascii="宋体" w:hAnsi="宋体" w:cs="宋体" w:eastAsia="宋体" w:hint="default"/>
          <w:sz w:val="21"/>
          <w:szCs w:val="21"/>
        </w:rPr>
      </w:r>
    </w:p>
    <w:p>
      <w:pPr>
        <w:spacing w:line="314" w:lineRule="auto" w:before="85"/>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状对公司</w:t>
      </w:r>
      <w:r>
        <w:rPr>
          <w:rFonts w:ascii="宋体" w:hAnsi="宋体" w:cs="宋体" w:eastAsia="宋体" w:hint="default"/>
          <w:b/>
          <w:bCs/>
          <w:spacing w:val="-54"/>
          <w:sz w:val="21"/>
          <w:szCs w:val="21"/>
        </w:rPr>
        <w:t> </w:t>
      </w:r>
      <w:r>
        <w:rPr>
          <w:rFonts w:ascii="宋体" w:hAnsi="宋体" w:cs="宋体" w:eastAsia="宋体" w:hint="default"/>
          <w:b/>
          <w:bCs/>
          <w:sz w:val="21"/>
          <w:szCs w:val="21"/>
        </w:rPr>
        <w:t>2016</w:t>
      </w:r>
      <w:r>
        <w:rPr>
          <w:rFonts w:ascii="宋体" w:hAnsi="宋体" w:cs="宋体" w:eastAsia="宋体" w:hint="default"/>
          <w:b/>
          <w:bCs/>
          <w:spacing w:val="-54"/>
          <w:sz w:val="21"/>
          <w:szCs w:val="21"/>
        </w:rPr>
        <w:t> </w:t>
      </w:r>
      <w:r>
        <w:rPr>
          <w:rFonts w:ascii="宋体" w:hAnsi="宋体" w:cs="宋体" w:eastAsia="宋体" w:hint="default"/>
          <w:b/>
          <w:bCs/>
          <w:sz w:val="21"/>
          <w:szCs w:val="21"/>
        </w:rPr>
        <w:t>年的经营情况预计，并未考虑非经常性因素的影响，如重大资产重组等，亦不构</w:t>
      </w:r>
      <w:r>
        <w:rPr>
          <w:rFonts w:ascii="宋体" w:hAnsi="宋体" w:cs="宋体" w:eastAsia="宋体" w:hint="default"/>
          <w:b/>
          <w:bCs/>
          <w:w w:val="100"/>
          <w:sz w:val="21"/>
          <w:szCs w:val="21"/>
        </w:rPr>
        <w:t> </w:t>
      </w:r>
      <w:r>
        <w:rPr>
          <w:rFonts w:ascii="宋体" w:hAnsi="宋体" w:cs="宋体" w:eastAsia="宋体" w:hint="default"/>
          <w:b/>
          <w:bCs/>
          <w:spacing w:val="-1"/>
          <w:sz w:val="21"/>
          <w:szCs w:val="21"/>
        </w:rPr>
        <w:t>成公司对投资者的实质承诺，敬请投资者注意投资风险。）</w:t>
      </w:r>
      <w:r>
        <w:rPr>
          <w:rFonts w:ascii="宋体" w:hAnsi="宋体" w:cs="宋体" w:eastAsia="宋体" w:hint="default"/>
          <w:spacing w:val="-1"/>
          <w:sz w:val="21"/>
          <w:szCs w:val="21"/>
        </w:rPr>
        <w:t>为完成经营计划公司将采用以下经营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措施：</w:t>
      </w:r>
    </w:p>
    <w:p>
      <w:pPr>
        <w:pStyle w:val="BodyText"/>
        <w:spacing w:line="314" w:lineRule="auto"/>
        <w:ind w:left="558" w:right="0" w:firstLine="2"/>
        <w:jc w:val="left"/>
      </w:pPr>
      <w:r>
        <w:rPr>
          <w:rFonts w:ascii="宋体" w:hAnsi="宋体" w:cs="宋体" w:eastAsia="宋体" w:hint="default"/>
          <w:b/>
          <w:bCs/>
        </w:rPr>
        <w:t>1</w:t>
      </w:r>
      <w:r>
        <w:rPr>
          <w:rFonts w:ascii="宋体" w:hAnsi="宋体" w:cs="宋体" w:eastAsia="宋体" w:hint="default"/>
          <w:b/>
          <w:bCs/>
        </w:rPr>
        <w:t>、互联网营销业务</w:t>
      </w:r>
      <w:r>
        <w:rPr>
          <w:rFonts w:ascii="宋体" w:hAnsi="宋体" w:cs="宋体" w:eastAsia="宋体" w:hint="default"/>
          <w:b/>
          <w:bCs/>
          <w:w w:val="100"/>
        </w:rPr>
        <w:t> </w:t>
      </w:r>
      <w:r>
        <w:rPr>
          <w:spacing w:val="-2"/>
        </w:rPr>
        <w:t>对新增的互联网营销业务，公司将抓住产业发展的良好机遇，迅速提高公司的服务能力与市</w:t>
      </w:r>
    </w:p>
    <w:p>
      <w:pPr>
        <w:pStyle w:val="BodyText"/>
        <w:spacing w:line="314" w:lineRule="auto"/>
        <w:ind w:right="157"/>
        <w:jc w:val="both"/>
      </w:pPr>
      <w:r>
        <w:rPr>
          <w:spacing w:val="-2"/>
        </w:rPr>
        <w:t>场份额。上市公司将通过新设的互联网营销事业部整合各个标的公司的资源，发挥各自的专业优</w:t>
      </w:r>
      <w:r>
        <w:rPr>
          <w:spacing w:val="-25"/>
        </w:rPr>
        <w:t> </w:t>
      </w:r>
      <w:r>
        <w:rPr>
          <w:spacing w:val="-25"/>
        </w:rPr>
      </w:r>
      <w:r>
        <w:rPr>
          <w:spacing w:val="-2"/>
        </w:rPr>
        <w:t>势、媒体资源优势、客户资源优势、数据优势等，相互协作发挥协同效应，迅速做大做强互联网</w:t>
      </w:r>
      <w:r>
        <w:rPr>
          <w:spacing w:val="-25"/>
        </w:rPr>
        <w:t> </w:t>
      </w:r>
      <w:r>
        <w:rPr>
          <w:spacing w:val="-25"/>
        </w:rPr>
      </w:r>
      <w:r>
        <w:rPr>
          <w:spacing w:val="-2"/>
        </w:rPr>
        <w:t>营销板块，成为覆盖互联网营销行业各个细分领域、为客户提供全方位优质整合营销服务的行业</w:t>
      </w:r>
      <w:r>
        <w:rPr>
          <w:spacing w:val="-25"/>
        </w:rPr>
        <w:t> </w:t>
      </w:r>
      <w:r>
        <w:rPr>
          <w:spacing w:val="-25"/>
        </w:rPr>
      </w:r>
      <w:r>
        <w:rPr/>
        <w:t>领先企业。</w:t>
      </w:r>
    </w:p>
    <w:p>
      <w:pPr>
        <w:pStyle w:val="BodyText"/>
        <w:spacing w:line="240" w:lineRule="auto"/>
        <w:ind w:left="558" w:right="0"/>
        <w:jc w:val="left"/>
      </w:pPr>
      <w:r>
        <w:rPr>
          <w:rFonts w:ascii="宋体" w:hAnsi="宋体" w:cs="宋体" w:eastAsia="宋体" w:hint="default"/>
        </w:rPr>
        <w:t>2016</w:t>
      </w:r>
      <w:r>
        <w:rPr>
          <w:rFonts w:ascii="宋体" w:hAnsi="宋体" w:cs="宋体" w:eastAsia="宋体" w:hint="default"/>
          <w:spacing w:val="17"/>
        </w:rPr>
        <w:t> </w:t>
      </w:r>
      <w:r>
        <w:rPr>
          <w:spacing w:val="-3"/>
        </w:rPr>
        <w:t>年，百孚思将在业务、服务、客户、运营、管理等方面持续全面提升及发展，在运营管</w:t>
      </w:r>
    </w:p>
    <w:p>
      <w:pPr>
        <w:pStyle w:val="BodyText"/>
        <w:spacing w:line="314" w:lineRule="auto" w:before="85"/>
        <w:ind w:right="145"/>
        <w:jc w:val="both"/>
      </w:pPr>
      <w:r>
        <w:rPr>
          <w:spacing w:val="-3"/>
        </w:rPr>
        <w:t>理方面将持续加强品牌及市场影响力，申报专业类奖项预计</w:t>
      </w:r>
      <w:r>
        <w:rPr>
          <w:spacing w:val="-24"/>
        </w:rPr>
        <w:t> </w:t>
      </w:r>
      <w:r>
        <w:rPr>
          <w:rFonts w:ascii="宋体" w:hAnsi="宋体" w:cs="宋体" w:eastAsia="宋体" w:hint="default"/>
        </w:rPr>
        <w:t>20</w:t>
      </w:r>
      <w:r>
        <w:rPr>
          <w:rFonts w:ascii="宋体" w:hAnsi="宋体" w:cs="宋体" w:eastAsia="宋体" w:hint="default"/>
          <w:spacing w:val="-24"/>
        </w:rPr>
        <w:t> </w:t>
      </w:r>
      <w:r>
        <w:rPr>
          <w:spacing w:val="-6"/>
        </w:rPr>
        <w:t>项，争取获得核心媒体奖项；华邑</w:t>
      </w:r>
      <w:r>
        <w:rPr>
          <w:spacing w:val="-94"/>
        </w:rPr>
        <w:t> </w:t>
      </w:r>
      <w:r>
        <w:rPr>
          <w:spacing w:val="-94"/>
        </w:rPr>
      </w:r>
      <w:r>
        <w:rPr/>
        <w:t>众为将进一步强化独有的“</w:t>
      </w:r>
      <w:r>
        <w:rPr>
          <w:rFonts w:ascii="宋体" w:hAnsi="宋体" w:cs="宋体" w:eastAsia="宋体" w:hint="default"/>
        </w:rPr>
        <w:t>3P</w:t>
      </w:r>
      <w:r>
        <w:rPr>
          <w:rFonts w:ascii="宋体" w:hAnsi="宋体" w:cs="宋体" w:eastAsia="宋体" w:hint="default"/>
          <w:spacing w:val="-26"/>
        </w:rPr>
        <w:t> </w:t>
      </w:r>
      <w:r>
        <w:rPr>
          <w:spacing w:val="-3"/>
        </w:rPr>
        <w:t>交互方法论”，为品牌客户带来解决方案创造价值，创造更多有影</w:t>
      </w:r>
      <w:r>
        <w:rPr>
          <w:spacing w:val="-93"/>
        </w:rPr>
        <w:t> </w:t>
      </w:r>
      <w:r>
        <w:rPr>
          <w:spacing w:val="-93"/>
        </w:rPr>
      </w:r>
      <w:r>
        <w:rPr>
          <w:spacing w:val="-2"/>
        </w:rPr>
        <w:t>响力的优秀案例，在发展区域上，将在巩固广州市场，发力上海市场的同时，进一步发展北京市</w:t>
      </w:r>
      <w:r>
        <w:rPr>
          <w:spacing w:val="-25"/>
        </w:rPr>
        <w:t> </w:t>
      </w:r>
      <w:r>
        <w:rPr>
          <w:spacing w:val="-25"/>
        </w:rPr>
      </w:r>
      <w:r>
        <w:rPr>
          <w:spacing w:val="-2"/>
        </w:rPr>
        <w:t>场，在行业方面，继续夯实快消行业的同时，加大在手机、家电行业的优势，并且打开汽车行业</w:t>
      </w:r>
      <w:r>
        <w:rPr>
          <w:spacing w:val="-25"/>
        </w:rPr>
        <w:t> </w:t>
      </w:r>
      <w:r>
        <w:rPr>
          <w:spacing w:val="-25"/>
        </w:rPr>
      </w:r>
      <w:r>
        <w:rPr>
          <w:spacing w:val="-11"/>
        </w:rPr>
        <w:t>的业务局面；在</w:t>
      </w:r>
      <w:r>
        <w:rPr>
          <w:spacing w:val="-49"/>
        </w:rPr>
        <w:t> </w:t>
      </w:r>
      <w:r>
        <w:rPr>
          <w:rFonts w:ascii="宋体" w:hAnsi="宋体" w:cs="宋体" w:eastAsia="宋体" w:hint="default"/>
        </w:rPr>
        <w:t>2016</w:t>
      </w:r>
      <w:r>
        <w:rPr>
          <w:rFonts w:ascii="宋体" w:hAnsi="宋体" w:cs="宋体" w:eastAsia="宋体" w:hint="default"/>
          <w:spacing w:val="-49"/>
        </w:rPr>
        <w:t> </w:t>
      </w:r>
      <w:r>
        <w:rPr>
          <w:spacing w:val="-11"/>
        </w:rPr>
        <w:t>年，雨林风木的</w:t>
      </w:r>
      <w:r>
        <w:rPr>
          <w:spacing w:val="7"/>
        </w:rPr>
        <w:t> </w:t>
      </w:r>
      <w:r>
        <w:rPr>
          <w:rFonts w:ascii="宋体" w:hAnsi="宋体" w:cs="宋体" w:eastAsia="宋体" w:hint="default"/>
        </w:rPr>
        <w:t>114</w:t>
      </w:r>
      <w:r>
        <w:rPr>
          <w:rFonts w:ascii="宋体" w:hAnsi="宋体" w:cs="宋体" w:eastAsia="宋体" w:hint="default"/>
          <w:spacing w:val="-49"/>
        </w:rPr>
        <w:t> </w:t>
      </w:r>
      <w:r>
        <w:rPr/>
        <w:t>啦网址导航将从</w:t>
      </w:r>
      <w:r>
        <w:rPr>
          <w:spacing w:val="-49"/>
        </w:rPr>
        <w:t> </w:t>
      </w:r>
      <w:r>
        <w:rPr>
          <w:rFonts w:ascii="宋体" w:hAnsi="宋体" w:cs="宋体" w:eastAsia="宋体" w:hint="default"/>
        </w:rPr>
        <w:t>PC</w:t>
      </w:r>
      <w:r>
        <w:rPr>
          <w:rFonts w:ascii="宋体" w:hAnsi="宋体" w:cs="宋体" w:eastAsia="宋体" w:hint="default"/>
          <w:spacing w:val="-51"/>
        </w:rPr>
        <w:t> </w:t>
      </w:r>
      <w:r>
        <w:rPr>
          <w:spacing w:val="-7"/>
        </w:rPr>
        <w:t>领域向移动市场发力，</w:t>
      </w:r>
      <w:r>
        <w:rPr>
          <w:rFonts w:ascii="宋体" w:hAnsi="宋体" w:cs="宋体" w:eastAsia="宋体" w:hint="default"/>
          <w:spacing w:val="-7"/>
        </w:rPr>
        <w:t>114</w:t>
      </w:r>
      <w:r>
        <w:rPr>
          <w:rFonts w:ascii="宋体" w:hAnsi="宋体" w:cs="宋体" w:eastAsia="宋体" w:hint="default"/>
          <w:spacing w:val="-49"/>
        </w:rPr>
        <w:t> </w:t>
      </w:r>
      <w:r>
        <w:rPr/>
        <w:t>啦主站、</w:t>
      </w:r>
      <w:r>
        <w:rPr>
          <w:spacing w:val="-103"/>
        </w:rPr>
        <w:t> </w:t>
      </w:r>
      <w:r>
        <w:rPr>
          <w:spacing w:val="-103"/>
        </w:rPr>
      </w:r>
      <w:r>
        <w:rPr/>
        <w:t>新闻频道、视频频道移动</w:t>
      </w:r>
      <w:r>
        <w:rPr>
          <w:spacing w:val="-56"/>
        </w:rPr>
        <w:t> </w:t>
      </w:r>
      <w:r>
        <w:rPr>
          <w:rFonts w:ascii="宋体" w:hAnsi="宋体" w:cs="宋体" w:eastAsia="宋体" w:hint="default"/>
        </w:rPr>
        <w:t>APP</w:t>
      </w:r>
      <w:r>
        <w:rPr>
          <w:rFonts w:ascii="宋体" w:hAnsi="宋体" w:cs="宋体" w:eastAsia="宋体" w:hint="default"/>
          <w:spacing w:val="-54"/>
        </w:rPr>
        <w:t> </w:t>
      </w:r>
      <w:r>
        <w:rPr/>
        <w:t>将登录移动平台，成为</w:t>
      </w:r>
      <w:r>
        <w:rPr>
          <w:spacing w:val="-54"/>
        </w:rPr>
        <w:t> </w:t>
      </w:r>
      <w:r>
        <w:rPr>
          <w:rFonts w:ascii="宋体" w:hAnsi="宋体" w:cs="宋体" w:eastAsia="宋体" w:hint="default"/>
        </w:rPr>
        <w:t>114</w:t>
      </w:r>
      <w:r>
        <w:rPr>
          <w:rFonts w:ascii="宋体" w:hAnsi="宋体" w:cs="宋体" w:eastAsia="宋体" w:hint="default"/>
          <w:spacing w:val="-56"/>
        </w:rPr>
        <w:t> </w:t>
      </w:r>
      <w:r>
        <w:rPr/>
        <w:t>啦网址导航新的增长点。在广告代理方</w:t>
      </w:r>
      <w:r>
        <w:rPr>
          <w:w w:val="100"/>
        </w:rPr>
        <w:t> </w:t>
      </w:r>
      <w:r>
        <w:rPr>
          <w:spacing w:val="-2"/>
        </w:rPr>
        <w:t>面，雨林木风将结合移动时代潮流，增加移动广告资源及客户群体比重，为广告主提供更多更好</w:t>
      </w:r>
      <w:r>
        <w:rPr>
          <w:spacing w:val="-22"/>
        </w:rPr>
        <w:t> </w:t>
      </w:r>
      <w:r>
        <w:rPr>
          <w:spacing w:val="-22"/>
        </w:rPr>
      </w:r>
      <w:r>
        <w:rPr>
          <w:spacing w:val="-6"/>
        </w:rPr>
        <w:t>的服务，也将为雨林木风带来新一轮提升；派瑞威行在</w:t>
      </w:r>
      <w:r>
        <w:rPr>
          <w:spacing w:val="-31"/>
        </w:rPr>
        <w:t> </w:t>
      </w:r>
      <w:r>
        <w:rPr>
          <w:rFonts w:ascii="宋体" w:hAnsi="宋体" w:cs="宋体" w:eastAsia="宋体" w:hint="default"/>
        </w:rPr>
        <w:t>2016</w:t>
      </w:r>
      <w:r>
        <w:rPr>
          <w:rFonts w:ascii="宋体" w:hAnsi="宋体" w:cs="宋体" w:eastAsia="宋体" w:hint="default"/>
          <w:spacing w:val="-36"/>
        </w:rPr>
        <w:t> </w:t>
      </w:r>
      <w:r>
        <w:rPr/>
        <w:t>年将继续巩固精准营销第一的行业地</w:t>
      </w:r>
      <w:r>
        <w:rPr>
          <w:spacing w:val="-98"/>
        </w:rPr>
        <w:t> </w:t>
      </w:r>
      <w:r>
        <w:rPr>
          <w:spacing w:val="-98"/>
        </w:rPr>
      </w:r>
      <w:r>
        <w:rPr/>
        <w:t>位，对已形成优势的核心媒体继续扩大规模，预期将占到市场份额的</w:t>
      </w:r>
      <w:r>
        <w:rPr>
          <w:spacing w:val="-56"/>
        </w:rPr>
        <w:t> </w:t>
      </w:r>
      <w:r>
        <w:rPr>
          <w:rFonts w:ascii="宋体" w:hAnsi="宋体" w:cs="宋体" w:eastAsia="宋体" w:hint="default"/>
        </w:rPr>
        <w:t>10%-15%</w:t>
      </w:r>
      <w:r>
        <w:rPr/>
        <w:t>。除精准营销外，</w:t>
      </w:r>
      <w:r>
        <w:rPr>
          <w:w w:val="100"/>
        </w:rPr>
        <w:t> </w:t>
      </w:r>
      <w:r>
        <w:rPr>
          <w:spacing w:val="-5"/>
        </w:rPr>
        <w:t>在品牌部分，派瑞威行选择了以爱奇艺、搜狐等为首的视频类媒体，在</w:t>
      </w:r>
      <w:r>
        <w:rPr>
          <w:spacing w:val="-28"/>
        </w:rPr>
        <w:t> </w:t>
      </w:r>
      <w:r>
        <w:rPr>
          <w:rFonts w:ascii="宋体" w:hAnsi="宋体" w:cs="宋体" w:eastAsia="宋体" w:hint="default"/>
        </w:rPr>
        <w:t>2016</w:t>
      </w:r>
      <w:r>
        <w:rPr>
          <w:rFonts w:ascii="宋体" w:hAnsi="宋体" w:cs="宋体" w:eastAsia="宋体" w:hint="default"/>
          <w:spacing w:val="-31"/>
        </w:rPr>
        <w:t> </w:t>
      </w:r>
      <w:r>
        <w:rPr/>
        <w:t>年要力争成为爱奇艺</w:t>
      </w:r>
      <w:r>
        <w:rPr>
          <w:spacing w:val="-96"/>
        </w:rPr>
        <w:t> </w:t>
      </w:r>
      <w:r>
        <w:rPr>
          <w:spacing w:val="-96"/>
        </w:rPr>
      </w:r>
      <w:r>
        <w:rPr/>
        <w:t>媒体的</w:t>
      </w:r>
      <w:r>
        <w:rPr>
          <w:spacing w:val="-54"/>
        </w:rPr>
        <w:t> </w:t>
      </w:r>
      <w:r>
        <w:rPr>
          <w:rFonts w:ascii="宋体" w:hAnsi="宋体" w:cs="宋体" w:eastAsia="宋体" w:hint="default"/>
        </w:rPr>
        <w:t>Top</w:t>
      </w:r>
      <w:r>
        <w:rPr>
          <w:rFonts w:ascii="宋体" w:hAnsi="宋体" w:cs="宋体" w:eastAsia="宋体" w:hint="default"/>
          <w:spacing w:val="-56"/>
        </w:rPr>
        <w:t> </w:t>
      </w:r>
      <w:r>
        <w:rPr/>
        <w:t>前三代理商。</w:t>
      </w:r>
      <w:r>
        <w:rPr>
          <w:rFonts w:ascii="宋体" w:hAnsi="宋体" w:cs="宋体" w:eastAsia="宋体" w:hint="default"/>
        </w:rPr>
        <w:t>2016</w:t>
      </w:r>
      <w:r>
        <w:rPr>
          <w:rFonts w:ascii="宋体" w:hAnsi="宋体" w:cs="宋体" w:eastAsia="宋体" w:hint="default"/>
          <w:spacing w:val="-54"/>
        </w:rPr>
        <w:t> </w:t>
      </w:r>
      <w:r>
        <w:rPr/>
        <w:t>年派瑞威行将继续扩大</w:t>
      </w:r>
      <w:r>
        <w:rPr>
          <w:spacing w:val="-53"/>
        </w:rPr>
        <w:t> </w:t>
      </w:r>
      <w:r>
        <w:rPr>
          <w:rFonts w:ascii="宋体" w:hAnsi="宋体" w:cs="宋体" w:eastAsia="宋体" w:hint="default"/>
        </w:rPr>
        <w:t>360</w:t>
      </w:r>
      <w:r>
        <w:rPr/>
        <w:t>、搜狗等媒体的核心优势和销售规模。</w:t>
      </w:r>
      <w:r>
        <w:rPr>
          <w:w w:val="100"/>
        </w:rPr>
        <w:t> </w:t>
      </w:r>
      <w:r>
        <w:rPr/>
        <w:t>同时将神马、百度等媒体纳入销售范畴中，实现搜索深入化布局。</w:t>
      </w:r>
    </w:p>
    <w:p>
      <w:pPr>
        <w:pStyle w:val="BodyText"/>
        <w:spacing w:line="314" w:lineRule="auto"/>
        <w:ind w:right="157" w:firstLine="419"/>
        <w:jc w:val="both"/>
      </w:pPr>
      <w:r>
        <w:rPr>
          <w:spacing w:val="-2"/>
        </w:rPr>
        <w:t>资产重组后，公司可以依托自身管理优势，并利用上市公司的平台优势，对标的公司提供规</w:t>
      </w:r>
      <w:r>
        <w:rPr>
          <w:w w:val="100"/>
        </w:rPr>
        <w:t> </w:t>
      </w:r>
      <w:r>
        <w:rPr>
          <w:spacing w:val="-2"/>
        </w:rPr>
        <w:t>范运作、投融资、吸引及激励人才等多方面的支持。同时，对新业务，公司将继续关注合适的并</w:t>
      </w:r>
      <w:r>
        <w:rPr>
          <w:spacing w:val="-25"/>
        </w:rPr>
        <w:t> </w:t>
      </w:r>
      <w:r>
        <w:rPr>
          <w:spacing w:val="-25"/>
        </w:rPr>
      </w:r>
      <w:r>
        <w:rPr>
          <w:spacing w:val="-2"/>
        </w:rPr>
        <w:t>购机会，通过并购相关标的，延伸公司在该行业的产业链，提高公司在该行业的整体服务能力与</w:t>
      </w:r>
      <w:r>
        <w:rPr>
          <w:spacing w:val="-25"/>
        </w:rPr>
        <w:t> </w:t>
      </w:r>
      <w:r>
        <w:rPr>
          <w:spacing w:val="-25"/>
        </w:rPr>
      </w:r>
      <w:r>
        <w:rPr/>
        <w:t>竞争实力，切实实现资产重组的协同效应。</w:t>
      </w:r>
    </w:p>
    <w:p>
      <w:pPr>
        <w:pStyle w:val="Heading2"/>
        <w:spacing w:line="240" w:lineRule="auto" w:before="20"/>
        <w:ind w:left="560" w:right="0"/>
        <w:jc w:val="left"/>
        <w:rPr>
          <w:b w:val="0"/>
          <w:bCs w:val="0"/>
        </w:rPr>
      </w:pPr>
      <w:r>
        <w:rPr>
          <w:rFonts w:ascii="宋体" w:hAnsi="宋体" w:cs="宋体" w:eastAsia="宋体" w:hint="default"/>
        </w:rPr>
        <w:t>2</w:t>
      </w:r>
      <w:r>
        <w:rPr/>
        <w:t>、基础设施建设</w:t>
      </w:r>
      <w:r>
        <w:rPr>
          <w:b w:val="0"/>
          <w:bCs w:val="0"/>
        </w:rPr>
      </w:r>
    </w:p>
    <w:p>
      <w:pPr>
        <w:pStyle w:val="BodyText"/>
        <w:spacing w:line="314" w:lineRule="auto" w:before="85"/>
        <w:ind w:right="146" w:firstLine="419"/>
        <w:jc w:val="both"/>
      </w:pPr>
      <w:r>
        <w:rPr>
          <w:rFonts w:ascii="宋体" w:hAnsi="宋体" w:cs="宋体" w:eastAsia="宋体" w:hint="default"/>
        </w:rPr>
        <w:t>2016</w:t>
      </w:r>
      <w:r>
        <w:rPr>
          <w:rFonts w:ascii="宋体" w:hAnsi="宋体" w:cs="宋体" w:eastAsia="宋体" w:hint="default"/>
          <w:spacing w:val="-4"/>
        </w:rPr>
        <w:t> </w:t>
      </w:r>
      <w:r>
        <w:rPr>
          <w:spacing w:val="-3"/>
        </w:rPr>
        <w:t>年，将立足东营本地市场，有重点的开拓省外市场。继续加强基础管理工作，在确保质</w:t>
      </w:r>
      <w:r>
        <w:rPr>
          <w:w w:val="100"/>
        </w:rPr>
        <w:t> </w:t>
      </w:r>
      <w:r>
        <w:rPr>
          <w:spacing w:val="-2"/>
        </w:rPr>
        <w:t>量、安全、进度的情况下，深化推行“价本分离”成本控制模式，并结合公司信息化系统，建立</w:t>
      </w:r>
      <w:r>
        <w:rPr>
          <w:spacing w:val="-25"/>
        </w:rPr>
        <w:t> </w:t>
      </w:r>
      <w:r>
        <w:rPr>
          <w:spacing w:val="-25"/>
        </w:rPr>
      </w:r>
      <w:r>
        <w:rPr/>
        <w:t>网络化的“价本分离”管理体系，进一步降低工程成本，提高项目盈利能力。</w:t>
      </w:r>
    </w:p>
    <w:p>
      <w:pPr>
        <w:spacing w:after="0" w:line="314" w:lineRule="auto"/>
        <w:jc w:val="both"/>
        <w:sectPr>
          <w:footerReference w:type="default" r:id="rId23"/>
          <w:pgSz w:w="11910" w:h="16840"/>
          <w:pgMar w:footer="1193" w:header="855" w:top="1280" w:bottom="1380" w:left="1660" w:right="1120"/>
          <w:pgNumType w:start="31"/>
        </w:sectPr>
      </w:pPr>
    </w:p>
    <w:p>
      <w:pPr>
        <w:spacing w:line="240" w:lineRule="auto" w:before="9"/>
        <w:rPr>
          <w:rFonts w:ascii="宋体" w:hAnsi="宋体" w:cs="宋体" w:eastAsia="宋体" w:hint="default"/>
          <w:sz w:val="18"/>
          <w:szCs w:val="18"/>
        </w:rPr>
      </w:pPr>
    </w:p>
    <w:p>
      <w:pPr>
        <w:pStyle w:val="BodyText"/>
        <w:spacing w:line="314" w:lineRule="auto" w:before="36"/>
        <w:ind w:left="558" w:right="0" w:firstLine="2"/>
        <w:jc w:val="left"/>
      </w:pPr>
      <w:r>
        <w:rPr>
          <w:rFonts w:ascii="宋体" w:hAnsi="宋体" w:cs="宋体" w:eastAsia="宋体" w:hint="default"/>
          <w:b/>
          <w:bCs/>
        </w:rPr>
        <w:t>3</w:t>
      </w:r>
      <w:r>
        <w:rPr>
          <w:rFonts w:ascii="宋体" w:hAnsi="宋体" w:cs="宋体" w:eastAsia="宋体" w:hint="default"/>
          <w:b/>
          <w:bCs/>
        </w:rPr>
        <w:t>、房地产开发业务</w:t>
      </w:r>
      <w:r>
        <w:rPr>
          <w:rFonts w:ascii="宋体" w:hAnsi="宋体" w:cs="宋体" w:eastAsia="宋体" w:hint="default"/>
          <w:b/>
          <w:bCs/>
          <w:w w:val="100"/>
        </w:rPr>
        <w:t> </w:t>
      </w:r>
      <w:r>
        <w:rPr>
          <w:spacing w:val="-7"/>
        </w:rPr>
        <w:t>目前，公司房地产开发业务主要包括科英置业“科达·府左华苑”项目、青岛置业“科达·天</w:t>
      </w:r>
    </w:p>
    <w:p>
      <w:pPr>
        <w:pStyle w:val="BodyText"/>
        <w:spacing w:line="314" w:lineRule="auto"/>
        <w:ind w:right="145"/>
        <w:jc w:val="both"/>
      </w:pPr>
      <w:r>
        <w:rPr>
          <w:spacing w:val="-3"/>
        </w:rPr>
        <w:t>意华苑”项目、滨州置业“科达·璟致湾城”项目。</w:t>
      </w:r>
      <w:r>
        <w:rPr>
          <w:rFonts w:ascii="宋体" w:hAnsi="宋体" w:cs="宋体" w:eastAsia="宋体" w:hint="default"/>
          <w:spacing w:val="-3"/>
        </w:rPr>
        <w:t>2016</w:t>
      </w:r>
      <w:r>
        <w:rPr>
          <w:rFonts w:ascii="宋体" w:hAnsi="宋体" w:cs="宋体" w:eastAsia="宋体" w:hint="default"/>
          <w:spacing w:val="-30"/>
        </w:rPr>
        <w:t> </w:t>
      </w:r>
      <w:r>
        <w:rPr/>
        <w:t>年，公司将多措并举快速降低房地产业</w:t>
      </w:r>
      <w:r>
        <w:rPr>
          <w:spacing w:val="-95"/>
        </w:rPr>
        <w:t> </w:t>
      </w:r>
      <w:r>
        <w:rPr>
          <w:spacing w:val="-95"/>
        </w:rPr>
      </w:r>
      <w:r>
        <w:rPr/>
        <w:t>务的库存，以回笼资金。</w:t>
      </w:r>
    </w:p>
    <w:p>
      <w:pPr>
        <w:pStyle w:val="Heading2"/>
        <w:spacing w:line="314" w:lineRule="auto" w:before="20"/>
        <w:ind w:left="138" w:right="148" w:firstLine="422"/>
        <w:jc w:val="both"/>
        <w:rPr>
          <w:b w:val="0"/>
          <w:bCs w:val="0"/>
        </w:rPr>
      </w:pPr>
      <w:r>
        <w:rPr>
          <w:spacing w:val="-1"/>
        </w:rPr>
        <w:t>该经营计划并不构成公司对投资者的业绩承诺，请投资者对此保持足够的风险意识，并且应</w:t>
      </w:r>
      <w:r>
        <w:rPr>
          <w:w w:val="100"/>
        </w:rPr>
        <w:t> </w:t>
      </w:r>
      <w:r>
        <w:rPr/>
        <w:t>当理解经营计划与业绩承诺之间的差异。</w:t>
      </w:r>
      <w:r>
        <w:rPr>
          <w:b w:val="0"/>
          <w:bCs w:val="0"/>
        </w:rPr>
      </w:r>
    </w:p>
    <w:p>
      <w:pPr>
        <w:pStyle w:val="BodyText"/>
        <w:spacing w:line="314" w:lineRule="auto"/>
        <w:ind w:right="145" w:firstLine="419"/>
        <w:jc w:val="both"/>
      </w:pPr>
      <w:r>
        <w:rPr>
          <w:rFonts w:ascii="宋体" w:hAnsi="宋体" w:cs="宋体" w:eastAsia="宋体" w:hint="default"/>
        </w:rPr>
        <w:t>2016</w:t>
      </w:r>
      <w:r>
        <w:rPr>
          <w:rFonts w:ascii="宋体" w:hAnsi="宋体" w:cs="宋体" w:eastAsia="宋体" w:hint="default"/>
          <w:spacing w:val="-46"/>
        </w:rPr>
        <w:t> </w:t>
      </w:r>
      <w:r>
        <w:rPr/>
        <w:t>年公司资金需求总额约为</w:t>
      </w:r>
      <w:r>
        <w:rPr>
          <w:spacing w:val="-42"/>
        </w:rPr>
        <w:t> </w:t>
      </w:r>
      <w:r>
        <w:rPr>
          <w:rFonts w:ascii="宋体" w:hAnsi="宋体" w:cs="宋体" w:eastAsia="宋体" w:hint="default"/>
        </w:rPr>
        <w:t>51.21</w:t>
      </w:r>
      <w:r>
        <w:rPr>
          <w:rFonts w:ascii="宋体" w:hAnsi="宋体" w:cs="宋体" w:eastAsia="宋体" w:hint="default"/>
          <w:spacing w:val="-46"/>
        </w:rPr>
        <w:t> </w:t>
      </w:r>
      <w:r>
        <w:rPr>
          <w:spacing w:val="-3"/>
        </w:rPr>
        <w:t>亿元。为满足经营所需资金，公司将通过以下三个途径</w:t>
      </w:r>
      <w:r>
        <w:rPr>
          <w:w w:val="100"/>
        </w:rPr>
        <w:t> </w:t>
      </w:r>
      <w:r>
        <w:rPr>
          <w:spacing w:val="-2"/>
        </w:rPr>
        <w:t>解决：一是加快科英置业“科达·府左华苑”项目、青岛置业“科达·天意华苑”项目、滨州置</w:t>
      </w:r>
      <w:r>
        <w:rPr>
          <w:spacing w:val="-25"/>
        </w:rPr>
        <w:t> </w:t>
      </w:r>
      <w:r>
        <w:rPr>
          <w:spacing w:val="-25"/>
        </w:rPr>
      </w:r>
      <w:r>
        <w:rPr>
          <w:spacing w:val="-2"/>
        </w:rPr>
        <w:t>业“科达·璟致湾城”项目建设，积极进行销售，回笼资金；二是加大路桥施工项目工程款回收</w:t>
      </w:r>
      <w:r>
        <w:rPr>
          <w:spacing w:val="-25"/>
        </w:rPr>
        <w:t> </w:t>
      </w:r>
      <w:r>
        <w:rPr>
          <w:spacing w:val="-25"/>
        </w:rPr>
      </w:r>
      <w:r>
        <w:rPr>
          <w:spacing w:val="-2"/>
        </w:rPr>
        <w:t>力度；三是利用自身良好的资信，向银行积极申请贷款；四是缩短互联网行业各企业应收款回收</w:t>
      </w:r>
      <w:r>
        <w:rPr>
          <w:spacing w:val="-25"/>
        </w:rPr>
        <w:t> </w:t>
      </w:r>
      <w:r>
        <w:rPr>
          <w:spacing w:val="-25"/>
        </w:rPr>
      </w:r>
      <w:r>
        <w:rPr/>
        <w:t>周期，加快资金周转。</w:t>
      </w:r>
    </w:p>
    <w:p>
      <w:pPr>
        <w:pStyle w:val="Heading2"/>
        <w:spacing w:line="285" w:lineRule="auto" w:before="20"/>
        <w:ind w:left="558" w:right="5925"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7"/>
        </w:rPr>
        <w:t> </w:t>
      </w:r>
      <w:r>
        <w:rPr/>
        <w:t>可能面对的风险</w:t>
      </w:r>
      <w:r>
        <w:rPr>
          <w:spacing w:val="-102"/>
        </w:rPr>
        <w:t> </w:t>
      </w:r>
      <w:r>
        <w:rPr>
          <w:rFonts w:ascii="宋体" w:hAnsi="宋体" w:cs="宋体" w:eastAsia="宋体" w:hint="default"/>
          <w:spacing w:val="-1"/>
        </w:rPr>
        <w:t>1</w:t>
      </w:r>
      <w:r>
        <w:rPr>
          <w:spacing w:val="-1"/>
        </w:rPr>
        <w:t>、公司治理风险和整合风险</w:t>
      </w:r>
      <w:r>
        <w:rPr>
          <w:b w:val="0"/>
          <w:bCs w:val="0"/>
          <w:spacing w:val="-1"/>
        </w:rPr>
      </w:r>
    </w:p>
    <w:p>
      <w:pPr>
        <w:pStyle w:val="BodyText"/>
        <w:spacing w:line="314" w:lineRule="auto" w:before="45"/>
        <w:ind w:right="157" w:firstLine="419"/>
        <w:jc w:val="both"/>
      </w:pPr>
      <w:r>
        <w:rPr>
          <w:spacing w:val="-2"/>
        </w:rPr>
        <w:t>公司通过资产重组新增五家互联网营销子公司，管理、协调和信息披露工作量及工作难度大</w:t>
      </w:r>
      <w:r>
        <w:rPr>
          <w:w w:val="100"/>
        </w:rPr>
        <w:t> </w:t>
      </w:r>
      <w:r>
        <w:rPr>
          <w:spacing w:val="-2"/>
        </w:rPr>
        <w:t>幅增加。公司将依据有关法律法规的要求进一步完善公司法人治理结构，维护上市公司及中小股</w:t>
      </w:r>
      <w:r>
        <w:rPr>
          <w:spacing w:val="-25"/>
        </w:rPr>
        <w:t> </w:t>
      </w:r>
      <w:r>
        <w:rPr>
          <w:spacing w:val="-25"/>
        </w:rPr>
      </w:r>
      <w:r>
        <w:rPr/>
        <w:t>东的利益。若公司不能加强合规管理，则可能面临公司治理失效的风险。</w:t>
      </w:r>
    </w:p>
    <w:p>
      <w:pPr>
        <w:pStyle w:val="BodyText"/>
        <w:spacing w:line="314" w:lineRule="auto"/>
        <w:ind w:right="157" w:firstLine="419"/>
        <w:jc w:val="both"/>
      </w:pPr>
      <w:r>
        <w:rPr>
          <w:spacing w:val="-2"/>
        </w:rPr>
        <w:t>今年，上市公司主营业务新增“互联网营销”业务板块，而五家标的公司的并入也成为上市</w:t>
      </w:r>
      <w:r>
        <w:rPr>
          <w:w w:val="100"/>
        </w:rPr>
        <w:t> </w:t>
      </w:r>
      <w:r>
        <w:rPr>
          <w:spacing w:val="-2"/>
        </w:rPr>
        <w:t>公司进入互联网营销市场重要的一步。本次交易的五家标的公司分别涉足互联网营销产业链的不</w:t>
      </w:r>
      <w:r>
        <w:rPr>
          <w:spacing w:val="-25"/>
        </w:rPr>
        <w:t> </w:t>
      </w:r>
      <w:r>
        <w:rPr>
          <w:spacing w:val="-25"/>
        </w:rPr>
      </w:r>
      <w:r>
        <w:rPr>
          <w:spacing w:val="-2"/>
        </w:rPr>
        <w:t>同领域，通过并入上市公司，各标的之间将相互补充，形成协同效应，有效的促进业务的发展，</w:t>
      </w:r>
      <w:r>
        <w:rPr>
          <w:spacing w:val="-25"/>
        </w:rPr>
        <w:t> </w:t>
      </w:r>
      <w:r>
        <w:rPr>
          <w:spacing w:val="-25"/>
        </w:rPr>
      </w:r>
      <w:r>
        <w:rPr>
          <w:spacing w:val="-2"/>
        </w:rPr>
        <w:t>但上市公司能否合理加以利用，并实现整合后的协同效应最大化，以及整合所需时间存在一定不</w:t>
      </w:r>
      <w:r>
        <w:rPr>
          <w:spacing w:val="-25"/>
        </w:rPr>
        <w:t> </w:t>
      </w:r>
      <w:r>
        <w:rPr>
          <w:spacing w:val="-25"/>
        </w:rPr>
      </w:r>
      <w:r>
        <w:rPr/>
        <w:t>确定性。</w:t>
      </w:r>
    </w:p>
    <w:p>
      <w:pPr>
        <w:pStyle w:val="BodyText"/>
        <w:spacing w:line="314" w:lineRule="auto"/>
        <w:ind w:left="558" w:right="0" w:firstLine="62"/>
        <w:jc w:val="left"/>
      </w:pPr>
      <w:r>
        <w:rPr>
          <w:rFonts w:ascii="宋体" w:hAnsi="宋体" w:cs="宋体" w:eastAsia="宋体" w:hint="default"/>
          <w:b/>
          <w:bCs/>
        </w:rPr>
        <w:t>2</w:t>
      </w:r>
      <w:r>
        <w:rPr>
          <w:rFonts w:ascii="宋体" w:hAnsi="宋体" w:cs="宋体" w:eastAsia="宋体" w:hint="default"/>
          <w:b/>
          <w:bCs/>
        </w:rPr>
        <w:t>、业务转型的风险</w:t>
      </w:r>
      <w:r>
        <w:rPr>
          <w:rFonts w:ascii="宋体" w:hAnsi="宋体" w:cs="宋体" w:eastAsia="宋体" w:hint="default"/>
          <w:b/>
          <w:bCs/>
          <w:w w:val="100"/>
        </w:rPr>
        <w:t> </w:t>
      </w:r>
      <w:r>
        <w:rPr>
          <w:spacing w:val="-2"/>
        </w:rPr>
        <w:t>报告期内，公司新增互联网营销业务，互联网营销行业作为一个迅速崛起的新兴行业，具有</w:t>
      </w:r>
    </w:p>
    <w:p>
      <w:pPr>
        <w:pStyle w:val="BodyText"/>
        <w:spacing w:line="314" w:lineRule="auto"/>
        <w:ind w:right="157"/>
        <w:jc w:val="both"/>
      </w:pPr>
      <w:r>
        <w:rPr>
          <w:spacing w:val="-2"/>
        </w:rPr>
        <w:t>行业变化快、技术要求高、人才资源紧缺、对媒体和客户资源依赖高等特点，与上市公司原有业</w:t>
      </w:r>
      <w:r>
        <w:rPr>
          <w:spacing w:val="-25"/>
        </w:rPr>
        <w:t> </w:t>
      </w:r>
      <w:r>
        <w:rPr>
          <w:spacing w:val="-25"/>
        </w:rPr>
      </w:r>
      <w:r>
        <w:rPr>
          <w:spacing w:val="-2"/>
        </w:rPr>
        <w:t>务的行业特点、经营模式、管理方法存在较大差异。上市公司对新业务在人才、技术、客户和媒</w:t>
      </w:r>
      <w:r>
        <w:rPr>
          <w:spacing w:val="-25"/>
        </w:rPr>
        <w:t> </w:t>
      </w:r>
      <w:r>
        <w:rPr>
          <w:spacing w:val="-25"/>
        </w:rPr>
      </w:r>
      <w:r>
        <w:rPr/>
        <w:t>体资源等方面缺少积累。若不能采取有效措施适应上述变化，公司可能面临业务转型风险。</w:t>
      </w:r>
    </w:p>
    <w:p>
      <w:pPr>
        <w:pStyle w:val="BodyText"/>
        <w:spacing w:line="314" w:lineRule="auto"/>
        <w:ind w:left="558" w:right="145" w:firstLine="2"/>
        <w:jc w:val="left"/>
      </w:pPr>
      <w:r>
        <w:rPr>
          <w:rFonts w:ascii="宋体" w:hAnsi="宋体" w:cs="宋体" w:eastAsia="宋体" w:hint="default"/>
          <w:b/>
          <w:bCs/>
        </w:rPr>
        <w:t>3</w:t>
      </w:r>
      <w:r>
        <w:rPr>
          <w:rFonts w:ascii="宋体" w:hAnsi="宋体" w:cs="宋体" w:eastAsia="宋体" w:hint="default"/>
          <w:b/>
          <w:bCs/>
        </w:rPr>
        <w:t>、商誉减值风险</w:t>
      </w:r>
      <w:r>
        <w:rPr>
          <w:rFonts w:ascii="宋体" w:hAnsi="宋体" w:cs="宋体" w:eastAsia="宋体" w:hint="default"/>
          <w:b/>
          <w:bCs/>
          <w:w w:val="100"/>
        </w:rPr>
        <w:t> </w:t>
      </w:r>
      <w:r>
        <w:rPr>
          <w:spacing w:val="-3"/>
        </w:rPr>
        <w:t>公司发行股份及支付现金购买百孚思、华邑众为、上海同立、雨林木风、派瑞威行</w:t>
      </w:r>
      <w:r>
        <w:rPr>
          <w:spacing w:val="6"/>
        </w:rPr>
        <w:t> </w:t>
      </w:r>
      <w:r>
        <w:rPr>
          <w:rFonts w:ascii="宋体" w:hAnsi="宋体" w:cs="宋体" w:eastAsia="宋体" w:hint="default"/>
        </w:rPr>
        <w:t>100%</w:t>
      </w:r>
      <w:r>
        <w:rPr/>
        <w:t>股权</w:t>
      </w:r>
    </w:p>
    <w:p>
      <w:pPr>
        <w:pStyle w:val="BodyText"/>
        <w:spacing w:line="314" w:lineRule="auto"/>
        <w:ind w:right="145"/>
        <w:jc w:val="both"/>
      </w:pPr>
      <w:r>
        <w:rPr>
          <w:spacing w:val="-6"/>
        </w:rPr>
        <w:t>形成非同一控制下企业合并，在公司合并资产负债表增加较大金额的商誉。根据《企业会计准则》</w:t>
      </w:r>
      <w:r>
        <w:rPr>
          <w:spacing w:val="-52"/>
        </w:rPr>
        <w:t> </w:t>
      </w:r>
      <w:r>
        <w:rPr>
          <w:spacing w:val="-52"/>
        </w:rPr>
      </w:r>
      <w:r>
        <w:rPr>
          <w:spacing w:val="-2"/>
        </w:rPr>
        <w:t>规定，本次交易形成的商誉不作摊销处理，但需在未来每年年度终了时做减值测试。未来包括但</w:t>
      </w:r>
      <w:r>
        <w:rPr>
          <w:spacing w:val="-25"/>
        </w:rPr>
        <w:t> </w:t>
      </w:r>
      <w:r>
        <w:rPr>
          <w:spacing w:val="-25"/>
        </w:rPr>
      </w:r>
      <w:r>
        <w:rPr>
          <w:spacing w:val="-2"/>
        </w:rPr>
        <w:t>不限于宏观经济形势及市场行情的恶化，广告主需求变化、行业竞争加剧以及国家法律法规及产</w:t>
      </w:r>
      <w:r>
        <w:rPr>
          <w:spacing w:val="-25"/>
        </w:rPr>
        <w:t> </w:t>
      </w:r>
      <w:r>
        <w:rPr>
          <w:spacing w:val="-25"/>
        </w:rPr>
      </w:r>
      <w:r>
        <w:rPr>
          <w:spacing w:val="-2"/>
        </w:rPr>
        <w:t>业政策的变化等均可能对标的公司的经营业绩造成影响，进而公司存在商誉减值的风险，从而对</w:t>
      </w:r>
      <w:r>
        <w:rPr>
          <w:spacing w:val="-25"/>
        </w:rPr>
        <w:t> </w:t>
      </w:r>
      <w:r>
        <w:rPr>
          <w:spacing w:val="-25"/>
        </w:rPr>
      </w:r>
      <w:r>
        <w:rPr/>
        <w:t>公司当期损益造成不利影响。</w:t>
      </w:r>
    </w:p>
    <w:p>
      <w:pPr>
        <w:pStyle w:val="BodyText"/>
        <w:spacing w:line="314" w:lineRule="auto"/>
        <w:ind w:left="558" w:right="0" w:firstLine="2"/>
        <w:jc w:val="left"/>
      </w:pPr>
      <w:r>
        <w:rPr>
          <w:rFonts w:ascii="宋体" w:hAnsi="宋体" w:cs="宋体" w:eastAsia="宋体" w:hint="default"/>
          <w:b/>
          <w:bCs/>
        </w:rPr>
        <w:t>4</w:t>
      </w:r>
      <w:r>
        <w:rPr>
          <w:rFonts w:ascii="宋体" w:hAnsi="宋体" w:cs="宋体" w:eastAsia="宋体" w:hint="default"/>
          <w:b/>
          <w:bCs/>
        </w:rPr>
        <w:t>、宏观政策风险</w:t>
      </w:r>
      <w:r>
        <w:rPr>
          <w:rFonts w:ascii="宋体" w:hAnsi="宋体" w:cs="宋体" w:eastAsia="宋体" w:hint="default"/>
          <w:b/>
          <w:bCs/>
          <w:w w:val="100"/>
        </w:rPr>
        <w:t> </w:t>
      </w:r>
      <w:r>
        <w:rPr>
          <w:spacing w:val="-2"/>
        </w:rPr>
        <w:t>公司的基础设施建设施工项目为国家和地方政府投资项目，受国家宏观政策调控的影响最直</w:t>
      </w:r>
    </w:p>
    <w:p>
      <w:pPr>
        <w:pStyle w:val="BodyText"/>
        <w:spacing w:line="314" w:lineRule="auto"/>
        <w:ind w:right="145"/>
        <w:jc w:val="both"/>
      </w:pPr>
      <w:r>
        <w:rPr>
          <w:spacing w:val="-2"/>
        </w:rPr>
        <w:t>接。国家一旦压缩对基础设施建设的投资比例，将严重影响公司未来施工业务量。</w:t>
      </w:r>
      <w:r>
        <w:rPr>
          <w:rFonts w:ascii="宋体" w:hAnsi="宋体" w:cs="宋体" w:eastAsia="宋体" w:hint="default"/>
          <w:spacing w:val="-2"/>
        </w:rPr>
        <w:t>2016</w:t>
      </w:r>
      <w:r>
        <w:rPr>
          <w:rFonts w:ascii="宋体" w:hAnsi="宋体" w:cs="宋体" w:eastAsia="宋体" w:hint="default"/>
          <w:spacing w:val="-17"/>
        </w:rPr>
        <w:t> </w:t>
      </w:r>
      <w:r>
        <w:rPr>
          <w:spacing w:val="-4"/>
        </w:rPr>
        <w:t>年，国家</w:t>
      </w:r>
      <w:r>
        <w:rPr>
          <w:spacing w:val="-91"/>
        </w:rPr>
        <w:t> </w:t>
      </w:r>
      <w:r>
        <w:rPr>
          <w:spacing w:val="-91"/>
        </w:rPr>
      </w:r>
      <w:r>
        <w:rPr>
          <w:spacing w:val="-2"/>
        </w:rPr>
        <w:t>对房地产行业的调控趋向将更加注重长效机制的建设和调控的市场化，政策风险仍然不能忽视。</w:t>
      </w:r>
    </w:p>
    <w:p>
      <w:pPr>
        <w:spacing w:after="0" w:line="314" w:lineRule="auto"/>
        <w:jc w:val="both"/>
        <w:sectPr>
          <w:pgSz w:w="11910" w:h="16840"/>
          <w:pgMar w:header="855" w:footer="1193" w:top="1280" w:bottom="1380" w:left="1660" w:right="1120"/>
        </w:sectPr>
      </w:pPr>
    </w:p>
    <w:p>
      <w:pPr>
        <w:spacing w:line="240" w:lineRule="auto" w:before="9"/>
        <w:rPr>
          <w:rFonts w:ascii="宋体" w:hAnsi="宋体" w:cs="宋体" w:eastAsia="宋体" w:hint="default"/>
          <w:sz w:val="18"/>
          <w:szCs w:val="18"/>
        </w:rPr>
      </w:pPr>
    </w:p>
    <w:p>
      <w:pPr>
        <w:pStyle w:val="BodyText"/>
        <w:spacing w:line="314" w:lineRule="auto" w:before="36"/>
        <w:ind w:right="0"/>
        <w:jc w:val="left"/>
      </w:pPr>
      <w:r>
        <w:rPr>
          <w:spacing w:val="-6"/>
        </w:rPr>
        <w:t>公司将密切关注国家政策的变化，加强政策调研，把握国家经济形势的变化，及时采取应对措施，</w:t>
      </w:r>
      <w:r>
        <w:rPr>
          <w:spacing w:val="-51"/>
        </w:rPr>
        <w:t> </w:t>
      </w:r>
      <w:r>
        <w:rPr>
          <w:spacing w:val="-51"/>
        </w:rPr>
      </w:r>
      <w:r>
        <w:rPr/>
        <w:t>规避风险，趋利避害。</w:t>
      </w:r>
    </w:p>
    <w:p>
      <w:pPr>
        <w:pStyle w:val="BodyText"/>
        <w:spacing w:line="314" w:lineRule="auto"/>
        <w:ind w:left="558" w:right="0" w:firstLine="2"/>
        <w:jc w:val="left"/>
      </w:pPr>
      <w:r>
        <w:rPr>
          <w:rFonts w:ascii="宋体" w:hAnsi="宋体" w:cs="宋体" w:eastAsia="宋体" w:hint="default"/>
          <w:b/>
          <w:bCs/>
        </w:rPr>
        <w:t>5</w:t>
      </w:r>
      <w:r>
        <w:rPr>
          <w:rFonts w:ascii="宋体" w:hAnsi="宋体" w:cs="宋体" w:eastAsia="宋体" w:hint="default"/>
          <w:b/>
          <w:bCs/>
        </w:rPr>
        <w:t>、财务风险</w:t>
      </w:r>
      <w:r>
        <w:rPr>
          <w:rFonts w:ascii="宋体" w:hAnsi="宋体" w:cs="宋体" w:eastAsia="宋体" w:hint="default"/>
          <w:b/>
          <w:bCs/>
          <w:w w:val="100"/>
        </w:rPr>
        <w:t> </w:t>
      </w:r>
      <w:r>
        <w:rPr>
          <w:spacing w:val="-2"/>
        </w:rPr>
        <w:t>随着公司业务规模的不断扩大，资金需求量增加。公司将加大应收款回收力度，提高应收款</w:t>
      </w:r>
    </w:p>
    <w:p>
      <w:pPr>
        <w:spacing w:line="314" w:lineRule="auto" w:before="20"/>
        <w:ind w:left="560" w:right="5202" w:hanging="423"/>
        <w:jc w:val="left"/>
        <w:rPr>
          <w:rFonts w:ascii="宋体" w:hAnsi="宋体" w:cs="宋体" w:eastAsia="宋体" w:hint="default"/>
          <w:sz w:val="21"/>
          <w:szCs w:val="21"/>
        </w:rPr>
      </w:pPr>
      <w:r>
        <w:rPr>
          <w:rFonts w:ascii="宋体" w:hAnsi="宋体" w:cs="宋体" w:eastAsia="宋体" w:hint="default"/>
          <w:spacing w:val="-2"/>
          <w:sz w:val="21"/>
          <w:szCs w:val="21"/>
        </w:rPr>
        <w:t>的周转速度，尽可能的降低财务费用。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、行业竞争风险</w:t>
      </w:r>
      <w:r>
        <w:rPr>
          <w:rFonts w:ascii="宋体" w:hAnsi="宋体" w:cs="宋体" w:eastAsia="宋体" w:hint="default"/>
          <w:sz w:val="21"/>
          <w:szCs w:val="21"/>
        </w:rPr>
      </w:r>
    </w:p>
    <w:p>
      <w:pPr>
        <w:pStyle w:val="BodyText"/>
        <w:spacing w:line="240" w:lineRule="auto"/>
        <w:ind w:left="558" w:right="0"/>
        <w:jc w:val="left"/>
      </w:pPr>
      <w:r>
        <w:rPr/>
        <w:t>公司所处行业均为公开竞争性行业，竞争激烈，因此利润率有逐年下降趋势。</w:t>
      </w:r>
    </w:p>
    <w:p>
      <w:pPr>
        <w:spacing w:after="0" w:line="240" w:lineRule="auto"/>
        <w:jc w:val="left"/>
        <w:sectPr>
          <w:pgSz w:w="11910" w:h="16840"/>
          <w:pgMar w:header="855" w:footer="1193" w:top="1280" w:bottom="1380" w:left="1660" w:right="1120"/>
        </w:sectPr>
      </w:pPr>
    </w:p>
    <w:p>
      <w:pPr>
        <w:spacing w:line="240" w:lineRule="auto" w:before="5"/>
        <w:rPr>
          <w:rFonts w:ascii="宋体" w:hAnsi="宋体" w:cs="宋体" w:eastAsia="宋体" w:hint="default"/>
          <w:sz w:val="13"/>
          <w:szCs w:val="13"/>
        </w:rPr>
      </w:pPr>
    </w:p>
    <w:p>
      <w:pPr>
        <w:pStyle w:val="Heading1"/>
        <w:tabs>
          <w:tab w:pos="1259" w:val="left" w:leader="none"/>
        </w:tabs>
        <w:spacing w:line="240" w:lineRule="auto"/>
        <w:ind w:right="7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238" w:right="85"/>
        <w:jc w:val="left"/>
        <w:rPr>
          <w:b w:val="0"/>
          <w:bCs w:val="0"/>
        </w:rPr>
      </w:pPr>
      <w:r>
        <w:rPr/>
        <w:t>一、普通股利润分配或资本公积金转增预案</w:t>
      </w:r>
      <w:r>
        <w:rPr>
          <w:b w:val="0"/>
          <w:bCs w:val="0"/>
        </w:rPr>
      </w:r>
    </w:p>
    <w:p>
      <w:pPr>
        <w:spacing w:line="324" w:lineRule="auto" w:before="58"/>
        <w:ind w:left="658" w:right="85"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2015</w:t>
      </w:r>
      <w:r>
        <w:rPr>
          <w:rFonts w:ascii="宋体" w:hAnsi="宋体" w:cs="宋体" w:eastAsia="宋体" w:hint="default"/>
          <w:spacing w:val="-2"/>
          <w:sz w:val="21"/>
          <w:szCs w:val="21"/>
        </w:rPr>
        <w:t>年</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20</w:t>
      </w:r>
      <w:r>
        <w:rPr>
          <w:rFonts w:ascii="宋体" w:hAnsi="宋体" w:cs="宋体" w:eastAsia="宋体" w:hint="default"/>
          <w:spacing w:val="-2"/>
          <w:sz w:val="21"/>
          <w:szCs w:val="21"/>
        </w:rPr>
        <w:t>日，公司召开第七届董事会第十一次会议，根据公司所处行业、公司发展阶段、</w:t>
      </w:r>
    </w:p>
    <w:p>
      <w:pPr>
        <w:pStyle w:val="BodyText"/>
        <w:spacing w:line="314" w:lineRule="auto" w:before="11"/>
        <w:ind w:left="238" w:right="737"/>
        <w:jc w:val="left"/>
      </w:pPr>
      <w:r>
        <w:rPr>
          <w:spacing w:val="-2"/>
        </w:rPr>
        <w:t>经营及投资计划及对未来盈利能力的预测，公司董事会制定并审议通过了《公司未来三年（</w:t>
      </w:r>
      <w:r>
        <w:rPr>
          <w:spacing w:val="-28"/>
        </w:rPr>
        <w:t> </w:t>
      </w:r>
      <w:r>
        <w:rPr>
          <w:spacing w:val="-28"/>
        </w:rPr>
      </w:r>
      <w:r>
        <w:rPr>
          <w:rFonts w:ascii="宋体" w:hAnsi="宋体" w:cs="宋体" w:eastAsia="宋体" w:hint="default"/>
        </w:rPr>
        <w:t>2015-2017</w:t>
      </w:r>
      <w:r>
        <w:rPr/>
        <w:t>）股东回报规划》，此议案已经公司</w:t>
      </w:r>
      <w:r>
        <w:rPr>
          <w:rFonts w:ascii="宋体" w:hAnsi="宋体" w:cs="宋体" w:eastAsia="宋体" w:hint="default"/>
        </w:rPr>
        <w:t>2015</w:t>
      </w:r>
      <w:r>
        <w:rPr/>
        <w:t>年第一次临时股东大会审议通过。</w:t>
      </w:r>
    </w:p>
    <w:p>
      <w:pPr>
        <w:pStyle w:val="BodyText"/>
        <w:spacing w:line="240" w:lineRule="auto"/>
        <w:ind w:left="0" w:right="29"/>
        <w:jc w:val="center"/>
      </w:pPr>
      <w:r>
        <w:rPr>
          <w:spacing w:val="-2"/>
        </w:rPr>
        <w:t>经北京天圆全会计师事务所</w:t>
      </w:r>
      <w:r>
        <w:rPr>
          <w:rFonts w:ascii="宋体" w:hAnsi="宋体" w:cs="宋体" w:eastAsia="宋体" w:hint="default"/>
          <w:spacing w:val="-2"/>
        </w:rPr>
        <w:t>(</w:t>
      </w:r>
      <w:r>
        <w:rPr>
          <w:spacing w:val="-2"/>
        </w:rPr>
        <w:t>特殊普通合伙</w:t>
      </w:r>
      <w:r>
        <w:rPr>
          <w:rFonts w:ascii="宋体" w:hAnsi="宋体" w:cs="宋体" w:eastAsia="宋体" w:hint="default"/>
          <w:spacing w:val="-2"/>
        </w:rPr>
        <w:t>)</w:t>
      </w:r>
      <w:r>
        <w:rPr>
          <w:spacing w:val="-2"/>
        </w:rPr>
        <w:t>审计，公司（母公司）</w:t>
      </w:r>
      <w:r>
        <w:rPr>
          <w:rFonts w:ascii="宋体" w:hAnsi="宋体" w:cs="宋体" w:eastAsia="宋体" w:hint="default"/>
          <w:spacing w:val="-2"/>
        </w:rPr>
        <w:t>2015</w:t>
      </w:r>
      <w:r>
        <w:rPr>
          <w:rFonts w:ascii="宋体" w:hAnsi="宋体" w:cs="宋体" w:eastAsia="宋体" w:hint="default"/>
          <w:spacing w:val="22"/>
        </w:rPr>
        <w:t> </w:t>
      </w:r>
      <w:r>
        <w:rPr>
          <w:spacing w:val="-2"/>
        </w:rPr>
        <w:t>年度实现净利润</w:t>
      </w:r>
    </w:p>
    <w:p>
      <w:pPr>
        <w:spacing w:before="73"/>
        <w:ind w:left="238" w:right="85" w:firstLine="0"/>
        <w:jc w:val="left"/>
        <w:rPr>
          <w:rFonts w:ascii="宋体" w:hAnsi="宋体" w:cs="宋体" w:eastAsia="宋体" w:hint="default"/>
          <w:sz w:val="21"/>
          <w:szCs w:val="21"/>
        </w:rPr>
      </w:pPr>
      <w:r>
        <w:rPr>
          <w:rFonts w:ascii="宋体" w:hAnsi="宋体" w:cs="宋体" w:eastAsia="宋体" w:hint="default"/>
          <w:sz w:val="22"/>
          <w:szCs w:val="22"/>
        </w:rPr>
        <w:t>69,429,062.07</w:t>
      </w:r>
      <w:r>
        <w:rPr>
          <w:rFonts w:ascii="宋体" w:hAnsi="宋体" w:cs="宋体" w:eastAsia="宋体" w:hint="default"/>
          <w:spacing w:val="-59"/>
          <w:sz w:val="22"/>
          <w:szCs w:val="22"/>
        </w:rPr>
        <w:t> </w:t>
      </w:r>
      <w:r>
        <w:rPr>
          <w:rFonts w:ascii="宋体" w:hAnsi="宋体" w:cs="宋体" w:eastAsia="宋体" w:hint="default"/>
          <w:sz w:val="21"/>
          <w:szCs w:val="21"/>
        </w:rPr>
        <w:t>元，按《公司章程》规定提取法定盈余公积金</w:t>
      </w:r>
      <w:r>
        <w:rPr>
          <w:rFonts w:ascii="宋体" w:hAnsi="宋体" w:cs="宋体" w:eastAsia="宋体" w:hint="default"/>
          <w:spacing w:val="-53"/>
          <w:sz w:val="21"/>
          <w:szCs w:val="21"/>
        </w:rPr>
        <w:t> </w:t>
      </w:r>
      <w:r>
        <w:rPr>
          <w:rFonts w:ascii="宋体" w:hAnsi="宋体" w:cs="宋体" w:eastAsia="宋体" w:hint="default"/>
          <w:sz w:val="21"/>
          <w:szCs w:val="21"/>
        </w:rPr>
        <w:t>6,942,906.21</w:t>
      </w:r>
      <w:r>
        <w:rPr>
          <w:rFonts w:ascii="宋体" w:hAnsi="宋体" w:cs="宋体" w:eastAsia="宋体" w:hint="default"/>
          <w:spacing w:val="-56"/>
          <w:sz w:val="21"/>
          <w:szCs w:val="21"/>
        </w:rPr>
        <w:t> </w:t>
      </w:r>
      <w:r>
        <w:rPr>
          <w:rFonts w:ascii="宋体" w:hAnsi="宋体" w:cs="宋体" w:eastAsia="宋体" w:hint="default"/>
          <w:sz w:val="21"/>
          <w:szCs w:val="21"/>
        </w:rPr>
        <w:t>元，加</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年期初</w:t>
      </w:r>
    </w:p>
    <w:p>
      <w:pPr>
        <w:pStyle w:val="BodyText"/>
        <w:spacing w:line="240" w:lineRule="auto" w:before="83"/>
        <w:ind w:left="238" w:right="85"/>
        <w:jc w:val="left"/>
      </w:pPr>
      <w:r>
        <w:rPr/>
        <w:t>未分配利润余额</w:t>
      </w:r>
      <w:r>
        <w:rPr>
          <w:spacing w:val="-55"/>
        </w:rPr>
        <w:t> </w:t>
      </w:r>
      <w:r>
        <w:rPr>
          <w:rFonts w:ascii="宋体" w:hAnsi="宋体" w:cs="宋体" w:eastAsia="宋体" w:hint="default"/>
        </w:rPr>
        <w:t>289,705,175.20</w:t>
      </w:r>
      <w:r>
        <w:rPr>
          <w:rFonts w:ascii="宋体" w:hAnsi="宋体" w:cs="宋体" w:eastAsia="宋体" w:hint="default"/>
          <w:spacing w:val="-54"/>
        </w:rPr>
        <w:t> </w:t>
      </w:r>
      <w:r>
        <w:rPr/>
        <w:t>元，截至</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日可供股东分配的利润为</w:t>
      </w:r>
    </w:p>
    <w:p>
      <w:pPr>
        <w:spacing w:before="74"/>
        <w:ind w:left="238" w:right="85" w:firstLine="0"/>
        <w:jc w:val="left"/>
        <w:rPr>
          <w:rFonts w:ascii="宋体" w:hAnsi="宋体" w:cs="宋体" w:eastAsia="宋体" w:hint="default"/>
          <w:sz w:val="21"/>
          <w:szCs w:val="21"/>
        </w:rPr>
      </w:pPr>
      <w:r>
        <w:rPr>
          <w:rFonts w:ascii="宋体" w:hAnsi="宋体" w:cs="宋体" w:eastAsia="宋体" w:hint="default"/>
          <w:sz w:val="22"/>
          <w:szCs w:val="22"/>
        </w:rPr>
        <w:t>352,191,331.06</w:t>
      </w:r>
      <w:r>
        <w:rPr>
          <w:rFonts w:ascii="宋体" w:hAnsi="宋体" w:cs="宋体" w:eastAsia="宋体" w:hint="default"/>
          <w:spacing w:val="-56"/>
          <w:sz w:val="22"/>
          <w:szCs w:val="22"/>
        </w:rPr>
        <w:t> </w:t>
      </w:r>
      <w:r>
        <w:rPr>
          <w:rFonts w:ascii="宋体" w:hAnsi="宋体" w:cs="宋体" w:eastAsia="宋体" w:hint="default"/>
          <w:sz w:val="21"/>
          <w:szCs w:val="21"/>
        </w:rPr>
        <w:t>元。（上述数据来自母公司所有者权益变动表）。</w:t>
      </w:r>
    </w:p>
    <w:p>
      <w:pPr>
        <w:pStyle w:val="BodyText"/>
        <w:spacing w:line="240" w:lineRule="auto" w:before="83"/>
        <w:ind w:left="658" w:right="85"/>
        <w:jc w:val="left"/>
      </w:pPr>
      <w:r>
        <w:rPr/>
        <w:t>公司</w:t>
      </w:r>
      <w:r>
        <w:rPr>
          <w:spacing w:val="-53"/>
        </w:rPr>
        <w:t> </w:t>
      </w:r>
      <w:r>
        <w:rPr>
          <w:rFonts w:ascii="宋体" w:hAnsi="宋体" w:cs="宋体" w:eastAsia="宋体" w:hint="default"/>
        </w:rPr>
        <w:t>2015</w:t>
      </w:r>
      <w:r>
        <w:rPr>
          <w:rFonts w:ascii="宋体" w:hAnsi="宋体" w:cs="宋体" w:eastAsia="宋体" w:hint="default"/>
          <w:spacing w:val="-55"/>
        </w:rPr>
        <w:t> </w:t>
      </w:r>
      <w:r>
        <w:rPr/>
        <w:t>年度利润分配预案为：以</w:t>
      </w:r>
      <w:r>
        <w:rPr>
          <w:spacing w:val="-52"/>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日的总股本</w:t>
      </w:r>
      <w:r>
        <w:rPr>
          <w:spacing w:val="-53"/>
        </w:rPr>
        <w:t> </w:t>
      </w:r>
      <w:r>
        <w:rPr>
          <w:rFonts w:ascii="宋体" w:hAnsi="宋体" w:cs="宋体" w:eastAsia="宋体" w:hint="default"/>
        </w:rPr>
        <w:t>868,886,423</w:t>
      </w:r>
      <w:r>
        <w:rPr>
          <w:rFonts w:ascii="宋体" w:hAnsi="宋体" w:cs="宋体" w:eastAsia="宋体" w:hint="default"/>
          <w:spacing w:val="-55"/>
        </w:rPr>
        <w:t> </w:t>
      </w:r>
      <w:r>
        <w:rPr/>
        <w:t>股为基数向全</w:t>
      </w:r>
    </w:p>
    <w:p>
      <w:pPr>
        <w:pStyle w:val="BodyText"/>
        <w:spacing w:line="240" w:lineRule="auto" w:before="85"/>
        <w:ind w:left="238" w:right="85"/>
        <w:jc w:val="left"/>
      </w:pPr>
      <w:r>
        <w:rPr/>
        <w:t>体股东进行每</w:t>
      </w:r>
      <w:r>
        <w:rPr>
          <w:spacing w:val="-54"/>
        </w:rPr>
        <w:t> </w:t>
      </w:r>
      <w:r>
        <w:rPr>
          <w:rFonts w:ascii="宋体" w:hAnsi="宋体" w:cs="宋体" w:eastAsia="宋体" w:hint="default"/>
        </w:rPr>
        <w:t>10</w:t>
      </w:r>
      <w:r>
        <w:rPr>
          <w:rFonts w:ascii="宋体" w:hAnsi="宋体" w:cs="宋体" w:eastAsia="宋体" w:hint="default"/>
          <w:spacing w:val="-54"/>
        </w:rPr>
        <w:t> </w:t>
      </w:r>
      <w:r>
        <w:rPr/>
        <w:t>股派</w:t>
      </w:r>
      <w:r>
        <w:rPr>
          <w:spacing w:val="-53"/>
        </w:rPr>
        <w:t> </w:t>
      </w:r>
      <w:r>
        <w:rPr>
          <w:rFonts w:ascii="宋体" w:hAnsi="宋体" w:cs="宋体" w:eastAsia="宋体" w:hint="default"/>
        </w:rPr>
        <w:t>0.3</w:t>
      </w:r>
      <w:r>
        <w:rPr>
          <w:rFonts w:ascii="宋体" w:hAnsi="宋体" w:cs="宋体" w:eastAsia="宋体" w:hint="default"/>
          <w:spacing w:val="-56"/>
        </w:rPr>
        <w:t> </w:t>
      </w:r>
      <w:r>
        <w:rPr/>
        <w:t>元（含税）的现金红利分配。本年度不进行公积金转增股本。</w:t>
      </w:r>
    </w:p>
    <w:p>
      <w:pPr>
        <w:pStyle w:val="BodyText"/>
        <w:spacing w:line="240" w:lineRule="auto" w:before="85"/>
        <w:ind w:left="658" w:right="85"/>
        <w:jc w:val="left"/>
      </w:pPr>
      <w:r>
        <w:rPr/>
        <w:t>本预案尚需公司</w:t>
      </w:r>
      <w:r>
        <w:rPr>
          <w:spacing w:val="-54"/>
        </w:rPr>
        <w:t> </w:t>
      </w:r>
      <w:r>
        <w:rPr>
          <w:rFonts w:ascii="宋体" w:hAnsi="宋体" w:cs="宋体" w:eastAsia="宋体" w:hint="default"/>
        </w:rPr>
        <w:t>2015</w:t>
      </w:r>
      <w:r>
        <w:rPr>
          <w:rFonts w:ascii="宋体" w:hAnsi="宋体" w:cs="宋体" w:eastAsia="宋体" w:hint="default"/>
          <w:spacing w:val="-54"/>
        </w:rPr>
        <w:t> </w:t>
      </w:r>
      <w:r>
        <w:rPr/>
        <w:t>年度股东大会审议。</w:t>
      </w:r>
    </w:p>
    <w:p>
      <w:pPr>
        <w:spacing w:line="240" w:lineRule="auto" w:before="2"/>
        <w:rPr>
          <w:rFonts w:ascii="宋体" w:hAnsi="宋体" w:cs="宋体" w:eastAsia="宋体" w:hint="default"/>
          <w:sz w:val="26"/>
          <w:szCs w:val="26"/>
        </w:rPr>
      </w:pPr>
    </w:p>
    <w:p>
      <w:pPr>
        <w:pStyle w:val="Heading2"/>
        <w:spacing w:line="240" w:lineRule="auto" w:before="0"/>
        <w:ind w:left="238" w:right="8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公司近三年（含报告期）的普通股利润分配方案或预案、资本公积金转增股本方案或预案</w:t>
      </w:r>
      <w:r>
        <w:rPr>
          <w:b w:val="0"/>
          <w:bCs w:val="0"/>
        </w:rPr>
      </w:r>
    </w:p>
    <w:p>
      <w:pPr>
        <w:pStyle w:val="BodyText"/>
        <w:tabs>
          <w:tab w:pos="1051" w:val="left" w:leader="none"/>
        </w:tabs>
        <w:spacing w:line="240" w:lineRule="auto" w:before="29"/>
        <w:ind w:left="0" w:right="30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48"/>
        <w:gridCol w:w="1150"/>
        <w:gridCol w:w="1114"/>
        <w:gridCol w:w="1150"/>
        <w:gridCol w:w="1582"/>
        <w:gridCol w:w="1685"/>
        <w:gridCol w:w="1423"/>
      </w:tblGrid>
      <w:tr>
        <w:trPr>
          <w:trHeight w:val="137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9" w:right="25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1"/>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pacing w:val="-3"/>
                <w:sz w:val="21"/>
                <w:szCs w:val="21"/>
              </w:rPr>
              <w:t>股送</w:t>
            </w:r>
            <w:r>
              <w:rPr>
                <w:rFonts w:ascii="宋体" w:hAnsi="宋体" w:cs="宋体" w:eastAsia="宋体" w:hint="default"/>
                <w:spacing w:val="-3"/>
                <w:w w:val="100"/>
                <w:sz w:val="21"/>
                <w:szCs w:val="21"/>
              </w:rPr>
              <w:t> </w:t>
            </w:r>
            <w:r>
              <w:rPr>
                <w:rFonts w:ascii="宋体" w:hAnsi="宋体" w:cs="宋体" w:eastAsia="宋体" w:hint="default"/>
                <w:sz w:val="21"/>
                <w:szCs w:val="21"/>
              </w:rPr>
              <w:t>红股数</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2" w:right="98"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6"/>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2" w:lineRule="exact"/>
              <w:ind w:left="132"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4"/>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5"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6"/>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ind w:left="180" w:right="177"/>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市公司股东</w:t>
            </w:r>
            <w:r>
              <w:rPr>
                <w:rFonts w:ascii="宋体" w:hAnsi="宋体" w:cs="宋体" w:eastAsia="宋体" w:hint="default"/>
                <w:w w:val="100"/>
                <w:sz w:val="21"/>
                <w:szCs w:val="21"/>
              </w:rPr>
              <w:t> </w:t>
            </w:r>
            <w:r>
              <w:rPr>
                <w:rFonts w:ascii="宋体" w:hAnsi="宋体" w:cs="宋体" w:eastAsia="宋体" w:hint="default"/>
                <w:sz w:val="21"/>
                <w:szCs w:val="21"/>
              </w:rPr>
              <w:t>的净利润的</w:t>
            </w:r>
            <w:r>
              <w:rPr>
                <w:rFonts w:ascii="宋体" w:hAnsi="宋体" w:cs="宋体" w:eastAsia="宋体" w:hint="default"/>
                <w:w w:val="100"/>
                <w:sz w:val="21"/>
                <w:szCs w:val="21"/>
              </w:rPr>
              <w:t> </w:t>
            </w:r>
            <w:r>
              <w:rPr>
                <w:rFonts w:ascii="宋体" w:hAnsi="宋体" w:cs="宋体" w:eastAsia="宋体" w:hint="default"/>
                <w:sz w:val="21"/>
                <w:szCs w:val="21"/>
              </w:rPr>
              <w:t>比率</w:t>
            </w:r>
            <w:r>
              <w:rPr>
                <w:rFonts w:ascii="宋体" w:hAnsi="宋体" w:cs="宋体" w:eastAsia="宋体" w:hint="default"/>
                <w:sz w:val="21"/>
                <w:szCs w:val="21"/>
              </w:rPr>
              <w:t>(%)</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26,066,592.69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117,148,526.90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22.25</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53,542,851.07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39,180,502.13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74" w:lineRule="exact" w:before="62"/>
        <w:ind w:left="658" w:right="85" w:hanging="4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10"/>
        </w:rPr>
        <w:t> </w:t>
      </w:r>
      <w:r>
        <w:rPr/>
        <w:t>报告期内盈利且母公司可供普通股股东分配利润为正，但未提出普通股现金利润分配预案的，</w:t>
      </w:r>
      <w:r>
        <w:rPr>
          <w:w w:val="100"/>
        </w:rPr>
        <w:t> </w:t>
      </w:r>
      <w:r>
        <w:rPr/>
        <w:t>公司应当详细披露原因以及未分配利润的用途和使用计划</w:t>
      </w:r>
      <w:r>
        <w:rPr>
          <w:b w:val="0"/>
          <w:bCs w:val="0"/>
        </w:rPr>
      </w:r>
    </w:p>
    <w:p>
      <w:pPr>
        <w:spacing w:line="290" w:lineRule="auto" w:before="31"/>
        <w:ind w:left="238" w:right="70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BodyText"/>
        <w:spacing w:line="240" w:lineRule="auto" w:before="13"/>
        <w:ind w:left="238" w:right="85"/>
        <w:jc w:val="left"/>
      </w:pPr>
      <w:r>
        <w:rPr/>
        <w:t>√适用</w:t>
      </w:r>
      <w:r>
        <w:rPr>
          <w:spacing w:val="-1"/>
        </w:rPr>
        <w:t> </w:t>
      </w:r>
      <w:r>
        <w:rPr/>
        <w:t>□不适用</w:t>
      </w:r>
    </w:p>
    <w:p>
      <w:pPr>
        <w:spacing w:line="240" w:lineRule="auto" w:before="3"/>
        <w:rPr>
          <w:rFonts w:ascii="宋体" w:hAnsi="宋体" w:cs="宋体" w:eastAsia="宋体" w:hint="default"/>
          <w:sz w:val="27"/>
          <w:szCs w:val="27"/>
        </w:rPr>
      </w:pPr>
    </w:p>
    <w:p>
      <w:pPr>
        <w:pStyle w:val="Heading2"/>
        <w:tabs>
          <w:tab w:pos="804" w:val="left" w:leader="none"/>
        </w:tabs>
        <w:spacing w:line="274" w:lineRule="exact" w:before="0"/>
        <w:ind w:left="804" w:right="313"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公司、股东、实际控制人、收购人、董事、监事、高级管理人员或其他关联方在报告期内</w:t>
      </w:r>
      <w:r>
        <w:rPr>
          <w:spacing w:val="-64"/>
        </w:rPr>
        <w:t> </w:t>
      </w:r>
      <w:r>
        <w:rPr>
          <w:spacing w:val="-64"/>
        </w:rPr>
      </w:r>
      <w:r>
        <w:rPr/>
        <w:t>或持续到报告期内的承诺事项</w:t>
      </w:r>
      <w:r>
        <w:rPr>
          <w:b w:val="0"/>
          <w:bCs w:val="0"/>
        </w:rPr>
      </w:r>
    </w:p>
    <w:p>
      <w:pPr>
        <w:spacing w:line="240" w:lineRule="auto" w:before="13"/>
        <w:rPr>
          <w:rFonts w:ascii="宋体" w:hAnsi="宋体" w:cs="宋体" w:eastAsia="宋体" w:hint="default"/>
          <w:b/>
          <w:bCs/>
          <w:sz w:val="4"/>
          <w:szCs w:val="4"/>
        </w:rPr>
      </w:pPr>
    </w:p>
    <w:tbl>
      <w:tblPr>
        <w:tblW w:w="0" w:type="auto"/>
        <w:jc w:val="left"/>
        <w:tblInd w:w="106" w:type="dxa"/>
        <w:tblLayout w:type="fixed"/>
        <w:tblCellMar>
          <w:top w:w="0" w:type="dxa"/>
          <w:left w:w="0" w:type="dxa"/>
          <w:bottom w:w="0" w:type="dxa"/>
          <w:right w:w="0" w:type="dxa"/>
        </w:tblCellMar>
        <w:tblLook w:val="01E0"/>
      </w:tblPr>
      <w:tblGrid>
        <w:gridCol w:w="1404"/>
        <w:gridCol w:w="708"/>
        <w:gridCol w:w="1419"/>
        <w:gridCol w:w="2835"/>
        <w:gridCol w:w="1277"/>
        <w:gridCol w:w="708"/>
        <w:gridCol w:w="710"/>
      </w:tblGrid>
      <w:tr>
        <w:trPr>
          <w:trHeight w:val="94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1231" w:right="1231"/>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453" w:right="183" w:hanging="272"/>
              <w:jc w:val="left"/>
              <w:rPr>
                <w:rFonts w:ascii="宋体" w:hAnsi="宋体" w:cs="宋体" w:eastAsia="宋体" w:hint="default"/>
                <w:sz w:val="18"/>
                <w:szCs w:val="18"/>
              </w:rPr>
            </w:pPr>
            <w:r>
              <w:rPr>
                <w:rFonts w:ascii="宋体" w:hAnsi="宋体" w:cs="宋体" w:eastAsia="宋体" w:hint="default"/>
                <w:sz w:val="18"/>
                <w:szCs w:val="18"/>
              </w:rPr>
              <w:t>承诺时间及 期限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2" w:lineRule="exact" w:before="24"/>
              <w:ind w:left="167" w:right="168"/>
              <w:jc w:val="both"/>
              <w:rPr>
                <w:rFonts w:ascii="宋体" w:hAnsi="宋体" w:cs="宋体" w:eastAsia="宋体" w:hint="default"/>
                <w:sz w:val="18"/>
                <w:szCs w:val="18"/>
              </w:rPr>
            </w:pPr>
            <w:r>
              <w:rPr>
                <w:rFonts w:ascii="宋体" w:hAnsi="宋体" w:cs="宋体" w:eastAsia="宋体" w:hint="default"/>
                <w:sz w:val="18"/>
                <w:szCs w:val="18"/>
              </w:rPr>
              <w:t>有履 行期 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2" w:lineRule="exact" w:before="24"/>
              <w:ind w:left="170" w:right="168"/>
              <w:jc w:val="both"/>
              <w:rPr>
                <w:rFonts w:ascii="宋体" w:hAnsi="宋体" w:cs="宋体" w:eastAsia="宋体" w:hint="default"/>
                <w:sz w:val="18"/>
                <w:szCs w:val="18"/>
              </w:rPr>
            </w:pPr>
            <w:r>
              <w:rPr>
                <w:rFonts w:ascii="宋体" w:hAnsi="宋体" w:cs="宋体" w:eastAsia="宋体" w:hint="default"/>
                <w:sz w:val="18"/>
                <w:szCs w:val="18"/>
              </w:rPr>
              <w:t>及时 严格 履行</w:t>
            </w:r>
          </w:p>
        </w:tc>
      </w:tr>
      <w:tr>
        <w:trPr>
          <w:trHeight w:val="141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32" w:lineRule="exact"/>
              <w:ind w:left="103" w:right="209"/>
              <w:jc w:val="left"/>
              <w:rPr>
                <w:rFonts w:ascii="宋体" w:hAnsi="宋体" w:cs="宋体" w:eastAsia="宋体" w:hint="default"/>
                <w:sz w:val="18"/>
                <w:szCs w:val="18"/>
              </w:rPr>
            </w:pPr>
            <w:r>
              <w:rPr>
                <w:rFonts w:ascii="宋体" w:hAnsi="宋体" w:cs="宋体" w:eastAsia="宋体" w:hint="default"/>
                <w:sz w:val="18"/>
                <w:szCs w:val="18"/>
              </w:rPr>
              <w:t>与重大资产重 组相关的承诺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解决</w:t>
            </w:r>
          </w:p>
          <w:p>
            <w:pPr>
              <w:pStyle w:val="TableParagraph"/>
              <w:spacing w:line="232" w:lineRule="exact" w:before="23"/>
              <w:ind w:left="103" w:right="233"/>
              <w:jc w:val="left"/>
              <w:rPr>
                <w:rFonts w:ascii="宋体" w:hAnsi="宋体" w:cs="宋体" w:eastAsia="宋体" w:hint="default"/>
                <w:sz w:val="18"/>
                <w:szCs w:val="18"/>
              </w:rPr>
            </w:pPr>
            <w:r>
              <w:rPr>
                <w:rFonts w:ascii="宋体" w:hAnsi="宋体" w:cs="宋体" w:eastAsia="宋体" w:hint="default"/>
                <w:sz w:val="18"/>
                <w:szCs w:val="18"/>
              </w:rPr>
              <w:t>同业 竞争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山东科达集团</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pacing w:val="-9"/>
                <w:sz w:val="18"/>
                <w:szCs w:val="18"/>
              </w:rPr>
              <w:t>有限公司、北京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百仕成投资管 </w:t>
            </w:r>
            <w:r>
              <w:rPr>
                <w:rFonts w:ascii="宋体" w:hAnsi="宋体" w:cs="宋体" w:eastAsia="宋体" w:hint="default"/>
                <w:spacing w:val="-9"/>
                <w:sz w:val="18"/>
                <w:szCs w:val="18"/>
              </w:rPr>
              <w:t>理中心（普通合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伙）、褚明理及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其关联方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避免同业竞争承诺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承诺时间：</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与重大资产重</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山东科达集团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保持上市公司独立性承诺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05" w:lineRule="exact"/>
        <w:jc w:val="left"/>
        <w:rPr>
          <w:rFonts w:ascii="宋体" w:hAnsi="宋体" w:cs="宋体" w:eastAsia="宋体" w:hint="default"/>
          <w:sz w:val="18"/>
          <w:szCs w:val="18"/>
        </w:rPr>
        <w:sectPr>
          <w:pgSz w:w="11910" w:h="16840"/>
          <w:pgMar w:header="855" w:footer="1193" w:top="1280" w:bottom="1380" w:left="1560" w:right="960"/>
        </w:sectPr>
      </w:pPr>
    </w:p>
    <w:p>
      <w:pPr>
        <w:spacing w:line="240" w:lineRule="auto" w:before="2"/>
        <w:rPr>
          <w:rFonts w:ascii="宋体" w:hAnsi="宋体" w:cs="宋体" w:eastAsia="宋体" w:hint="default"/>
          <w:b/>
          <w:bCs/>
          <w:sz w:val="18"/>
          <w:szCs w:val="18"/>
        </w:rPr>
      </w:pPr>
    </w:p>
    <w:tbl>
      <w:tblPr>
        <w:tblW w:w="0" w:type="auto"/>
        <w:jc w:val="left"/>
        <w:tblInd w:w="106" w:type="dxa"/>
        <w:tblLayout w:type="fixed"/>
        <w:tblCellMar>
          <w:top w:w="0" w:type="dxa"/>
          <w:left w:w="0" w:type="dxa"/>
          <w:bottom w:w="0" w:type="dxa"/>
          <w:right w:w="0" w:type="dxa"/>
        </w:tblCellMar>
        <w:tblLook w:val="01E0"/>
      </w:tblPr>
      <w:tblGrid>
        <w:gridCol w:w="1404"/>
        <w:gridCol w:w="708"/>
        <w:gridCol w:w="1419"/>
        <w:gridCol w:w="2835"/>
        <w:gridCol w:w="1277"/>
        <w:gridCol w:w="708"/>
        <w:gridCol w:w="710"/>
      </w:tblGrid>
      <w:tr>
        <w:trPr>
          <w:trHeight w:val="1179"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组相关的承诺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有限公司、北京</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百仕成投资管 </w:t>
            </w:r>
            <w:r>
              <w:rPr>
                <w:rFonts w:ascii="宋体" w:hAnsi="宋体" w:cs="宋体" w:eastAsia="宋体" w:hint="default"/>
                <w:spacing w:val="-9"/>
                <w:sz w:val="18"/>
                <w:szCs w:val="18"/>
              </w:rPr>
              <w:t>理中心（普通合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伙）、褚明理及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其关联方</w:t>
            </w:r>
          </w:p>
        </w:tc>
        <w:tc>
          <w:tcPr>
            <w:tcW w:w="28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32" w:lineRule="exact"/>
              <w:ind w:left="103" w:right="209"/>
              <w:jc w:val="left"/>
              <w:rPr>
                <w:rFonts w:ascii="宋体" w:hAnsi="宋体" w:cs="宋体" w:eastAsia="宋体" w:hint="default"/>
                <w:sz w:val="18"/>
                <w:szCs w:val="18"/>
              </w:rPr>
            </w:pPr>
            <w:r>
              <w:rPr>
                <w:rFonts w:ascii="宋体" w:hAnsi="宋体" w:cs="宋体" w:eastAsia="宋体" w:hint="default"/>
                <w:sz w:val="18"/>
                <w:szCs w:val="18"/>
              </w:rPr>
              <w:t>与重大资产重 组相关的承诺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解决</w:t>
            </w:r>
          </w:p>
          <w:p>
            <w:pPr>
              <w:pStyle w:val="TableParagraph"/>
              <w:spacing w:line="240" w:lineRule="auto"/>
              <w:ind w:left="103" w:right="233"/>
              <w:jc w:val="left"/>
              <w:rPr>
                <w:rFonts w:ascii="宋体" w:hAnsi="宋体" w:cs="宋体" w:eastAsia="宋体" w:hint="default"/>
                <w:sz w:val="18"/>
                <w:szCs w:val="18"/>
              </w:rPr>
            </w:pPr>
            <w:r>
              <w:rPr>
                <w:rFonts w:ascii="宋体" w:hAnsi="宋体" w:cs="宋体" w:eastAsia="宋体" w:hint="default"/>
                <w:sz w:val="18"/>
                <w:szCs w:val="18"/>
              </w:rPr>
              <w:t>关联 交易</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山东科达集团</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pacing w:val="-9"/>
                <w:sz w:val="18"/>
                <w:szCs w:val="18"/>
              </w:rPr>
              <w:t>有限公司、北京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百仕成投资管 </w:t>
            </w:r>
            <w:r>
              <w:rPr>
                <w:rFonts w:ascii="宋体" w:hAnsi="宋体" w:cs="宋体" w:eastAsia="宋体" w:hint="default"/>
                <w:spacing w:val="-9"/>
                <w:sz w:val="18"/>
                <w:szCs w:val="18"/>
              </w:rPr>
              <w:t>理中心（普通合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伙）、褚明理及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其关联方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减少和规范关联交易承诺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承诺时间：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6"/>
                <w:szCs w:val="26"/>
              </w:rPr>
            </w:pPr>
          </w:p>
          <w:p>
            <w:pPr>
              <w:pStyle w:val="TableParagraph"/>
              <w:spacing w:line="232" w:lineRule="exact"/>
              <w:ind w:left="103" w:right="209"/>
              <w:jc w:val="left"/>
              <w:rPr>
                <w:rFonts w:ascii="宋体" w:hAnsi="宋体" w:cs="宋体" w:eastAsia="宋体" w:hint="default"/>
                <w:sz w:val="18"/>
                <w:szCs w:val="18"/>
              </w:rPr>
            </w:pPr>
            <w:r>
              <w:rPr>
                <w:rFonts w:ascii="宋体" w:hAnsi="宋体" w:cs="宋体" w:eastAsia="宋体" w:hint="default"/>
                <w:sz w:val="18"/>
                <w:szCs w:val="18"/>
              </w:rPr>
              <w:t>与重大资产重 组相关的承诺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山东科达集团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锁定期的承诺</w:t>
            </w:r>
            <w:r>
              <w:rPr>
                <w:rFonts w:ascii="宋体" w:hAnsi="宋体" w:cs="宋体" w:eastAsia="宋体" w:hint="default"/>
                <w:spacing w:val="-82"/>
                <w:sz w:val="18"/>
                <w:szCs w:val="18"/>
              </w:rPr>
              <w:t>：</w:t>
            </w:r>
            <w:r>
              <w:rPr>
                <w:rFonts w:ascii="宋体" w:hAnsi="宋体" w:cs="宋体" w:eastAsia="宋体" w:hint="default"/>
                <w:sz w:val="18"/>
                <w:szCs w:val="18"/>
              </w:rPr>
              <w:t>自本次新增股份上</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市之日起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个月内不转让（原持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有的股份</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个月内不转让）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承诺时间：</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 承诺期限：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w:t>
            </w:r>
          </w:p>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66"/>
                <w:sz w:val="18"/>
                <w:szCs w:val="18"/>
              </w:rPr>
              <w:t> </w:t>
            </w:r>
            <w:r>
              <w:rPr>
                <w:rFonts w:ascii="宋体" w:hAnsi="宋体" w:cs="宋体" w:eastAsia="宋体" w:hint="default"/>
                <w:sz w:val="18"/>
                <w:szCs w:val="18"/>
              </w:rPr>
              <w:t>2018</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9</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6"/>
                <w:szCs w:val="26"/>
              </w:rPr>
            </w:pPr>
          </w:p>
          <w:p>
            <w:pPr>
              <w:pStyle w:val="TableParagraph"/>
              <w:spacing w:line="232" w:lineRule="exact"/>
              <w:ind w:left="103" w:right="209"/>
              <w:jc w:val="left"/>
              <w:rPr>
                <w:rFonts w:ascii="宋体" w:hAnsi="宋体" w:cs="宋体" w:eastAsia="宋体" w:hint="default"/>
                <w:sz w:val="18"/>
                <w:szCs w:val="18"/>
              </w:rPr>
            </w:pPr>
            <w:r>
              <w:rPr>
                <w:rFonts w:ascii="宋体" w:hAnsi="宋体" w:cs="宋体" w:eastAsia="宋体" w:hint="default"/>
                <w:sz w:val="18"/>
                <w:szCs w:val="18"/>
              </w:rPr>
              <w:t>与重大资产重 组相关的承诺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北京百仕成投</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9"/>
                <w:sz w:val="18"/>
                <w:szCs w:val="18"/>
              </w:rPr>
              <w:t>资管理中心（普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通合伙）、褚明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理及其关联方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锁定期的承诺</w:t>
            </w:r>
            <w:r>
              <w:rPr>
                <w:rFonts w:ascii="宋体" w:hAnsi="宋体" w:cs="宋体" w:eastAsia="宋体" w:hint="default"/>
                <w:spacing w:val="-82"/>
                <w:sz w:val="18"/>
                <w:szCs w:val="18"/>
              </w:rPr>
              <w:t>：</w:t>
            </w:r>
            <w:r>
              <w:rPr>
                <w:rFonts w:ascii="宋体" w:hAnsi="宋体" w:cs="宋体" w:eastAsia="宋体" w:hint="default"/>
                <w:sz w:val="18"/>
                <w:szCs w:val="18"/>
              </w:rPr>
              <w:t>自本次新增股份上</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市之日起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个月内不转让（业绩 </w:t>
            </w:r>
            <w:r>
              <w:rPr>
                <w:rFonts w:ascii="宋体" w:hAnsi="宋体" w:cs="宋体" w:eastAsia="宋体" w:hint="default"/>
                <w:spacing w:val="-6"/>
                <w:sz w:val="18"/>
                <w:szCs w:val="18"/>
              </w:rPr>
              <w:t>补偿义务人所持股份分期解锁，分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别为锁定</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个月和</w:t>
            </w:r>
            <w:r>
              <w:rPr>
                <w:rFonts w:ascii="宋体" w:hAnsi="宋体" w:cs="宋体" w:eastAsia="宋体" w:hint="default"/>
                <w:spacing w:val="-47"/>
                <w:sz w:val="18"/>
                <w:szCs w:val="18"/>
              </w:rPr>
              <w:t>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承诺时间：</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 承诺期限：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w:t>
            </w:r>
          </w:p>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66"/>
                <w:sz w:val="18"/>
                <w:szCs w:val="18"/>
              </w:rPr>
              <w:t> </w:t>
            </w:r>
            <w:r>
              <w:rPr>
                <w:rFonts w:ascii="宋体" w:hAnsi="宋体" w:cs="宋体" w:eastAsia="宋体" w:hint="default"/>
                <w:sz w:val="18"/>
                <w:szCs w:val="18"/>
              </w:rPr>
              <w:t>2018</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9</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34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32" w:lineRule="exact"/>
              <w:ind w:left="103" w:right="209"/>
              <w:jc w:val="left"/>
              <w:rPr>
                <w:rFonts w:ascii="宋体" w:hAnsi="宋体" w:cs="宋体" w:eastAsia="宋体" w:hint="default"/>
                <w:sz w:val="18"/>
                <w:szCs w:val="18"/>
              </w:rPr>
            </w:pPr>
            <w:r>
              <w:rPr>
                <w:rFonts w:ascii="宋体" w:hAnsi="宋体" w:cs="宋体" w:eastAsia="宋体" w:hint="default"/>
                <w:sz w:val="18"/>
                <w:szCs w:val="18"/>
              </w:rPr>
              <w:t>与首次公开发 行相关的承诺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解决</w:t>
            </w:r>
          </w:p>
          <w:p>
            <w:pPr>
              <w:pStyle w:val="TableParagraph"/>
              <w:spacing w:line="232" w:lineRule="exact" w:before="23"/>
              <w:ind w:left="103" w:right="233"/>
              <w:jc w:val="left"/>
              <w:rPr>
                <w:rFonts w:ascii="宋体" w:hAnsi="宋体" w:cs="宋体" w:eastAsia="宋体" w:hint="default"/>
                <w:sz w:val="18"/>
                <w:szCs w:val="18"/>
              </w:rPr>
            </w:pPr>
            <w:r>
              <w:rPr>
                <w:rFonts w:ascii="宋体" w:hAnsi="宋体" w:cs="宋体" w:eastAsia="宋体" w:hint="default"/>
                <w:sz w:val="18"/>
                <w:szCs w:val="18"/>
              </w:rPr>
              <w:t>同业 竞争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山东科达集团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山东科达集团有限公司为避免产</w:t>
            </w:r>
          </w:p>
          <w:p>
            <w:pPr>
              <w:pStyle w:val="TableParagraph"/>
              <w:spacing w:line="237" w:lineRule="auto"/>
              <w:ind w:left="103" w:right="21"/>
              <w:jc w:val="left"/>
              <w:rPr>
                <w:rFonts w:ascii="宋体" w:hAnsi="宋体" w:cs="宋体" w:eastAsia="宋体" w:hint="default"/>
                <w:sz w:val="18"/>
                <w:szCs w:val="18"/>
              </w:rPr>
            </w:pPr>
            <w:r>
              <w:rPr>
                <w:rFonts w:ascii="宋体" w:hAnsi="宋体" w:cs="宋体" w:eastAsia="宋体" w:hint="default"/>
                <w:sz w:val="18"/>
                <w:szCs w:val="18"/>
              </w:rPr>
              <w:t>生同业竞争于</w:t>
            </w:r>
            <w:r>
              <w:rPr>
                <w:rFonts w:ascii="宋体" w:hAnsi="宋体" w:cs="宋体" w:eastAsia="宋体" w:hint="default"/>
                <w:spacing w:val="-45"/>
                <w:sz w:val="18"/>
                <w:szCs w:val="18"/>
              </w:rPr>
              <w:t> </w:t>
            </w:r>
            <w:r>
              <w:rPr>
                <w:rFonts w:ascii="宋体" w:hAnsi="宋体" w:cs="宋体" w:eastAsia="宋体" w:hint="default"/>
                <w:sz w:val="18"/>
                <w:szCs w:val="18"/>
              </w:rPr>
              <w:t>2000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日 </w:t>
            </w:r>
            <w:r>
              <w:rPr>
                <w:rFonts w:ascii="宋体" w:hAnsi="宋体" w:cs="宋体" w:eastAsia="宋体" w:hint="default"/>
                <w:spacing w:val="-6"/>
                <w:sz w:val="18"/>
                <w:szCs w:val="18"/>
              </w:rPr>
              <w:t>出具了《放弃竞争和利益冲突承诺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函》，承诺在作为股份公司控股股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东期间，不以任何方式直接或间接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从事与股份公司及其控股子公司 的业务构成同业竞争的任何活动； </w:t>
            </w:r>
            <w:r>
              <w:rPr>
                <w:rFonts w:ascii="宋体" w:hAnsi="宋体" w:cs="宋体" w:eastAsia="宋体" w:hint="default"/>
                <w:spacing w:val="-6"/>
                <w:sz w:val="18"/>
                <w:szCs w:val="18"/>
              </w:rPr>
              <w:t>不利用控股股东地位，就股份公司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与本公司或附属公司相关的任何 关联交易采取任何行动。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承诺时间：</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2"/>
        <w:rPr>
          <w:rFonts w:ascii="宋体" w:hAnsi="宋体" w:cs="宋体" w:eastAsia="宋体" w:hint="default"/>
          <w:b/>
          <w:bCs/>
          <w:sz w:val="19"/>
          <w:szCs w:val="19"/>
        </w:rPr>
      </w:pPr>
    </w:p>
    <w:p>
      <w:pPr>
        <w:pStyle w:val="Heading2"/>
        <w:tabs>
          <w:tab w:pos="804" w:val="left" w:leader="none"/>
        </w:tabs>
        <w:spacing w:line="266" w:lineRule="auto"/>
        <w:ind w:left="238" w:right="89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w:t>
      </w:r>
      <w:r>
        <w:rPr>
          <w:spacing w:val="-1"/>
        </w:rPr>
        <w:t> </w:t>
      </w:r>
      <w:r>
        <w:rPr/>
        <w:t>达到原盈利预测及其原因作出说明</w:t>
      </w:r>
      <w:r>
        <w:rPr>
          <w:b w:val="0"/>
          <w:bCs w:val="0"/>
        </w:rPr>
      </w:r>
    </w:p>
    <w:p>
      <w:pPr>
        <w:pStyle w:val="BodyText"/>
        <w:spacing w:line="240" w:lineRule="auto" w:before="93"/>
        <w:ind w:left="238" w:right="119" w:firstLine="479"/>
        <w:jc w:val="left"/>
      </w:pPr>
      <w:r>
        <w:rPr>
          <w:rFonts w:ascii="宋体" w:hAnsi="宋体" w:cs="宋体" w:eastAsia="宋体" w:hint="default"/>
        </w:rPr>
        <w:t>2015</w:t>
      </w:r>
      <w:r>
        <w:rPr>
          <w:rFonts w:ascii="宋体" w:hAnsi="宋体" w:cs="宋体" w:eastAsia="宋体" w:hint="default"/>
          <w:spacing w:val="15"/>
        </w:rPr>
        <w:t> </w:t>
      </w:r>
      <w:r>
        <w:rPr/>
        <w:t>年</w:t>
      </w:r>
      <w:r>
        <w:rPr>
          <w:spacing w:val="-45"/>
        </w:rPr>
        <w:t> </w:t>
      </w:r>
      <w:r>
        <w:rPr>
          <w:rFonts w:ascii="宋体" w:hAnsi="宋体" w:cs="宋体" w:eastAsia="宋体" w:hint="default"/>
        </w:rPr>
        <w:t>9</w:t>
      </w:r>
      <w:r>
        <w:rPr>
          <w:rFonts w:ascii="宋体" w:hAnsi="宋体" w:cs="宋体" w:eastAsia="宋体" w:hint="default"/>
          <w:spacing w:val="-47"/>
        </w:rPr>
        <w:t> </w:t>
      </w:r>
      <w:r>
        <w:rPr>
          <w:spacing w:val="-4"/>
        </w:rPr>
        <w:t>月，公司完成了发行股份购买资产并募集配套资金事项，</w:t>
      </w:r>
      <w:r>
        <w:rPr>
          <w:spacing w:val="-43"/>
        </w:rPr>
        <w:t> </w:t>
      </w:r>
      <w:r>
        <w:rPr>
          <w:rFonts w:ascii="宋体" w:hAnsi="宋体" w:cs="宋体" w:eastAsia="宋体" w:hint="default"/>
        </w:rPr>
        <w:t>2015</w:t>
      </w:r>
      <w:r>
        <w:rPr>
          <w:rFonts w:ascii="宋体" w:hAnsi="宋体" w:cs="宋体" w:eastAsia="宋体" w:hint="default"/>
          <w:spacing w:val="-47"/>
        </w:rPr>
        <w:t> </w:t>
      </w:r>
      <w:r>
        <w:rPr/>
        <w:t>年度五家公司承诺</w:t>
      </w:r>
      <w:r>
        <w:rPr>
          <w:w w:val="100"/>
        </w:rPr>
        <w:t> </w:t>
      </w:r>
      <w:r>
        <w:rPr/>
        <w:t>完成情况如下：</w:t>
      </w:r>
    </w:p>
    <w:p>
      <w:pPr>
        <w:pStyle w:val="BodyText"/>
        <w:spacing w:line="240" w:lineRule="auto" w:before="117"/>
        <w:ind w:left="0" w:right="627"/>
        <w:jc w:val="right"/>
      </w:pPr>
      <w:r>
        <w:rPr>
          <w:spacing w:val="-1"/>
        </w:rPr>
        <w:t>单位：万元</w:t>
      </w:r>
    </w:p>
    <w:p>
      <w:pPr>
        <w:spacing w:line="240" w:lineRule="auto" w:before="7"/>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2794"/>
        <w:gridCol w:w="2796"/>
        <w:gridCol w:w="2797"/>
      </w:tblGrid>
      <w:tr>
        <w:trPr>
          <w:trHeight w:val="281" w:hRule="exact"/>
        </w:trPr>
        <w:tc>
          <w:tcPr>
            <w:tcW w:w="2794"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盈利预测承诺</w:t>
            </w:r>
            <w:r>
              <w:rPr>
                <w:rFonts w:ascii="宋体" w:hAnsi="宋体" w:cs="宋体" w:eastAsia="宋体" w:hint="default"/>
                <w:sz w:val="21"/>
                <w:szCs w:val="21"/>
              </w:rPr>
            </w:r>
          </w:p>
        </w:tc>
        <w:tc>
          <w:tcPr>
            <w:tcW w:w="5593"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b/>
                <w:bCs/>
                <w:sz w:val="21"/>
                <w:szCs w:val="21"/>
              </w:rPr>
              <w:t>2015</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283" w:hRule="exact"/>
        </w:trPr>
        <w:tc>
          <w:tcPr>
            <w:tcW w:w="2794" w:type="dxa"/>
            <w:vMerge/>
            <w:tcBorders>
              <w:left w:val="single" w:sz="4" w:space="0" w:color="000000"/>
              <w:bottom w:val="single" w:sz="4" w:space="0" w:color="000000"/>
              <w:right w:val="single" w:sz="4" w:space="0" w:color="000000"/>
            </w:tcBorders>
          </w:tcPr>
          <w:p>
            <w:pP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承诺数</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4" w:right="0"/>
              <w:jc w:val="left"/>
              <w:rPr>
                <w:rFonts w:ascii="宋体" w:hAnsi="宋体" w:cs="宋体" w:eastAsia="宋体" w:hint="default"/>
                <w:sz w:val="21"/>
                <w:szCs w:val="21"/>
              </w:rPr>
            </w:pPr>
            <w:r>
              <w:rPr>
                <w:rFonts w:ascii="宋体" w:hAnsi="宋体" w:cs="宋体" w:eastAsia="宋体" w:hint="default"/>
                <w:sz w:val="21"/>
                <w:szCs w:val="21"/>
              </w:rPr>
              <w:t>实际完成数</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百孚思</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4,500.00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5,267.63</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上海同立</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3,300.00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3,667.59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华邑众为</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3,000.00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4,067.27</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雨林木风</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4,000.00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4,326.16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派瑞威行</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7,000.00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7,476.88</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b/>
                <w:sz w:val="21"/>
              </w:rPr>
              <w:t>21,800.00</w:t>
            </w:r>
            <w:r>
              <w:rPr>
                <w:rFonts w:ascii="宋体"/>
                <w:sz w:val="21"/>
              </w:rPr>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b/>
                <w:sz w:val="21"/>
              </w:rPr>
              <w:t>24,805.53</w:t>
            </w:r>
            <w:r>
              <w:rPr>
                <w:rFonts w:ascii="宋体"/>
                <w:sz w:val="21"/>
              </w:rPr>
            </w:r>
          </w:p>
        </w:tc>
      </w:tr>
    </w:tbl>
    <w:p>
      <w:pPr>
        <w:spacing w:line="240" w:lineRule="auto" w:before="3"/>
        <w:rPr>
          <w:rFonts w:ascii="宋体" w:hAnsi="宋体" w:cs="宋体" w:eastAsia="宋体" w:hint="default"/>
          <w:sz w:val="21"/>
          <w:szCs w:val="21"/>
        </w:rPr>
      </w:pPr>
    </w:p>
    <w:p>
      <w:pPr>
        <w:pStyle w:val="BodyText"/>
        <w:spacing w:line="314" w:lineRule="auto" w:before="36"/>
        <w:ind w:left="238" w:right="205" w:firstLine="419"/>
        <w:jc w:val="both"/>
        <w:rPr>
          <w:rFonts w:ascii="宋体" w:hAnsi="宋体" w:cs="宋体" w:eastAsia="宋体" w:hint="default"/>
        </w:rPr>
      </w:pPr>
      <w:r>
        <w:rPr>
          <w:spacing w:val="-3"/>
        </w:rPr>
        <w:t>根据天健会计师事务所（特殊普通合伙）所出具的审计报告，上述五家公司已全部完成</w:t>
      </w:r>
      <w:r>
        <w:rPr>
          <w:spacing w:val="-14"/>
        </w:rPr>
        <w:t> </w:t>
      </w:r>
      <w:r>
        <w:rPr>
          <w:rFonts w:ascii="宋体" w:hAnsi="宋体" w:cs="宋体" w:eastAsia="宋体" w:hint="default"/>
        </w:rPr>
        <w:t>2015</w:t>
      </w:r>
      <w:r>
        <w:rPr>
          <w:rFonts w:ascii="宋体" w:hAnsi="宋体" w:cs="宋体" w:eastAsia="宋体" w:hint="default"/>
          <w:w w:val="100"/>
        </w:rPr>
        <w:t> </w:t>
      </w:r>
      <w:r>
        <w:rPr>
          <w:spacing w:val="-2"/>
        </w:rPr>
        <w:t>年承诺的业绩。根据公司与上述五家公司业绩承诺人签订的《盈利预测补偿协议》，利润补偿期</w:t>
      </w:r>
      <w:r>
        <w:rPr>
          <w:spacing w:val="-25"/>
        </w:rPr>
        <w:t> </w:t>
      </w:r>
      <w:r>
        <w:rPr>
          <w:spacing w:val="-25"/>
        </w:rPr>
      </w:r>
      <w:r>
        <w:rPr>
          <w:spacing w:val="-2"/>
          <w:w w:val="100"/>
        </w:rPr>
        <w:t>间五家公司每年年末至次年</w:t>
      </w:r>
      <w:r>
        <w:rPr>
          <w:spacing w:val="-48"/>
          <w:w w:val="100"/>
        </w:rPr>
        <w:t> </w:t>
      </w:r>
      <w:r>
        <w:rPr>
          <w:rFonts w:ascii="宋体" w:hAnsi="宋体" w:cs="宋体" w:eastAsia="宋体" w:hint="default"/>
          <w:w w:val="100"/>
        </w:rPr>
        <w:t>6</w:t>
      </w:r>
      <w:r>
        <w:rPr>
          <w:rFonts w:ascii="宋体" w:hAnsi="宋体" w:cs="宋体" w:eastAsia="宋体" w:hint="default"/>
          <w:spacing w:val="-51"/>
          <w:w w:val="100"/>
        </w:rPr>
        <w:t> </w:t>
      </w:r>
      <w:r>
        <w:rPr>
          <w:w w:val="100"/>
        </w:rPr>
        <w:t>月</w:t>
      </w:r>
      <w:r>
        <w:rPr>
          <w:spacing w:val="-49"/>
          <w:w w:val="100"/>
        </w:rPr>
        <w:t> </w:t>
      </w:r>
      <w:r>
        <w:rPr>
          <w:rFonts w:ascii="宋体" w:hAnsi="宋体" w:cs="宋体" w:eastAsia="宋体" w:hint="default"/>
          <w:w w:val="100"/>
        </w:rPr>
        <w:t>30</w:t>
      </w:r>
      <w:r>
        <w:rPr>
          <w:rFonts w:ascii="宋体" w:hAnsi="宋体" w:cs="宋体" w:eastAsia="宋体" w:hint="default"/>
          <w:spacing w:val="-51"/>
          <w:w w:val="100"/>
        </w:rPr>
        <w:t> </w:t>
      </w:r>
      <w:r>
        <w:rPr>
          <w:spacing w:val="-5"/>
          <w:w w:val="100"/>
        </w:rPr>
        <w:t>日期间从某一客户实际收回的应收账款金额低于该年年末（</w:t>
      </w:r>
      <w:r>
        <w:rPr>
          <w:rFonts w:ascii="宋体" w:hAnsi="宋体" w:cs="宋体" w:eastAsia="宋体" w:hint="default"/>
          <w:spacing w:val="-5"/>
          <w:w w:val="100"/>
        </w:rPr>
        <w:t>12</w:t>
      </w:r>
    </w:p>
    <w:p>
      <w:pPr>
        <w:spacing w:after="0" w:line="314" w:lineRule="auto"/>
        <w:jc w:val="both"/>
        <w:rPr>
          <w:rFonts w:ascii="宋体" w:hAnsi="宋体" w:cs="宋体" w:eastAsia="宋体" w:hint="default"/>
        </w:rPr>
        <w:sectPr>
          <w:pgSz w:w="11910" w:h="16840"/>
          <w:pgMar w:header="855" w:footer="1193" w:top="1280" w:bottom="1380" w:left="1560" w:right="1060"/>
        </w:sectPr>
      </w:pPr>
    </w:p>
    <w:p>
      <w:pPr>
        <w:spacing w:line="240" w:lineRule="auto" w:before="9"/>
        <w:rPr>
          <w:rFonts w:ascii="宋体" w:hAnsi="宋体" w:cs="宋体" w:eastAsia="宋体" w:hint="default"/>
          <w:sz w:val="18"/>
          <w:szCs w:val="18"/>
        </w:rPr>
      </w:pPr>
    </w:p>
    <w:p>
      <w:pPr>
        <w:pStyle w:val="BodyText"/>
        <w:spacing w:line="240" w:lineRule="auto" w:before="36"/>
        <w:ind w:left="218" w:right="0"/>
        <w:jc w:val="both"/>
      </w:pPr>
      <w:r>
        <w:rPr/>
        <w:t>月 </w:t>
      </w:r>
      <w:r>
        <w:rPr>
          <w:rFonts w:ascii="宋体" w:hAnsi="宋体" w:cs="宋体" w:eastAsia="宋体" w:hint="default"/>
        </w:rPr>
        <w:t>31</w:t>
      </w:r>
      <w:r>
        <w:rPr>
          <w:rFonts w:ascii="宋体" w:hAnsi="宋体" w:cs="宋体" w:eastAsia="宋体" w:hint="default"/>
          <w:spacing w:val="-44"/>
        </w:rPr>
        <w:t> </w:t>
      </w:r>
      <w:r>
        <w:rPr>
          <w:spacing w:val="-4"/>
        </w:rPr>
        <w:t>日）对该客户应收账款余额（对于按照完工百分比法确认收入形成的应收账款，计算的相关</w:t>
      </w:r>
    </w:p>
    <w:p>
      <w:pPr>
        <w:pStyle w:val="BodyText"/>
        <w:spacing w:line="240" w:lineRule="auto" w:before="85"/>
        <w:ind w:left="218" w:right="0"/>
        <w:jc w:val="both"/>
      </w:pPr>
      <w:r>
        <w:rPr/>
        <w:t>期间为自开票当月起的后</w:t>
      </w:r>
      <w:r>
        <w:rPr>
          <w:spacing w:val="-49"/>
        </w:rPr>
        <w:t> </w:t>
      </w:r>
      <w:r>
        <w:rPr>
          <w:rFonts w:ascii="宋体" w:hAnsi="宋体" w:cs="宋体" w:eastAsia="宋体" w:hint="default"/>
        </w:rPr>
        <w:t>6</w:t>
      </w:r>
      <w:r>
        <w:rPr>
          <w:rFonts w:ascii="宋体" w:hAnsi="宋体" w:cs="宋体" w:eastAsia="宋体" w:hint="default"/>
          <w:spacing w:val="-47"/>
        </w:rPr>
        <w:t> </w:t>
      </w:r>
      <w:r>
        <w:rPr>
          <w:spacing w:val="-5"/>
        </w:rPr>
        <w:t>个月内；若开票时间晚于次年的</w:t>
      </w:r>
      <w:r>
        <w:rPr>
          <w:spacing w:val="-47"/>
        </w:rPr>
        <w:t> </w:t>
      </w:r>
      <w:r>
        <w:rPr>
          <w:rFonts w:ascii="宋体" w:hAnsi="宋体" w:cs="宋体" w:eastAsia="宋体" w:hint="default"/>
        </w:rPr>
        <w:t>6</w:t>
      </w:r>
      <w:r>
        <w:rPr>
          <w:rFonts w:ascii="宋体" w:hAnsi="宋体" w:cs="宋体" w:eastAsia="宋体" w:hint="default"/>
          <w:spacing w:val="-49"/>
        </w:rPr>
        <w:t> </w:t>
      </w:r>
      <w:r>
        <w:rPr/>
        <w:t>月</w:t>
      </w:r>
      <w:r>
        <w:rPr>
          <w:spacing w:val="-47"/>
        </w:rPr>
        <w:t> </w:t>
      </w:r>
      <w:r>
        <w:rPr>
          <w:rFonts w:ascii="宋体" w:hAnsi="宋体" w:cs="宋体" w:eastAsia="宋体" w:hint="default"/>
        </w:rPr>
        <w:t>30</w:t>
      </w:r>
      <w:r>
        <w:rPr>
          <w:rFonts w:ascii="宋体" w:hAnsi="宋体" w:cs="宋体" w:eastAsia="宋体" w:hint="default"/>
          <w:spacing w:val="-49"/>
        </w:rPr>
        <w:t> </w:t>
      </w:r>
      <w:r>
        <w:rPr>
          <w:spacing w:val="-5"/>
        </w:rPr>
        <w:t>日，则计算的相关期间为自次</w:t>
      </w:r>
    </w:p>
    <w:p>
      <w:pPr>
        <w:pStyle w:val="BodyText"/>
        <w:spacing w:line="314" w:lineRule="auto" w:before="85"/>
        <w:ind w:left="218" w:right="228"/>
        <w:jc w:val="both"/>
      </w:pPr>
      <w:r>
        <w:rPr/>
        <w:t>年的</w:t>
      </w:r>
      <w:r>
        <w:rPr>
          <w:spacing w:val="-43"/>
        </w:rPr>
        <w:t> </w:t>
      </w:r>
      <w:r>
        <w:rPr>
          <w:rFonts w:ascii="宋体" w:hAnsi="宋体" w:cs="宋体" w:eastAsia="宋体" w:hint="default"/>
        </w:rPr>
        <w:t>6</w:t>
      </w:r>
      <w:r>
        <w:rPr>
          <w:rFonts w:ascii="宋体" w:hAnsi="宋体" w:cs="宋体" w:eastAsia="宋体" w:hint="default"/>
          <w:spacing w:val="-45"/>
        </w:rPr>
        <w:t> </w:t>
      </w:r>
      <w:r>
        <w:rPr/>
        <w:t>月</w:t>
      </w:r>
      <w:r>
        <w:rPr>
          <w:spacing w:val="-43"/>
        </w:rPr>
        <w:t> </w:t>
      </w:r>
      <w:r>
        <w:rPr>
          <w:rFonts w:ascii="宋体" w:hAnsi="宋体" w:cs="宋体" w:eastAsia="宋体" w:hint="default"/>
        </w:rPr>
        <w:t>30</w:t>
      </w:r>
      <w:r>
        <w:rPr>
          <w:rFonts w:ascii="宋体" w:hAnsi="宋体" w:cs="宋体" w:eastAsia="宋体" w:hint="default"/>
          <w:spacing w:val="-43"/>
        </w:rPr>
        <w:t> </w:t>
      </w:r>
      <w:r>
        <w:rPr/>
        <w:t>日起的</w:t>
      </w:r>
      <w:r>
        <w:rPr>
          <w:spacing w:val="-45"/>
        </w:rPr>
        <w:t> </w:t>
      </w:r>
      <w:r>
        <w:rPr>
          <w:rFonts w:ascii="宋体" w:hAnsi="宋体" w:cs="宋体" w:eastAsia="宋体" w:hint="default"/>
        </w:rPr>
        <w:t>6</w:t>
      </w:r>
      <w:r>
        <w:rPr>
          <w:rFonts w:ascii="宋体" w:hAnsi="宋体" w:cs="宋体" w:eastAsia="宋体" w:hint="default"/>
          <w:spacing w:val="-43"/>
        </w:rPr>
        <w:t> </w:t>
      </w:r>
      <w:r>
        <w:rPr>
          <w:spacing w:val="-5"/>
        </w:rPr>
        <w:t>个月内），则前述未收回的应收账款对应的收入和成本同时冲减，该利润补</w:t>
      </w:r>
      <w:r>
        <w:rPr>
          <w:spacing w:val="-101"/>
        </w:rPr>
        <w:t> </w:t>
      </w:r>
      <w:r>
        <w:rPr>
          <w:spacing w:val="-101"/>
        </w:rPr>
      </w:r>
      <w:r>
        <w:rPr>
          <w:spacing w:val="-2"/>
        </w:rPr>
        <w:t>偿年度实际实现的净利润以冲减后的净利润余额为准。天健会计师事务所（特殊普通合伙）将于</w:t>
      </w:r>
      <w:r>
        <w:rPr>
          <w:spacing w:val="-25"/>
        </w:rPr>
        <w:t> </w:t>
      </w:r>
      <w:r>
        <w:rPr>
          <w:spacing w:val="-25"/>
        </w:rPr>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月份出具《盈利预测实现情况专项审核报告》，届时公司将及时公告该报告。</w:t>
      </w:r>
    </w:p>
    <w:p>
      <w:pPr>
        <w:spacing w:line="240" w:lineRule="auto" w:before="10"/>
        <w:rPr>
          <w:rFonts w:ascii="宋体" w:hAnsi="宋体" w:cs="宋体" w:eastAsia="宋体" w:hint="default"/>
          <w:sz w:val="27"/>
          <w:szCs w:val="27"/>
        </w:rPr>
      </w:pPr>
    </w:p>
    <w:p>
      <w:pPr>
        <w:pStyle w:val="Heading2"/>
        <w:spacing w:line="240" w:lineRule="auto" w:before="0"/>
        <w:ind w:right="0"/>
        <w:jc w:val="both"/>
        <w:rPr>
          <w:b w:val="0"/>
          <w:bCs w:val="0"/>
        </w:rPr>
      </w:pPr>
      <w:r>
        <w:rPr/>
        <w:t>三、报告期内资金被占用情况及清欠进展情况</w:t>
      </w:r>
      <w:r>
        <w:rPr>
          <w:b w:val="0"/>
          <w:bCs w:val="0"/>
        </w:rPr>
      </w:r>
    </w:p>
    <w:p>
      <w:pPr>
        <w:spacing w:line="290" w:lineRule="auto" w:before="58"/>
        <w:ind w:left="218" w:right="2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四、董事会对会计师事务所</w:t>
      </w:r>
      <w:r>
        <w:rPr>
          <w:rFonts w:ascii="Arial" w:hAnsi="Arial" w:cs="Arial" w:eastAsia="Arial" w:hint="default"/>
          <w:b/>
          <w:bCs/>
          <w:spacing w:val="-1"/>
          <w:sz w:val="21"/>
          <w:szCs w:val="21"/>
        </w:rPr>
        <w:t>“</w:t>
      </w:r>
      <w:r>
        <w:rPr>
          <w:rFonts w:ascii="宋体" w:hAnsi="宋体" w:cs="宋体" w:eastAsia="宋体" w:hint="default"/>
          <w:b/>
          <w:bCs/>
          <w:spacing w:val="-1"/>
          <w:sz w:val="21"/>
          <w:szCs w:val="21"/>
        </w:rPr>
        <w:t>非标准审计报告</w:t>
      </w:r>
      <w:r>
        <w:rPr>
          <w:rFonts w:ascii="Arial" w:hAnsi="Arial" w:cs="Arial" w:eastAsia="Arial" w:hint="default"/>
          <w:b/>
          <w:bCs/>
          <w:spacing w:val="-1"/>
          <w:sz w:val="21"/>
          <w:szCs w:val="21"/>
        </w:rPr>
        <w:t>”</w:t>
      </w:r>
      <w:r>
        <w:rPr>
          <w:rFonts w:ascii="宋体" w:hAnsi="宋体" w:cs="宋体" w:eastAsia="宋体" w:hint="default"/>
          <w:b/>
          <w:bCs/>
          <w:spacing w:val="-1"/>
          <w:sz w:val="21"/>
          <w:szCs w:val="21"/>
        </w:rPr>
        <w:t>的说明</w:t>
      </w:r>
      <w:r>
        <w:rPr>
          <w:rFonts w:ascii="宋体" w:hAnsi="宋体" w:cs="宋体" w:eastAsia="宋体" w:hint="default"/>
          <w:spacing w:val="-1"/>
          <w:sz w:val="21"/>
          <w:szCs w:val="21"/>
        </w:rPr>
      </w:r>
    </w:p>
    <w:p>
      <w:pPr>
        <w:pStyle w:val="Heading2"/>
        <w:spacing w:line="297" w:lineRule="exact" w:before="0"/>
        <w:ind w:left="160" w:right="0"/>
        <w:jc w:val="both"/>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29"/>
        <w:ind w:left="2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60"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32"/>
        <w:ind w:left="2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60"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29"/>
        <w:ind w:left="218" w:right="0"/>
        <w:jc w:val="both"/>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ind w:right="2465"/>
        <w:jc w:val="left"/>
        <w:rPr>
          <w:b w:val="0"/>
          <w:bCs w:val="0"/>
        </w:rPr>
      </w:pPr>
      <w:r>
        <w:rPr/>
        <w:t>五、聘任、解聘会计师事务所情况</w:t>
      </w:r>
      <w:r>
        <w:rPr>
          <w:b w:val="0"/>
          <w:bCs w:val="0"/>
        </w:rPr>
      </w:r>
    </w:p>
    <w:p>
      <w:pPr>
        <w:pStyle w:val="BodyText"/>
        <w:tabs>
          <w:tab w:pos="1262" w:val="left" w:leader="none"/>
        </w:tabs>
        <w:spacing w:line="240" w:lineRule="auto" w:before="58"/>
        <w:ind w:left="0" w:right="230"/>
        <w:jc w:val="right"/>
      </w:pPr>
      <w:r>
        <w:rPr>
          <w:spacing w:val="-1"/>
        </w:rPr>
        <w:t>单位：万元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北京天圆全会计师事务所（特殊普通合伙）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北京天圆全会计师事务所（特</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殊普通合伙）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招商证券股份有限公司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1600</w:t>
            </w:r>
          </w:p>
        </w:tc>
      </w:tr>
    </w:tbl>
    <w:p>
      <w:pPr>
        <w:spacing w:line="240" w:lineRule="auto" w:before="5"/>
        <w:rPr>
          <w:rFonts w:ascii="宋体" w:hAnsi="宋体" w:cs="宋体" w:eastAsia="宋体" w:hint="default"/>
          <w:sz w:val="15"/>
          <w:szCs w:val="15"/>
        </w:rPr>
      </w:pPr>
    </w:p>
    <w:p>
      <w:pPr>
        <w:pStyle w:val="BodyText"/>
        <w:spacing w:line="275" w:lineRule="exact" w:before="36"/>
        <w:ind w:left="218" w:right="2465"/>
        <w:jc w:val="left"/>
      </w:pPr>
      <w:r>
        <w:rPr/>
        <w:t>聘任、解聘会计师事务所的情况说明</w:t>
      </w:r>
    </w:p>
    <w:p>
      <w:pPr>
        <w:pStyle w:val="BodyText"/>
        <w:spacing w:line="275" w:lineRule="exact" w:before="0"/>
        <w:ind w:left="218" w:right="2465"/>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pStyle w:val="BodyText"/>
        <w:spacing w:line="272" w:lineRule="exact" w:before="0"/>
        <w:ind w:left="218" w:right="5342"/>
        <w:jc w:val="left"/>
      </w:pPr>
      <w:r>
        <w:rPr>
          <w:spacing w:val="-2"/>
        </w:rPr>
        <w:t>审计期间改聘会计师事务所的情况说明</w:t>
      </w:r>
      <w:r>
        <w:rPr>
          <w:spacing w:val="-72"/>
        </w:rPr>
        <w:t> </w:t>
      </w:r>
      <w:r>
        <w:rPr>
          <w:spacing w:val="-72"/>
        </w:rPr>
      </w:r>
      <w:r>
        <w:rPr/>
        <w:t>无</w:t>
      </w:r>
    </w:p>
    <w:p>
      <w:pPr>
        <w:spacing w:line="240" w:lineRule="auto" w:before="4"/>
        <w:rPr>
          <w:rFonts w:ascii="宋体" w:hAnsi="宋体" w:cs="宋体" w:eastAsia="宋体" w:hint="default"/>
          <w:sz w:val="23"/>
          <w:szCs w:val="23"/>
        </w:rPr>
      </w:pPr>
    </w:p>
    <w:p>
      <w:pPr>
        <w:pStyle w:val="Heading2"/>
        <w:spacing w:line="240" w:lineRule="auto" w:before="0"/>
        <w:ind w:right="2465"/>
        <w:jc w:val="left"/>
        <w:rPr>
          <w:b w:val="0"/>
          <w:bCs w:val="0"/>
        </w:rPr>
      </w:pPr>
      <w:r>
        <w:rPr/>
        <w:t>六、面临暂停上市风险的情况</w:t>
      </w:r>
      <w:r>
        <w:rPr>
          <w:b w:val="0"/>
          <w:bCs w:val="0"/>
        </w:rPr>
      </w:r>
    </w:p>
    <w:p>
      <w:pPr>
        <w:pStyle w:val="Heading2"/>
        <w:spacing w:line="264" w:lineRule="auto" w:before="58"/>
        <w:ind w:right="2940"/>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导致暂停上市的原因以及公司采取的消除暂停上市情形的措施</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2"/>
        <w:spacing w:line="240" w:lineRule="auto" w:before="0"/>
        <w:ind w:right="2465"/>
        <w:jc w:val="left"/>
        <w:rPr>
          <w:b w:val="0"/>
          <w:bCs w:val="0"/>
        </w:rPr>
      </w:pPr>
      <w:r>
        <w:rPr/>
        <w:t>七、破产重整相关事项</w:t>
      </w:r>
      <w:r>
        <w:rPr>
          <w:b w:val="0"/>
          <w:bCs w:val="0"/>
        </w:rPr>
      </w:r>
    </w:p>
    <w:p>
      <w:pPr>
        <w:pStyle w:val="BodyText"/>
        <w:spacing w:line="240" w:lineRule="auto" w:before="58"/>
        <w:ind w:left="218" w:right="2465"/>
        <w:jc w:val="left"/>
      </w:pPr>
      <w:r>
        <w:rPr/>
        <w:t>□适用</w:t>
      </w:r>
      <w:r>
        <w:rPr>
          <w:spacing w:val="-1"/>
        </w:rPr>
        <w:t> </w:t>
      </w:r>
      <w:r>
        <w:rPr/>
        <w:t>√不适用</w:t>
      </w:r>
    </w:p>
    <w:p>
      <w:pPr>
        <w:spacing w:after="0" w:line="240" w:lineRule="auto"/>
        <w:jc w:val="left"/>
        <w:sectPr>
          <w:pgSz w:w="11910" w:h="16840"/>
          <w:pgMar w:header="855" w:footer="1193" w:top="1280" w:bottom="1380" w:left="1580" w:right="1040"/>
        </w:sectPr>
      </w:pPr>
    </w:p>
    <w:p>
      <w:pPr>
        <w:spacing w:line="240" w:lineRule="auto" w:before="1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55" w:footer="1193" w:top="1280" w:bottom="1380" w:left="1580" w:right="1040"/>
        </w:sectPr>
      </w:pPr>
    </w:p>
    <w:p>
      <w:pPr>
        <w:pStyle w:val="Heading2"/>
        <w:spacing w:line="240" w:lineRule="auto"/>
        <w:ind w:right="-17"/>
        <w:jc w:val="left"/>
        <w:rPr>
          <w:b w:val="0"/>
          <w:bCs w:val="0"/>
        </w:rPr>
      </w:pPr>
      <w:r>
        <w:rPr/>
        <w:t>八、重大诉讼、仲裁事项</w:t>
      </w:r>
      <w:r>
        <w:rPr>
          <w:b w:val="0"/>
          <w:bCs w:val="0"/>
        </w:rPr>
      </w:r>
    </w:p>
    <w:p>
      <w:pPr>
        <w:pStyle w:val="BodyText"/>
        <w:spacing w:line="240" w:lineRule="auto" w:before="58"/>
        <w:ind w:left="218" w:right="-17"/>
        <w:jc w:val="left"/>
      </w:pPr>
      <w:r>
        <w:rPr/>
        <w:t>√适用</w:t>
      </w:r>
      <w:r>
        <w:rPr>
          <w:spacing w:val="-1"/>
        </w:rPr>
        <w:t> </w:t>
      </w:r>
      <w:r>
        <w:rPr/>
        <w:t>□不适用</w:t>
      </w:r>
    </w:p>
    <w:p>
      <w:pPr>
        <w:pStyle w:val="Heading2"/>
        <w:spacing w:line="240" w:lineRule="auto" w:before="56"/>
        <w:ind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32"/>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64" w:val="left" w:leader="none"/>
        </w:tabs>
        <w:spacing w:line="240" w:lineRule="auto" w:before="0"/>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280" w:bottom="1380" w:left="1580" w:right="1040"/>
          <w:cols w:num="2" w:equalWidth="0">
            <w:col w:w="5067" w:space="1669"/>
            <w:col w:w="2554"/>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84"/>
        <w:gridCol w:w="960"/>
        <w:gridCol w:w="939"/>
        <w:gridCol w:w="938"/>
        <w:gridCol w:w="1896"/>
        <w:gridCol w:w="1387"/>
        <w:gridCol w:w="985"/>
        <w:gridCol w:w="962"/>
      </w:tblGrid>
      <w:tr>
        <w:trPr>
          <w:trHeight w:val="242" w:hRule="exact"/>
        </w:trPr>
        <w:tc>
          <w:tcPr>
            <w:tcW w:w="9052"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z w:val="18"/>
                <w:szCs w:val="18"/>
              </w:rPr>
              <w:t>:</w:t>
            </w:r>
          </w:p>
        </w:tc>
      </w:tr>
      <w:tr>
        <w:trPr>
          <w:trHeight w:val="94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61" w:right="170" w:hanging="92"/>
              <w:jc w:val="left"/>
              <w:rPr>
                <w:rFonts w:ascii="宋体" w:hAnsi="宋体" w:cs="宋体" w:eastAsia="宋体" w:hint="default"/>
                <w:sz w:val="18"/>
                <w:szCs w:val="18"/>
              </w:rPr>
            </w:pPr>
            <w:r>
              <w:rPr>
                <w:rFonts w:ascii="宋体" w:hAnsi="宋体" w:cs="宋体" w:eastAsia="宋体" w:hint="default"/>
                <w:sz w:val="18"/>
                <w:szCs w:val="18"/>
              </w:rPr>
              <w:t>起诉</w:t>
            </w:r>
            <w:r>
              <w:rPr>
                <w:rFonts w:ascii="宋体" w:hAnsi="宋体" w:cs="宋体" w:eastAsia="宋体" w:hint="default"/>
                <w:sz w:val="18"/>
                <w:szCs w:val="18"/>
              </w:rPr>
              <w:t>(</w:t>
            </w:r>
            <w:r>
              <w:rPr>
                <w:rFonts w:ascii="宋体" w:hAnsi="宋体" w:cs="宋体" w:eastAsia="宋体" w:hint="default"/>
                <w:sz w:val="18"/>
                <w:szCs w:val="18"/>
              </w:rPr>
              <w:t>申 请</w:t>
            </w:r>
            <w:r>
              <w:rPr>
                <w:rFonts w:ascii="宋体" w:hAnsi="宋体" w:cs="宋体" w:eastAsia="宋体" w:hint="default"/>
                <w:sz w:val="18"/>
                <w:szCs w:val="18"/>
              </w:rPr>
              <w:t>)</w:t>
            </w:r>
            <w:r>
              <w:rPr>
                <w:rFonts w:ascii="宋体" w:hAnsi="宋体" w:cs="宋体" w:eastAsia="宋体" w:hint="default"/>
                <w:sz w:val="18"/>
                <w:szCs w:val="18"/>
              </w:rPr>
              <w:t>方</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58" w:right="158"/>
              <w:jc w:val="left"/>
              <w:rPr>
                <w:rFonts w:ascii="宋体" w:hAnsi="宋体" w:cs="宋体" w:eastAsia="宋体" w:hint="default"/>
                <w:sz w:val="18"/>
                <w:szCs w:val="18"/>
              </w:rPr>
            </w:pPr>
            <w:r>
              <w:rPr>
                <w:rFonts w:ascii="宋体" w:hAnsi="宋体" w:cs="宋体" w:eastAsia="宋体" w:hint="default"/>
                <w:sz w:val="18"/>
                <w:szCs w:val="18"/>
              </w:rPr>
              <w:t>应诉</w:t>
            </w:r>
            <w:r>
              <w:rPr>
                <w:rFonts w:ascii="宋体" w:hAnsi="宋体" w:cs="宋体" w:eastAsia="宋体" w:hint="default"/>
                <w:sz w:val="18"/>
                <w:szCs w:val="18"/>
              </w:rPr>
              <w:t>(</w:t>
            </w:r>
            <w:r>
              <w:rPr>
                <w:rFonts w:ascii="宋体" w:hAnsi="宋体" w:cs="宋体" w:eastAsia="宋体" w:hint="default"/>
                <w:sz w:val="18"/>
                <w:szCs w:val="18"/>
              </w:rPr>
              <w:t>被 申请</w:t>
            </w:r>
            <w:r>
              <w:rPr>
                <w:rFonts w:ascii="宋体" w:hAnsi="宋体" w:cs="宋体" w:eastAsia="宋体" w:hint="default"/>
                <w:sz w:val="18"/>
                <w:szCs w:val="18"/>
              </w:rPr>
              <w:t>)</w:t>
            </w:r>
            <w:r>
              <w:rPr>
                <w:rFonts w:ascii="宋体" w:hAnsi="宋体" w:cs="宋体" w:eastAsia="宋体" w:hint="default"/>
                <w:sz w:val="18"/>
                <w:szCs w:val="18"/>
              </w:rPr>
              <w:t>方</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95" w:right="104" w:hanging="92"/>
              <w:jc w:val="left"/>
              <w:rPr>
                <w:rFonts w:ascii="宋体" w:hAnsi="宋体" w:cs="宋体" w:eastAsia="宋体" w:hint="default"/>
                <w:sz w:val="18"/>
                <w:szCs w:val="18"/>
              </w:rPr>
            </w:pPr>
            <w:r>
              <w:rPr>
                <w:rFonts w:ascii="宋体" w:hAnsi="宋体" w:cs="宋体" w:eastAsia="宋体" w:hint="default"/>
                <w:sz w:val="18"/>
                <w:szCs w:val="18"/>
              </w:rPr>
              <w:t>承担连带 责任方</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83" w:right="103" w:hanging="180"/>
              <w:jc w:val="left"/>
              <w:rPr>
                <w:rFonts w:ascii="宋体" w:hAnsi="宋体" w:cs="宋体" w:eastAsia="宋体" w:hint="default"/>
                <w:sz w:val="18"/>
                <w:szCs w:val="18"/>
              </w:rPr>
            </w:pPr>
            <w:r>
              <w:rPr>
                <w:rFonts w:ascii="宋体" w:hAnsi="宋体" w:cs="宋体" w:eastAsia="宋体" w:hint="default"/>
                <w:sz w:val="18"/>
                <w:szCs w:val="18"/>
              </w:rPr>
              <w:t>诉讼仲裁 类型</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基本情况</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17" w:right="144" w:hanging="269"/>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涉 及金额</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68" w:right="173"/>
              <w:jc w:val="center"/>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 裁</w:t>
            </w:r>
            <w:r>
              <w:rPr>
                <w:rFonts w:ascii="宋体" w:hAnsi="宋体" w:cs="宋体" w:eastAsia="宋体" w:hint="default"/>
                <w:sz w:val="18"/>
                <w:szCs w:val="18"/>
              </w:rPr>
              <w:t>)</w:t>
            </w:r>
            <w:r>
              <w:rPr>
                <w:rFonts w:ascii="宋体" w:hAnsi="宋体" w:cs="宋体" w:eastAsia="宋体" w:hint="default"/>
                <w:sz w:val="18"/>
                <w:szCs w:val="18"/>
              </w:rPr>
              <w:t>进展 情况</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w:t>
            </w:r>
          </w:p>
          <w:p>
            <w:pPr>
              <w:pStyle w:val="TableParagraph"/>
              <w:spacing w:line="232" w:lineRule="exact" w:before="24"/>
              <w:ind w:left="115" w:right="115" w:firstLine="2"/>
              <w:jc w:val="center"/>
              <w:rPr>
                <w:rFonts w:ascii="宋体" w:hAnsi="宋体" w:cs="宋体" w:eastAsia="宋体" w:hint="default"/>
                <w:sz w:val="18"/>
                <w:szCs w:val="18"/>
              </w:rPr>
            </w:pPr>
            <w:r>
              <w:rPr>
                <w:rFonts w:ascii="宋体" w:hAnsi="宋体" w:cs="宋体" w:eastAsia="宋体" w:hint="default"/>
                <w:sz w:val="18"/>
                <w:szCs w:val="18"/>
              </w:rPr>
              <w:t>裁</w:t>
            </w:r>
            <w:r>
              <w:rPr>
                <w:rFonts w:ascii="宋体" w:hAnsi="宋体" w:cs="宋体" w:eastAsia="宋体" w:hint="default"/>
                <w:sz w:val="18"/>
                <w:szCs w:val="18"/>
              </w:rPr>
              <w:t>)</w:t>
            </w:r>
            <w:r>
              <w:rPr>
                <w:rFonts w:ascii="宋体" w:hAnsi="宋体" w:cs="宋体" w:eastAsia="宋体" w:hint="default"/>
                <w:sz w:val="18"/>
                <w:szCs w:val="18"/>
              </w:rPr>
              <w:t>审理 结果及影 响</w:t>
            </w:r>
          </w:p>
        </w:tc>
      </w:tr>
      <w:tr>
        <w:trPr>
          <w:trHeight w:val="2345"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林柱清、</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黄彦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科达集团</w:t>
            </w:r>
            <w:r>
              <w:rPr>
                <w:rFonts w:ascii="宋体" w:hAnsi="宋体" w:cs="宋体" w:eastAsia="宋体" w:hint="default"/>
                <w:sz w:val="18"/>
                <w:szCs w:val="18"/>
              </w:rPr>
            </w:r>
          </w:p>
          <w:p>
            <w:pPr>
              <w:pStyle w:val="TableParagraph"/>
              <w:spacing w:line="234" w:lineRule="exact" w:before="21"/>
              <w:ind w:left="103" w:right="96"/>
              <w:jc w:val="left"/>
              <w:rPr>
                <w:rFonts w:ascii="宋体" w:hAnsi="宋体" w:cs="宋体" w:eastAsia="宋体" w:hint="default"/>
                <w:sz w:val="18"/>
                <w:szCs w:val="18"/>
              </w:rPr>
            </w:pPr>
            <w:r>
              <w:rPr>
                <w:rFonts w:ascii="宋体" w:hAnsi="宋体" w:cs="宋体" w:eastAsia="宋体" w:hint="default"/>
                <w:spacing w:val="7"/>
                <w:sz w:val="18"/>
                <w:szCs w:val="18"/>
              </w:rPr>
              <w:t>股份有限 </w:t>
            </w:r>
            <w:r>
              <w:rPr>
                <w:rFonts w:ascii="宋体" w:hAnsi="宋体" w:cs="宋体" w:eastAsia="宋体" w:hint="default"/>
                <w:sz w:val="18"/>
                <w:szCs w:val="18"/>
              </w:rPr>
              <w:t>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广西玉港</w:t>
            </w:r>
          </w:p>
          <w:p>
            <w:pPr>
              <w:pStyle w:val="TableParagraph"/>
              <w:spacing w:line="234" w:lineRule="exact" w:before="21"/>
              <w:ind w:left="103" w:right="104"/>
              <w:jc w:val="left"/>
              <w:rPr>
                <w:rFonts w:ascii="宋体" w:hAnsi="宋体" w:cs="宋体" w:eastAsia="宋体" w:hint="default"/>
                <w:sz w:val="18"/>
                <w:szCs w:val="18"/>
              </w:rPr>
            </w:pPr>
            <w:r>
              <w:rPr>
                <w:rFonts w:ascii="宋体" w:hAnsi="宋体" w:cs="宋体" w:eastAsia="宋体" w:hint="default"/>
                <w:sz w:val="18"/>
                <w:szCs w:val="18"/>
              </w:rPr>
              <w:t>高速公路 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民事</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上海证券交易所网</w:t>
            </w:r>
          </w:p>
          <w:p>
            <w:pPr>
              <w:pStyle w:val="TableParagraph"/>
              <w:tabs>
                <w:tab w:pos="1574" w:val="left" w:leader="none"/>
              </w:tabs>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站</w:t>
              <w:tab/>
              <w:t>：</w:t>
            </w:r>
          </w:p>
          <w:p>
            <w:pPr>
              <w:pStyle w:val="TableParagraph"/>
              <w:spacing w:line="237" w:lineRule="auto" w:before="2"/>
              <w:ind w:left="103" w:right="98"/>
              <w:jc w:val="both"/>
              <w:rPr>
                <w:rFonts w:ascii="宋体" w:hAnsi="宋体" w:cs="宋体" w:eastAsia="宋体" w:hint="default"/>
                <w:sz w:val="21"/>
                <w:szCs w:val="21"/>
              </w:rPr>
            </w:pPr>
            <w:hyperlink r:id="rId12">
              <w:r>
                <w:rPr>
                  <w:rFonts w:ascii="宋体" w:hAnsi="宋体" w:cs="宋体" w:eastAsia="宋体" w:hint="default"/>
                  <w:sz w:val="21"/>
                  <w:szCs w:val="21"/>
                </w:rPr>
                <w:t>www.sse.com.cn</w:t>
              </w:r>
            </w:hyperlink>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11"/>
                <w:sz w:val="21"/>
                <w:szCs w:val="21"/>
              </w:rPr>
              <w:t>通过</w:t>
            </w:r>
            <w:r>
              <w:rPr>
                <w:rFonts w:ascii="宋体" w:hAnsi="宋体" w:cs="宋体" w:eastAsia="宋体" w:hint="default"/>
                <w:spacing w:val="11"/>
                <w:sz w:val="21"/>
                <w:szCs w:val="21"/>
              </w:rPr>
              <w:t>"</w:t>
            </w:r>
            <w:r>
              <w:rPr>
                <w:rFonts w:ascii="宋体" w:hAnsi="宋体" w:cs="宋体" w:eastAsia="宋体" w:hint="default"/>
                <w:spacing w:val="11"/>
                <w:sz w:val="21"/>
                <w:szCs w:val="21"/>
              </w:rPr>
              <w:t>上市公司公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1"/>
                <w:sz w:val="21"/>
                <w:szCs w:val="21"/>
              </w:rPr>
              <w:t>告</w:t>
            </w:r>
            <w:r>
              <w:rPr>
                <w:rFonts w:ascii="宋体" w:hAnsi="宋体" w:cs="宋体" w:eastAsia="宋体" w:hint="default"/>
                <w:spacing w:val="11"/>
                <w:sz w:val="21"/>
                <w:szCs w:val="21"/>
              </w:rPr>
              <w:t>"</w:t>
            </w:r>
            <w:r>
              <w:rPr>
                <w:rFonts w:ascii="宋体" w:hAnsi="宋体" w:cs="宋体" w:eastAsia="宋体" w:hint="default"/>
                <w:spacing w:val="11"/>
                <w:sz w:val="21"/>
                <w:szCs w:val="21"/>
              </w:rPr>
              <w:t>栏科达股份临</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2014-022</w:t>
            </w:r>
            <w:r>
              <w:rPr>
                <w:rFonts w:ascii="宋体" w:hAnsi="宋体" w:cs="宋体" w:eastAsia="宋体" w:hint="default"/>
                <w:spacing w:val="35"/>
                <w:sz w:val="21"/>
                <w:szCs w:val="21"/>
              </w:rPr>
              <w:t> </w:t>
            </w:r>
            <w:r>
              <w:rPr>
                <w:rFonts w:ascii="宋体" w:hAnsi="宋体" w:cs="宋体" w:eastAsia="宋体" w:hint="default"/>
                <w:sz w:val="21"/>
                <w:szCs w:val="21"/>
              </w:rPr>
              <w:t>号</w:t>
            </w:r>
            <w:r>
              <w:rPr>
                <w:rFonts w:ascii="宋体" w:hAnsi="宋体" w:cs="宋体" w:eastAsia="宋体" w:hint="default"/>
                <w:spacing w:val="-70"/>
                <w:sz w:val="21"/>
                <w:szCs w:val="21"/>
              </w:rPr>
              <w:t> </w:t>
            </w:r>
            <w:r>
              <w:rPr>
                <w:rFonts w:ascii="宋体" w:hAnsi="宋体" w:cs="宋体" w:eastAsia="宋体" w:hint="default"/>
                <w:sz w:val="21"/>
                <w:szCs w:val="21"/>
              </w:rPr>
              <w:t>公</w:t>
            </w:r>
            <w:r>
              <w:rPr>
                <w:rFonts w:ascii="宋体" w:hAnsi="宋体" w:cs="宋体" w:eastAsia="宋体" w:hint="default"/>
                <w:spacing w:val="-72"/>
                <w:sz w:val="21"/>
                <w:szCs w:val="21"/>
              </w:rPr>
              <w:t> </w:t>
            </w:r>
            <w:r>
              <w:rPr>
                <w:rFonts w:ascii="宋体" w:hAnsi="宋体" w:cs="宋体" w:eastAsia="宋体" w:hint="default"/>
                <w:sz w:val="21"/>
                <w:szCs w:val="21"/>
              </w:rPr>
              <w:t>告</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查询</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17,356,180.12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both"/>
              <w:rPr>
                <w:rFonts w:ascii="宋体" w:hAnsi="宋体" w:cs="宋体" w:eastAsia="宋体" w:hint="default"/>
                <w:sz w:val="18"/>
                <w:szCs w:val="18"/>
              </w:rPr>
            </w:pPr>
            <w:r>
              <w:rPr>
                <w:rFonts w:ascii="宋体" w:hAnsi="宋体" w:cs="宋体" w:eastAsia="宋体" w:hint="default"/>
                <w:sz w:val="18"/>
                <w:szCs w:val="18"/>
              </w:rPr>
              <w:t>发 回</w:t>
            </w:r>
            <w:r>
              <w:rPr>
                <w:rFonts w:ascii="宋体" w:hAnsi="宋体" w:cs="宋体" w:eastAsia="宋体" w:hint="default"/>
                <w:spacing w:val="50"/>
                <w:sz w:val="18"/>
                <w:szCs w:val="18"/>
              </w:rPr>
              <w:t> </w:t>
            </w:r>
            <w:r>
              <w:rPr>
                <w:rFonts w:ascii="宋体" w:hAnsi="宋体" w:cs="宋体" w:eastAsia="宋体" w:hint="default"/>
                <w:sz w:val="18"/>
                <w:szCs w:val="18"/>
              </w:rPr>
              <w:t>重</w:t>
            </w:r>
          </w:p>
          <w:p>
            <w:pPr>
              <w:pStyle w:val="TableParagraph"/>
              <w:spacing w:line="237" w:lineRule="auto"/>
              <w:ind w:left="101" w:right="84"/>
              <w:jc w:val="both"/>
              <w:rPr>
                <w:rFonts w:ascii="宋体" w:hAnsi="宋体" w:cs="宋体" w:eastAsia="宋体" w:hint="default"/>
                <w:sz w:val="18"/>
                <w:szCs w:val="18"/>
              </w:rPr>
            </w:pPr>
            <w:r>
              <w:rPr>
                <w:rFonts w:ascii="宋体" w:hAnsi="宋体" w:cs="宋体" w:eastAsia="宋体" w:hint="default"/>
                <w:spacing w:val="12"/>
                <w:sz w:val="18"/>
                <w:szCs w:val="18"/>
              </w:rPr>
              <w:t>审，</w:t>
            </w:r>
            <w:r>
              <w:rPr>
                <w:rFonts w:ascii="宋体" w:hAnsi="宋体" w:cs="宋体" w:eastAsia="宋体" w:hint="default"/>
                <w:spacing w:val="-66"/>
                <w:sz w:val="18"/>
                <w:szCs w:val="18"/>
              </w:rPr>
              <w:t> </w:t>
            </w:r>
            <w:r>
              <w:rPr>
                <w:rFonts w:ascii="宋体" w:hAnsi="宋体" w:cs="宋体" w:eastAsia="宋体"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1"/>
                <w:sz w:val="18"/>
                <w:szCs w:val="18"/>
              </w:rPr>
              <w:t> </w:t>
            </w:r>
            <w:r>
              <w:rPr>
                <w:rFonts w:ascii="宋体" w:hAnsi="宋体" w:cs="宋体" w:eastAsia="宋体" w:hint="default"/>
                <w:spacing w:val="12"/>
                <w:sz w:val="18"/>
                <w:szCs w:val="18"/>
              </w:rPr>
              <w:t>日一审开</w:t>
            </w:r>
            <w:r>
              <w:rPr>
                <w:rFonts w:ascii="宋体" w:hAnsi="宋体" w:cs="宋体" w:eastAsia="宋体" w:hint="default"/>
                <w:spacing w:val="-74"/>
                <w:sz w:val="18"/>
                <w:szCs w:val="18"/>
              </w:rPr>
              <w:t> </w:t>
            </w:r>
            <w:r>
              <w:rPr>
                <w:rFonts w:ascii="宋体" w:hAnsi="宋体" w:cs="宋体" w:eastAsia="宋体" w:hint="default"/>
                <w:spacing w:val="12"/>
                <w:sz w:val="18"/>
                <w:szCs w:val="18"/>
              </w:rPr>
              <w:t>庭。公司</w:t>
            </w:r>
            <w:r>
              <w:rPr>
                <w:rFonts w:ascii="宋体" w:hAnsi="宋体" w:cs="宋体" w:eastAsia="宋体" w:hint="default"/>
                <w:spacing w:val="-74"/>
                <w:sz w:val="18"/>
                <w:szCs w:val="18"/>
              </w:rPr>
              <w:t> </w:t>
            </w:r>
            <w:r>
              <w:rPr>
                <w:rFonts w:ascii="宋体" w:hAnsi="宋体" w:cs="宋体" w:eastAsia="宋体" w:hint="default"/>
                <w:spacing w:val="12"/>
                <w:sz w:val="18"/>
                <w:szCs w:val="18"/>
              </w:rPr>
              <w:t>正在向法</w:t>
            </w:r>
            <w:r>
              <w:rPr>
                <w:rFonts w:ascii="宋体" w:hAnsi="宋体" w:cs="宋体" w:eastAsia="宋体" w:hint="default"/>
                <w:spacing w:val="-74"/>
                <w:sz w:val="18"/>
                <w:szCs w:val="18"/>
              </w:rPr>
              <w:t> </w:t>
            </w:r>
            <w:r>
              <w:rPr>
                <w:rFonts w:ascii="宋体" w:hAnsi="宋体" w:cs="宋体" w:eastAsia="宋体" w:hint="default"/>
                <w:spacing w:val="12"/>
                <w:sz w:val="18"/>
                <w:szCs w:val="18"/>
              </w:rPr>
              <w:t>院申请对</w:t>
            </w:r>
            <w:r>
              <w:rPr>
                <w:rFonts w:ascii="宋体" w:hAnsi="宋体" w:cs="宋体" w:eastAsia="宋体" w:hint="default"/>
                <w:spacing w:val="-74"/>
                <w:sz w:val="18"/>
                <w:szCs w:val="18"/>
              </w:rPr>
              <w:t> </w:t>
            </w:r>
            <w:r>
              <w:rPr>
                <w:rFonts w:ascii="宋体" w:hAnsi="宋体" w:cs="宋体" w:eastAsia="宋体" w:hint="default"/>
                <w:spacing w:val="12"/>
                <w:sz w:val="18"/>
                <w:szCs w:val="18"/>
              </w:rPr>
              <w:t>相关工程</w:t>
            </w:r>
            <w:r>
              <w:rPr>
                <w:rFonts w:ascii="宋体" w:hAnsi="宋体" w:cs="宋体" w:eastAsia="宋体" w:hint="default"/>
                <w:spacing w:val="-74"/>
                <w:sz w:val="18"/>
                <w:szCs w:val="18"/>
              </w:rPr>
              <w:t> </w:t>
            </w:r>
            <w:r>
              <w:rPr>
                <w:rFonts w:ascii="宋体" w:hAnsi="宋体" w:cs="宋体" w:eastAsia="宋体" w:hint="default"/>
                <w:spacing w:val="12"/>
                <w:sz w:val="18"/>
                <w:szCs w:val="18"/>
              </w:rPr>
              <w:t>量进行重</w:t>
            </w:r>
            <w:r>
              <w:rPr>
                <w:rFonts w:ascii="宋体" w:hAnsi="宋体" w:cs="宋体" w:eastAsia="宋体" w:hint="default"/>
                <w:spacing w:val="-74"/>
                <w:sz w:val="18"/>
                <w:szCs w:val="18"/>
              </w:rPr>
              <w:t> </w:t>
            </w:r>
            <w:r>
              <w:rPr>
                <w:rFonts w:ascii="宋体" w:hAnsi="宋体" w:cs="宋体" w:eastAsia="宋体" w:hint="default"/>
                <w:sz w:val="18"/>
                <w:szCs w:val="18"/>
              </w:rPr>
              <w:t>新鉴定。</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7"/>
              <w:jc w:val="right"/>
              <w:rPr>
                <w:rFonts w:ascii="宋体" w:hAnsi="宋体" w:cs="宋体" w:eastAsia="宋体" w:hint="default"/>
                <w:sz w:val="18"/>
                <w:szCs w:val="18"/>
              </w:rPr>
            </w:pPr>
            <w:r>
              <w:rPr>
                <w:rFonts w:ascii="宋体" w:hAnsi="宋体" w:cs="宋体" w:eastAsia="宋体" w:hint="default"/>
                <w:sz w:val="18"/>
                <w:szCs w:val="18"/>
              </w:rPr>
              <w:t>尚未审结</w:t>
            </w:r>
          </w:p>
        </w:tc>
      </w:tr>
      <w:tr>
        <w:trPr>
          <w:trHeight w:val="1918"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黎兴谷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科达集团</w:t>
            </w:r>
            <w:r>
              <w:rPr>
                <w:rFonts w:ascii="宋体" w:hAnsi="宋体" w:cs="宋体" w:eastAsia="宋体" w:hint="default"/>
                <w:sz w:val="18"/>
                <w:szCs w:val="18"/>
              </w:rPr>
            </w:r>
          </w:p>
          <w:p>
            <w:pPr>
              <w:pStyle w:val="TableParagraph"/>
              <w:spacing w:line="232" w:lineRule="exact" w:before="24"/>
              <w:ind w:left="103" w:right="96"/>
              <w:jc w:val="left"/>
              <w:rPr>
                <w:rFonts w:ascii="宋体" w:hAnsi="宋体" w:cs="宋体" w:eastAsia="宋体" w:hint="default"/>
                <w:sz w:val="18"/>
                <w:szCs w:val="18"/>
              </w:rPr>
            </w:pPr>
            <w:r>
              <w:rPr>
                <w:rFonts w:ascii="宋体" w:hAnsi="宋体" w:cs="宋体" w:eastAsia="宋体" w:hint="default"/>
                <w:spacing w:val="7"/>
                <w:sz w:val="18"/>
                <w:szCs w:val="18"/>
              </w:rPr>
              <w:t>股份有限 </w:t>
            </w:r>
            <w:r>
              <w:rPr>
                <w:rFonts w:ascii="宋体" w:hAnsi="宋体" w:cs="宋体" w:eastAsia="宋体" w:hint="default"/>
                <w:sz w:val="18"/>
                <w:szCs w:val="18"/>
              </w:rPr>
              <w:t>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民事</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上海证券交易所网</w:t>
            </w:r>
          </w:p>
          <w:p>
            <w:pPr>
              <w:pStyle w:val="TableParagraph"/>
              <w:tabs>
                <w:tab w:pos="1574" w:val="left" w:leader="none"/>
              </w:tabs>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站</w:t>
              <w:tab/>
              <w:t>：</w:t>
            </w:r>
          </w:p>
          <w:p>
            <w:pPr>
              <w:pStyle w:val="TableParagraph"/>
              <w:spacing w:line="237" w:lineRule="auto"/>
              <w:ind w:left="103" w:right="98"/>
              <w:jc w:val="both"/>
              <w:rPr>
                <w:rFonts w:ascii="宋体" w:hAnsi="宋体" w:cs="宋体" w:eastAsia="宋体" w:hint="default"/>
                <w:sz w:val="21"/>
                <w:szCs w:val="21"/>
              </w:rPr>
            </w:pPr>
            <w:hyperlink r:id="rId12">
              <w:r>
                <w:rPr>
                  <w:rFonts w:ascii="宋体" w:hAnsi="宋体" w:cs="宋体" w:eastAsia="宋体" w:hint="default"/>
                  <w:sz w:val="21"/>
                  <w:szCs w:val="21"/>
                </w:rPr>
                <w:t>www.sse.com.cn</w:t>
              </w:r>
            </w:hyperlink>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11"/>
                <w:sz w:val="21"/>
                <w:szCs w:val="21"/>
              </w:rPr>
              <w:t>通过</w:t>
            </w:r>
            <w:r>
              <w:rPr>
                <w:rFonts w:ascii="宋体" w:hAnsi="宋体" w:cs="宋体" w:eastAsia="宋体" w:hint="default"/>
                <w:spacing w:val="11"/>
                <w:sz w:val="21"/>
                <w:szCs w:val="21"/>
              </w:rPr>
              <w:t>"</w:t>
            </w:r>
            <w:r>
              <w:rPr>
                <w:rFonts w:ascii="宋体" w:hAnsi="宋体" w:cs="宋体" w:eastAsia="宋体" w:hint="default"/>
                <w:spacing w:val="11"/>
                <w:sz w:val="21"/>
                <w:szCs w:val="21"/>
              </w:rPr>
              <w:t>上市公司公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1"/>
                <w:sz w:val="21"/>
                <w:szCs w:val="21"/>
              </w:rPr>
              <w:t>告</w:t>
            </w:r>
            <w:r>
              <w:rPr>
                <w:rFonts w:ascii="宋体" w:hAnsi="宋体" w:cs="宋体" w:eastAsia="宋体" w:hint="default"/>
                <w:spacing w:val="11"/>
                <w:sz w:val="21"/>
                <w:szCs w:val="21"/>
              </w:rPr>
              <w:t>"</w:t>
            </w:r>
            <w:r>
              <w:rPr>
                <w:rFonts w:ascii="宋体" w:hAnsi="宋体" w:cs="宋体" w:eastAsia="宋体" w:hint="default"/>
                <w:spacing w:val="11"/>
                <w:sz w:val="21"/>
                <w:szCs w:val="21"/>
              </w:rPr>
              <w:t>栏科达股份临</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2015-038</w:t>
            </w:r>
            <w:r>
              <w:rPr>
                <w:rFonts w:ascii="宋体" w:hAnsi="宋体" w:cs="宋体" w:eastAsia="宋体" w:hint="default"/>
                <w:spacing w:val="35"/>
                <w:sz w:val="21"/>
                <w:szCs w:val="21"/>
              </w:rPr>
              <w:t> </w:t>
            </w:r>
            <w:r>
              <w:rPr>
                <w:rFonts w:ascii="宋体" w:hAnsi="宋体" w:cs="宋体" w:eastAsia="宋体" w:hint="default"/>
                <w:sz w:val="21"/>
                <w:szCs w:val="21"/>
              </w:rPr>
              <w:t>号</w:t>
            </w:r>
            <w:r>
              <w:rPr>
                <w:rFonts w:ascii="宋体" w:hAnsi="宋体" w:cs="宋体" w:eastAsia="宋体" w:hint="default"/>
                <w:spacing w:val="-70"/>
                <w:sz w:val="21"/>
                <w:szCs w:val="21"/>
              </w:rPr>
              <w:t> </w:t>
            </w:r>
            <w:r>
              <w:rPr>
                <w:rFonts w:ascii="宋体" w:hAnsi="宋体" w:cs="宋体" w:eastAsia="宋体" w:hint="default"/>
                <w:sz w:val="21"/>
                <w:szCs w:val="21"/>
              </w:rPr>
              <w:t>公</w:t>
            </w:r>
            <w:r>
              <w:rPr>
                <w:rFonts w:ascii="宋体" w:hAnsi="宋体" w:cs="宋体" w:eastAsia="宋体" w:hint="default"/>
                <w:spacing w:val="-72"/>
                <w:sz w:val="21"/>
                <w:szCs w:val="21"/>
              </w:rPr>
              <w:t> </w:t>
            </w:r>
            <w:r>
              <w:rPr>
                <w:rFonts w:ascii="宋体" w:hAnsi="宋体" w:cs="宋体" w:eastAsia="宋体" w:hint="default"/>
                <w:sz w:val="21"/>
                <w:szCs w:val="21"/>
              </w:rPr>
              <w:t>告</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查询</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80,882,530.00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延期开庭</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7"/>
              <w:jc w:val="right"/>
              <w:rPr>
                <w:rFonts w:ascii="宋体" w:hAnsi="宋体" w:cs="宋体" w:eastAsia="宋体" w:hint="default"/>
                <w:sz w:val="18"/>
                <w:szCs w:val="18"/>
              </w:rPr>
            </w:pPr>
            <w:r>
              <w:rPr>
                <w:rFonts w:ascii="宋体" w:hAnsi="宋体" w:cs="宋体" w:eastAsia="宋体" w:hint="default"/>
                <w:sz w:val="18"/>
                <w:szCs w:val="18"/>
              </w:rPr>
              <w:t>尚未审结</w:t>
            </w:r>
          </w:p>
        </w:tc>
      </w:tr>
    </w:tbl>
    <w:p>
      <w:pPr>
        <w:spacing w:line="240" w:lineRule="auto" w:before="12"/>
        <w:rPr>
          <w:rFonts w:ascii="宋体" w:hAnsi="宋体" w:cs="宋体" w:eastAsia="宋体" w:hint="default"/>
          <w:sz w:val="19"/>
          <w:szCs w:val="19"/>
        </w:rPr>
      </w:pPr>
    </w:p>
    <w:p>
      <w:pPr>
        <w:pStyle w:val="Heading2"/>
        <w:spacing w:line="240" w:lineRule="auto"/>
        <w:ind w:right="119"/>
        <w:jc w:val="left"/>
        <w:rPr>
          <w:b w:val="0"/>
          <w:bCs w:val="0"/>
        </w:rPr>
      </w:pPr>
      <w:r>
        <w:rPr/>
        <w:t>九、上市公司及其董事、监事、高级管理人员、控股股东、实际控制人、收购人处罚及整改情况</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355" w:lineRule="auto" w:before="0"/>
        <w:ind w:left="638" w:right="250" w:hanging="420"/>
        <w:jc w:val="left"/>
        <w:rPr>
          <w:rFonts w:ascii="宋体" w:hAnsi="宋体" w:cs="宋体" w:eastAsia="宋体" w:hint="default"/>
          <w:sz w:val="21"/>
          <w:szCs w:val="21"/>
        </w:rPr>
      </w:pPr>
      <w:r>
        <w:rPr>
          <w:rFonts w:ascii="宋体" w:hAnsi="宋体" w:cs="宋体" w:eastAsia="宋体" w:hint="default"/>
          <w:b/>
          <w:bCs/>
          <w:sz w:val="21"/>
          <w:szCs w:val="21"/>
        </w:rPr>
        <w:t>十、报告期内公司及其控股股东、实际控制人诚信状况的说明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报告期内，公司及控股股东、实际控制人不存在未履行法院生效判决、所负数额较大的债务</w:t>
      </w:r>
    </w:p>
    <w:p>
      <w:pPr>
        <w:pStyle w:val="BodyText"/>
        <w:spacing w:line="259" w:lineRule="exact" w:before="0"/>
        <w:ind w:left="218" w:right="2465"/>
        <w:jc w:val="left"/>
      </w:pPr>
      <w:r>
        <w:rPr/>
        <w:t>到期未清偿等情况。</w:t>
      </w:r>
    </w:p>
    <w:p>
      <w:pPr>
        <w:spacing w:line="240" w:lineRule="auto" w:before="2"/>
        <w:rPr>
          <w:rFonts w:ascii="宋体" w:hAnsi="宋体" w:cs="宋体" w:eastAsia="宋体" w:hint="default"/>
          <w:sz w:val="26"/>
          <w:szCs w:val="26"/>
        </w:rPr>
      </w:pPr>
    </w:p>
    <w:p>
      <w:pPr>
        <w:pStyle w:val="Heading2"/>
        <w:spacing w:line="240" w:lineRule="auto" w:before="0"/>
        <w:ind w:right="2465"/>
        <w:jc w:val="left"/>
        <w:rPr>
          <w:b w:val="0"/>
          <w:bCs w:val="0"/>
        </w:rPr>
      </w:pPr>
      <w:r>
        <w:rPr/>
        <w:t>十一、公司股权激励计划、员工持股计划或其他员工激励情况及其影响</w:t>
      </w:r>
      <w:r>
        <w:rPr>
          <w:b w:val="0"/>
          <w:bCs w:val="0"/>
        </w:rPr>
      </w:r>
    </w:p>
    <w:p>
      <w:pPr>
        <w:pStyle w:val="BodyText"/>
        <w:spacing w:line="240" w:lineRule="auto" w:before="57"/>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十二、重大关联交易</w:t>
      </w:r>
      <w:r>
        <w:rPr>
          <w:b w:val="0"/>
          <w:bCs w:val="0"/>
        </w:rPr>
      </w:r>
    </w:p>
    <w:p>
      <w:pPr>
        <w:spacing w:line="290" w:lineRule="auto" w:before="58"/>
        <w:ind w:left="218" w:right="50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2"/>
        <w:spacing w:line="240" w:lineRule="auto" w:before="14"/>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25"/>
        <w:gridCol w:w="4527"/>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2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报告期内，公司完成发行股份购买资产事项，该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事项构成关联交易。</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2">
              <w:r>
                <w:rPr>
                  <w:rFonts w:ascii="宋体" w:hAnsi="宋体" w:cs="宋体" w:eastAsia="宋体" w:hint="default"/>
                  <w:sz w:val="21"/>
                  <w:szCs w:val="21"/>
                </w:rPr>
                <w:t>www.sse.com.cn</w:t>
              </w:r>
            </w:hyperlink>
            <w:r>
              <w:rPr>
                <w:rFonts w:ascii="宋体" w:hAnsi="宋体" w:cs="宋体" w:eastAsia="宋体" w:hint="default"/>
                <w:sz w:val="21"/>
                <w:szCs w:val="21"/>
              </w:rPr>
              <w:t>，通过</w:t>
            </w:r>
            <w:r>
              <w:rPr>
                <w:rFonts w:ascii="宋体" w:hAnsi="宋体" w:cs="宋体" w:eastAsia="宋体" w:hint="default"/>
                <w:sz w:val="21"/>
                <w:szCs w:val="21"/>
              </w:rPr>
              <w:t>"</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上市</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公</w:t>
            </w:r>
            <w:r>
              <w:rPr>
                <w:rFonts w:ascii="宋体" w:hAnsi="宋体" w:cs="宋体" w:eastAsia="宋体" w:hint="default"/>
                <w:w w:val="100"/>
                <w:sz w:val="21"/>
                <w:szCs w:val="21"/>
              </w:rPr>
              <w:t>告</w:t>
            </w:r>
            <w:r>
              <w:rPr>
                <w:rFonts w:ascii="宋体" w:hAnsi="宋体" w:cs="宋体" w:eastAsia="宋体" w:hint="default"/>
                <w:spacing w:val="-3"/>
                <w:w w:val="100"/>
                <w:sz w:val="21"/>
                <w:szCs w:val="21"/>
              </w:rPr>
              <w:t>"</w:t>
            </w:r>
            <w:r>
              <w:rPr>
                <w:rFonts w:ascii="宋体" w:hAnsi="宋体" w:cs="宋体" w:eastAsia="宋体" w:hint="default"/>
                <w:w w:val="100"/>
                <w:sz w:val="21"/>
                <w:szCs w:val="21"/>
              </w:rPr>
              <w:t>栏</w:t>
            </w:r>
            <w:r>
              <w:rPr>
                <w:rFonts w:ascii="宋体" w:hAnsi="宋体" w:cs="宋体" w:eastAsia="宋体" w:hint="default"/>
                <w:spacing w:val="-3"/>
                <w:w w:val="100"/>
                <w:sz w:val="21"/>
                <w:szCs w:val="21"/>
              </w:rPr>
              <w:t>科</w:t>
            </w:r>
            <w:r>
              <w:rPr>
                <w:rFonts w:ascii="宋体" w:hAnsi="宋体" w:cs="宋体" w:eastAsia="宋体" w:hint="default"/>
                <w:w w:val="100"/>
                <w:sz w:val="21"/>
                <w:szCs w:val="21"/>
              </w:rPr>
              <w:t>达</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5</w:t>
            </w:r>
            <w:r>
              <w:rPr>
                <w:rFonts w:ascii="宋体" w:hAnsi="宋体" w:cs="宋体" w:eastAsia="宋体" w:hint="default"/>
                <w:spacing w:val="-52"/>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宋体" w:hAnsi="宋体" w:cs="宋体" w:eastAsia="宋体" w:hint="default"/>
                <w:w w:val="100"/>
                <w:sz w:val="21"/>
                <w:szCs w:val="21"/>
              </w:rPr>
              <w:t>21</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101"/>
                <w:w w:val="100"/>
                <w:sz w:val="21"/>
                <w:szCs w:val="21"/>
              </w:rPr>
              <w:t>，</w:t>
            </w:r>
            <w:r>
              <w:rPr>
                <w:rFonts w:ascii="宋体" w:hAnsi="宋体" w:cs="宋体" w:eastAsia="宋体" w:hint="default"/>
                <w:w w:val="100"/>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日相关公告。</w:t>
            </w:r>
          </w:p>
        </w:tc>
      </w:tr>
      <w:tr>
        <w:trPr>
          <w:trHeight w:val="82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公司将持有的东营黄河公路大桥有限责任公司</w:t>
            </w:r>
            <w:r>
              <w:rPr>
                <w:rFonts w:ascii="宋体" w:hAnsi="宋体" w:cs="宋体" w:eastAsia="宋体" w:hint="default"/>
                <w:sz w:val="21"/>
                <w:szCs w:val="21"/>
              </w:rPr>
            </w:r>
          </w:p>
          <w:p>
            <w:pPr>
              <w:pStyle w:val="TableParagraph"/>
              <w:spacing w:line="274" w:lineRule="exact" w:before="24"/>
              <w:ind w:left="103" w:right="103"/>
              <w:jc w:val="left"/>
              <w:rPr>
                <w:rFonts w:ascii="宋体" w:hAnsi="宋体" w:cs="宋体" w:eastAsia="宋体" w:hint="default"/>
                <w:sz w:val="21"/>
                <w:szCs w:val="21"/>
              </w:rPr>
            </w:pPr>
            <w:r>
              <w:rPr>
                <w:rFonts w:ascii="Calibri" w:hAnsi="Calibri" w:cs="Calibri" w:eastAsia="Calibri" w:hint="default"/>
                <w:spacing w:val="5"/>
                <w:sz w:val="21"/>
                <w:szCs w:val="21"/>
              </w:rPr>
              <w:t>50%</w:t>
            </w:r>
            <w:r>
              <w:rPr>
                <w:rFonts w:ascii="宋体" w:hAnsi="宋体" w:cs="宋体" w:eastAsia="宋体" w:hint="default"/>
                <w:spacing w:val="5"/>
                <w:sz w:val="21"/>
                <w:szCs w:val="21"/>
              </w:rPr>
              <w:t>股权出售给公司控股股东山东科达集团有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限公司。</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2">
              <w:r>
                <w:rPr>
                  <w:rFonts w:ascii="宋体" w:hAnsi="宋体" w:cs="宋体" w:eastAsia="宋体" w:hint="default"/>
                  <w:sz w:val="21"/>
                  <w:szCs w:val="21"/>
                </w:rPr>
                <w:t>www.sse.com.cn</w:t>
              </w:r>
            </w:hyperlink>
            <w:r>
              <w:rPr>
                <w:rFonts w:ascii="宋体" w:hAnsi="宋体" w:cs="宋体" w:eastAsia="宋体" w:hint="default"/>
                <w:sz w:val="21"/>
                <w:szCs w:val="21"/>
              </w:rPr>
              <w:t>，通过</w:t>
            </w:r>
            <w:r>
              <w:rPr>
                <w:rFonts w:ascii="宋体" w:hAnsi="宋体" w:cs="宋体" w:eastAsia="宋体" w:hint="default"/>
                <w:sz w:val="21"/>
                <w:szCs w:val="21"/>
              </w:rPr>
              <w:t>"</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上市公司公告</w:t>
            </w:r>
            <w:r>
              <w:rPr>
                <w:rFonts w:ascii="宋体" w:hAnsi="宋体" w:cs="宋体" w:eastAsia="宋体" w:hint="default"/>
                <w:sz w:val="21"/>
                <w:szCs w:val="21"/>
              </w:rPr>
              <w:t>"</w:t>
            </w:r>
            <w:r>
              <w:rPr>
                <w:rFonts w:ascii="宋体" w:hAnsi="宋体" w:cs="宋体" w:eastAsia="宋体" w:hint="default"/>
                <w:sz w:val="21"/>
                <w:szCs w:val="21"/>
              </w:rPr>
              <w:t>栏科达股份临 </w:t>
            </w:r>
            <w:r>
              <w:rPr>
                <w:rFonts w:ascii="宋体" w:hAnsi="宋体" w:cs="宋体" w:eastAsia="宋体" w:hint="default"/>
                <w:sz w:val="21"/>
                <w:szCs w:val="21"/>
              </w:rPr>
              <w:t>2015-059</w:t>
            </w:r>
            <w:r>
              <w:rPr>
                <w:rFonts w:ascii="宋体" w:hAnsi="宋体" w:cs="宋体" w:eastAsia="宋体" w:hint="default"/>
                <w:spacing w:val="2"/>
                <w:sz w:val="21"/>
                <w:szCs w:val="21"/>
              </w:rPr>
              <w:t> </w:t>
            </w:r>
            <w:r>
              <w:rPr>
                <w:rFonts w:ascii="宋体" w:hAnsi="宋体" w:cs="宋体" w:eastAsia="宋体" w:hint="default"/>
                <w:sz w:val="21"/>
                <w:szCs w:val="21"/>
              </w:rPr>
              <w:t>号公告</w:t>
            </w:r>
            <w:r>
              <w:rPr>
                <w:rFonts w:ascii="宋体" w:hAnsi="宋体" w:cs="宋体" w:eastAsia="宋体" w:hint="default"/>
                <w:w w:val="100"/>
                <w:sz w:val="21"/>
                <w:szCs w:val="21"/>
              </w:rPr>
              <w:t> </w:t>
            </w:r>
            <w:r>
              <w:rPr>
                <w:rFonts w:ascii="宋体" w:hAnsi="宋体" w:cs="宋体" w:eastAsia="宋体" w:hint="default"/>
                <w:sz w:val="21"/>
                <w:szCs w:val="21"/>
              </w:rPr>
              <w:t>查询</w:t>
            </w:r>
          </w:p>
        </w:tc>
      </w:tr>
    </w:tbl>
    <w:p>
      <w:pPr>
        <w:spacing w:after="0" w:line="240" w:lineRule="auto"/>
        <w:jc w:val="left"/>
        <w:rPr>
          <w:rFonts w:ascii="宋体" w:hAnsi="宋体" w:cs="宋体" w:eastAsia="宋体" w:hint="default"/>
          <w:sz w:val="21"/>
          <w:szCs w:val="21"/>
        </w:rPr>
        <w:sectPr>
          <w:type w:val="continuous"/>
          <w:pgSz w:w="11910" w:h="16840"/>
          <w:pgMar w:top="1280" w:bottom="1380" w:left="1580" w:right="104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Heading2"/>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29"/>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5"/>
                <w:sz w:val="21"/>
                <w:szCs w:val="21"/>
              </w:rPr>
              <w:t>日，本公司与杭州好望角越航投</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pacing w:val="3"/>
                <w:sz w:val="21"/>
                <w:szCs w:val="21"/>
              </w:rPr>
              <w:t>资合伙企业（有限合伙）（以下简称“越航投</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7"/>
                <w:sz w:val="21"/>
                <w:szCs w:val="21"/>
              </w:rPr>
              <w:t>资”）作为丙方同甲方美数科技、乙方范昂、郭</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7"/>
                <w:sz w:val="21"/>
                <w:szCs w:val="21"/>
              </w:rPr>
              <w:t>麒、代磊、徐忠旺、周盛宽、王建英签署了《关</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11"/>
                <w:w w:val="100"/>
                <w:sz w:val="21"/>
                <w:szCs w:val="21"/>
              </w:rPr>
              <w:t>于美数科技之增资协议》，向美数科技进行增资。</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2">
              <w:r>
                <w:rPr>
                  <w:rFonts w:ascii="宋体" w:hAnsi="宋体" w:cs="宋体" w:eastAsia="宋体" w:hint="default"/>
                  <w:sz w:val="21"/>
                  <w:szCs w:val="21"/>
                </w:rPr>
                <w:t>www.sse.com.cn</w:t>
              </w:r>
            </w:hyperlink>
            <w:r>
              <w:rPr>
                <w:rFonts w:ascii="宋体" w:hAnsi="宋体" w:cs="宋体" w:eastAsia="宋体" w:hint="default"/>
                <w:sz w:val="21"/>
                <w:szCs w:val="21"/>
              </w:rPr>
              <w:t>，通过</w:t>
            </w:r>
            <w:r>
              <w:rPr>
                <w:rFonts w:ascii="宋体" w:hAnsi="宋体" w:cs="宋体" w:eastAsia="宋体" w:hint="default"/>
                <w:sz w:val="21"/>
                <w:szCs w:val="21"/>
              </w:rPr>
              <w:t>"</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上市公司公告</w:t>
            </w:r>
            <w:r>
              <w:rPr>
                <w:rFonts w:ascii="宋体" w:hAnsi="宋体" w:cs="宋体" w:eastAsia="宋体" w:hint="default"/>
                <w:sz w:val="21"/>
                <w:szCs w:val="21"/>
              </w:rPr>
              <w:t>"</w:t>
            </w:r>
            <w:r>
              <w:rPr>
                <w:rFonts w:ascii="宋体" w:hAnsi="宋体" w:cs="宋体" w:eastAsia="宋体" w:hint="default"/>
                <w:sz w:val="21"/>
                <w:szCs w:val="21"/>
              </w:rPr>
              <w:t>栏科达股份临 </w:t>
            </w:r>
            <w:r>
              <w:rPr>
                <w:rFonts w:ascii="宋体" w:hAnsi="宋体" w:cs="宋体" w:eastAsia="宋体" w:hint="default"/>
                <w:sz w:val="21"/>
                <w:szCs w:val="21"/>
              </w:rPr>
              <w:t>2015-023</w:t>
            </w:r>
            <w:r>
              <w:rPr>
                <w:rFonts w:ascii="宋体" w:hAnsi="宋体" w:cs="宋体" w:eastAsia="宋体" w:hint="default"/>
                <w:spacing w:val="-2"/>
                <w:sz w:val="21"/>
                <w:szCs w:val="21"/>
              </w:rPr>
              <w:t> </w:t>
            </w:r>
            <w:r>
              <w:rPr>
                <w:rFonts w:ascii="宋体" w:hAnsi="宋体" w:cs="宋体" w:eastAsia="宋体" w:hint="default"/>
                <w:sz w:val="21"/>
                <w:szCs w:val="21"/>
              </w:rPr>
              <w:t>号公告</w:t>
            </w:r>
            <w:r>
              <w:rPr>
                <w:rFonts w:ascii="宋体" w:hAnsi="宋体" w:cs="宋体" w:eastAsia="宋体" w:hint="default"/>
                <w:w w:val="100"/>
                <w:sz w:val="21"/>
                <w:szCs w:val="21"/>
              </w:rPr>
              <w:t> </w:t>
            </w:r>
            <w:r>
              <w:rPr>
                <w:rFonts w:ascii="宋体" w:hAnsi="宋体" w:cs="宋体" w:eastAsia="宋体" w:hint="default"/>
                <w:sz w:val="21"/>
                <w:szCs w:val="21"/>
              </w:rPr>
              <w:t>查询</w:t>
            </w:r>
          </w:p>
        </w:tc>
      </w:tr>
      <w:tr>
        <w:trPr>
          <w:trHeight w:val="38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21</w:t>
            </w:r>
            <w:r>
              <w:rPr>
                <w:rFonts w:ascii="宋体" w:hAnsi="宋体" w:cs="宋体" w:eastAsia="宋体" w:hint="default"/>
                <w:spacing w:val="-50"/>
                <w:sz w:val="21"/>
                <w:szCs w:val="21"/>
              </w:rPr>
              <w:t> </w:t>
            </w:r>
            <w:r>
              <w:rPr>
                <w:rFonts w:ascii="宋体" w:hAnsi="宋体" w:cs="宋体" w:eastAsia="宋体" w:hint="default"/>
                <w:spacing w:val="-5"/>
                <w:sz w:val="21"/>
                <w:szCs w:val="21"/>
              </w:rPr>
              <w:t>日，公司召开第七届董事会临时</w:t>
            </w:r>
          </w:p>
          <w:p>
            <w:pPr>
              <w:pStyle w:val="TableParagraph"/>
              <w:spacing w:line="237" w:lineRule="auto" w:before="2"/>
              <w:ind w:left="103" w:right="91"/>
              <w:jc w:val="both"/>
              <w:rPr>
                <w:rFonts w:ascii="宋体" w:hAnsi="宋体" w:cs="宋体" w:eastAsia="宋体" w:hint="default"/>
                <w:sz w:val="21"/>
                <w:szCs w:val="21"/>
              </w:rPr>
            </w:pPr>
            <w:r>
              <w:rPr>
                <w:rFonts w:ascii="宋体" w:hAnsi="宋体" w:cs="宋体" w:eastAsia="宋体" w:hint="default"/>
                <w:spacing w:val="-7"/>
                <w:sz w:val="21"/>
                <w:szCs w:val="21"/>
              </w:rPr>
              <w:t>会议，会议审议通过《关于公司签署战略合作框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架协议并拟与子公司对外投资暨关联交易的议</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案》，公司拟出资</w:t>
            </w:r>
            <w:r>
              <w:rPr>
                <w:rFonts w:ascii="宋体" w:hAnsi="宋体" w:cs="宋体" w:eastAsia="宋体" w:hint="default"/>
                <w:spacing w:val="-53"/>
                <w:sz w:val="21"/>
                <w:szCs w:val="21"/>
              </w:rPr>
              <w:t> </w:t>
            </w:r>
            <w:r>
              <w:rPr>
                <w:rFonts w:ascii="宋体" w:hAnsi="宋体" w:cs="宋体" w:eastAsia="宋体" w:hint="default"/>
                <w:sz w:val="21"/>
                <w:szCs w:val="21"/>
              </w:rPr>
              <w:t>5000</w:t>
            </w:r>
            <w:r>
              <w:rPr>
                <w:rFonts w:ascii="宋体" w:hAnsi="宋体" w:cs="宋体" w:eastAsia="宋体" w:hint="default"/>
                <w:spacing w:val="-50"/>
                <w:sz w:val="21"/>
                <w:szCs w:val="21"/>
              </w:rPr>
              <w:t> </w:t>
            </w:r>
            <w:r>
              <w:rPr>
                <w:rFonts w:ascii="宋体" w:hAnsi="宋体" w:cs="宋体" w:eastAsia="宋体" w:hint="default"/>
                <w:sz w:val="21"/>
                <w:szCs w:val="21"/>
              </w:rPr>
              <w:t>万元人民币、公司设立</w:t>
            </w:r>
            <w:r>
              <w:rPr>
                <w:rFonts w:ascii="宋体" w:hAnsi="宋体" w:cs="宋体" w:eastAsia="宋体" w:hint="default"/>
                <w:w w:val="100"/>
                <w:sz w:val="21"/>
                <w:szCs w:val="21"/>
              </w:rPr>
              <w:t> </w:t>
            </w:r>
            <w:r>
              <w:rPr>
                <w:rFonts w:ascii="宋体" w:hAnsi="宋体" w:cs="宋体" w:eastAsia="宋体" w:hint="default"/>
                <w:spacing w:val="-7"/>
                <w:sz w:val="21"/>
                <w:szCs w:val="21"/>
              </w:rPr>
              <w:t>的全资子公司链动（杭州）投资有限公司（以下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8"/>
                <w:sz w:val="21"/>
                <w:szCs w:val="21"/>
              </w:rPr>
              <w:t>简称“链动投资”）拟出资</w:t>
            </w:r>
            <w:r>
              <w:rPr>
                <w:rFonts w:ascii="宋体" w:hAnsi="宋体" w:cs="宋体" w:eastAsia="宋体" w:hint="default"/>
                <w:spacing w:val="-41"/>
                <w:sz w:val="21"/>
                <w:szCs w:val="21"/>
              </w:rPr>
              <w:t> </w:t>
            </w:r>
            <w:r>
              <w:rPr>
                <w:rFonts w:ascii="宋体" w:hAnsi="宋体" w:cs="宋体" w:eastAsia="宋体" w:hint="default"/>
                <w:sz w:val="21"/>
                <w:szCs w:val="21"/>
              </w:rPr>
              <w:t>500</w:t>
            </w:r>
            <w:r>
              <w:rPr>
                <w:rFonts w:ascii="宋体" w:hAnsi="宋体" w:cs="宋体" w:eastAsia="宋体" w:hint="default"/>
                <w:spacing w:val="-44"/>
                <w:sz w:val="21"/>
                <w:szCs w:val="21"/>
              </w:rPr>
              <w:t> </w:t>
            </w:r>
            <w:r>
              <w:rPr>
                <w:rFonts w:ascii="宋体" w:hAnsi="宋体" w:cs="宋体" w:eastAsia="宋体" w:hint="default"/>
                <w:spacing w:val="-5"/>
                <w:sz w:val="21"/>
                <w:szCs w:val="21"/>
              </w:rPr>
              <w:t>万元人民币、杭</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7"/>
                <w:sz w:val="21"/>
                <w:szCs w:val="21"/>
              </w:rPr>
              <w:t>州好望角奇点投资合伙企业（普通合伙）（以下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0"/>
                <w:sz w:val="21"/>
                <w:szCs w:val="21"/>
              </w:rPr>
              <w:t>简称“奇点投资”）拟出资</w:t>
            </w:r>
            <w:r>
              <w:rPr>
                <w:rFonts w:ascii="宋体" w:hAnsi="宋体" w:cs="宋体" w:eastAsia="宋体" w:hint="default"/>
                <w:spacing w:val="-46"/>
                <w:sz w:val="21"/>
                <w:szCs w:val="21"/>
              </w:rPr>
              <w:t> </w:t>
            </w:r>
            <w:r>
              <w:rPr>
                <w:rFonts w:ascii="宋体" w:hAnsi="宋体" w:cs="宋体" w:eastAsia="宋体" w:hint="default"/>
                <w:sz w:val="21"/>
                <w:szCs w:val="21"/>
              </w:rPr>
              <w:t>500</w:t>
            </w:r>
            <w:r>
              <w:rPr>
                <w:rFonts w:ascii="宋体" w:hAnsi="宋体" w:cs="宋体" w:eastAsia="宋体" w:hint="default"/>
                <w:spacing w:val="-49"/>
                <w:sz w:val="21"/>
                <w:szCs w:val="21"/>
              </w:rPr>
              <w:t> </w:t>
            </w:r>
            <w:r>
              <w:rPr>
                <w:rFonts w:ascii="宋体" w:hAnsi="宋体" w:cs="宋体" w:eastAsia="宋体" w:hint="default"/>
                <w:sz w:val="21"/>
                <w:szCs w:val="21"/>
              </w:rPr>
              <w:t>万元人民币共同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募集设立杭州星航数据投资合伙企业（有限合</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8"/>
                <w:sz w:val="21"/>
                <w:szCs w:val="21"/>
              </w:rPr>
              <w:t>伙），首期规模不超过</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pacing w:val="-6"/>
                <w:sz w:val="21"/>
                <w:szCs w:val="21"/>
              </w:rPr>
              <w:t>亿元。</w:t>
            </w:r>
            <w:r>
              <w:rPr>
                <w:rFonts w:ascii="宋体" w:hAnsi="宋体" w:cs="宋体" w:eastAsia="宋体" w:hint="default"/>
                <w:spacing w:val="-6"/>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pacing w:val="-3"/>
                <w:sz w:val="21"/>
                <w:szCs w:val="21"/>
              </w:rPr>
              <w:t>17</w:t>
            </w:r>
            <w:r>
              <w:rPr>
                <w:rFonts w:ascii="宋体" w:hAnsi="宋体" w:cs="宋体" w:eastAsia="宋体" w:hint="default"/>
                <w:spacing w:val="-103"/>
                <w:sz w:val="21"/>
                <w:szCs w:val="21"/>
              </w:rPr>
              <w:t> </w:t>
            </w:r>
            <w:r>
              <w:rPr>
                <w:rFonts w:ascii="宋体" w:hAnsi="宋体" w:cs="宋体" w:eastAsia="宋体" w:hint="default"/>
                <w:spacing w:val="-7"/>
                <w:w w:val="100"/>
                <w:sz w:val="21"/>
                <w:szCs w:val="21"/>
              </w:rPr>
              <w:t>日，拟设立投资基金在杭州市上城区市场监督管</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w w:val="100"/>
                <w:sz w:val="21"/>
                <w:szCs w:val="21"/>
              </w:rPr>
              <w:t>理局取得营业执照，名称为杭州链反应投资合伙</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z w:val="21"/>
                <w:szCs w:val="21"/>
              </w:rPr>
              <w:t>企业（有限合伙），</w:t>
            </w: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31</w:t>
            </w:r>
            <w:r>
              <w:rPr>
                <w:rFonts w:ascii="宋体" w:hAnsi="宋体" w:cs="宋体" w:eastAsia="宋体" w:hint="default"/>
                <w:spacing w:val="-43"/>
                <w:sz w:val="21"/>
                <w:szCs w:val="21"/>
              </w:rPr>
              <w:t> </w:t>
            </w:r>
            <w:r>
              <w:rPr>
                <w:rFonts w:ascii="宋体" w:hAnsi="宋体" w:cs="宋体" w:eastAsia="宋体" w:hint="default"/>
                <w:sz w:val="21"/>
                <w:szCs w:val="21"/>
              </w:rPr>
              <w:t>日，全体</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合伙人实缴出资人民币</w:t>
            </w:r>
            <w:r>
              <w:rPr>
                <w:rFonts w:ascii="宋体" w:hAnsi="宋体" w:cs="宋体" w:eastAsia="宋体" w:hint="default"/>
                <w:spacing w:val="-54"/>
                <w:sz w:val="21"/>
                <w:szCs w:val="21"/>
              </w:rPr>
              <w:t> </w:t>
            </w:r>
            <w:r>
              <w:rPr>
                <w:rFonts w:ascii="宋体" w:hAnsi="宋体" w:cs="宋体" w:eastAsia="宋体" w:hint="default"/>
                <w:sz w:val="21"/>
                <w:szCs w:val="21"/>
              </w:rPr>
              <w:t>25000</w:t>
            </w:r>
            <w:r>
              <w:rPr>
                <w:rFonts w:ascii="宋体" w:hAnsi="宋体" w:cs="宋体" w:eastAsia="宋体" w:hint="default"/>
                <w:spacing w:val="-55"/>
                <w:sz w:val="21"/>
                <w:szCs w:val="21"/>
              </w:rPr>
              <w:t> </w:t>
            </w:r>
            <w:r>
              <w:rPr>
                <w:rFonts w:ascii="宋体" w:hAnsi="宋体" w:cs="宋体" w:eastAsia="宋体" w:hint="default"/>
                <w:sz w:val="21"/>
                <w:szCs w:val="21"/>
              </w:rPr>
              <w:t>万元已全部到位。</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2">
              <w:r>
                <w:rPr>
                  <w:rFonts w:ascii="宋体" w:hAnsi="宋体" w:cs="宋体" w:eastAsia="宋体" w:hint="default"/>
                  <w:sz w:val="21"/>
                  <w:szCs w:val="21"/>
                </w:rPr>
                <w:t>www.sse.com.cn</w:t>
              </w:r>
            </w:hyperlink>
            <w:r>
              <w:rPr>
                <w:rFonts w:ascii="宋体" w:hAnsi="宋体" w:cs="宋体" w:eastAsia="宋体" w:hint="default"/>
                <w:sz w:val="21"/>
                <w:szCs w:val="21"/>
              </w:rPr>
              <w:t>，通过</w:t>
            </w:r>
            <w:r>
              <w:rPr>
                <w:rFonts w:ascii="宋体" w:hAnsi="宋体" w:cs="宋体" w:eastAsia="宋体" w:hint="default"/>
                <w:sz w:val="21"/>
                <w:szCs w:val="21"/>
              </w:rPr>
              <w:t>"</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上市公司公告</w:t>
            </w:r>
            <w:r>
              <w:rPr>
                <w:rFonts w:ascii="宋体" w:hAnsi="宋体" w:cs="宋体" w:eastAsia="宋体" w:hint="default"/>
                <w:sz w:val="21"/>
                <w:szCs w:val="21"/>
              </w:rPr>
              <w:t>"</w:t>
            </w:r>
            <w:r>
              <w:rPr>
                <w:rFonts w:ascii="宋体" w:hAnsi="宋体" w:cs="宋体" w:eastAsia="宋体" w:hint="default"/>
                <w:sz w:val="21"/>
                <w:szCs w:val="21"/>
              </w:rPr>
              <w:t>栏科达股份临 </w:t>
            </w:r>
            <w:r>
              <w:rPr>
                <w:rFonts w:ascii="宋体" w:hAnsi="宋体" w:cs="宋体" w:eastAsia="宋体" w:hint="default"/>
                <w:sz w:val="21"/>
                <w:szCs w:val="21"/>
              </w:rPr>
              <w:t>2015-045</w:t>
            </w:r>
            <w:r>
              <w:rPr>
                <w:rFonts w:ascii="宋体" w:hAnsi="宋体" w:cs="宋体" w:eastAsia="宋体" w:hint="default"/>
                <w:spacing w:val="-1"/>
                <w:sz w:val="21"/>
                <w:szCs w:val="21"/>
              </w:rPr>
              <w:t> </w:t>
            </w:r>
            <w:r>
              <w:rPr>
                <w:rFonts w:ascii="宋体" w:hAnsi="宋体" w:cs="宋体" w:eastAsia="宋体" w:hint="default"/>
                <w:sz w:val="21"/>
                <w:szCs w:val="21"/>
              </w:rPr>
              <w:t>号公告</w:t>
            </w:r>
            <w:r>
              <w:rPr>
                <w:rFonts w:ascii="宋体" w:hAnsi="宋体" w:cs="宋体" w:eastAsia="宋体" w:hint="default"/>
                <w:w w:val="100"/>
                <w:sz w:val="21"/>
                <w:szCs w:val="21"/>
              </w:rPr>
              <w:t> </w:t>
            </w:r>
            <w:r>
              <w:rPr>
                <w:rFonts w:ascii="宋体" w:hAnsi="宋体" w:cs="宋体" w:eastAsia="宋体" w:hint="default"/>
                <w:spacing w:val="-1"/>
                <w:sz w:val="21"/>
                <w:szCs w:val="21"/>
              </w:rPr>
              <w:t>查询；上海证券交易所网站：</w:t>
            </w:r>
            <w:hyperlink r:id="rId12">
              <w:r>
                <w:rPr>
                  <w:rFonts w:ascii="宋体" w:hAnsi="宋体" w:cs="宋体" w:eastAsia="宋体" w:hint="default"/>
                  <w:spacing w:val="-1"/>
                  <w:sz w:val="21"/>
                  <w:szCs w:val="21"/>
                </w:rPr>
                <w:t>www.sse.com.cn</w:t>
              </w:r>
            </w:hyperlink>
            <w:r>
              <w:rPr>
                <w:rFonts w:ascii="宋体" w:hAnsi="宋体" w:cs="宋体" w:eastAsia="宋体" w:hint="default"/>
                <w:spacing w:val="-1"/>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通过</w:t>
            </w:r>
            <w:r>
              <w:rPr>
                <w:rFonts w:ascii="宋体" w:hAnsi="宋体" w:cs="宋体" w:eastAsia="宋体" w:hint="default"/>
                <w:sz w:val="21"/>
                <w:szCs w:val="21"/>
              </w:rPr>
              <w:t>"</w:t>
            </w:r>
            <w:r>
              <w:rPr>
                <w:rFonts w:ascii="宋体" w:hAnsi="宋体" w:cs="宋体" w:eastAsia="宋体" w:hint="default"/>
                <w:sz w:val="21"/>
                <w:szCs w:val="21"/>
              </w:rPr>
              <w:t>上市公司公告</w:t>
            </w:r>
            <w:r>
              <w:rPr>
                <w:rFonts w:ascii="宋体" w:hAnsi="宋体" w:cs="宋体" w:eastAsia="宋体" w:hint="default"/>
                <w:sz w:val="21"/>
                <w:szCs w:val="21"/>
              </w:rPr>
              <w:t>"</w:t>
            </w:r>
            <w:r>
              <w:rPr>
                <w:rFonts w:ascii="宋体" w:hAnsi="宋体" w:cs="宋体" w:eastAsia="宋体" w:hint="default"/>
                <w:sz w:val="21"/>
                <w:szCs w:val="21"/>
              </w:rPr>
              <w:t>栏科达股份临</w:t>
            </w:r>
            <w:r>
              <w:rPr>
                <w:rFonts w:ascii="宋体" w:hAnsi="宋体" w:cs="宋体" w:eastAsia="宋体" w:hint="default"/>
                <w:spacing w:val="-53"/>
                <w:sz w:val="21"/>
                <w:szCs w:val="21"/>
              </w:rPr>
              <w:t> </w:t>
            </w:r>
            <w:r>
              <w:rPr>
                <w:rFonts w:ascii="宋体" w:hAnsi="宋体" w:cs="宋体" w:eastAsia="宋体" w:hint="default"/>
                <w:sz w:val="21"/>
                <w:szCs w:val="21"/>
              </w:rPr>
              <w:t>2016-003</w:t>
            </w:r>
            <w:r>
              <w:rPr>
                <w:rFonts w:ascii="宋体" w:hAnsi="宋体" w:cs="宋体" w:eastAsia="宋体" w:hint="default"/>
                <w:spacing w:val="-51"/>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公告查询。</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55" w:footer="1193" w:top="1280" w:bottom="1380" w:left="1580" w:right="620"/>
        </w:sectPr>
      </w:pPr>
    </w:p>
    <w:p>
      <w:pPr>
        <w:pStyle w:val="Heading2"/>
        <w:spacing w:line="240" w:lineRule="auto"/>
        <w:ind w:right="-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29"/>
        <w:ind w:right="-18"/>
        <w:jc w:val="left"/>
        <w:rPr>
          <w:b w:val="0"/>
          <w:bCs w:val="0"/>
        </w:rPr>
      </w:pPr>
      <w:r>
        <w:rPr>
          <w:rFonts w:ascii="宋体" w:hAnsi="宋体" w:cs="宋体" w:eastAsia="宋体" w:hint="default"/>
        </w:rPr>
        <w:t>1</w:t>
      </w:r>
      <w:r>
        <w:rPr/>
        <w:t>、</w:t>
      </w:r>
      <w:r>
        <w:rPr>
          <w:spacing w:val="-3"/>
        </w:rPr>
        <w:t> </w:t>
      </w:r>
      <w:r>
        <w:rPr/>
        <w:t>临时公告未披露的事项</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620"/>
          <w:cols w:num="2" w:equalWidth="0">
            <w:col w:w="2748" w:space="3776"/>
            <w:col w:w="318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51"/>
        <w:gridCol w:w="2086"/>
        <w:gridCol w:w="994"/>
        <w:gridCol w:w="992"/>
        <w:gridCol w:w="1025"/>
        <w:gridCol w:w="956"/>
        <w:gridCol w:w="994"/>
        <w:gridCol w:w="994"/>
      </w:tblGrid>
      <w:tr>
        <w:trPr>
          <w:trHeight w:val="478" w:hRule="exact"/>
        </w:trPr>
        <w:tc>
          <w:tcPr>
            <w:tcW w:w="135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67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30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77" w:right="0"/>
              <w:jc w:val="left"/>
              <w:rPr>
                <w:rFonts w:ascii="宋体" w:hAnsi="宋体" w:cs="宋体" w:eastAsia="宋体" w:hint="default"/>
                <w:sz w:val="18"/>
                <w:szCs w:val="18"/>
              </w:rPr>
            </w:pPr>
            <w:r>
              <w:rPr>
                <w:rFonts w:ascii="宋体" w:hAnsi="宋体" w:cs="宋体" w:eastAsia="宋体" w:hint="default"/>
                <w:sz w:val="18"/>
                <w:szCs w:val="18"/>
              </w:rPr>
              <w:t>向关联方提供资金</w:t>
            </w:r>
          </w:p>
        </w:tc>
        <w:tc>
          <w:tcPr>
            <w:tcW w:w="29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关联方向上市公司</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提供资金</w:t>
            </w:r>
          </w:p>
        </w:tc>
      </w:tr>
      <w:tr>
        <w:trPr>
          <w:trHeight w:val="478" w:hRule="exact"/>
        </w:trPr>
        <w:tc>
          <w:tcPr>
            <w:tcW w:w="1351" w:type="dxa"/>
            <w:vMerge/>
            <w:tcBorders>
              <w:left w:val="single" w:sz="4" w:space="0" w:color="000000"/>
              <w:bottom w:val="single" w:sz="4" w:space="0" w:color="000000"/>
              <w:right w:val="single" w:sz="4" w:space="0" w:color="000000"/>
            </w:tcBorders>
          </w:tcPr>
          <w:p>
            <w:pPr/>
          </w:p>
        </w:tc>
        <w:tc>
          <w:tcPr>
            <w:tcW w:w="2086"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9" w:right="0"/>
              <w:jc w:val="left"/>
              <w:rPr>
                <w:rFonts w:ascii="宋体" w:hAnsi="宋体" w:cs="宋体" w:eastAsia="宋体" w:hint="default"/>
                <w:sz w:val="18"/>
                <w:szCs w:val="18"/>
              </w:rPr>
            </w:pPr>
            <w:r>
              <w:rPr>
                <w:rFonts w:ascii="宋体" w:hAnsi="宋体" w:cs="宋体" w:eastAsia="宋体" w:hint="default"/>
                <w:sz w:val="18"/>
                <w:szCs w:val="18"/>
              </w:rPr>
              <w:t>期初</w:t>
            </w: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1"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2" w:right="0"/>
              <w:jc w:val="left"/>
              <w:rPr>
                <w:rFonts w:ascii="宋体" w:hAnsi="宋体" w:cs="宋体" w:eastAsia="宋体" w:hint="default"/>
                <w:sz w:val="18"/>
                <w:szCs w:val="18"/>
              </w:rPr>
            </w:pPr>
            <w:r>
              <w:rPr>
                <w:rFonts w:ascii="宋体" w:hAnsi="宋体" w:cs="宋体" w:eastAsia="宋体" w:hint="default"/>
                <w:sz w:val="18"/>
                <w:szCs w:val="18"/>
              </w:rPr>
              <w:t>期初</w:t>
            </w: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3"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9" w:right="0"/>
              <w:jc w:val="left"/>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478"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青岛科达置业有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57,372.90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22,873.58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center"/>
              <w:rPr>
                <w:rFonts w:ascii="宋体" w:hAnsi="宋体" w:cs="宋体" w:eastAsia="宋体" w:hint="default"/>
                <w:sz w:val="18"/>
                <w:szCs w:val="18"/>
              </w:rPr>
            </w:pPr>
            <w:r>
              <w:rPr>
                <w:rFonts w:ascii="宋体"/>
                <w:sz w:val="18"/>
              </w:rPr>
              <w:t>80,246.48</w:t>
            </w:r>
          </w:p>
        </w:tc>
        <w:tc>
          <w:tcPr>
            <w:tcW w:w="95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科达半导体有限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控股子公司的控股子公司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1,421.88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-364.18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2" w:right="0"/>
              <w:jc w:val="center"/>
              <w:rPr>
                <w:rFonts w:ascii="宋体" w:hAnsi="宋体" w:cs="宋体" w:eastAsia="宋体" w:hint="default"/>
                <w:sz w:val="18"/>
                <w:szCs w:val="18"/>
              </w:rPr>
            </w:pPr>
            <w:r>
              <w:rPr>
                <w:rFonts w:ascii="宋体"/>
                <w:sz w:val="18"/>
              </w:rPr>
              <w:t>1,057.70</w:t>
            </w:r>
          </w:p>
        </w:tc>
        <w:tc>
          <w:tcPr>
            <w:tcW w:w="95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东营科英置业有</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50,751.97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-1,989.03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center"/>
              <w:rPr>
                <w:rFonts w:ascii="宋体" w:hAnsi="宋体" w:cs="宋体" w:eastAsia="宋体" w:hint="default"/>
                <w:sz w:val="18"/>
                <w:szCs w:val="18"/>
              </w:rPr>
            </w:pPr>
            <w:r>
              <w:rPr>
                <w:rFonts w:ascii="宋体"/>
                <w:sz w:val="18"/>
              </w:rPr>
              <w:t>48,762.94</w:t>
            </w:r>
          </w:p>
        </w:tc>
        <w:tc>
          <w:tcPr>
            <w:tcW w:w="95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滨州市科达置业</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10,570.52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2,218.65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center"/>
              <w:rPr>
                <w:rFonts w:ascii="宋体" w:hAnsi="宋体" w:cs="宋体" w:eastAsia="宋体" w:hint="default"/>
                <w:sz w:val="18"/>
                <w:szCs w:val="18"/>
              </w:rPr>
            </w:pPr>
            <w:r>
              <w:rPr>
                <w:rFonts w:ascii="宋体"/>
                <w:sz w:val="18"/>
              </w:rPr>
              <w:t>12,789.17</w:t>
            </w:r>
          </w:p>
        </w:tc>
        <w:tc>
          <w:tcPr>
            <w:tcW w:w="95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山东科达集团有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center"/>
              <w:rPr>
                <w:rFonts w:ascii="宋体" w:hAnsi="宋体" w:cs="宋体" w:eastAsia="宋体" w:hint="default"/>
                <w:sz w:val="18"/>
                <w:szCs w:val="18"/>
              </w:rPr>
            </w:pPr>
            <w:r>
              <w:rPr>
                <w:rFonts w:ascii="宋体"/>
                <w:sz w:val="18"/>
              </w:rPr>
              <w:t>1,866.21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-291.25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1,574.96</w:t>
            </w:r>
          </w:p>
        </w:tc>
      </w:tr>
      <w:tr>
        <w:trPr>
          <w:trHeight w:val="478"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东营黄河公路大</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桥有限责任公司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其他关联人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center"/>
              <w:rPr>
                <w:rFonts w:ascii="宋体" w:hAnsi="宋体" w:cs="宋体" w:eastAsia="宋体" w:hint="default"/>
                <w:sz w:val="18"/>
                <w:szCs w:val="18"/>
              </w:rPr>
            </w:pPr>
            <w:r>
              <w:rPr>
                <w:rFonts w:ascii="宋体"/>
                <w:sz w:val="18"/>
              </w:rPr>
              <w:t>8,500.00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-7,460.32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1,039.68</w:t>
            </w:r>
          </w:p>
        </w:tc>
      </w:tr>
      <w:tr>
        <w:trPr>
          <w:trHeight w:val="242" w:hRule="exact"/>
        </w:trPr>
        <w:tc>
          <w:tcPr>
            <w:tcW w:w="3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120,117.27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22,739.02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 w:right="0"/>
              <w:jc w:val="center"/>
              <w:rPr>
                <w:rFonts w:ascii="宋体" w:hAnsi="宋体" w:cs="宋体" w:eastAsia="宋体" w:hint="default"/>
                <w:sz w:val="18"/>
                <w:szCs w:val="18"/>
              </w:rPr>
            </w:pPr>
            <w:r>
              <w:rPr>
                <w:rFonts w:ascii="宋体"/>
                <w:sz w:val="18"/>
              </w:rPr>
              <w:t>142,856.29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sz w:val="18"/>
              </w:rPr>
              <w:t>10,366.21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-7751.57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2,614.64</w:t>
            </w:r>
          </w:p>
        </w:tc>
      </w:tr>
      <w:tr>
        <w:trPr>
          <w:trHeight w:val="946" w:hRule="exact"/>
        </w:trPr>
        <w:tc>
          <w:tcPr>
            <w:tcW w:w="3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关联债权债务形成原因</w:t>
            </w:r>
          </w:p>
        </w:tc>
        <w:tc>
          <w:tcPr>
            <w:tcW w:w="59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）公司与关联公司之间的关联债权债务往来，是为了支持关联公司的业</w:t>
            </w:r>
          </w:p>
          <w:p>
            <w:pPr>
              <w:pStyle w:val="TableParagraph"/>
              <w:spacing w:line="232" w:lineRule="exact" w:before="23"/>
              <w:ind w:left="23" w:right="24"/>
              <w:jc w:val="left"/>
              <w:rPr>
                <w:rFonts w:ascii="宋体" w:hAnsi="宋体" w:cs="宋体" w:eastAsia="宋体" w:hint="default"/>
                <w:sz w:val="18"/>
                <w:szCs w:val="18"/>
              </w:rPr>
            </w:pPr>
            <w:r>
              <w:rPr>
                <w:rFonts w:ascii="宋体" w:hAnsi="宋体" w:cs="宋体" w:eastAsia="宋体" w:hint="default"/>
                <w:sz w:val="18"/>
                <w:szCs w:val="18"/>
              </w:rPr>
              <w:t>务开展，满足关联公司经营活动所需资金。（</w:t>
            </w:r>
            <w:r>
              <w:rPr>
                <w:rFonts w:ascii="宋体" w:hAnsi="宋体" w:cs="宋体" w:eastAsia="宋体" w:hint="default"/>
                <w:sz w:val="18"/>
                <w:szCs w:val="18"/>
              </w:rPr>
              <w:t>2</w:t>
            </w:r>
            <w:r>
              <w:rPr>
                <w:rFonts w:ascii="宋体" w:hAnsi="宋体" w:cs="宋体" w:eastAsia="宋体" w:hint="default"/>
                <w:sz w:val="18"/>
                <w:szCs w:val="18"/>
              </w:rPr>
              <w:t>）报告期内，公司偿还东营 黄河公路大桥有限责任公司</w:t>
            </w:r>
            <w:r>
              <w:rPr>
                <w:rFonts w:ascii="宋体" w:hAnsi="宋体" w:cs="宋体" w:eastAsia="宋体" w:hint="default"/>
                <w:spacing w:val="-38"/>
                <w:sz w:val="18"/>
                <w:szCs w:val="18"/>
              </w:rPr>
              <w:t> </w:t>
            </w:r>
            <w:r>
              <w:rPr>
                <w:rFonts w:ascii="宋体" w:hAnsi="宋体" w:cs="宋体" w:eastAsia="宋体" w:hint="default"/>
                <w:sz w:val="18"/>
                <w:szCs w:val="18"/>
              </w:rPr>
              <w:t>7,460.32</w:t>
            </w:r>
            <w:r>
              <w:rPr>
                <w:rFonts w:ascii="宋体" w:hAnsi="宋体" w:cs="宋体" w:eastAsia="宋体" w:hint="default"/>
                <w:spacing w:val="-37"/>
                <w:sz w:val="18"/>
                <w:szCs w:val="18"/>
              </w:rPr>
              <w:t> </w:t>
            </w:r>
            <w:r>
              <w:rPr>
                <w:rFonts w:ascii="宋体" w:hAnsi="宋体" w:cs="宋体" w:eastAsia="宋体" w:hint="default"/>
                <w:spacing w:val="-4"/>
                <w:sz w:val="18"/>
                <w:szCs w:val="18"/>
              </w:rPr>
              <w:t>万元。（</w:t>
            </w:r>
            <w:r>
              <w:rPr>
                <w:rFonts w:ascii="宋体" w:hAnsi="宋体" w:cs="宋体" w:eastAsia="宋体" w:hint="default"/>
                <w:spacing w:val="-4"/>
                <w:sz w:val="18"/>
                <w:szCs w:val="18"/>
              </w:rPr>
              <w:t>3</w:t>
            </w:r>
            <w:r>
              <w:rPr>
                <w:rFonts w:ascii="宋体" w:hAnsi="宋体" w:cs="宋体" w:eastAsia="宋体" w:hint="default"/>
                <w:spacing w:val="-4"/>
                <w:sz w:val="18"/>
                <w:szCs w:val="18"/>
              </w:rPr>
              <w:t>）报告期内，东营科英置业</w:t>
            </w:r>
          </w:p>
          <w:p>
            <w:pPr>
              <w:pStyle w:val="TableParagraph"/>
              <w:spacing w:line="212" w:lineRule="exact"/>
              <w:ind w:left="23" w:right="0"/>
              <w:jc w:val="left"/>
              <w:rPr>
                <w:rFonts w:ascii="宋体" w:hAnsi="宋体" w:cs="宋体" w:eastAsia="宋体" w:hint="default"/>
                <w:sz w:val="18"/>
                <w:szCs w:val="18"/>
              </w:rPr>
            </w:pPr>
            <w:r>
              <w:rPr>
                <w:rFonts w:ascii="宋体" w:hAnsi="宋体" w:cs="宋体" w:eastAsia="宋体" w:hint="default"/>
                <w:sz w:val="18"/>
                <w:szCs w:val="18"/>
              </w:rPr>
              <w:t>有限公司偿还山东科达集团有限公司</w:t>
            </w:r>
            <w:r>
              <w:rPr>
                <w:rFonts w:ascii="宋体" w:hAnsi="宋体" w:cs="宋体" w:eastAsia="宋体" w:hint="default"/>
                <w:spacing w:val="-45"/>
                <w:sz w:val="18"/>
                <w:szCs w:val="18"/>
              </w:rPr>
              <w:t> </w:t>
            </w:r>
            <w:r>
              <w:rPr>
                <w:rFonts w:ascii="宋体" w:hAnsi="宋体" w:cs="宋体" w:eastAsia="宋体" w:hint="default"/>
                <w:sz w:val="18"/>
                <w:szCs w:val="18"/>
              </w:rPr>
              <w:t>291.25</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711" w:hRule="exact"/>
        </w:trPr>
        <w:tc>
          <w:tcPr>
            <w:tcW w:w="3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关联债权债务对公司的影响</w:t>
            </w:r>
          </w:p>
        </w:tc>
        <w:tc>
          <w:tcPr>
            <w:tcW w:w="59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本报告期内，公司与关联方的债权债务主要是公司对公司全资子公司和控股</w:t>
            </w:r>
          </w:p>
          <w:p>
            <w:pPr>
              <w:pStyle w:val="TableParagraph"/>
              <w:spacing w:line="232" w:lineRule="exact" w:before="23"/>
              <w:ind w:left="23" w:right="25"/>
              <w:jc w:val="left"/>
              <w:rPr>
                <w:rFonts w:ascii="宋体" w:hAnsi="宋体" w:cs="宋体" w:eastAsia="宋体" w:hint="default"/>
                <w:sz w:val="18"/>
                <w:szCs w:val="18"/>
              </w:rPr>
            </w:pPr>
            <w:r>
              <w:rPr>
                <w:rFonts w:ascii="宋体" w:hAnsi="宋体" w:cs="宋体" w:eastAsia="宋体" w:hint="default"/>
                <w:spacing w:val="-2"/>
                <w:sz w:val="18"/>
                <w:szCs w:val="18"/>
              </w:rPr>
              <w:t>子公司提供财务资助形成的，公司对公司全资子公司或控股子公司的财务资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助是基于其项目进展情况和实际经营需要进行的，特别是公司房地产项目的</w:t>
            </w:r>
          </w:p>
        </w:tc>
      </w:tr>
    </w:tbl>
    <w:p>
      <w:pPr>
        <w:spacing w:after="0" w:line="232" w:lineRule="exact"/>
        <w:jc w:val="left"/>
        <w:rPr>
          <w:rFonts w:ascii="宋体" w:hAnsi="宋体" w:cs="宋体" w:eastAsia="宋体" w:hint="default"/>
          <w:sz w:val="18"/>
          <w:szCs w:val="18"/>
        </w:rPr>
        <w:sectPr>
          <w:type w:val="continuous"/>
          <w:pgSz w:w="11910" w:h="16840"/>
          <w:pgMar w:top="1280" w:bottom="1380" w:left="1580" w:right="620"/>
        </w:sectPr>
      </w:pPr>
    </w:p>
    <w:p>
      <w:pPr>
        <w:spacing w:line="240" w:lineRule="auto" w:before="10"/>
        <w:rPr>
          <w:rFonts w:ascii="宋体" w:hAnsi="宋体" w:cs="宋体" w:eastAsia="宋体" w:hint="default"/>
          <w:sz w:val="17"/>
          <w:szCs w:val="17"/>
        </w:rPr>
      </w:pPr>
    </w:p>
    <w:p>
      <w:pPr>
        <w:spacing w:line="732" w:lineRule="exact"/>
        <w:ind w:left="422"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0pt;height:36.65pt;mso-position-horizontal-relative:char;mso-position-vertical-relative:line" coordorigin="0,0" coordsize="9400,733">
            <v:group style="position:absolute;left:10;top:10;width:3428;height:2" coordorigin="10,10" coordsize="3428,2">
              <v:shape style="position:absolute;left:10;top:10;width:3428;height:2" coordorigin="10,10" coordsize="3428,0" path="m10,10l3437,10e" filled="false" stroked="true" strokeweight=".48pt" strokecolor="#000000">
                <v:path arrowok="t"/>
              </v:shape>
            </v:group>
            <v:group style="position:absolute;left:3447;top:10;width:5944;height:2" coordorigin="3447,10" coordsize="5944,2">
              <v:shape style="position:absolute;left:3447;top:10;width:5944;height:2" coordorigin="3447,10" coordsize="5944,0" path="m3447,10l9390,10e" filled="false" stroked="true" strokeweight=".48pt" strokecolor="#000000">
                <v:path arrowok="t"/>
              </v:shape>
            </v:group>
            <v:group style="position:absolute;left:5;top:5;width:2;height:723" coordorigin="5,5" coordsize="2,723">
              <v:shape style="position:absolute;left:5;top:5;width:2;height:723" coordorigin="5,5" coordsize="0,723" path="m5,5l5,728e" filled="false" stroked="true" strokeweight=".48pt" strokecolor="#000000">
                <v:path arrowok="t"/>
              </v:shape>
            </v:group>
            <v:group style="position:absolute;left:10;top:723;width:3428;height:2" coordorigin="10,723" coordsize="3428,2">
              <v:shape style="position:absolute;left:10;top:723;width:3428;height:2" coordorigin="10,723" coordsize="3428,0" path="m10,723l3437,723e" filled="false" stroked="true" strokeweight=".48pt" strokecolor="#000000">
                <v:path arrowok="t"/>
              </v:shape>
            </v:group>
            <v:group style="position:absolute;left:3442;top:5;width:2;height:723" coordorigin="3442,5" coordsize="2,723">
              <v:shape style="position:absolute;left:3442;top:5;width:2;height:723" coordorigin="3442,5" coordsize="0,723" path="m3442,5l3442,728e" filled="false" stroked="true" strokeweight=".48001pt" strokecolor="#000000">
                <v:path arrowok="t"/>
              </v:shape>
            </v:group>
            <v:group style="position:absolute;left:3447;top:723;width:5944;height:2" coordorigin="3447,723" coordsize="5944,2">
              <v:shape style="position:absolute;left:3447;top:723;width:5944;height:2" coordorigin="3447,723" coordsize="5944,0" path="m3447,723l9390,723e" filled="false" stroked="true" strokeweight=".48pt" strokecolor="#000000">
                <v:path arrowok="t"/>
              </v:shape>
            </v:group>
            <v:group style="position:absolute;left:9395;top:5;width:2;height:723" coordorigin="9395,5" coordsize="2,723">
              <v:shape style="position:absolute;left:9395;top:5;width:2;height:723" coordorigin="9395,5" coordsize="0,723" path="m9395,5l9395,728e" filled="false" stroked="true" strokeweight=".47998pt" strokecolor="#000000">
                <v:path arrowok="t"/>
              </v:shape>
              <v:shape style="position:absolute;left:3442;top:10;width:5953;height:714" type="#_x0000_t202" filled="false" stroked="false">
                <v:textbox inset="0,0,0,0">
                  <w:txbxContent>
                    <w:p>
                      <w:pPr>
                        <w:spacing w:line="232" w:lineRule="exact" w:before="2"/>
                        <w:ind w:left="28" w:right="30" w:firstLine="0"/>
                        <w:jc w:val="both"/>
                        <w:rPr>
                          <w:rFonts w:ascii="宋体" w:hAnsi="宋体" w:cs="宋体" w:eastAsia="宋体" w:hint="default"/>
                          <w:sz w:val="18"/>
                          <w:szCs w:val="18"/>
                        </w:rPr>
                      </w:pPr>
                      <w:r>
                        <w:rPr>
                          <w:rFonts w:ascii="宋体" w:hAnsi="宋体" w:cs="宋体" w:eastAsia="宋体" w:hint="default"/>
                          <w:spacing w:val="-2"/>
                          <w:sz w:val="18"/>
                          <w:szCs w:val="18"/>
                        </w:rPr>
                        <w:t>实施均是由公司在建项目所在地的子公司来进行，因此公司对其进行财务资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助从整个上市公司角度来说是公司的正常经营行为，不会对公司的经营和财</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务状况产生不利影响。</w:t>
                      </w:r>
                    </w:p>
                  </w:txbxContent>
                </v:textbox>
                <w10:wrap type="none"/>
              </v:shape>
            </v:group>
          </v:group>
        </w:pict>
      </w:r>
      <w:r>
        <w:rPr>
          <w:rFonts w:ascii="宋体" w:hAnsi="宋体" w:cs="宋体" w:eastAsia="宋体" w:hint="default"/>
          <w:position w:val="-14"/>
          <w:sz w:val="20"/>
          <w:szCs w:val="20"/>
        </w:rPr>
      </w:r>
    </w:p>
    <w:p>
      <w:pPr>
        <w:spacing w:line="240" w:lineRule="auto" w:before="8"/>
        <w:rPr>
          <w:rFonts w:ascii="宋体" w:hAnsi="宋体" w:cs="宋体" w:eastAsia="宋体" w:hint="default"/>
          <w:sz w:val="19"/>
          <w:szCs w:val="19"/>
        </w:rPr>
      </w:pPr>
    </w:p>
    <w:p>
      <w:pPr>
        <w:pStyle w:val="Heading2"/>
        <w:tabs>
          <w:tab w:pos="1297" w:val="left" w:leader="none"/>
        </w:tabs>
        <w:spacing w:line="290" w:lineRule="auto"/>
        <w:ind w:left="458" w:right="6516"/>
        <w:jc w:val="left"/>
        <w:rPr>
          <w:b w:val="0"/>
          <w:bCs w:val="0"/>
        </w:rPr>
      </w:pPr>
      <w:r>
        <w:rPr/>
        <w:t>十三、重大合同及其履行情况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b w:val="0"/>
          <w:bCs w:val="0"/>
          <w:spacing w:val="-1"/>
        </w:rPr>
      </w:r>
    </w:p>
    <w:p>
      <w:pPr>
        <w:spacing w:line="290" w:lineRule="auto" w:before="12"/>
        <w:ind w:left="458" w:right="78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托管情况</w:t>
      </w:r>
      <w:r>
        <w:rPr>
          <w:rFonts w:ascii="宋体" w:hAnsi="宋体" w:cs="宋体" w:eastAsia="宋体" w:hint="default"/>
          <w:sz w:val="21"/>
          <w:szCs w:val="21"/>
        </w:rPr>
      </w:r>
    </w:p>
    <w:p>
      <w:pPr>
        <w:pStyle w:val="BodyText"/>
        <w:spacing w:line="240" w:lineRule="auto" w:before="14"/>
        <w:ind w:left="458" w:right="651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458" w:right="6516"/>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7"/>
        <w:ind w:left="458" w:right="6516"/>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5" w:footer="1193" w:top="1280" w:bottom="1380" w:left="1340" w:right="640"/>
        </w:sectPr>
      </w:pPr>
    </w:p>
    <w:p>
      <w:pPr>
        <w:pStyle w:val="Heading2"/>
        <w:spacing w:line="240" w:lineRule="auto"/>
        <w:ind w:left="458" w:right="-18"/>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8"/>
        <w:ind w:left="4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04" w:val="left" w:leader="none"/>
        </w:tabs>
        <w:spacing w:line="240" w:lineRule="auto" w:before="0"/>
        <w:ind w:left="4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280" w:bottom="1380" w:left="1340" w:right="640"/>
          <w:cols w:num="2" w:equalWidth="0">
            <w:col w:w="2035" w:space="4700"/>
            <w:col w:w="3195"/>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850"/>
        <w:gridCol w:w="850"/>
        <w:gridCol w:w="994"/>
        <w:gridCol w:w="1135"/>
        <w:gridCol w:w="595"/>
        <w:gridCol w:w="752"/>
        <w:gridCol w:w="1116"/>
        <w:gridCol w:w="701"/>
        <w:gridCol w:w="1117"/>
        <w:gridCol w:w="701"/>
        <w:gridCol w:w="698"/>
      </w:tblGrid>
      <w:tr>
        <w:trPr>
          <w:trHeight w:val="13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237" w:right="149" w:hanging="89"/>
              <w:jc w:val="left"/>
              <w:rPr>
                <w:rFonts w:ascii="宋体" w:hAnsi="宋体" w:cs="宋体" w:eastAsia="宋体" w:hint="default"/>
                <w:sz w:val="18"/>
                <w:szCs w:val="18"/>
              </w:rPr>
            </w:pPr>
            <w:r>
              <w:rPr>
                <w:rFonts w:ascii="宋体" w:hAnsi="宋体" w:cs="宋体" w:eastAsia="宋体" w:hint="default"/>
                <w:sz w:val="18"/>
                <w:szCs w:val="18"/>
              </w:rPr>
              <w:t>出租方 名称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239" w:right="149" w:hanging="92"/>
              <w:jc w:val="left"/>
              <w:rPr>
                <w:rFonts w:ascii="宋体" w:hAnsi="宋体" w:cs="宋体" w:eastAsia="宋体" w:hint="default"/>
                <w:sz w:val="18"/>
                <w:szCs w:val="18"/>
              </w:rPr>
            </w:pPr>
            <w:r>
              <w:rPr>
                <w:rFonts w:ascii="宋体" w:hAnsi="宋体" w:cs="宋体" w:eastAsia="宋体" w:hint="default"/>
                <w:sz w:val="18"/>
                <w:szCs w:val="18"/>
              </w:rPr>
              <w:t>租赁方 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311" w:right="130"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290" w:right="113" w:hanging="180"/>
              <w:jc w:val="left"/>
              <w:rPr>
                <w:rFonts w:ascii="宋体" w:hAnsi="宋体" w:cs="宋体" w:eastAsia="宋体" w:hint="default"/>
                <w:sz w:val="18"/>
                <w:szCs w:val="18"/>
              </w:rPr>
            </w:pPr>
            <w:r>
              <w:rPr>
                <w:rFonts w:ascii="宋体" w:hAnsi="宋体" w:cs="宋体" w:eastAsia="宋体" w:hint="default"/>
                <w:sz w:val="18"/>
                <w:szCs w:val="18"/>
              </w:rPr>
              <w:t>租赁资产涉 及金额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10" w:right="113"/>
              <w:jc w:val="both"/>
              <w:rPr>
                <w:rFonts w:ascii="宋体" w:hAnsi="宋体" w:cs="宋体" w:eastAsia="宋体" w:hint="default"/>
                <w:sz w:val="18"/>
                <w:szCs w:val="18"/>
              </w:rPr>
            </w:pPr>
            <w:r>
              <w:rPr>
                <w:rFonts w:ascii="宋体" w:hAnsi="宋体" w:cs="宋体" w:eastAsia="宋体" w:hint="default"/>
                <w:sz w:val="18"/>
                <w:szCs w:val="18"/>
              </w:rPr>
              <w:t>租赁 起始 日</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89" w:right="190"/>
              <w:jc w:val="both"/>
              <w:rPr>
                <w:rFonts w:ascii="宋体" w:hAnsi="宋体" w:cs="宋体" w:eastAsia="宋体" w:hint="default"/>
                <w:sz w:val="18"/>
                <w:szCs w:val="18"/>
              </w:rPr>
            </w:pPr>
            <w:r>
              <w:rPr>
                <w:rFonts w:ascii="宋体" w:hAnsi="宋体" w:cs="宋体" w:eastAsia="宋体" w:hint="default"/>
                <w:sz w:val="18"/>
                <w:szCs w:val="18"/>
              </w:rPr>
              <w:t>租赁 终止 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租赁收益</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6"/>
              <w:ind w:left="165" w:right="163"/>
              <w:jc w:val="both"/>
              <w:rPr>
                <w:rFonts w:ascii="宋体" w:hAnsi="宋体" w:cs="宋体" w:eastAsia="宋体" w:hint="default"/>
                <w:sz w:val="18"/>
                <w:szCs w:val="18"/>
              </w:rPr>
            </w:pPr>
            <w:r>
              <w:rPr>
                <w:rFonts w:ascii="宋体" w:hAnsi="宋体" w:cs="宋体" w:eastAsia="宋体" w:hint="default"/>
                <w:sz w:val="18"/>
                <w:szCs w:val="18"/>
              </w:rPr>
              <w:t>租赁 收益 确定 依据</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192" w:right="101" w:hanging="89"/>
              <w:jc w:val="left"/>
              <w:rPr>
                <w:rFonts w:ascii="宋体" w:hAnsi="宋体" w:cs="宋体" w:eastAsia="宋体" w:hint="default"/>
                <w:sz w:val="18"/>
                <w:szCs w:val="18"/>
              </w:rPr>
            </w:pPr>
            <w:r>
              <w:rPr>
                <w:rFonts w:ascii="宋体" w:hAnsi="宋体" w:cs="宋体" w:eastAsia="宋体" w:hint="default"/>
                <w:sz w:val="18"/>
                <w:szCs w:val="18"/>
              </w:rPr>
              <w:t>租赁收益对 公司影响</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65" w:right="163"/>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163" w:right="163"/>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117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科达集</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exact" w:before="24"/>
              <w:ind w:left="100" w:right="53"/>
              <w:jc w:val="both"/>
              <w:rPr>
                <w:rFonts w:ascii="宋体" w:hAnsi="宋体" w:cs="宋体" w:eastAsia="宋体" w:hint="default"/>
                <w:sz w:val="18"/>
                <w:szCs w:val="18"/>
              </w:rPr>
            </w:pPr>
            <w:r>
              <w:rPr>
                <w:rFonts w:ascii="宋体" w:hAnsi="宋体" w:cs="宋体" w:eastAsia="宋体" w:hint="default"/>
                <w:spacing w:val="32"/>
                <w:sz w:val="18"/>
                <w:szCs w:val="18"/>
              </w:rPr>
              <w:t>团股份</w:t>
            </w:r>
            <w:r>
              <w:rPr>
                <w:rFonts w:ascii="宋体" w:hAnsi="宋体" w:cs="宋体" w:eastAsia="宋体" w:hint="default"/>
                <w:spacing w:val="-42"/>
                <w:sz w:val="18"/>
                <w:szCs w:val="18"/>
              </w:rPr>
              <w:t> </w:t>
            </w:r>
            <w:r>
              <w:rPr>
                <w:rFonts w:ascii="宋体" w:hAnsi="宋体" w:cs="宋体" w:eastAsia="宋体" w:hint="default"/>
                <w:spacing w:val="32"/>
                <w:sz w:val="18"/>
                <w:szCs w:val="18"/>
              </w:rPr>
              <w:t>有限公</w:t>
            </w:r>
            <w:r>
              <w:rPr>
                <w:rFonts w:ascii="宋体" w:hAnsi="宋体" w:cs="宋体" w:eastAsia="宋体" w:hint="default"/>
                <w:spacing w:val="-42"/>
                <w:sz w:val="18"/>
                <w:szCs w:val="18"/>
              </w:rPr>
              <w:t> </w:t>
            </w:r>
            <w:r>
              <w:rPr>
                <w:rFonts w:ascii="宋体" w:hAnsi="宋体" w:cs="宋体" w:eastAsia="宋体" w:hint="default"/>
                <w:sz w:val="18"/>
                <w:szCs w:val="18"/>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2"/>
                <w:sz w:val="18"/>
                <w:szCs w:val="18"/>
              </w:rPr>
              <w:t>广饶县</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7" w:lineRule="auto" w:before="2"/>
              <w:ind w:left="103" w:right="50"/>
              <w:jc w:val="both"/>
              <w:rPr>
                <w:rFonts w:ascii="宋体" w:hAnsi="宋体" w:cs="宋体" w:eastAsia="宋体" w:hint="default"/>
                <w:sz w:val="18"/>
                <w:szCs w:val="18"/>
              </w:rPr>
            </w:pPr>
            <w:r>
              <w:rPr>
                <w:rFonts w:ascii="宋体" w:hAnsi="宋体" w:cs="宋体" w:eastAsia="宋体" w:hint="default"/>
                <w:spacing w:val="32"/>
                <w:sz w:val="18"/>
                <w:szCs w:val="18"/>
              </w:rPr>
              <w:t>金桥小</w:t>
            </w:r>
            <w:r>
              <w:rPr>
                <w:rFonts w:ascii="宋体" w:hAnsi="宋体" w:cs="宋体" w:eastAsia="宋体" w:hint="default"/>
                <w:spacing w:val="-42"/>
                <w:sz w:val="18"/>
                <w:szCs w:val="18"/>
              </w:rPr>
              <w:t> </w:t>
            </w:r>
            <w:r>
              <w:rPr>
                <w:rFonts w:ascii="宋体" w:hAnsi="宋体" w:cs="宋体" w:eastAsia="宋体" w:hint="default"/>
                <w:spacing w:val="32"/>
                <w:sz w:val="18"/>
                <w:szCs w:val="18"/>
              </w:rPr>
              <w:t>额贷款</w:t>
            </w:r>
            <w:r>
              <w:rPr>
                <w:rFonts w:ascii="宋体" w:hAnsi="宋体" w:cs="宋体" w:eastAsia="宋体" w:hint="default"/>
                <w:spacing w:val="-42"/>
                <w:sz w:val="18"/>
                <w:szCs w:val="18"/>
              </w:rPr>
              <w:t> </w:t>
            </w:r>
            <w:r>
              <w:rPr>
                <w:rFonts w:ascii="宋体" w:hAnsi="宋体" w:cs="宋体" w:eastAsia="宋体" w:hint="default"/>
                <w:spacing w:val="32"/>
                <w:sz w:val="18"/>
                <w:szCs w:val="18"/>
              </w:rPr>
              <w:t>股份有</w:t>
            </w:r>
            <w:r>
              <w:rPr>
                <w:rFonts w:ascii="宋体" w:hAnsi="宋体" w:cs="宋体" w:eastAsia="宋体" w:hint="default"/>
                <w:spacing w:val="-42"/>
                <w:sz w:val="18"/>
                <w:szCs w:val="18"/>
              </w:rPr>
              <w:t> </w:t>
            </w:r>
            <w:r>
              <w:rPr>
                <w:rFonts w:ascii="宋体" w:hAnsi="宋体" w:cs="宋体" w:eastAsia="宋体" w:hint="default"/>
                <w:sz w:val="18"/>
                <w:szCs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广饶县大</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4"/>
              <w:ind w:left="103" w:right="82"/>
              <w:jc w:val="both"/>
              <w:rPr>
                <w:rFonts w:ascii="宋体" w:hAnsi="宋体" w:cs="宋体" w:eastAsia="宋体" w:hint="default"/>
                <w:sz w:val="18"/>
                <w:szCs w:val="18"/>
              </w:rPr>
            </w:pPr>
            <w:r>
              <w:rPr>
                <w:rFonts w:ascii="宋体" w:hAnsi="宋体" w:cs="宋体" w:eastAsia="宋体" w:hint="default"/>
                <w:spacing w:val="14"/>
                <w:sz w:val="18"/>
                <w:szCs w:val="18"/>
              </w:rPr>
              <w:t>王镇逢春</w:t>
            </w:r>
            <w:r>
              <w:rPr>
                <w:rFonts w:ascii="宋体" w:hAnsi="宋体" w:cs="宋体" w:eastAsia="宋体" w:hint="default"/>
                <w:spacing w:val="-71"/>
                <w:sz w:val="18"/>
                <w:szCs w:val="18"/>
              </w:rPr>
              <w:t> </w:t>
            </w:r>
            <w:r>
              <w:rPr>
                <w:rFonts w:ascii="宋体" w:hAnsi="宋体" w:cs="宋体" w:eastAsia="宋体" w:hint="default"/>
                <w:sz w:val="18"/>
                <w:szCs w:val="18"/>
              </w:rPr>
              <w:t>路 </w:t>
            </w:r>
            <w:r>
              <w:rPr>
                <w:rFonts w:ascii="宋体" w:hAnsi="宋体" w:cs="宋体" w:eastAsia="宋体" w:hint="default"/>
                <w:sz w:val="18"/>
                <w:szCs w:val="18"/>
              </w:rPr>
              <w:t>1</w:t>
            </w:r>
            <w:r>
              <w:rPr>
                <w:rFonts w:ascii="宋体" w:hAnsi="宋体" w:cs="宋体" w:eastAsia="宋体" w:hint="default"/>
                <w:spacing w:val="-31"/>
                <w:sz w:val="18"/>
                <w:szCs w:val="18"/>
              </w:rPr>
              <w:t> </w:t>
            </w:r>
            <w:r>
              <w:rPr>
                <w:rFonts w:ascii="宋体" w:hAnsi="宋体" w:cs="宋体" w:eastAsia="宋体" w:hint="default"/>
                <w:sz w:val="18"/>
                <w:szCs w:val="18"/>
              </w:rPr>
              <w:t>号院 内办公楼</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sz w:val="18"/>
              </w:rPr>
              <w:t>100,000.00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2012</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宋体" w:hAnsi="宋体" w:cs="宋体" w:eastAsia="宋体" w:hint="default"/>
                <w:sz w:val="18"/>
                <w:szCs w:val="18"/>
              </w:rPr>
              <w:t>1</w:t>
            </w:r>
          </w:p>
          <w:p>
            <w:pPr>
              <w:pStyle w:val="TableParagraph"/>
              <w:spacing w:line="232" w:lineRule="exact" w:before="23"/>
              <w:ind w:left="100" w:right="10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20"/>
                <w:sz w:val="18"/>
                <w:szCs w:val="18"/>
              </w:rPr>
              <w:t> </w:t>
            </w:r>
            <w:r>
              <w:rPr>
                <w:rFonts w:ascii="宋体" w:hAnsi="宋体" w:cs="宋体" w:eastAsia="宋体" w:hint="default"/>
                <w:sz w:val="18"/>
                <w:szCs w:val="18"/>
              </w:rPr>
              <w:t>1 </w:t>
            </w:r>
            <w:r>
              <w:rPr>
                <w:rFonts w:ascii="宋体" w:hAnsi="宋体" w:cs="宋体" w:eastAsia="宋体" w:hint="default"/>
                <w:sz w:val="18"/>
                <w:szCs w:val="18"/>
              </w:rPr>
              <w:t>日</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87"/>
                <w:sz w:val="18"/>
                <w:szCs w:val="18"/>
              </w:rPr>
              <w:t> </w:t>
            </w:r>
            <w:r>
              <w:rPr>
                <w:rFonts w:ascii="宋体" w:hAnsi="宋体" w:cs="宋体" w:eastAsia="宋体" w:hint="default"/>
                <w:sz w:val="18"/>
                <w:szCs w:val="18"/>
              </w:rPr>
              <w:t>12</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86"/>
                <w:sz w:val="18"/>
                <w:szCs w:val="18"/>
              </w:rPr>
              <w:t> </w:t>
            </w:r>
            <w:r>
              <w:rPr>
                <w:rFonts w:ascii="宋体" w:hAnsi="宋体" w:cs="宋体" w:eastAsia="宋体" w:hint="default"/>
                <w:sz w:val="18"/>
                <w:szCs w:val="18"/>
              </w:rPr>
              <w:t>31</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pacing w:val="34"/>
                <w:sz w:val="18"/>
                <w:szCs w:val="18"/>
              </w:rPr>
              <w:t> </w:t>
            </w:r>
            <w:r>
              <w:rPr>
                <w:rFonts w:ascii="宋体" w:hAnsi="宋体" w:cs="宋体" w:eastAsia="宋体" w:hint="default"/>
                <w:sz w:val="18"/>
                <w:szCs w:val="18"/>
              </w:rPr>
              <w:t>屋</w:t>
            </w:r>
          </w:p>
          <w:p>
            <w:pPr>
              <w:pStyle w:val="TableParagraph"/>
              <w:spacing w:line="234"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租</w:t>
            </w:r>
            <w:r>
              <w:rPr>
                <w:rFonts w:ascii="宋体" w:hAnsi="宋体" w:cs="宋体" w:eastAsia="宋体" w:hint="default"/>
                <w:spacing w:val="34"/>
                <w:sz w:val="18"/>
                <w:szCs w:val="18"/>
              </w:rPr>
              <w:t> </w:t>
            </w:r>
            <w:r>
              <w:rPr>
                <w:rFonts w:ascii="宋体" w:hAnsi="宋体" w:cs="宋体" w:eastAsia="宋体" w:hint="default"/>
                <w:sz w:val="18"/>
                <w:szCs w:val="18"/>
              </w:rPr>
              <w:t>赁</w:t>
            </w:r>
            <w:r>
              <w:rPr>
                <w:rFonts w:ascii="宋体" w:hAnsi="宋体" w:cs="宋体" w:eastAsia="宋体" w:hint="default"/>
                <w:sz w:val="18"/>
                <w:szCs w:val="18"/>
              </w:rPr>
              <w:t> 合同</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5"/>
                <w:sz w:val="18"/>
                <w:szCs w:val="18"/>
              </w:rPr>
              <w:t>营业收入</w:t>
            </w:r>
            <w:r>
              <w:rPr>
                <w:rFonts w:ascii="宋体" w:hAnsi="宋体" w:cs="宋体" w:eastAsia="宋体" w:hint="default"/>
                <w:spacing w:val="-3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sz w:val="18"/>
              </w:rPr>
              <w:t>100,000.00</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pacing w:val="34"/>
                <w:sz w:val="18"/>
                <w:szCs w:val="18"/>
              </w:rPr>
              <w:t> </w:t>
            </w:r>
            <w:r>
              <w:rPr>
                <w:rFonts w:ascii="宋体" w:hAnsi="宋体" w:cs="宋体" w:eastAsia="宋体" w:hint="default"/>
                <w:sz w:val="18"/>
                <w:szCs w:val="18"/>
              </w:rPr>
              <w:t>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34"/>
                <w:sz w:val="18"/>
                <w:szCs w:val="18"/>
              </w:rPr>
              <w:t> </w:t>
            </w:r>
            <w:r>
              <w:rPr>
                <w:rFonts w:ascii="宋体" w:hAnsi="宋体" w:cs="宋体" w:eastAsia="宋体" w:hint="default"/>
                <w:sz w:val="18"/>
                <w:szCs w:val="18"/>
              </w:rPr>
              <w:t>的</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控</w:t>
            </w:r>
            <w:r>
              <w:rPr>
                <w:rFonts w:ascii="宋体" w:hAnsi="宋体" w:cs="宋体" w:eastAsia="宋体" w:hint="default"/>
                <w:spacing w:val="34"/>
                <w:sz w:val="18"/>
                <w:szCs w:val="18"/>
              </w:rPr>
              <w:t> </w:t>
            </w:r>
            <w:r>
              <w:rPr>
                <w:rFonts w:ascii="宋体" w:hAnsi="宋体" w:cs="宋体" w:eastAsia="宋体" w:hint="default"/>
                <w:sz w:val="18"/>
                <w:szCs w:val="18"/>
              </w:rPr>
              <w:t>股</w:t>
            </w:r>
          </w:p>
          <w:p>
            <w:pPr>
              <w:pStyle w:val="TableParagraph"/>
              <w:spacing w:line="232" w:lineRule="exact" w:before="23"/>
              <w:ind w:left="100" w:right="101"/>
              <w:jc w:val="left"/>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pacing w:val="34"/>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r>
    </w:tbl>
    <w:p>
      <w:pPr>
        <w:pStyle w:val="BodyText"/>
        <w:spacing w:line="241" w:lineRule="exact" w:before="0"/>
        <w:ind w:left="458" w:right="6516"/>
        <w:jc w:val="left"/>
      </w:pPr>
      <w:r>
        <w:rPr/>
        <w:t>租赁情况说明</w:t>
      </w:r>
    </w:p>
    <w:p>
      <w:pPr>
        <w:pStyle w:val="BodyText"/>
        <w:spacing w:line="240" w:lineRule="auto" w:before="73"/>
        <w:ind w:left="878" w:right="0"/>
        <w:jc w:val="left"/>
      </w:pPr>
      <w:r>
        <w:rPr>
          <w:rFonts w:ascii="宋体" w:hAnsi="宋体" w:cs="宋体" w:eastAsia="宋体" w:hint="default"/>
        </w:rPr>
        <w:t>2012</w:t>
      </w:r>
      <w:r>
        <w:rPr>
          <w:rFonts w:ascii="宋体" w:hAnsi="宋体" w:cs="宋体" w:eastAsia="宋体" w:hint="default"/>
          <w:spacing w:val="19"/>
        </w:rPr>
        <w:t> </w:t>
      </w:r>
      <w:r>
        <w:rPr>
          <w:spacing w:val="-3"/>
        </w:rPr>
        <w:t>年，本公司与广饶县金桥小额贷款股份有限公司（以下简称</w:t>
      </w:r>
      <w:r>
        <w:rPr>
          <w:rFonts w:ascii="宋体" w:hAnsi="宋体" w:cs="宋体" w:eastAsia="宋体" w:hint="default"/>
          <w:spacing w:val="-3"/>
        </w:rPr>
        <w:t>"</w:t>
      </w:r>
      <w:r>
        <w:rPr>
          <w:spacing w:val="-3"/>
        </w:rPr>
        <w:t>乙方</w:t>
      </w:r>
      <w:r>
        <w:rPr>
          <w:rFonts w:ascii="宋体" w:hAnsi="宋体" w:cs="宋体" w:eastAsia="宋体" w:hint="default"/>
          <w:spacing w:val="-3"/>
        </w:rPr>
        <w:t>"</w:t>
      </w:r>
      <w:r>
        <w:rPr>
          <w:spacing w:val="-3"/>
        </w:rPr>
        <w:t>）签署《房屋租赁合</w:t>
      </w:r>
    </w:p>
    <w:p>
      <w:pPr>
        <w:pStyle w:val="BodyText"/>
        <w:spacing w:line="240" w:lineRule="auto" w:before="85"/>
        <w:ind w:left="458" w:right="0"/>
        <w:jc w:val="left"/>
        <w:rPr>
          <w:rFonts w:ascii="宋体" w:hAnsi="宋体" w:cs="宋体" w:eastAsia="宋体" w:hint="default"/>
        </w:rPr>
      </w:pPr>
      <w:r>
        <w:rPr>
          <w:spacing w:val="-3"/>
        </w:rPr>
        <w:t>同》，将位于广饶县大王镇逢春路</w:t>
      </w:r>
      <w:r>
        <w:rPr>
          <w:spacing w:val="-44"/>
        </w:rPr>
        <w:t> </w:t>
      </w:r>
      <w:r>
        <w:rPr>
          <w:rFonts w:ascii="宋体" w:hAnsi="宋体" w:cs="宋体" w:eastAsia="宋体" w:hint="default"/>
        </w:rPr>
        <w:t>1</w:t>
      </w:r>
      <w:r>
        <w:rPr>
          <w:rFonts w:ascii="宋体" w:hAnsi="宋体" w:cs="宋体" w:eastAsia="宋体" w:hint="default"/>
          <w:spacing w:val="-47"/>
        </w:rPr>
        <w:t> </w:t>
      </w:r>
      <w:r>
        <w:rPr>
          <w:spacing w:val="-3"/>
        </w:rPr>
        <w:t>号院内的一栋办公楼出租给乙方，租赁期限为</w:t>
      </w:r>
      <w:r>
        <w:rPr>
          <w:spacing w:val="-43"/>
        </w:rPr>
        <w:t> </w:t>
      </w:r>
      <w:r>
        <w:rPr>
          <w:rFonts w:ascii="宋体" w:hAnsi="宋体" w:cs="宋体" w:eastAsia="宋体" w:hint="default"/>
        </w:rPr>
        <w:t>2012</w:t>
      </w:r>
      <w:r>
        <w:rPr>
          <w:rFonts w:ascii="宋体" w:hAnsi="宋体" w:cs="宋体" w:eastAsia="宋体" w:hint="default"/>
          <w:spacing w:val="-44"/>
        </w:rPr>
        <w:t> </w:t>
      </w:r>
      <w:r>
        <w:rPr/>
        <w:t>年</w:t>
      </w:r>
      <w:r>
        <w:rPr>
          <w:spacing w:val="-47"/>
        </w:rPr>
        <w:t> </w:t>
      </w:r>
      <w:r>
        <w:rPr>
          <w:rFonts w:ascii="宋体" w:hAnsi="宋体" w:cs="宋体" w:eastAsia="宋体" w:hint="default"/>
        </w:rPr>
        <w:t>1</w:t>
      </w:r>
      <w:r>
        <w:rPr>
          <w:rFonts w:ascii="宋体" w:hAnsi="宋体" w:cs="宋体" w:eastAsia="宋体" w:hint="default"/>
          <w:spacing w:val="-44"/>
        </w:rPr>
        <w:t> </w:t>
      </w:r>
      <w:r>
        <w:rPr/>
        <w:t>月</w:t>
      </w:r>
      <w:r>
        <w:rPr>
          <w:spacing w:val="-47"/>
        </w:rPr>
        <w:t> </w:t>
      </w:r>
      <w:r>
        <w:rPr>
          <w:rFonts w:ascii="宋体" w:hAnsi="宋体" w:cs="宋体" w:eastAsia="宋体" w:hint="default"/>
        </w:rPr>
        <w:t>1</w:t>
      </w:r>
    </w:p>
    <w:p>
      <w:pPr>
        <w:pStyle w:val="BodyText"/>
        <w:spacing w:line="314" w:lineRule="auto" w:before="85"/>
        <w:ind w:left="458" w:right="0"/>
        <w:jc w:val="left"/>
      </w:pPr>
      <w:r>
        <w:rPr/>
        <w:t>日至</w:t>
      </w:r>
      <w:r>
        <w:rPr>
          <w:spacing w:val="-42"/>
        </w:rPr>
        <w:t> </w:t>
      </w:r>
      <w:r>
        <w:rPr>
          <w:rFonts w:ascii="宋体" w:hAnsi="宋体" w:cs="宋体" w:eastAsia="宋体" w:hint="default"/>
        </w:rPr>
        <w:t>2021</w:t>
      </w:r>
      <w:r>
        <w:rPr>
          <w:rFonts w:ascii="宋体" w:hAnsi="宋体" w:cs="宋体" w:eastAsia="宋体" w:hint="default"/>
          <w:spacing w:val="-45"/>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spacing w:val="-5"/>
        </w:rPr>
        <w:t>日，乙方承诺租赁该办公楼仅作办公使用，租赁期间正常办公产生的水、电</w:t>
      </w:r>
      <w:r>
        <w:rPr>
          <w:spacing w:val="-101"/>
        </w:rPr>
        <w:t> </w:t>
      </w:r>
      <w:r>
        <w:rPr>
          <w:spacing w:val="-101"/>
        </w:rPr>
      </w:r>
      <w:r>
        <w:rPr/>
        <w:t>等费用均由乙方承担，租赁结束时乙方必须结清上述款项。</w:t>
      </w:r>
    </w:p>
    <w:p>
      <w:pPr>
        <w:spacing w:line="240" w:lineRule="auto" w:before="2"/>
        <w:rPr>
          <w:rFonts w:ascii="宋体" w:hAnsi="宋体" w:cs="宋体" w:eastAsia="宋体" w:hint="default"/>
          <w:sz w:val="21"/>
          <w:szCs w:val="21"/>
        </w:rPr>
      </w:pPr>
    </w:p>
    <w:p>
      <w:pPr>
        <w:pStyle w:val="Heading2"/>
        <w:tabs>
          <w:tab w:pos="1297" w:val="left" w:leader="none"/>
        </w:tabs>
        <w:spacing w:line="240" w:lineRule="auto" w:before="0"/>
        <w:ind w:left="458" w:right="6516"/>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7"/>
        <w:ind w:left="458" w:right="651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297" w:val="left" w:leader="none"/>
        </w:tabs>
        <w:spacing w:line="290" w:lineRule="auto" w:before="0"/>
        <w:ind w:left="458" w:right="5463"/>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spacing w:line="290" w:lineRule="auto" w:before="12"/>
        <w:ind w:left="458" w:right="77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委托贷款情况</w:t>
      </w:r>
      <w:r>
        <w:rPr>
          <w:rFonts w:ascii="宋体" w:hAnsi="宋体" w:cs="宋体" w:eastAsia="宋体" w:hint="default"/>
          <w:sz w:val="21"/>
          <w:szCs w:val="21"/>
        </w:rPr>
      </w:r>
    </w:p>
    <w:p>
      <w:pPr>
        <w:pStyle w:val="BodyText"/>
        <w:spacing w:line="240" w:lineRule="auto" w:before="12"/>
        <w:ind w:left="458" w:right="651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458" w:right="0"/>
        <w:jc w:val="left"/>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pStyle w:val="BodyText"/>
        <w:spacing w:line="240" w:lineRule="auto" w:before="56"/>
        <w:ind w:left="458" w:right="651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297" w:val="left" w:leader="none"/>
        </w:tabs>
        <w:spacing w:line="240" w:lineRule="auto" w:before="0"/>
        <w:ind w:left="458" w:right="6516"/>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40" w:lineRule="auto" w:before="135"/>
        <w:ind w:left="458" w:right="0"/>
        <w:jc w:val="left"/>
      </w:pPr>
      <w:r>
        <w:rPr/>
        <w:t>报告期内，公司与银行签订的金额在</w:t>
      </w:r>
      <w:r>
        <w:rPr>
          <w:spacing w:val="-54"/>
        </w:rPr>
        <w:t> </w:t>
      </w:r>
      <w:r>
        <w:rPr>
          <w:rFonts w:ascii="宋体" w:hAnsi="宋体" w:cs="宋体" w:eastAsia="宋体" w:hint="default"/>
        </w:rPr>
        <w:t>4,000</w:t>
      </w:r>
      <w:r>
        <w:rPr>
          <w:rFonts w:ascii="宋体" w:hAnsi="宋体" w:cs="宋体" w:eastAsia="宋体" w:hint="default"/>
          <w:spacing w:val="-54"/>
        </w:rPr>
        <w:t> </w:t>
      </w:r>
      <w:r>
        <w:rPr/>
        <w:t>万元以上的借款合同：</w:t>
      </w:r>
    </w:p>
    <w:p>
      <w:pPr>
        <w:spacing w:after="0" w:line="240" w:lineRule="auto"/>
        <w:jc w:val="left"/>
        <w:sectPr>
          <w:type w:val="continuous"/>
          <w:pgSz w:w="11910" w:h="16840"/>
          <w:pgMar w:top="1280" w:bottom="1380" w:left="1340" w:right="640"/>
        </w:sectPr>
      </w:pPr>
    </w:p>
    <w:p>
      <w:pPr>
        <w:spacing w:line="240" w:lineRule="auto" w:before="9"/>
        <w:rPr>
          <w:rFonts w:ascii="宋体" w:hAnsi="宋体" w:cs="宋体" w:eastAsia="宋体" w:hint="default"/>
          <w:sz w:val="18"/>
          <w:szCs w:val="18"/>
        </w:rPr>
      </w:pPr>
    </w:p>
    <w:p>
      <w:pPr>
        <w:pStyle w:val="BodyText"/>
        <w:spacing w:line="240" w:lineRule="auto" w:before="36"/>
        <w:ind w:right="0"/>
        <w:jc w:val="both"/>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2015</w:t>
      </w:r>
      <w:r>
        <w:rPr>
          <w:rFonts w:ascii="宋体" w:hAnsi="宋体" w:cs="宋体" w:eastAsia="宋体" w:hint="default"/>
          <w:spacing w:val="-38"/>
        </w:rPr>
        <w:t> </w:t>
      </w:r>
      <w:r>
        <w:rPr/>
        <w:t>年</w:t>
      </w:r>
      <w:r>
        <w:rPr>
          <w:spacing w:val="-40"/>
        </w:rPr>
        <w:t> </w:t>
      </w:r>
      <w:r>
        <w:rPr>
          <w:rFonts w:ascii="宋体" w:hAnsi="宋体" w:cs="宋体" w:eastAsia="宋体" w:hint="default"/>
        </w:rPr>
        <w:t>1</w:t>
      </w:r>
      <w:r>
        <w:rPr>
          <w:rFonts w:ascii="宋体" w:hAnsi="宋体" w:cs="宋体" w:eastAsia="宋体" w:hint="default"/>
          <w:spacing w:val="-38"/>
        </w:rPr>
        <w:t> </w:t>
      </w:r>
      <w:r>
        <w:rPr/>
        <w:t>月</w:t>
      </w:r>
      <w:r>
        <w:rPr>
          <w:spacing w:val="-40"/>
        </w:rPr>
        <w:t> </w:t>
      </w:r>
      <w:r>
        <w:rPr>
          <w:rFonts w:ascii="宋体" w:hAnsi="宋体" w:cs="宋体" w:eastAsia="宋体" w:hint="default"/>
        </w:rPr>
        <w:t>13</w:t>
      </w:r>
      <w:r>
        <w:rPr>
          <w:rFonts w:ascii="宋体" w:hAnsi="宋体" w:cs="宋体" w:eastAsia="宋体" w:hint="default"/>
          <w:spacing w:val="-38"/>
        </w:rPr>
        <w:t> </w:t>
      </w:r>
      <w:r>
        <w:rPr>
          <w:spacing w:val="-3"/>
        </w:rPr>
        <w:t>日，公司与中国银行股份有限公司广饶县支行签订了人民币借款合同，借款</w:t>
      </w:r>
    </w:p>
    <w:p>
      <w:pPr>
        <w:pStyle w:val="BodyText"/>
        <w:spacing w:line="314" w:lineRule="auto" w:before="85"/>
        <w:ind w:right="99"/>
        <w:jc w:val="left"/>
      </w:pPr>
      <w:r>
        <w:rPr/>
        <w:t>金额</w:t>
      </w:r>
      <w:r>
        <w:rPr>
          <w:spacing w:val="-51"/>
        </w:rPr>
        <w:t> </w:t>
      </w:r>
      <w:r>
        <w:rPr>
          <w:rFonts w:ascii="宋体" w:hAnsi="宋体" w:cs="宋体" w:eastAsia="宋体" w:hint="default"/>
        </w:rPr>
        <w:t>7,000</w:t>
      </w:r>
      <w:r>
        <w:rPr>
          <w:rFonts w:ascii="宋体" w:hAnsi="宋体" w:cs="宋体" w:eastAsia="宋体" w:hint="default"/>
          <w:spacing w:val="-53"/>
        </w:rPr>
        <w:t> </w:t>
      </w:r>
      <w:r>
        <w:rPr>
          <w:spacing w:val="-3"/>
        </w:rPr>
        <w:t>万元，借款期限</w:t>
      </w:r>
      <w:r>
        <w:rPr>
          <w:spacing w:val="-50"/>
        </w:rPr>
        <w:t> </w:t>
      </w:r>
      <w:r>
        <w:rPr>
          <w:rFonts w:ascii="宋体" w:hAnsi="宋体" w:cs="宋体" w:eastAsia="宋体" w:hint="default"/>
        </w:rPr>
        <w:t>1</w:t>
      </w:r>
      <w:r>
        <w:rPr>
          <w:rFonts w:ascii="宋体" w:hAnsi="宋体" w:cs="宋体" w:eastAsia="宋体" w:hint="default"/>
          <w:spacing w:val="-51"/>
        </w:rPr>
        <w:t> </w:t>
      </w:r>
      <w:r>
        <w:rPr>
          <w:spacing w:val="-6"/>
        </w:rPr>
        <w:t>年，自</w:t>
      </w:r>
      <w:r>
        <w:rPr>
          <w:spacing w:val="-51"/>
        </w:rPr>
        <w:t> </w:t>
      </w:r>
      <w:r>
        <w:rPr>
          <w:rFonts w:ascii="宋体" w:hAnsi="宋体" w:cs="宋体" w:eastAsia="宋体" w:hint="default"/>
        </w:rPr>
        <w:t>2015</w:t>
      </w:r>
      <w:r>
        <w:rPr>
          <w:rFonts w:ascii="宋体" w:hAnsi="宋体" w:cs="宋体" w:eastAsia="宋体" w:hint="default"/>
          <w:spacing w:val="-51"/>
        </w:rPr>
        <w:t> </w:t>
      </w:r>
      <w:r>
        <w:rPr/>
        <w:t>年</w:t>
      </w:r>
      <w:r>
        <w:rPr>
          <w:spacing w:val="-53"/>
        </w:rPr>
        <w:t> </w:t>
      </w:r>
      <w:r>
        <w:rPr>
          <w:rFonts w:ascii="宋体" w:hAnsi="宋体" w:cs="宋体" w:eastAsia="宋体" w:hint="default"/>
        </w:rPr>
        <w:t>1</w:t>
      </w:r>
      <w:r>
        <w:rPr>
          <w:rFonts w:ascii="宋体" w:hAnsi="宋体" w:cs="宋体" w:eastAsia="宋体" w:hint="default"/>
          <w:spacing w:val="-51"/>
        </w:rPr>
        <w:t> </w:t>
      </w:r>
      <w:r>
        <w:rPr/>
        <w:t>月</w:t>
      </w:r>
      <w:r>
        <w:rPr>
          <w:spacing w:val="-53"/>
        </w:rPr>
        <w:t> </w:t>
      </w:r>
      <w:r>
        <w:rPr>
          <w:rFonts w:ascii="宋体" w:hAnsi="宋体" w:cs="宋体" w:eastAsia="宋体" w:hint="default"/>
        </w:rPr>
        <w:t>13</w:t>
      </w:r>
      <w:r>
        <w:rPr>
          <w:rFonts w:ascii="宋体" w:hAnsi="宋体" w:cs="宋体" w:eastAsia="宋体" w:hint="default"/>
          <w:spacing w:val="-51"/>
        </w:rPr>
        <w:t> </w:t>
      </w:r>
      <w:r>
        <w:rPr/>
        <w:t>日至</w:t>
      </w:r>
      <w:r>
        <w:rPr>
          <w:spacing w:val="-53"/>
        </w:rPr>
        <w:t> </w:t>
      </w: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3"/>
        </w:rPr>
        <w:t> </w:t>
      </w:r>
      <w:r>
        <w:rPr>
          <w:rFonts w:ascii="宋体" w:hAnsi="宋体" w:cs="宋体" w:eastAsia="宋体" w:hint="default"/>
        </w:rPr>
        <w:t>12</w:t>
      </w:r>
      <w:r>
        <w:rPr>
          <w:rFonts w:ascii="宋体" w:hAnsi="宋体" w:cs="宋体" w:eastAsia="宋体" w:hint="default"/>
          <w:spacing w:val="-53"/>
        </w:rPr>
        <w:t> </w:t>
      </w:r>
      <w:r>
        <w:rPr>
          <w:spacing w:val="-4"/>
        </w:rPr>
        <w:t>日，年利率</w:t>
      </w:r>
      <w:r>
        <w:rPr>
          <w:spacing w:val="-50"/>
        </w:rPr>
        <w:t> </w:t>
      </w:r>
      <w:r>
        <w:rPr>
          <w:rFonts w:ascii="宋体" w:hAnsi="宋体" w:cs="宋体" w:eastAsia="宋体" w:hint="default"/>
          <w:spacing w:val="-4"/>
        </w:rPr>
        <w:t>6.72%</w:t>
      </w:r>
      <w:r>
        <w:rPr>
          <w:spacing w:val="-4"/>
        </w:rPr>
        <w:t>，山</w:t>
      </w:r>
      <w:r>
        <w:rPr>
          <w:spacing w:val="-10"/>
          <w:w w:val="100"/>
        </w:rPr>
        <w:t> </w:t>
      </w:r>
      <w:r>
        <w:rPr/>
        <w:t>东科达集团有限公司和山东大王集团有限公司为本次借款提供了担保。</w:t>
      </w:r>
    </w:p>
    <w:p>
      <w:pPr>
        <w:pStyle w:val="BodyText"/>
        <w:spacing w:line="240" w:lineRule="auto"/>
        <w:ind w:right="0"/>
        <w:jc w:val="both"/>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2015</w:t>
      </w:r>
      <w:r>
        <w:rPr>
          <w:rFonts w:ascii="宋体" w:hAnsi="宋体" w:cs="宋体" w:eastAsia="宋体" w:hint="default"/>
          <w:spacing w:val="-38"/>
        </w:rPr>
        <w:t> </w:t>
      </w:r>
      <w:r>
        <w:rPr/>
        <w:t>年</w:t>
      </w:r>
      <w:r>
        <w:rPr>
          <w:spacing w:val="-40"/>
        </w:rPr>
        <w:t> </w:t>
      </w:r>
      <w:r>
        <w:rPr>
          <w:rFonts w:ascii="宋体" w:hAnsi="宋体" w:cs="宋体" w:eastAsia="宋体" w:hint="default"/>
        </w:rPr>
        <w:t>1</w:t>
      </w:r>
      <w:r>
        <w:rPr>
          <w:rFonts w:ascii="宋体" w:hAnsi="宋体" w:cs="宋体" w:eastAsia="宋体" w:hint="default"/>
          <w:spacing w:val="-38"/>
        </w:rPr>
        <w:t> </w:t>
      </w:r>
      <w:r>
        <w:rPr/>
        <w:t>月</w:t>
      </w:r>
      <w:r>
        <w:rPr>
          <w:spacing w:val="-40"/>
        </w:rPr>
        <w:t> </w:t>
      </w:r>
      <w:r>
        <w:rPr>
          <w:rFonts w:ascii="宋体" w:hAnsi="宋体" w:cs="宋体" w:eastAsia="宋体" w:hint="default"/>
        </w:rPr>
        <w:t>22</w:t>
      </w:r>
      <w:r>
        <w:rPr>
          <w:rFonts w:ascii="宋体" w:hAnsi="宋体" w:cs="宋体" w:eastAsia="宋体" w:hint="default"/>
          <w:spacing w:val="-38"/>
        </w:rPr>
        <w:t> </w:t>
      </w:r>
      <w:r>
        <w:rPr>
          <w:spacing w:val="-3"/>
        </w:rPr>
        <w:t>日，公司与民生银行股份有限公司广饶县支行签订了人民币借款合同，借款</w:t>
      </w:r>
    </w:p>
    <w:p>
      <w:pPr>
        <w:pStyle w:val="BodyText"/>
        <w:spacing w:line="314" w:lineRule="auto" w:before="85"/>
        <w:ind w:right="99"/>
        <w:jc w:val="left"/>
      </w:pPr>
      <w:r>
        <w:rPr/>
        <w:t>金额</w:t>
      </w:r>
      <w:r>
        <w:rPr>
          <w:spacing w:val="-51"/>
        </w:rPr>
        <w:t> </w:t>
      </w:r>
      <w:r>
        <w:rPr>
          <w:rFonts w:ascii="宋体" w:hAnsi="宋体" w:cs="宋体" w:eastAsia="宋体" w:hint="default"/>
        </w:rPr>
        <w:t>15,000</w:t>
      </w:r>
      <w:r>
        <w:rPr>
          <w:rFonts w:ascii="宋体" w:hAnsi="宋体" w:cs="宋体" w:eastAsia="宋体" w:hint="default"/>
          <w:spacing w:val="-51"/>
        </w:rPr>
        <w:t> </w:t>
      </w:r>
      <w:r>
        <w:rPr>
          <w:spacing w:val="-4"/>
        </w:rPr>
        <w:t>万元，借款期限</w:t>
      </w:r>
      <w:r>
        <w:rPr>
          <w:spacing w:val="-50"/>
        </w:rPr>
        <w:t> </w:t>
      </w:r>
      <w:r>
        <w:rPr>
          <w:rFonts w:ascii="宋体" w:hAnsi="宋体" w:cs="宋体" w:eastAsia="宋体" w:hint="default"/>
        </w:rPr>
        <w:t>1</w:t>
      </w:r>
      <w:r>
        <w:rPr>
          <w:rFonts w:ascii="宋体" w:hAnsi="宋体" w:cs="宋体" w:eastAsia="宋体" w:hint="default"/>
          <w:spacing w:val="-51"/>
        </w:rPr>
        <w:t> </w:t>
      </w:r>
      <w:r>
        <w:rPr>
          <w:spacing w:val="-6"/>
        </w:rPr>
        <w:t>年，自</w:t>
      </w:r>
      <w:r>
        <w:rPr>
          <w:spacing w:val="-51"/>
        </w:rPr>
        <w:t> </w:t>
      </w:r>
      <w:r>
        <w:rPr>
          <w:rFonts w:ascii="宋体" w:hAnsi="宋体" w:cs="宋体" w:eastAsia="宋体" w:hint="default"/>
        </w:rPr>
        <w:t>2015</w:t>
      </w:r>
      <w:r>
        <w:rPr>
          <w:rFonts w:ascii="宋体" w:hAnsi="宋体" w:cs="宋体" w:eastAsia="宋体" w:hint="default"/>
          <w:spacing w:val="-51"/>
        </w:rPr>
        <w:t> </w:t>
      </w:r>
      <w:r>
        <w:rPr/>
        <w:t>年</w:t>
      </w:r>
      <w:r>
        <w:rPr>
          <w:spacing w:val="-53"/>
        </w:rPr>
        <w:t> </w:t>
      </w:r>
      <w:r>
        <w:rPr>
          <w:rFonts w:ascii="宋体" w:hAnsi="宋体" w:cs="宋体" w:eastAsia="宋体" w:hint="default"/>
        </w:rPr>
        <w:t>1</w:t>
      </w:r>
      <w:r>
        <w:rPr>
          <w:rFonts w:ascii="宋体" w:hAnsi="宋体" w:cs="宋体" w:eastAsia="宋体" w:hint="default"/>
          <w:spacing w:val="-51"/>
        </w:rPr>
        <w:t> </w:t>
      </w:r>
      <w:r>
        <w:rPr/>
        <w:t>月</w:t>
      </w:r>
      <w:r>
        <w:rPr>
          <w:spacing w:val="-53"/>
        </w:rPr>
        <w:t> </w:t>
      </w:r>
      <w:r>
        <w:rPr>
          <w:rFonts w:ascii="宋体" w:hAnsi="宋体" w:cs="宋体" w:eastAsia="宋体" w:hint="default"/>
        </w:rPr>
        <w:t>22</w:t>
      </w:r>
      <w:r>
        <w:rPr>
          <w:rFonts w:ascii="宋体" w:hAnsi="宋体" w:cs="宋体" w:eastAsia="宋体" w:hint="default"/>
          <w:spacing w:val="-51"/>
        </w:rPr>
        <w:t> </w:t>
      </w:r>
      <w:r>
        <w:rPr/>
        <w:t>日至</w:t>
      </w:r>
      <w:r>
        <w:rPr>
          <w:spacing w:val="-53"/>
        </w:rPr>
        <w:t> </w:t>
      </w:r>
      <w:r>
        <w:rPr>
          <w:rFonts w:ascii="宋体" w:hAnsi="宋体" w:cs="宋体" w:eastAsia="宋体" w:hint="default"/>
        </w:rPr>
        <w:t>2016</w:t>
      </w:r>
      <w:r>
        <w:rPr>
          <w:rFonts w:ascii="宋体" w:hAnsi="宋体" w:cs="宋体" w:eastAsia="宋体" w:hint="default"/>
          <w:spacing w:val="-51"/>
        </w:rPr>
        <w:t> </w:t>
      </w:r>
      <w:r>
        <w:rPr/>
        <w:t>年</w:t>
      </w:r>
      <w:r>
        <w:rPr>
          <w:spacing w:val="-53"/>
        </w:rPr>
        <w:t> </w:t>
      </w:r>
      <w:r>
        <w:rPr>
          <w:rFonts w:ascii="宋体" w:hAnsi="宋体" w:cs="宋体" w:eastAsia="宋体" w:hint="default"/>
        </w:rPr>
        <w:t>1</w:t>
      </w:r>
      <w:r>
        <w:rPr>
          <w:rFonts w:ascii="宋体" w:hAnsi="宋体" w:cs="宋体" w:eastAsia="宋体" w:hint="default"/>
          <w:spacing w:val="-51"/>
        </w:rPr>
        <w:t> </w:t>
      </w:r>
      <w:r>
        <w:rPr/>
        <w:t>月</w:t>
      </w:r>
      <w:r>
        <w:rPr>
          <w:spacing w:val="-51"/>
        </w:rPr>
        <w:t> </w:t>
      </w:r>
      <w:r>
        <w:rPr>
          <w:rFonts w:ascii="宋体" w:hAnsi="宋体" w:cs="宋体" w:eastAsia="宋体" w:hint="default"/>
        </w:rPr>
        <w:t>22</w:t>
      </w:r>
      <w:r>
        <w:rPr>
          <w:rFonts w:ascii="宋体" w:hAnsi="宋体" w:cs="宋体" w:eastAsia="宋体" w:hint="default"/>
          <w:spacing w:val="-51"/>
        </w:rPr>
        <w:t> </w:t>
      </w:r>
      <w:r>
        <w:rPr>
          <w:spacing w:val="-4"/>
        </w:rPr>
        <w:t>日，年利率</w:t>
      </w:r>
      <w:r>
        <w:rPr>
          <w:spacing w:val="-50"/>
        </w:rPr>
        <w:t> </w:t>
      </w:r>
      <w:r>
        <w:rPr>
          <w:rFonts w:ascii="宋体" w:hAnsi="宋体" w:cs="宋体" w:eastAsia="宋体" w:hint="default"/>
          <w:spacing w:val="-4"/>
        </w:rPr>
        <w:t>5.60%</w:t>
      </w:r>
      <w:r>
        <w:rPr>
          <w:spacing w:val="-4"/>
        </w:rPr>
        <w:t>，东</w:t>
      </w:r>
      <w:r>
        <w:rPr>
          <w:spacing w:val="-10"/>
          <w:w w:val="100"/>
        </w:rPr>
        <w:t> </w:t>
      </w:r>
      <w:r>
        <w:rPr/>
        <w:t>营科英置业有限公司南院土地抵押为本次借款提供了担保。</w:t>
      </w:r>
    </w:p>
    <w:p>
      <w:pPr>
        <w:pStyle w:val="BodyText"/>
        <w:spacing w:line="240" w:lineRule="auto"/>
        <w:ind w:right="0"/>
        <w:jc w:val="both"/>
      </w:pPr>
      <w:r>
        <w:rPr/>
        <w:t>（</w:t>
      </w:r>
      <w:r>
        <w:rPr>
          <w:rFonts w:ascii="宋体" w:hAnsi="宋体" w:cs="宋体" w:eastAsia="宋体" w:hint="default"/>
        </w:rPr>
        <w:t>3</w:t>
      </w:r>
      <w:r>
        <w:rPr/>
        <w:t>）</w:t>
      </w:r>
      <w:r>
        <w:rPr>
          <w:rFonts w:ascii="宋体" w:hAnsi="宋体" w:cs="宋体" w:eastAsia="宋体" w:hint="default"/>
        </w:rPr>
        <w:t>2015</w:t>
      </w:r>
      <w:r>
        <w:rPr>
          <w:rFonts w:ascii="宋体" w:hAnsi="宋体" w:cs="宋体" w:eastAsia="宋体" w:hint="default"/>
          <w:spacing w:val="-44"/>
        </w:rPr>
        <w:t> </w:t>
      </w:r>
      <w:r>
        <w:rPr/>
        <w:t>年</w:t>
      </w:r>
      <w:r>
        <w:rPr>
          <w:spacing w:val="-41"/>
        </w:rPr>
        <w:t> </w:t>
      </w:r>
      <w:r>
        <w:rPr>
          <w:rFonts w:ascii="宋体" w:hAnsi="宋体" w:cs="宋体" w:eastAsia="宋体" w:hint="default"/>
        </w:rPr>
        <w:t>3</w:t>
      </w:r>
      <w:r>
        <w:rPr>
          <w:rFonts w:ascii="宋体" w:hAnsi="宋体" w:cs="宋体" w:eastAsia="宋体" w:hint="default"/>
          <w:spacing w:val="-44"/>
        </w:rPr>
        <w:t> </w:t>
      </w:r>
      <w:r>
        <w:rPr/>
        <w:t>月</w:t>
      </w:r>
      <w:r>
        <w:rPr>
          <w:spacing w:val="-41"/>
        </w:rPr>
        <w:t> </w:t>
      </w:r>
      <w:r>
        <w:rPr>
          <w:rFonts w:ascii="宋体" w:hAnsi="宋体" w:cs="宋体" w:eastAsia="宋体" w:hint="default"/>
        </w:rPr>
        <w:t>25</w:t>
      </w:r>
      <w:r>
        <w:rPr>
          <w:rFonts w:ascii="宋体" w:hAnsi="宋体" w:cs="宋体" w:eastAsia="宋体" w:hint="default"/>
          <w:spacing w:val="-41"/>
        </w:rPr>
        <w:t> </w:t>
      </w:r>
      <w:r>
        <w:rPr/>
        <w:t>日，公司与中国农业银行股份有限公司广饶县支行签订了人民币借款合同，</w:t>
      </w:r>
    </w:p>
    <w:p>
      <w:pPr>
        <w:pStyle w:val="BodyText"/>
        <w:spacing w:line="314" w:lineRule="auto" w:before="85"/>
        <w:ind w:right="99"/>
        <w:jc w:val="left"/>
      </w:pPr>
      <w:r>
        <w:rPr/>
        <w:t>借款金额</w:t>
      </w:r>
      <w:r>
        <w:rPr>
          <w:spacing w:val="-51"/>
        </w:rPr>
        <w:t> </w:t>
      </w:r>
      <w:r>
        <w:rPr>
          <w:rFonts w:ascii="宋体" w:hAnsi="宋体" w:cs="宋体" w:eastAsia="宋体" w:hint="default"/>
        </w:rPr>
        <w:t>5,000</w:t>
      </w:r>
      <w:r>
        <w:rPr>
          <w:rFonts w:ascii="宋体" w:hAnsi="宋体" w:cs="宋体" w:eastAsia="宋体" w:hint="default"/>
          <w:spacing w:val="-53"/>
        </w:rPr>
        <w:t> </w:t>
      </w:r>
      <w:r>
        <w:rPr>
          <w:spacing w:val="-9"/>
        </w:rPr>
        <w:t>万元，借款期限</w:t>
      </w:r>
      <w:r>
        <w:rPr>
          <w:spacing w:val="-50"/>
        </w:rPr>
        <w:t> </w:t>
      </w:r>
      <w:r>
        <w:rPr>
          <w:rFonts w:ascii="宋体" w:hAnsi="宋体" w:cs="宋体" w:eastAsia="宋体" w:hint="default"/>
        </w:rPr>
        <w:t>1</w:t>
      </w:r>
      <w:r>
        <w:rPr>
          <w:rFonts w:ascii="宋体" w:hAnsi="宋体" w:cs="宋体" w:eastAsia="宋体" w:hint="default"/>
          <w:spacing w:val="-51"/>
        </w:rPr>
        <w:t> </w:t>
      </w:r>
      <w:r>
        <w:rPr>
          <w:spacing w:val="-18"/>
        </w:rPr>
        <w:t>年，自</w:t>
      </w:r>
      <w:r>
        <w:rPr>
          <w:spacing w:val="-51"/>
        </w:rPr>
        <w:t> </w:t>
      </w:r>
      <w:r>
        <w:rPr>
          <w:rFonts w:ascii="宋体" w:hAnsi="宋体" w:cs="宋体" w:eastAsia="宋体" w:hint="default"/>
        </w:rPr>
        <w:t>2015</w:t>
      </w:r>
      <w:r>
        <w:rPr>
          <w:rFonts w:ascii="宋体" w:hAnsi="宋体" w:cs="宋体" w:eastAsia="宋体" w:hint="default"/>
          <w:spacing w:val="-51"/>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1"/>
        </w:rPr>
        <w:t> </w:t>
      </w:r>
      <w:r>
        <w:rPr>
          <w:rFonts w:ascii="宋体" w:hAnsi="宋体" w:cs="宋体" w:eastAsia="宋体" w:hint="default"/>
        </w:rPr>
        <w:t>25</w:t>
      </w:r>
      <w:r>
        <w:rPr>
          <w:rFonts w:ascii="宋体" w:hAnsi="宋体" w:cs="宋体" w:eastAsia="宋体" w:hint="default"/>
          <w:spacing w:val="-53"/>
        </w:rPr>
        <w:t> </w:t>
      </w:r>
      <w:r>
        <w:rPr/>
        <w:t>日至</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1"/>
        </w:rPr>
        <w:t> </w:t>
      </w:r>
      <w:r>
        <w:rPr>
          <w:rFonts w:ascii="宋体" w:hAnsi="宋体" w:cs="宋体" w:eastAsia="宋体" w:hint="default"/>
        </w:rPr>
        <w:t>3</w:t>
      </w:r>
      <w:r>
        <w:rPr>
          <w:rFonts w:ascii="宋体" w:hAnsi="宋体" w:cs="宋体" w:eastAsia="宋体" w:hint="default"/>
          <w:spacing w:val="-53"/>
        </w:rPr>
        <w:t> </w:t>
      </w:r>
      <w:r>
        <w:rPr/>
        <w:t>月</w:t>
      </w:r>
      <w:r>
        <w:rPr>
          <w:spacing w:val="-51"/>
        </w:rPr>
        <w:t> </w:t>
      </w:r>
      <w:r>
        <w:rPr>
          <w:rFonts w:ascii="宋体" w:hAnsi="宋体" w:cs="宋体" w:eastAsia="宋体" w:hint="default"/>
        </w:rPr>
        <w:t>24</w:t>
      </w:r>
      <w:r>
        <w:rPr>
          <w:rFonts w:ascii="宋体" w:hAnsi="宋体" w:cs="宋体" w:eastAsia="宋体" w:hint="default"/>
          <w:spacing w:val="-53"/>
        </w:rPr>
        <w:t> </w:t>
      </w:r>
      <w:r>
        <w:rPr>
          <w:spacing w:val="-11"/>
        </w:rPr>
        <w:t>日，年利率</w:t>
      </w:r>
      <w:r>
        <w:rPr>
          <w:spacing w:val="-50"/>
        </w:rPr>
        <w:t> </w:t>
      </w:r>
      <w:r>
        <w:rPr>
          <w:rFonts w:ascii="宋体" w:hAnsi="宋体" w:cs="宋体" w:eastAsia="宋体" w:hint="default"/>
        </w:rPr>
        <w:t>6.42%</w:t>
      </w:r>
      <w:r>
        <w:rPr/>
        <w:t>，</w:t>
      </w:r>
      <w:r>
        <w:rPr>
          <w:w w:val="100"/>
        </w:rPr>
        <w:t> </w:t>
      </w:r>
      <w:r>
        <w:rPr/>
        <w:t>山东金岭化工股份有限公司为本次借款提供了担保。</w:t>
      </w:r>
    </w:p>
    <w:p>
      <w:pPr>
        <w:pStyle w:val="BodyText"/>
        <w:spacing w:line="240" w:lineRule="auto"/>
        <w:ind w:left="0" w:right="27"/>
        <w:jc w:val="center"/>
      </w:pPr>
      <w:r>
        <w:rPr>
          <w:rFonts w:ascii="宋体" w:hAnsi="宋体" w:cs="宋体" w:eastAsia="宋体" w:hint="default"/>
        </w:rPr>
        <w:t>(4)2015</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日，公司与广发银行股份有限公司济南分行签订了人民币借款合同，借款金</w:t>
      </w:r>
    </w:p>
    <w:p>
      <w:pPr>
        <w:pStyle w:val="BodyText"/>
        <w:spacing w:line="314" w:lineRule="auto" w:before="85"/>
        <w:ind w:right="99"/>
        <w:jc w:val="left"/>
      </w:pPr>
      <w:r>
        <w:rPr/>
        <w:t>额</w:t>
      </w:r>
      <w:r>
        <w:rPr>
          <w:spacing w:val="-53"/>
        </w:rPr>
        <w:t> </w:t>
      </w:r>
      <w:r>
        <w:rPr>
          <w:rFonts w:ascii="宋体" w:hAnsi="宋体" w:cs="宋体" w:eastAsia="宋体" w:hint="default"/>
        </w:rPr>
        <w:t>5,000</w:t>
      </w:r>
      <w:r>
        <w:rPr>
          <w:rFonts w:ascii="宋体" w:hAnsi="宋体" w:cs="宋体" w:eastAsia="宋体" w:hint="default"/>
          <w:spacing w:val="-53"/>
        </w:rPr>
        <w:t> </w:t>
      </w:r>
      <w:r>
        <w:rPr/>
        <w:t>万元，借款期限</w:t>
      </w:r>
      <w:r>
        <w:rPr>
          <w:spacing w:val="-54"/>
        </w:rPr>
        <w:t> </w:t>
      </w:r>
      <w:r>
        <w:rPr>
          <w:rFonts w:ascii="宋体" w:hAnsi="宋体" w:cs="宋体" w:eastAsia="宋体" w:hint="default"/>
        </w:rPr>
        <w:t>1</w:t>
      </w:r>
      <w:r>
        <w:rPr>
          <w:rFonts w:ascii="宋体" w:hAnsi="宋体" w:cs="宋体" w:eastAsia="宋体" w:hint="default"/>
          <w:spacing w:val="-53"/>
        </w:rPr>
        <w:t> </w:t>
      </w:r>
      <w:r>
        <w:rPr/>
        <w:t>年，自</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日至</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日，年利率</w:t>
      </w:r>
      <w:r>
        <w:rPr>
          <w:spacing w:val="-52"/>
        </w:rPr>
        <w:t> </w:t>
      </w:r>
      <w:r>
        <w:rPr>
          <w:rFonts w:ascii="宋体" w:hAnsi="宋体" w:cs="宋体" w:eastAsia="宋体" w:hint="default"/>
        </w:rPr>
        <w:t>6.42%</w:t>
      </w:r>
      <w:r>
        <w:rPr/>
        <w:t>，山东</w:t>
      </w:r>
      <w:r>
        <w:rPr>
          <w:w w:val="100"/>
        </w:rPr>
        <w:t> </w:t>
      </w:r>
      <w:r>
        <w:rPr/>
        <w:t>金岭集团有限公司、山东科达集团有限公司和信义集团公司为本次借款提供了担保。</w:t>
      </w:r>
    </w:p>
    <w:p>
      <w:pPr>
        <w:pStyle w:val="BodyText"/>
        <w:spacing w:line="240" w:lineRule="auto"/>
        <w:ind w:right="0"/>
        <w:jc w:val="both"/>
      </w:pPr>
      <w:r>
        <w:rPr/>
        <w:t>（</w:t>
      </w:r>
      <w:r>
        <w:rPr>
          <w:rFonts w:ascii="宋体" w:hAnsi="宋体" w:cs="宋体" w:eastAsia="宋体" w:hint="default"/>
        </w:rPr>
        <w:t>5</w:t>
      </w:r>
      <w:r>
        <w:rPr/>
        <w:t>）</w:t>
      </w:r>
      <w:r>
        <w:rPr>
          <w:rFonts w:ascii="宋体" w:hAnsi="宋体" w:cs="宋体" w:eastAsia="宋体" w:hint="default"/>
        </w:rPr>
        <w:t>2015</w:t>
      </w:r>
      <w:r>
        <w:rPr>
          <w:rFonts w:ascii="宋体" w:hAnsi="宋体" w:cs="宋体" w:eastAsia="宋体" w:hint="default"/>
          <w:spacing w:val="-44"/>
        </w:rPr>
        <w:t> </w:t>
      </w:r>
      <w:r>
        <w:rPr/>
        <w:t>年</w:t>
      </w:r>
      <w:r>
        <w:rPr>
          <w:spacing w:val="-41"/>
        </w:rPr>
        <w:t> </w:t>
      </w:r>
      <w:r>
        <w:rPr>
          <w:rFonts w:ascii="宋体" w:hAnsi="宋体" w:cs="宋体" w:eastAsia="宋体" w:hint="default"/>
        </w:rPr>
        <w:t>5</w:t>
      </w:r>
      <w:r>
        <w:rPr>
          <w:rFonts w:ascii="宋体" w:hAnsi="宋体" w:cs="宋体" w:eastAsia="宋体" w:hint="default"/>
          <w:spacing w:val="-44"/>
        </w:rPr>
        <w:t> </w:t>
      </w:r>
      <w:r>
        <w:rPr/>
        <w:t>月</w:t>
      </w:r>
      <w:r>
        <w:rPr>
          <w:spacing w:val="-41"/>
        </w:rPr>
        <w:t> </w:t>
      </w:r>
      <w:r>
        <w:rPr>
          <w:rFonts w:ascii="宋体" w:hAnsi="宋体" w:cs="宋体" w:eastAsia="宋体" w:hint="default"/>
        </w:rPr>
        <w:t>20</w:t>
      </w:r>
      <w:r>
        <w:rPr>
          <w:rFonts w:ascii="宋体" w:hAnsi="宋体" w:cs="宋体" w:eastAsia="宋体" w:hint="default"/>
          <w:spacing w:val="-41"/>
        </w:rPr>
        <w:t> </w:t>
      </w:r>
      <w:r>
        <w:rPr/>
        <w:t>日，公司与中国农业银行股份有限公司广饶县支行签订了人民币借款合同，</w:t>
      </w:r>
    </w:p>
    <w:p>
      <w:pPr>
        <w:pStyle w:val="BodyText"/>
        <w:spacing w:line="314" w:lineRule="auto" w:before="85"/>
        <w:ind w:right="99"/>
        <w:jc w:val="left"/>
      </w:pPr>
      <w:r>
        <w:rPr/>
        <w:t>借款金额</w:t>
      </w:r>
      <w:r>
        <w:rPr>
          <w:spacing w:val="-51"/>
        </w:rPr>
        <w:t> </w:t>
      </w:r>
      <w:r>
        <w:rPr>
          <w:rFonts w:ascii="宋体" w:hAnsi="宋体" w:cs="宋体" w:eastAsia="宋体" w:hint="default"/>
        </w:rPr>
        <w:t>5,000</w:t>
      </w:r>
      <w:r>
        <w:rPr>
          <w:rFonts w:ascii="宋体" w:hAnsi="宋体" w:cs="宋体" w:eastAsia="宋体" w:hint="default"/>
          <w:spacing w:val="-53"/>
        </w:rPr>
        <w:t> </w:t>
      </w:r>
      <w:r>
        <w:rPr>
          <w:spacing w:val="-9"/>
        </w:rPr>
        <w:t>万元，借款期限</w:t>
      </w:r>
      <w:r>
        <w:rPr>
          <w:spacing w:val="-50"/>
        </w:rPr>
        <w:t> </w:t>
      </w:r>
      <w:r>
        <w:rPr>
          <w:rFonts w:ascii="宋体" w:hAnsi="宋体" w:cs="宋体" w:eastAsia="宋体" w:hint="default"/>
        </w:rPr>
        <w:t>1</w:t>
      </w:r>
      <w:r>
        <w:rPr>
          <w:rFonts w:ascii="宋体" w:hAnsi="宋体" w:cs="宋体" w:eastAsia="宋体" w:hint="default"/>
          <w:spacing w:val="-51"/>
        </w:rPr>
        <w:t> </w:t>
      </w:r>
      <w:r>
        <w:rPr>
          <w:spacing w:val="-18"/>
        </w:rPr>
        <w:t>年，自</w:t>
      </w:r>
      <w:r>
        <w:rPr>
          <w:spacing w:val="-51"/>
        </w:rPr>
        <w:t> </w:t>
      </w:r>
      <w:r>
        <w:rPr>
          <w:rFonts w:ascii="宋体" w:hAnsi="宋体" w:cs="宋体" w:eastAsia="宋体" w:hint="default"/>
        </w:rPr>
        <w:t>2015</w:t>
      </w:r>
      <w:r>
        <w:rPr>
          <w:rFonts w:ascii="宋体" w:hAnsi="宋体" w:cs="宋体" w:eastAsia="宋体" w:hint="default"/>
          <w:spacing w:val="-51"/>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r>
        <w:rPr>
          <w:spacing w:val="-51"/>
        </w:rPr>
        <w:t> </w:t>
      </w:r>
      <w:r>
        <w:rPr>
          <w:rFonts w:ascii="宋体" w:hAnsi="宋体" w:cs="宋体" w:eastAsia="宋体" w:hint="default"/>
        </w:rPr>
        <w:t>20</w:t>
      </w:r>
      <w:r>
        <w:rPr>
          <w:rFonts w:ascii="宋体" w:hAnsi="宋体" w:cs="宋体" w:eastAsia="宋体" w:hint="default"/>
          <w:spacing w:val="-53"/>
        </w:rPr>
        <w:t> </w:t>
      </w:r>
      <w:r>
        <w:rPr/>
        <w:t>日至</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1"/>
        </w:rPr>
        <w:t> </w:t>
      </w:r>
      <w:r>
        <w:rPr>
          <w:rFonts w:ascii="宋体" w:hAnsi="宋体" w:cs="宋体" w:eastAsia="宋体" w:hint="default"/>
        </w:rPr>
        <w:t>5</w:t>
      </w:r>
      <w:r>
        <w:rPr>
          <w:rFonts w:ascii="宋体" w:hAnsi="宋体" w:cs="宋体" w:eastAsia="宋体" w:hint="default"/>
          <w:spacing w:val="-53"/>
        </w:rPr>
        <w:t> </w:t>
      </w:r>
      <w:r>
        <w:rPr/>
        <w:t>月</w:t>
      </w:r>
      <w:r>
        <w:rPr>
          <w:spacing w:val="-51"/>
        </w:rPr>
        <w:t> </w:t>
      </w:r>
      <w:r>
        <w:rPr>
          <w:rFonts w:ascii="宋体" w:hAnsi="宋体" w:cs="宋体" w:eastAsia="宋体" w:hint="default"/>
        </w:rPr>
        <w:t>19</w:t>
      </w:r>
      <w:r>
        <w:rPr>
          <w:rFonts w:ascii="宋体" w:hAnsi="宋体" w:cs="宋体" w:eastAsia="宋体" w:hint="default"/>
          <w:spacing w:val="-53"/>
        </w:rPr>
        <w:t> </w:t>
      </w:r>
      <w:r>
        <w:rPr>
          <w:spacing w:val="-11"/>
        </w:rPr>
        <w:t>日，年利率</w:t>
      </w:r>
      <w:r>
        <w:rPr>
          <w:spacing w:val="-50"/>
        </w:rPr>
        <w:t> </w:t>
      </w:r>
      <w:r>
        <w:rPr>
          <w:rFonts w:ascii="宋体" w:hAnsi="宋体" w:cs="宋体" w:eastAsia="宋体" w:hint="default"/>
        </w:rPr>
        <w:t>6.12%</w:t>
      </w:r>
      <w:r>
        <w:rPr/>
        <w:t>，</w:t>
      </w:r>
      <w:r>
        <w:rPr>
          <w:w w:val="100"/>
        </w:rPr>
        <w:t> </w:t>
      </w:r>
      <w:r>
        <w:rPr/>
        <w:t>山东金岭化工股份有限公司为本次借款提供了担保。</w:t>
      </w:r>
    </w:p>
    <w:p>
      <w:pPr>
        <w:pStyle w:val="BodyText"/>
        <w:spacing w:line="240" w:lineRule="auto"/>
        <w:ind w:right="0"/>
        <w:jc w:val="both"/>
      </w:pPr>
      <w:r>
        <w:rPr/>
        <w:t>（</w:t>
      </w:r>
      <w:r>
        <w:rPr>
          <w:rFonts w:ascii="宋体" w:hAnsi="宋体" w:cs="宋体" w:eastAsia="宋体" w:hint="default"/>
        </w:rPr>
        <w:t>6</w:t>
      </w:r>
      <w:r>
        <w:rPr/>
        <w:t>）</w:t>
      </w:r>
      <w:r>
        <w:rPr>
          <w:rFonts w:ascii="宋体" w:hAnsi="宋体" w:cs="宋体" w:eastAsia="宋体" w:hint="default"/>
        </w:rPr>
        <w:t>2015</w:t>
      </w:r>
      <w:r>
        <w:rPr>
          <w:rFonts w:ascii="宋体" w:hAnsi="宋体" w:cs="宋体" w:eastAsia="宋体" w:hint="default"/>
          <w:spacing w:val="-44"/>
        </w:rPr>
        <w:t> </w:t>
      </w:r>
      <w:r>
        <w:rPr/>
        <w:t>年</w:t>
      </w:r>
      <w:r>
        <w:rPr>
          <w:spacing w:val="-41"/>
        </w:rPr>
        <w:t> </w:t>
      </w:r>
      <w:r>
        <w:rPr>
          <w:rFonts w:ascii="宋体" w:hAnsi="宋体" w:cs="宋体" w:eastAsia="宋体" w:hint="default"/>
        </w:rPr>
        <w:t>6</w:t>
      </w:r>
      <w:r>
        <w:rPr>
          <w:rFonts w:ascii="宋体" w:hAnsi="宋体" w:cs="宋体" w:eastAsia="宋体" w:hint="default"/>
          <w:spacing w:val="-44"/>
        </w:rPr>
        <w:t> </w:t>
      </w:r>
      <w:r>
        <w:rPr/>
        <w:t>月</w:t>
      </w:r>
      <w:r>
        <w:rPr>
          <w:spacing w:val="-41"/>
        </w:rPr>
        <w:t> </w:t>
      </w:r>
      <w:r>
        <w:rPr>
          <w:rFonts w:ascii="宋体" w:hAnsi="宋体" w:cs="宋体" w:eastAsia="宋体" w:hint="default"/>
        </w:rPr>
        <w:t>30</w:t>
      </w:r>
      <w:r>
        <w:rPr>
          <w:rFonts w:ascii="宋体" w:hAnsi="宋体" w:cs="宋体" w:eastAsia="宋体" w:hint="default"/>
          <w:spacing w:val="-41"/>
        </w:rPr>
        <w:t> </w:t>
      </w:r>
      <w:r>
        <w:rPr/>
        <w:t>日，公司与中国建设银行股份有限公司广饶县支行签订了人民币借款合同，</w:t>
      </w:r>
    </w:p>
    <w:p>
      <w:pPr>
        <w:pStyle w:val="BodyText"/>
        <w:spacing w:line="314" w:lineRule="auto" w:before="85"/>
        <w:ind w:right="99"/>
        <w:jc w:val="left"/>
      </w:pPr>
      <w:r>
        <w:rPr>
          <w:spacing w:val="-1"/>
          <w:w w:val="100"/>
        </w:rPr>
        <w:t>借款金额</w:t>
      </w:r>
      <w:r>
        <w:rPr>
          <w:spacing w:val="-53"/>
          <w:w w:val="100"/>
        </w:rPr>
        <w:t> </w:t>
      </w:r>
      <w:r>
        <w:rPr>
          <w:rFonts w:ascii="宋体" w:hAnsi="宋体" w:cs="宋体" w:eastAsia="宋体" w:hint="default"/>
          <w:spacing w:val="-1"/>
          <w:w w:val="100"/>
        </w:rPr>
        <w:t>7,800</w:t>
      </w:r>
      <w:r>
        <w:rPr>
          <w:rFonts w:ascii="宋体" w:hAnsi="宋体" w:cs="宋体" w:eastAsia="宋体" w:hint="default"/>
          <w:spacing w:val="-55"/>
          <w:w w:val="100"/>
        </w:rPr>
        <w:t> </w:t>
      </w:r>
      <w:r>
        <w:rPr>
          <w:spacing w:val="-13"/>
          <w:w w:val="100"/>
        </w:rPr>
        <w:t>万元，借款期限</w:t>
      </w:r>
      <w:r>
        <w:rPr>
          <w:spacing w:val="-53"/>
          <w:w w:val="100"/>
        </w:rPr>
        <w:t> </w:t>
      </w:r>
      <w:r>
        <w:rPr>
          <w:rFonts w:ascii="宋体" w:hAnsi="宋体" w:cs="宋体" w:eastAsia="宋体" w:hint="default"/>
          <w:w w:val="100"/>
        </w:rPr>
        <w:t>1</w:t>
      </w:r>
      <w:r>
        <w:rPr>
          <w:rFonts w:ascii="宋体" w:hAnsi="宋体" w:cs="宋体" w:eastAsia="宋体" w:hint="default"/>
          <w:spacing w:val="-55"/>
          <w:w w:val="100"/>
        </w:rPr>
        <w:t> </w:t>
      </w:r>
      <w:r>
        <w:rPr>
          <w:spacing w:val="-29"/>
          <w:w w:val="100"/>
        </w:rPr>
        <w:t>年，自</w:t>
      </w:r>
      <w:r>
        <w:rPr>
          <w:spacing w:val="-53"/>
          <w:w w:val="100"/>
        </w:rPr>
        <w:t> </w:t>
      </w:r>
      <w:r>
        <w:rPr>
          <w:rFonts w:ascii="宋体" w:hAnsi="宋体" w:cs="宋体" w:eastAsia="宋体" w:hint="default"/>
          <w:spacing w:val="-1"/>
          <w:w w:val="100"/>
        </w:rPr>
        <w:t>2015</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6</w:t>
      </w:r>
      <w:r>
        <w:rPr>
          <w:rFonts w:ascii="宋体" w:hAnsi="宋体" w:cs="宋体" w:eastAsia="宋体" w:hint="default"/>
          <w:spacing w:val="-52"/>
          <w:w w:val="100"/>
        </w:rPr>
        <w:t> </w:t>
      </w:r>
      <w:r>
        <w:rPr>
          <w:w w:val="100"/>
        </w:rPr>
        <w:t>月</w:t>
      </w:r>
      <w:r>
        <w:rPr>
          <w:spacing w:val="-55"/>
          <w:w w:val="100"/>
        </w:rPr>
        <w:t> </w:t>
      </w:r>
      <w:r>
        <w:rPr>
          <w:rFonts w:ascii="宋体" w:hAnsi="宋体" w:cs="宋体" w:eastAsia="宋体" w:hint="default"/>
          <w:w w:val="100"/>
        </w:rPr>
        <w:t>30</w:t>
      </w:r>
      <w:r>
        <w:rPr>
          <w:rFonts w:ascii="宋体" w:hAnsi="宋体" w:cs="宋体" w:eastAsia="宋体" w:hint="default"/>
          <w:spacing w:val="-53"/>
          <w:w w:val="100"/>
        </w:rPr>
        <w:t> </w:t>
      </w:r>
      <w:r>
        <w:rPr>
          <w:spacing w:val="-2"/>
          <w:w w:val="100"/>
        </w:rPr>
        <w:t>日至</w:t>
      </w:r>
      <w:r>
        <w:rPr>
          <w:spacing w:val="-53"/>
          <w:w w:val="100"/>
        </w:rPr>
        <w:t> </w:t>
      </w:r>
      <w:r>
        <w:rPr>
          <w:rFonts w:ascii="宋体" w:hAnsi="宋体" w:cs="宋体" w:eastAsia="宋体" w:hint="default"/>
          <w:spacing w:val="-1"/>
          <w:w w:val="100"/>
        </w:rPr>
        <w:t>2016</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6</w:t>
      </w:r>
      <w:r>
        <w:rPr>
          <w:rFonts w:ascii="宋体" w:hAnsi="宋体" w:cs="宋体" w:eastAsia="宋体" w:hint="default"/>
          <w:spacing w:val="-53"/>
          <w:w w:val="100"/>
        </w:rPr>
        <w:t> </w:t>
      </w:r>
      <w:r>
        <w:rPr>
          <w:w w:val="100"/>
        </w:rPr>
        <w:t>月</w:t>
      </w:r>
      <w:r>
        <w:rPr>
          <w:spacing w:val="-55"/>
          <w:w w:val="100"/>
        </w:rPr>
        <w:t> </w:t>
      </w:r>
      <w:r>
        <w:rPr>
          <w:rFonts w:ascii="宋体" w:hAnsi="宋体" w:cs="宋体" w:eastAsia="宋体" w:hint="default"/>
          <w:w w:val="100"/>
        </w:rPr>
        <w:t>30</w:t>
      </w:r>
      <w:r>
        <w:rPr>
          <w:rFonts w:ascii="宋体" w:hAnsi="宋体" w:cs="宋体" w:eastAsia="宋体" w:hint="default"/>
          <w:spacing w:val="-55"/>
          <w:w w:val="100"/>
        </w:rPr>
        <w:t> </w:t>
      </w:r>
      <w:r>
        <w:rPr>
          <w:spacing w:val="-19"/>
          <w:w w:val="100"/>
        </w:rPr>
        <w:t>日，年利率</w:t>
      </w:r>
      <w:r>
        <w:rPr>
          <w:spacing w:val="-52"/>
          <w:w w:val="100"/>
        </w:rPr>
        <w:t> </w:t>
      </w:r>
      <w:r>
        <w:rPr>
          <w:rFonts w:ascii="宋体" w:hAnsi="宋体" w:cs="宋体" w:eastAsia="宋体" w:hint="default"/>
          <w:spacing w:val="-1"/>
          <w:w w:val="100"/>
        </w:rPr>
        <w:t>6.305%</w:t>
      </w:r>
      <w:r>
        <w:rPr>
          <w:spacing w:val="-1"/>
          <w:w w:val="100"/>
        </w:rPr>
        <w:t>，</w:t>
      </w:r>
      <w:r>
        <w:rPr>
          <w:w w:val="100"/>
        </w:rPr>
        <w:t> </w:t>
      </w:r>
      <w:r>
        <w:rPr/>
        <w:t>山东科达集团有限公司和山东金岭集团有限公司为本次借款提供了担保。</w:t>
      </w:r>
    </w:p>
    <w:p>
      <w:pPr>
        <w:pStyle w:val="BodyText"/>
        <w:spacing w:line="240" w:lineRule="auto"/>
        <w:ind w:right="0"/>
        <w:jc w:val="both"/>
      </w:pPr>
      <w:r>
        <w:rPr/>
        <w:t>（</w:t>
      </w:r>
      <w:r>
        <w:rPr>
          <w:rFonts w:ascii="宋体" w:hAnsi="宋体" w:cs="宋体" w:eastAsia="宋体" w:hint="default"/>
        </w:rPr>
        <w:t>7</w:t>
      </w:r>
      <w:r>
        <w:rPr/>
        <w:t>）</w:t>
      </w:r>
      <w:r>
        <w:rPr>
          <w:rFonts w:ascii="宋体" w:hAnsi="宋体" w:cs="宋体" w:eastAsia="宋体" w:hint="default"/>
        </w:rPr>
        <w:t>2015</w:t>
      </w:r>
      <w:r>
        <w:rPr>
          <w:rFonts w:ascii="宋体" w:hAnsi="宋体" w:cs="宋体" w:eastAsia="宋体" w:hint="default"/>
          <w:spacing w:val="-44"/>
        </w:rPr>
        <w:t> </w:t>
      </w:r>
      <w:r>
        <w:rPr/>
        <w:t>年</w:t>
      </w:r>
      <w:r>
        <w:rPr>
          <w:spacing w:val="-41"/>
        </w:rPr>
        <w:t> </w:t>
      </w:r>
      <w:r>
        <w:rPr>
          <w:rFonts w:ascii="宋体" w:hAnsi="宋体" w:cs="宋体" w:eastAsia="宋体" w:hint="default"/>
        </w:rPr>
        <w:t>7</w:t>
      </w:r>
      <w:r>
        <w:rPr>
          <w:rFonts w:ascii="宋体" w:hAnsi="宋体" w:cs="宋体" w:eastAsia="宋体" w:hint="default"/>
          <w:spacing w:val="-44"/>
        </w:rPr>
        <w:t> </w:t>
      </w:r>
      <w:r>
        <w:rPr/>
        <w:t>月</w:t>
      </w:r>
      <w:r>
        <w:rPr>
          <w:spacing w:val="-41"/>
        </w:rPr>
        <w:t> </w:t>
      </w:r>
      <w:r>
        <w:rPr>
          <w:rFonts w:ascii="宋体" w:hAnsi="宋体" w:cs="宋体" w:eastAsia="宋体" w:hint="default"/>
        </w:rPr>
        <w:t>21</w:t>
      </w:r>
      <w:r>
        <w:rPr>
          <w:rFonts w:ascii="宋体" w:hAnsi="宋体" w:cs="宋体" w:eastAsia="宋体" w:hint="default"/>
          <w:spacing w:val="-41"/>
        </w:rPr>
        <w:t> </w:t>
      </w:r>
      <w:r>
        <w:rPr/>
        <w:t>日，公司与中国农业银行股份有限公司广饶县支行签订了人民币借款合同，</w:t>
      </w:r>
    </w:p>
    <w:p>
      <w:pPr>
        <w:pStyle w:val="BodyText"/>
        <w:spacing w:line="314" w:lineRule="auto" w:before="85"/>
        <w:ind w:right="207"/>
        <w:jc w:val="left"/>
      </w:pPr>
      <w:r>
        <w:rPr>
          <w:spacing w:val="-1"/>
          <w:w w:val="100"/>
        </w:rPr>
        <w:t>借款金额</w:t>
      </w:r>
      <w:r>
        <w:rPr>
          <w:spacing w:val="-55"/>
          <w:w w:val="100"/>
        </w:rPr>
        <w:t> </w:t>
      </w:r>
      <w:r>
        <w:rPr>
          <w:rFonts w:ascii="宋体" w:hAnsi="宋体" w:cs="宋体" w:eastAsia="宋体" w:hint="default"/>
          <w:spacing w:val="-1"/>
          <w:w w:val="100"/>
        </w:rPr>
        <w:t>5,000</w:t>
      </w:r>
      <w:r>
        <w:rPr>
          <w:rFonts w:ascii="宋体" w:hAnsi="宋体" w:cs="宋体" w:eastAsia="宋体" w:hint="default"/>
          <w:spacing w:val="-58"/>
          <w:w w:val="100"/>
        </w:rPr>
        <w:t> </w:t>
      </w:r>
      <w:r>
        <w:rPr>
          <w:spacing w:val="-17"/>
          <w:w w:val="100"/>
        </w:rPr>
        <w:t>万元，借款期限</w:t>
      </w:r>
      <w:r>
        <w:rPr>
          <w:spacing w:val="-55"/>
          <w:w w:val="100"/>
        </w:rPr>
        <w:t> </w:t>
      </w:r>
      <w:r>
        <w:rPr>
          <w:rFonts w:ascii="宋体" w:hAnsi="宋体" w:cs="宋体" w:eastAsia="宋体" w:hint="default"/>
          <w:w w:val="100"/>
        </w:rPr>
        <w:t>1</w:t>
      </w:r>
      <w:r>
        <w:rPr>
          <w:rFonts w:ascii="宋体" w:hAnsi="宋体" w:cs="宋体" w:eastAsia="宋体" w:hint="default"/>
          <w:spacing w:val="-57"/>
          <w:w w:val="100"/>
        </w:rPr>
        <w:t> </w:t>
      </w:r>
      <w:r>
        <w:rPr>
          <w:spacing w:val="-36"/>
          <w:w w:val="100"/>
        </w:rPr>
        <w:t>年，自</w:t>
      </w:r>
      <w:r>
        <w:rPr>
          <w:spacing w:val="-55"/>
          <w:w w:val="100"/>
        </w:rPr>
        <w:t> </w:t>
      </w:r>
      <w:r>
        <w:rPr>
          <w:rFonts w:ascii="宋体" w:hAnsi="宋体" w:cs="宋体" w:eastAsia="宋体" w:hint="default"/>
          <w:spacing w:val="-1"/>
          <w:w w:val="100"/>
        </w:rPr>
        <w:t>2015</w:t>
      </w:r>
      <w:r>
        <w:rPr>
          <w:rFonts w:ascii="宋体" w:hAnsi="宋体" w:cs="宋体" w:eastAsia="宋体" w:hint="default"/>
          <w:spacing w:val="-55"/>
          <w:w w:val="100"/>
        </w:rPr>
        <w:t> </w:t>
      </w:r>
      <w:r>
        <w:rPr>
          <w:w w:val="100"/>
        </w:rPr>
        <w:t>年</w:t>
      </w:r>
      <w:r>
        <w:rPr>
          <w:spacing w:val="-57"/>
          <w:w w:val="100"/>
        </w:rPr>
        <w:t> </w:t>
      </w:r>
      <w:r>
        <w:rPr>
          <w:rFonts w:ascii="宋体" w:hAnsi="宋体" w:cs="宋体" w:eastAsia="宋体" w:hint="default"/>
          <w:w w:val="100"/>
        </w:rPr>
        <w:t>7</w:t>
      </w:r>
      <w:r>
        <w:rPr>
          <w:rFonts w:ascii="宋体" w:hAnsi="宋体" w:cs="宋体" w:eastAsia="宋体" w:hint="default"/>
          <w:spacing w:val="-55"/>
          <w:w w:val="100"/>
        </w:rPr>
        <w:t> </w:t>
      </w:r>
      <w:r>
        <w:rPr>
          <w:w w:val="100"/>
        </w:rPr>
        <w:t>月</w:t>
      </w:r>
      <w:r>
        <w:rPr>
          <w:spacing w:val="-55"/>
          <w:w w:val="100"/>
        </w:rPr>
        <w:t> </w:t>
      </w:r>
      <w:r>
        <w:rPr>
          <w:rFonts w:ascii="宋体" w:hAnsi="宋体" w:cs="宋体" w:eastAsia="宋体" w:hint="default"/>
          <w:spacing w:val="-2"/>
          <w:w w:val="100"/>
        </w:rPr>
        <w:t>21</w:t>
      </w:r>
      <w:r>
        <w:rPr>
          <w:rFonts w:ascii="宋体" w:hAnsi="宋体" w:cs="宋体" w:eastAsia="宋体" w:hint="default"/>
          <w:spacing w:val="-55"/>
          <w:w w:val="100"/>
        </w:rPr>
        <w:t> </w:t>
      </w:r>
      <w:r>
        <w:rPr>
          <w:w w:val="100"/>
        </w:rPr>
        <w:t>日至</w:t>
      </w:r>
      <w:r>
        <w:rPr>
          <w:spacing w:val="-57"/>
          <w:w w:val="100"/>
        </w:rPr>
        <w:t> </w:t>
      </w:r>
      <w:r>
        <w:rPr>
          <w:rFonts w:ascii="宋体" w:hAnsi="宋体" w:cs="宋体" w:eastAsia="宋体" w:hint="default"/>
          <w:w w:val="100"/>
        </w:rPr>
        <w:t>2016</w:t>
      </w:r>
      <w:r>
        <w:rPr>
          <w:rFonts w:ascii="宋体" w:hAnsi="宋体" w:cs="宋体" w:eastAsia="宋体" w:hint="default"/>
          <w:spacing w:val="-57"/>
          <w:w w:val="100"/>
        </w:rPr>
        <w:t> </w:t>
      </w:r>
      <w:r>
        <w:rPr>
          <w:w w:val="100"/>
        </w:rPr>
        <w:t>年</w:t>
      </w:r>
      <w:r>
        <w:rPr>
          <w:spacing w:val="-55"/>
          <w:w w:val="100"/>
        </w:rPr>
        <w:t> </w:t>
      </w:r>
      <w:r>
        <w:rPr>
          <w:rFonts w:ascii="宋体" w:hAnsi="宋体" w:cs="宋体" w:eastAsia="宋体" w:hint="default"/>
          <w:w w:val="100"/>
        </w:rPr>
        <w:t>7</w:t>
      </w:r>
      <w:r>
        <w:rPr>
          <w:rFonts w:ascii="宋体" w:hAnsi="宋体" w:cs="宋体" w:eastAsia="宋体" w:hint="default"/>
          <w:spacing w:val="-57"/>
          <w:w w:val="100"/>
        </w:rPr>
        <w:t> </w:t>
      </w:r>
      <w:r>
        <w:rPr>
          <w:w w:val="100"/>
        </w:rPr>
        <w:t>月</w:t>
      </w:r>
      <w:r>
        <w:rPr>
          <w:spacing w:val="-55"/>
          <w:w w:val="100"/>
        </w:rPr>
        <w:t> </w:t>
      </w:r>
      <w:r>
        <w:rPr>
          <w:rFonts w:ascii="宋体" w:hAnsi="宋体" w:cs="宋体" w:eastAsia="宋体" w:hint="default"/>
          <w:w w:val="100"/>
        </w:rPr>
        <w:t>18</w:t>
      </w:r>
      <w:r>
        <w:rPr>
          <w:rFonts w:ascii="宋体" w:hAnsi="宋体" w:cs="宋体" w:eastAsia="宋体" w:hint="default"/>
          <w:spacing w:val="-57"/>
          <w:w w:val="100"/>
        </w:rPr>
        <w:t> </w:t>
      </w:r>
      <w:r>
        <w:rPr>
          <w:spacing w:val="-23"/>
          <w:w w:val="100"/>
        </w:rPr>
        <w:t>日，年利率</w:t>
      </w:r>
      <w:r>
        <w:rPr>
          <w:spacing w:val="-55"/>
          <w:w w:val="100"/>
        </w:rPr>
        <w:t> </w:t>
      </w:r>
      <w:r>
        <w:rPr>
          <w:rFonts w:ascii="宋体" w:hAnsi="宋体" w:cs="宋体" w:eastAsia="宋体" w:hint="default"/>
          <w:spacing w:val="-1"/>
          <w:w w:val="100"/>
        </w:rPr>
        <w:t>6.5475%</w:t>
      </w:r>
      <w:r>
        <w:rPr>
          <w:spacing w:val="-1"/>
          <w:w w:val="100"/>
        </w:rPr>
        <w:t>，</w:t>
      </w:r>
      <w:r>
        <w:rPr>
          <w:w w:val="100"/>
        </w:rPr>
        <w:t> </w:t>
      </w:r>
      <w:r>
        <w:rPr/>
        <w:t>山东金岭化工股份有限公司为本次借款提供了担保。</w:t>
      </w:r>
    </w:p>
    <w:p>
      <w:pPr>
        <w:pStyle w:val="BodyText"/>
        <w:spacing w:line="240" w:lineRule="auto"/>
        <w:ind w:right="0"/>
        <w:jc w:val="both"/>
      </w:pPr>
      <w:r>
        <w:rPr/>
        <w:t>（</w:t>
      </w:r>
      <w:r>
        <w:rPr>
          <w:rFonts w:ascii="宋体" w:hAnsi="宋体" w:cs="宋体" w:eastAsia="宋体" w:hint="default"/>
        </w:rPr>
        <w:t>8</w:t>
      </w:r>
      <w:r>
        <w:rPr/>
        <w:t>）</w:t>
      </w:r>
      <w:r>
        <w:rPr>
          <w:rFonts w:ascii="宋体" w:hAnsi="宋体" w:cs="宋体" w:eastAsia="宋体" w:hint="default"/>
        </w:rPr>
        <w:t>2015</w:t>
      </w:r>
      <w:r>
        <w:rPr>
          <w:rFonts w:ascii="宋体" w:hAnsi="宋体" w:cs="宋体" w:eastAsia="宋体" w:hint="default"/>
          <w:spacing w:val="-44"/>
        </w:rPr>
        <w:t> </w:t>
      </w:r>
      <w:r>
        <w:rPr/>
        <w:t>年</w:t>
      </w:r>
      <w:r>
        <w:rPr>
          <w:spacing w:val="-41"/>
        </w:rPr>
        <w:t> </w:t>
      </w:r>
      <w:r>
        <w:rPr>
          <w:rFonts w:ascii="宋体" w:hAnsi="宋体" w:cs="宋体" w:eastAsia="宋体" w:hint="default"/>
        </w:rPr>
        <w:t>8</w:t>
      </w:r>
      <w:r>
        <w:rPr>
          <w:rFonts w:ascii="宋体" w:hAnsi="宋体" w:cs="宋体" w:eastAsia="宋体" w:hint="default"/>
          <w:spacing w:val="-44"/>
        </w:rPr>
        <w:t> </w:t>
      </w:r>
      <w:r>
        <w:rPr/>
        <w:t>月</w:t>
      </w:r>
      <w:r>
        <w:rPr>
          <w:spacing w:val="-41"/>
        </w:rPr>
        <w:t> </w:t>
      </w:r>
      <w:r>
        <w:rPr>
          <w:rFonts w:ascii="宋体" w:hAnsi="宋体" w:cs="宋体" w:eastAsia="宋体" w:hint="default"/>
        </w:rPr>
        <w:t>25</w:t>
      </w:r>
      <w:r>
        <w:rPr>
          <w:rFonts w:ascii="宋体" w:hAnsi="宋体" w:cs="宋体" w:eastAsia="宋体" w:hint="default"/>
          <w:spacing w:val="-41"/>
        </w:rPr>
        <w:t> </w:t>
      </w:r>
      <w:r>
        <w:rPr/>
        <w:t>日，公司与中国建设银行股份有限公司广饶县支行签订了人民币借款合同，</w:t>
      </w:r>
    </w:p>
    <w:p>
      <w:pPr>
        <w:pStyle w:val="BodyText"/>
        <w:spacing w:line="314" w:lineRule="auto" w:before="85"/>
        <w:ind w:right="99"/>
        <w:jc w:val="left"/>
      </w:pPr>
      <w:r>
        <w:rPr>
          <w:spacing w:val="-1"/>
          <w:w w:val="100"/>
        </w:rPr>
        <w:t>借款金额</w:t>
      </w:r>
      <w:r>
        <w:rPr>
          <w:spacing w:val="-53"/>
          <w:w w:val="100"/>
        </w:rPr>
        <w:t> </w:t>
      </w:r>
      <w:r>
        <w:rPr>
          <w:rFonts w:ascii="宋体" w:hAnsi="宋体" w:cs="宋体" w:eastAsia="宋体" w:hint="default"/>
          <w:spacing w:val="-1"/>
          <w:w w:val="100"/>
        </w:rPr>
        <w:t>7,200</w:t>
      </w:r>
      <w:r>
        <w:rPr>
          <w:rFonts w:ascii="宋体" w:hAnsi="宋体" w:cs="宋体" w:eastAsia="宋体" w:hint="default"/>
          <w:spacing w:val="-55"/>
          <w:w w:val="100"/>
        </w:rPr>
        <w:t> </w:t>
      </w:r>
      <w:r>
        <w:rPr>
          <w:spacing w:val="-13"/>
          <w:w w:val="100"/>
        </w:rPr>
        <w:t>万元，借款期限</w:t>
      </w:r>
      <w:r>
        <w:rPr>
          <w:spacing w:val="-52"/>
          <w:w w:val="100"/>
        </w:rPr>
        <w:t> </w:t>
      </w:r>
      <w:r>
        <w:rPr>
          <w:rFonts w:ascii="宋体" w:hAnsi="宋体" w:cs="宋体" w:eastAsia="宋体" w:hint="default"/>
          <w:w w:val="100"/>
        </w:rPr>
        <w:t>1</w:t>
      </w:r>
      <w:r>
        <w:rPr>
          <w:rFonts w:ascii="宋体" w:hAnsi="宋体" w:cs="宋体" w:eastAsia="宋体" w:hint="default"/>
          <w:spacing w:val="-55"/>
          <w:w w:val="100"/>
        </w:rPr>
        <w:t> </w:t>
      </w:r>
      <w:r>
        <w:rPr>
          <w:spacing w:val="-29"/>
          <w:w w:val="100"/>
        </w:rPr>
        <w:t>年，自</w:t>
      </w:r>
      <w:r>
        <w:rPr>
          <w:spacing w:val="-53"/>
          <w:w w:val="100"/>
        </w:rPr>
        <w:t> </w:t>
      </w:r>
      <w:r>
        <w:rPr>
          <w:rFonts w:ascii="宋体" w:hAnsi="宋体" w:cs="宋体" w:eastAsia="宋体" w:hint="default"/>
          <w:spacing w:val="-1"/>
          <w:w w:val="100"/>
        </w:rPr>
        <w:t>2015</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8</w:t>
      </w:r>
      <w:r>
        <w:rPr>
          <w:rFonts w:ascii="宋体" w:hAnsi="宋体" w:cs="宋体" w:eastAsia="宋体" w:hint="default"/>
          <w:spacing w:val="-52"/>
          <w:w w:val="100"/>
        </w:rPr>
        <w:t> </w:t>
      </w:r>
      <w:r>
        <w:rPr>
          <w:w w:val="100"/>
        </w:rPr>
        <w:t>月</w:t>
      </w:r>
      <w:r>
        <w:rPr>
          <w:spacing w:val="-55"/>
          <w:w w:val="100"/>
        </w:rPr>
        <w:t> </w:t>
      </w:r>
      <w:r>
        <w:rPr>
          <w:rFonts w:ascii="宋体" w:hAnsi="宋体" w:cs="宋体" w:eastAsia="宋体" w:hint="default"/>
          <w:w w:val="100"/>
        </w:rPr>
        <w:t>25</w:t>
      </w:r>
      <w:r>
        <w:rPr>
          <w:rFonts w:ascii="宋体" w:hAnsi="宋体" w:cs="宋体" w:eastAsia="宋体" w:hint="default"/>
          <w:spacing w:val="-53"/>
          <w:w w:val="100"/>
        </w:rPr>
        <w:t> </w:t>
      </w:r>
      <w:r>
        <w:rPr>
          <w:spacing w:val="-2"/>
          <w:w w:val="100"/>
        </w:rPr>
        <w:t>日至</w:t>
      </w:r>
      <w:r>
        <w:rPr>
          <w:spacing w:val="-53"/>
          <w:w w:val="100"/>
        </w:rPr>
        <w:t> </w:t>
      </w:r>
      <w:r>
        <w:rPr>
          <w:rFonts w:ascii="宋体" w:hAnsi="宋体" w:cs="宋体" w:eastAsia="宋体" w:hint="default"/>
          <w:spacing w:val="-1"/>
          <w:w w:val="100"/>
        </w:rPr>
        <w:t>2016</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8</w:t>
      </w:r>
      <w:r>
        <w:rPr>
          <w:rFonts w:ascii="宋体" w:hAnsi="宋体" w:cs="宋体" w:eastAsia="宋体" w:hint="default"/>
          <w:spacing w:val="-53"/>
          <w:w w:val="100"/>
        </w:rPr>
        <w:t> </w:t>
      </w:r>
      <w:r>
        <w:rPr>
          <w:w w:val="100"/>
        </w:rPr>
        <w:t>月</w:t>
      </w:r>
      <w:r>
        <w:rPr>
          <w:spacing w:val="-55"/>
          <w:w w:val="100"/>
        </w:rPr>
        <w:t> </w:t>
      </w:r>
      <w:r>
        <w:rPr>
          <w:rFonts w:ascii="宋体" w:hAnsi="宋体" w:cs="宋体" w:eastAsia="宋体" w:hint="default"/>
          <w:w w:val="100"/>
        </w:rPr>
        <w:t>25</w:t>
      </w:r>
      <w:r>
        <w:rPr>
          <w:rFonts w:ascii="宋体" w:hAnsi="宋体" w:cs="宋体" w:eastAsia="宋体" w:hint="default"/>
          <w:spacing w:val="-55"/>
          <w:w w:val="100"/>
        </w:rPr>
        <w:t> </w:t>
      </w:r>
      <w:r>
        <w:rPr>
          <w:spacing w:val="-19"/>
          <w:w w:val="100"/>
        </w:rPr>
        <w:t>日，年利率</w:t>
      </w:r>
      <w:r>
        <w:rPr>
          <w:spacing w:val="-52"/>
          <w:w w:val="100"/>
        </w:rPr>
        <w:t> </w:t>
      </w:r>
      <w:r>
        <w:rPr>
          <w:rFonts w:ascii="宋体" w:hAnsi="宋体" w:cs="宋体" w:eastAsia="宋体" w:hint="default"/>
          <w:spacing w:val="-1"/>
          <w:w w:val="100"/>
        </w:rPr>
        <w:t>6.305%</w:t>
      </w:r>
      <w:r>
        <w:rPr>
          <w:spacing w:val="-1"/>
          <w:w w:val="100"/>
        </w:rPr>
        <w:t>，</w:t>
      </w:r>
      <w:r>
        <w:rPr>
          <w:w w:val="100"/>
        </w:rPr>
        <w:t> </w:t>
      </w:r>
      <w:r>
        <w:rPr/>
        <w:t>山东科达集团有限公司和山东金岭集团有限公司为本次借款提供了担保。</w:t>
      </w:r>
    </w:p>
    <w:p>
      <w:pPr>
        <w:spacing w:line="240" w:lineRule="auto" w:before="2"/>
        <w:rPr>
          <w:rFonts w:ascii="宋体" w:hAnsi="宋体" w:cs="宋体" w:eastAsia="宋体" w:hint="default"/>
          <w:sz w:val="21"/>
          <w:szCs w:val="21"/>
        </w:rPr>
      </w:pPr>
    </w:p>
    <w:p>
      <w:pPr>
        <w:pStyle w:val="Heading2"/>
        <w:spacing w:line="240" w:lineRule="auto" w:before="0"/>
        <w:ind w:left="138" w:right="0"/>
        <w:jc w:val="both"/>
        <w:rPr>
          <w:b w:val="0"/>
          <w:bCs w:val="0"/>
        </w:rPr>
      </w:pPr>
      <w:r>
        <w:rPr/>
        <w:t>十四、其他重大事项的说明</w:t>
      </w:r>
      <w:r>
        <w:rPr>
          <w:b w:val="0"/>
          <w:bCs w:val="0"/>
        </w:rPr>
      </w:r>
    </w:p>
    <w:p>
      <w:pPr>
        <w:pStyle w:val="BodyText"/>
        <w:spacing w:line="240" w:lineRule="auto" w:before="56"/>
        <w:ind w:right="0"/>
        <w:jc w:val="both"/>
      </w:pPr>
      <w:r>
        <w:rPr/>
        <w:t>√适用</w:t>
      </w:r>
      <w:r>
        <w:rPr>
          <w:spacing w:val="-1"/>
        </w:rPr>
        <w:t> </w:t>
      </w:r>
      <w:r>
        <w:rPr/>
        <w:t>□不适用</w:t>
      </w:r>
    </w:p>
    <w:p>
      <w:pPr>
        <w:pStyle w:val="BodyText"/>
        <w:spacing w:line="240" w:lineRule="auto" w:before="75"/>
        <w:ind w:left="252" w:right="75"/>
        <w:jc w:val="center"/>
        <w:rPr>
          <w:rFonts w:ascii="宋体" w:hAnsi="宋体" w:cs="宋体" w:eastAsia="宋体" w:hint="default"/>
        </w:rPr>
      </w:pPr>
      <w:r>
        <w:rPr/>
        <w:t>公司第二次重大资产重组情况：公司股票于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14</w:t>
      </w:r>
      <w:r>
        <w:rPr>
          <w:rFonts w:ascii="宋体" w:hAnsi="宋体" w:cs="宋体" w:eastAsia="宋体" w:hint="default"/>
          <w:spacing w:val="-55"/>
        </w:rPr>
        <w:t> </w:t>
      </w:r>
      <w:r>
        <w:rPr/>
        <w:t>日起停牌，</w:t>
      </w:r>
      <w:r>
        <w:rPr>
          <w:spacing w:val="1"/>
        </w:rPr>
        <w:t> </w:t>
      </w: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19</w:t>
      </w:r>
    </w:p>
    <w:p>
      <w:pPr>
        <w:pStyle w:val="BodyText"/>
        <w:spacing w:line="240" w:lineRule="auto" w:before="85"/>
        <w:ind w:right="0"/>
        <w:jc w:val="both"/>
      </w:pPr>
      <w:r>
        <w:rPr>
          <w:spacing w:val="-3"/>
        </w:rPr>
        <w:t>日公司发布了《重大事项进展情况及继续停牌公告》，</w:t>
      </w:r>
      <w:r>
        <w:rPr>
          <w:rFonts w:ascii="宋体" w:hAnsi="宋体" w:cs="宋体" w:eastAsia="宋体" w:hint="default"/>
          <w:spacing w:val="-3"/>
        </w:rPr>
        <w:t>2015</w:t>
      </w:r>
      <w:r>
        <w:rPr>
          <w:rFonts w:ascii="宋体" w:hAnsi="宋体" w:cs="宋体" w:eastAsia="宋体" w:hint="default"/>
          <w:spacing w:val="-41"/>
        </w:rPr>
        <w:t> </w:t>
      </w:r>
      <w:r>
        <w:rPr/>
        <w:t>年</w:t>
      </w:r>
      <w:r>
        <w:rPr>
          <w:spacing w:val="-38"/>
        </w:rPr>
        <w:t> </w:t>
      </w:r>
      <w:r>
        <w:rPr>
          <w:rFonts w:ascii="宋体" w:hAnsi="宋体" w:cs="宋体" w:eastAsia="宋体" w:hint="default"/>
        </w:rPr>
        <w:t>12</w:t>
      </w:r>
      <w:r>
        <w:rPr>
          <w:rFonts w:ascii="宋体" w:hAnsi="宋体" w:cs="宋体" w:eastAsia="宋体" w:hint="default"/>
          <w:spacing w:val="-41"/>
        </w:rPr>
        <w:t> </w:t>
      </w:r>
      <w:r>
        <w:rPr/>
        <w:t>月</w:t>
      </w:r>
      <w:r>
        <w:rPr>
          <w:spacing w:val="-38"/>
        </w:rPr>
        <w:t> </w:t>
      </w:r>
      <w:r>
        <w:rPr>
          <w:rFonts w:ascii="宋体" w:hAnsi="宋体" w:cs="宋体" w:eastAsia="宋体" w:hint="default"/>
        </w:rPr>
        <w:t>26</w:t>
      </w:r>
      <w:r>
        <w:rPr>
          <w:rFonts w:ascii="宋体" w:hAnsi="宋体" w:cs="宋体" w:eastAsia="宋体" w:hint="default"/>
          <w:spacing w:val="-38"/>
        </w:rPr>
        <w:t> </w:t>
      </w:r>
      <w:r>
        <w:rPr>
          <w:spacing w:val="-3"/>
        </w:rPr>
        <w:t>日公司发布了《重大资产</w:t>
      </w:r>
    </w:p>
    <w:p>
      <w:pPr>
        <w:pStyle w:val="BodyText"/>
        <w:spacing w:line="240" w:lineRule="auto" w:before="85"/>
        <w:ind w:right="0"/>
        <w:jc w:val="both"/>
        <w:rPr>
          <w:rFonts w:ascii="宋体" w:hAnsi="宋体" w:cs="宋体" w:eastAsia="宋体" w:hint="default"/>
        </w:rPr>
      </w:pPr>
      <w:r>
        <w:rPr>
          <w:spacing w:val="-6"/>
        </w:rPr>
        <w:t>重组停牌公告》，</w:t>
      </w:r>
      <w:r>
        <w:rPr>
          <w:spacing w:val="-33"/>
        </w:rPr>
        <w:t> </w:t>
      </w:r>
      <w:r>
        <w:rPr/>
        <w:t>自</w:t>
      </w:r>
      <w:r>
        <w:rPr>
          <w:spacing w:val="-49"/>
        </w:rPr>
        <w:t> </w:t>
      </w:r>
      <w:r>
        <w:rPr>
          <w:rFonts w:ascii="宋体" w:hAnsi="宋体" w:cs="宋体" w:eastAsia="宋体" w:hint="default"/>
        </w:rPr>
        <w:t>2015</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28</w:t>
      </w:r>
      <w:r>
        <w:rPr>
          <w:rFonts w:ascii="宋体" w:hAnsi="宋体" w:cs="宋体" w:eastAsia="宋体" w:hint="default"/>
          <w:spacing w:val="-51"/>
        </w:rPr>
        <w:t> </w:t>
      </w:r>
      <w:r>
        <w:rPr>
          <w:spacing w:val="-3"/>
        </w:rPr>
        <w:t>日起进入重大资产重组程序停牌，</w:t>
      </w:r>
      <w:r>
        <w:rPr>
          <w:rFonts w:ascii="宋体" w:hAnsi="宋体" w:cs="宋体" w:eastAsia="宋体" w:hint="default"/>
          <w:spacing w:val="-3"/>
        </w:rPr>
        <w:t>2016</w:t>
      </w:r>
      <w:r>
        <w:rPr>
          <w:rFonts w:ascii="宋体" w:hAnsi="宋体" w:cs="宋体" w:eastAsia="宋体" w:hint="default"/>
          <w:spacing w:val="-50"/>
        </w:rPr>
        <w:t> </w:t>
      </w:r>
      <w:r>
        <w:rPr/>
        <w:t>年</w:t>
      </w:r>
      <w:r>
        <w:rPr>
          <w:spacing w:val="-49"/>
        </w:rPr>
        <w:t> </w:t>
      </w:r>
      <w:r>
        <w:rPr>
          <w:rFonts w:ascii="宋体" w:hAnsi="宋体" w:cs="宋体" w:eastAsia="宋体" w:hint="default"/>
        </w:rPr>
        <w:t>1</w:t>
      </w:r>
      <w:r>
        <w:rPr>
          <w:rFonts w:ascii="宋体" w:hAnsi="宋体" w:cs="宋体" w:eastAsia="宋体" w:hint="default"/>
          <w:spacing w:val="-51"/>
        </w:rPr>
        <w:t> </w:t>
      </w:r>
      <w:r>
        <w:rPr/>
        <w:t>月</w:t>
      </w:r>
      <w:r>
        <w:rPr>
          <w:spacing w:val="-49"/>
        </w:rPr>
        <w:t> </w:t>
      </w:r>
      <w:r>
        <w:rPr>
          <w:rFonts w:ascii="宋体" w:hAnsi="宋体" w:cs="宋体" w:eastAsia="宋体" w:hint="default"/>
        </w:rPr>
        <w:t>28</w:t>
      </w:r>
      <w:r>
        <w:rPr>
          <w:rFonts w:ascii="宋体" w:hAnsi="宋体" w:cs="宋体" w:eastAsia="宋体" w:hint="default"/>
          <w:spacing w:val="-51"/>
        </w:rPr>
        <w:t> </w:t>
      </w:r>
      <w:r>
        <w:rPr>
          <w:spacing w:val="-7"/>
        </w:rPr>
        <w:t>日、</w:t>
      </w:r>
      <w:r>
        <w:rPr>
          <w:rFonts w:ascii="宋体" w:hAnsi="宋体" w:cs="宋体" w:eastAsia="宋体" w:hint="default"/>
          <w:spacing w:val="-7"/>
        </w:rPr>
        <w:t>2016</w:t>
      </w:r>
    </w:p>
    <w:p>
      <w:pPr>
        <w:pStyle w:val="BodyText"/>
        <w:spacing w:line="314" w:lineRule="auto" w:before="85"/>
        <w:ind w:right="208"/>
        <w:jc w:val="both"/>
      </w:pPr>
      <w:r>
        <w:rPr/>
        <w:t>年</w:t>
      </w:r>
      <w:r>
        <w:rPr>
          <w:spacing w:val="-34"/>
        </w:rPr>
        <w:t> </w:t>
      </w:r>
      <w:r>
        <w:rPr>
          <w:rFonts w:ascii="宋体" w:hAnsi="宋体" w:cs="宋体" w:eastAsia="宋体" w:hint="default"/>
        </w:rPr>
        <w:t>2</w:t>
      </w:r>
      <w:r>
        <w:rPr>
          <w:rFonts w:ascii="宋体" w:hAnsi="宋体" w:cs="宋体" w:eastAsia="宋体" w:hint="default"/>
          <w:spacing w:val="-37"/>
        </w:rPr>
        <w:t> </w:t>
      </w:r>
      <w:r>
        <w:rPr/>
        <w:t>月</w:t>
      </w:r>
      <w:r>
        <w:rPr>
          <w:spacing w:val="-34"/>
        </w:rPr>
        <w:t> </w:t>
      </w:r>
      <w:r>
        <w:rPr>
          <w:rFonts w:ascii="宋体" w:hAnsi="宋体" w:cs="宋体" w:eastAsia="宋体" w:hint="default"/>
        </w:rPr>
        <w:t>27</w:t>
      </w:r>
      <w:r>
        <w:rPr>
          <w:rFonts w:ascii="宋体" w:hAnsi="宋体" w:cs="宋体" w:eastAsia="宋体" w:hint="default"/>
          <w:spacing w:val="-37"/>
        </w:rPr>
        <w:t> </w:t>
      </w:r>
      <w:r>
        <w:rPr>
          <w:spacing w:val="-10"/>
        </w:rPr>
        <w:t>日，公司分别发布了《重大资产重组继续停牌公告》，停牌期间公司及时履行信息披露，</w:t>
      </w:r>
      <w:r>
        <w:rPr>
          <w:spacing w:val="-98"/>
        </w:rPr>
        <w:t> </w:t>
      </w:r>
      <w:r>
        <w:rPr>
          <w:spacing w:val="-98"/>
        </w:rPr>
      </w:r>
      <w:r>
        <w:rPr>
          <w:spacing w:val="-2"/>
        </w:rPr>
        <w:t>每五个交易日发布一次有关事项的进展情况。目前，公司及各中介机构已完成交易标的的尽职调</w:t>
      </w:r>
      <w:r>
        <w:rPr>
          <w:spacing w:val="-25"/>
        </w:rPr>
        <w:t> </w:t>
      </w:r>
      <w:r>
        <w:rPr>
          <w:spacing w:val="-25"/>
        </w:rPr>
      </w:r>
      <w:r>
        <w:rPr>
          <w:spacing w:val="-2"/>
        </w:rPr>
        <w:t>查工作，正在进行交易协议的起草与交易文件的编制工作。由于交易协议尚在谈判中，本次重组</w:t>
      </w:r>
      <w:r>
        <w:rPr>
          <w:spacing w:val="-25"/>
        </w:rPr>
        <w:t> </w:t>
      </w:r>
      <w:r>
        <w:rPr>
          <w:spacing w:val="-25"/>
        </w:rPr>
      </w:r>
      <w:r>
        <w:rPr/>
        <w:t>尚存在一定的不确定性。</w:t>
      </w:r>
    </w:p>
    <w:p>
      <w:pPr>
        <w:pStyle w:val="Heading2"/>
        <w:spacing w:line="240" w:lineRule="auto" w:before="3"/>
        <w:ind w:left="138" w:right="0"/>
        <w:jc w:val="both"/>
        <w:rPr>
          <w:b w:val="0"/>
          <w:bCs w:val="0"/>
        </w:rPr>
      </w:pPr>
      <w:r>
        <w:rPr/>
        <w:t>十五、可转换公司债券情况</w:t>
      </w:r>
      <w:r>
        <w:rPr>
          <w:b w:val="0"/>
          <w:bCs w:val="0"/>
        </w:rPr>
      </w:r>
    </w:p>
    <w:p>
      <w:pPr>
        <w:pStyle w:val="BodyText"/>
        <w:spacing w:line="240" w:lineRule="auto" w:before="56"/>
        <w:ind w:right="0"/>
        <w:jc w:val="both"/>
      </w:pPr>
      <w:r>
        <w:rPr/>
        <w:t>□适用</w:t>
      </w:r>
      <w:r>
        <w:rPr>
          <w:spacing w:val="-1"/>
        </w:rPr>
        <w:t> </w:t>
      </w:r>
      <w:r>
        <w:rPr/>
        <w:t>√不适用</w:t>
      </w:r>
    </w:p>
    <w:p>
      <w:pPr>
        <w:spacing w:after="0" w:line="240" w:lineRule="auto"/>
        <w:jc w:val="both"/>
        <w:sectPr>
          <w:footerReference w:type="default" r:id="rId24"/>
          <w:pgSz w:w="11910" w:h="16840"/>
          <w:pgMar w:footer="1193" w:header="855" w:top="1280" w:bottom="1380" w:left="1660" w:right="1060"/>
        </w:sectPr>
      </w:pPr>
    </w:p>
    <w:p>
      <w:pPr>
        <w:spacing w:line="240" w:lineRule="auto" w:before="5"/>
        <w:rPr>
          <w:rFonts w:ascii="宋体" w:hAnsi="宋体" w:cs="宋体" w:eastAsia="宋体" w:hint="default"/>
          <w:sz w:val="13"/>
          <w:szCs w:val="13"/>
        </w:rPr>
      </w:pPr>
    </w:p>
    <w:p>
      <w:pPr>
        <w:pStyle w:val="Heading1"/>
        <w:tabs>
          <w:tab w:pos="3578" w:val="left" w:leader="none"/>
        </w:tabs>
        <w:spacing w:line="240" w:lineRule="auto"/>
        <w:ind w:left="2318" w:right="250"/>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footerReference w:type="default" r:id="rId25"/>
          <w:pgSz w:w="11910" w:h="16840"/>
          <w:pgMar w:footer="1193" w:header="855" w:top="1280" w:bottom="1380" w:left="1580" w:right="1040"/>
          <w:pgNumType w:start="41"/>
        </w:sectPr>
      </w:pPr>
    </w:p>
    <w:p>
      <w:pPr>
        <w:pStyle w:val="Heading2"/>
        <w:tabs>
          <w:tab w:pos="784" w:val="left" w:leader="none"/>
        </w:tabs>
        <w:spacing w:line="278" w:lineRule="auto"/>
        <w:ind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Cambria" w:hAnsi="Cambria" w:cs="Cambria" w:eastAsia="Cambria" w:hint="default"/>
        </w:rPr>
        <w:t>1</w:t>
      </w:r>
      <w:r>
        <w:rPr/>
        <w:t>、</w:t>
      </w:r>
      <w:r>
        <w:rPr>
          <w:spacing w:val="-22"/>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before="0"/>
        <w:ind w:left="218" w:right="0"/>
        <w:jc w:val="left"/>
      </w:pPr>
      <w:r>
        <w:rPr/>
        <w:t>单位：股</w:t>
      </w:r>
    </w:p>
    <w:p>
      <w:pPr>
        <w:spacing w:after="0" w:line="240" w:lineRule="auto"/>
        <w:jc w:val="left"/>
        <w:sectPr>
          <w:type w:val="continuous"/>
          <w:pgSz w:w="11910" w:h="16840"/>
          <w:pgMar w:top="1280" w:bottom="1380" w:left="1580" w:right="1040"/>
          <w:cols w:num="2" w:equalWidth="0">
            <w:col w:w="2895" w:space="5101"/>
            <w:col w:w="1294"/>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52"/>
        <w:gridCol w:w="1205"/>
        <w:gridCol w:w="530"/>
        <w:gridCol w:w="1208"/>
        <w:gridCol w:w="425"/>
        <w:gridCol w:w="427"/>
        <w:gridCol w:w="425"/>
        <w:gridCol w:w="1207"/>
        <w:gridCol w:w="1205"/>
        <w:gridCol w:w="667"/>
      </w:tblGrid>
      <w:tr>
        <w:trPr>
          <w:trHeight w:val="283" w:hRule="exact"/>
        </w:trPr>
        <w:tc>
          <w:tcPr>
            <w:tcW w:w="1752" w:type="dxa"/>
            <w:vMerge w:val="restart"/>
            <w:tcBorders>
              <w:top w:val="single" w:sz="4" w:space="0" w:color="000000"/>
              <w:left w:val="single" w:sz="4" w:space="0" w:color="000000"/>
              <w:right w:val="single" w:sz="4" w:space="0" w:color="000000"/>
            </w:tcBorders>
          </w:tcPr>
          <w:p>
            <w:pPr/>
          </w:p>
        </w:tc>
        <w:tc>
          <w:tcPr>
            <w:tcW w:w="1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6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8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1" w:hRule="exact"/>
        </w:trPr>
        <w:tc>
          <w:tcPr>
            <w:tcW w:w="1752"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8" w:firstLine="50"/>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5"/>
              <w:jc w:val="right"/>
              <w:rPr>
                <w:rFonts w:ascii="宋体" w:hAnsi="宋体" w:cs="宋体" w:eastAsia="宋体" w:hint="default"/>
                <w:sz w:val="21"/>
                <w:szCs w:val="21"/>
              </w:rPr>
            </w:pPr>
            <w:r>
              <w:rPr>
                <w:rFonts w:ascii="宋体" w:hAnsi="宋体" w:cs="宋体" w:eastAsia="宋体" w:hint="default"/>
                <w:spacing w:val="-1"/>
                <w:sz w:val="21"/>
                <w:szCs w:val="21"/>
              </w:rPr>
              <w:t>发行新股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0" w:right="11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557"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20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533,616,715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533,616,715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sz w:val="18"/>
              </w:rPr>
              <w:t>533,616,715</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61.41</w:t>
            </w:r>
          </w:p>
        </w:tc>
      </w:tr>
      <w:tr>
        <w:trPr>
          <w:trHeight w:val="281"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、国有法人持股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3</w:t>
            </w:r>
            <w:r>
              <w:rPr>
                <w:rFonts w:ascii="宋体" w:hAnsi="宋体" w:cs="宋体" w:eastAsia="宋体" w:hint="default"/>
                <w:spacing w:val="-6"/>
                <w:sz w:val="21"/>
                <w:szCs w:val="21"/>
              </w:rPr>
              <w:t>、其他内资持股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533,616,715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533,616,715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533,616,715</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61.41</w:t>
            </w: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二、无限售条件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流通股份</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335,269,708</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100</w:t>
            </w: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z w:val="18"/>
              </w:rPr>
              <w:t>335,269,708</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38.59</w:t>
            </w:r>
          </w:p>
        </w:tc>
      </w:tr>
      <w:tr>
        <w:trPr>
          <w:trHeight w:val="281"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、人民币普通股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335,269,708</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100</w:t>
            </w: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z w:val="18"/>
              </w:rPr>
              <w:t>335,269,708</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38.59</w:t>
            </w:r>
          </w:p>
        </w:tc>
      </w:tr>
      <w:tr>
        <w:trPr>
          <w:trHeight w:val="557"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、境内上市的外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3</w:t>
            </w:r>
            <w:r>
              <w:rPr>
                <w:rFonts w:ascii="宋体" w:hAnsi="宋体" w:cs="宋体" w:eastAsia="宋体" w:hint="default"/>
                <w:spacing w:val="-6"/>
                <w:sz w:val="21"/>
                <w:szCs w:val="21"/>
              </w:rPr>
              <w:t>、境外上市的外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20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335,269,708</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100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533,616,715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533,616,715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868,886,423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r>
    </w:tbl>
    <w:p>
      <w:pPr>
        <w:spacing w:line="240" w:lineRule="auto" w:before="12"/>
        <w:rPr>
          <w:rFonts w:ascii="宋体" w:hAnsi="宋体" w:cs="宋体" w:eastAsia="宋体" w:hint="default"/>
          <w:sz w:val="19"/>
          <w:szCs w:val="19"/>
        </w:rPr>
      </w:pPr>
    </w:p>
    <w:p>
      <w:pPr>
        <w:spacing w:line="338" w:lineRule="auto" w:before="36"/>
        <w:ind w:left="638" w:right="250" w:hanging="420"/>
        <w:jc w:val="left"/>
        <w:rPr>
          <w:rFonts w:ascii="宋体" w:hAnsi="宋体" w:cs="宋体" w:eastAsia="宋体" w:hint="default"/>
          <w:sz w:val="21"/>
          <w:szCs w:val="21"/>
        </w:rPr>
      </w:pPr>
      <w:r>
        <w:rPr>
          <w:rFonts w:ascii="Cambria" w:hAnsi="Cambria" w:cs="Cambria" w:eastAsia="Cambria"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2"/>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b/>
          <w:bCs/>
          <w:w w:val="100"/>
          <w:sz w:val="21"/>
          <w:szCs w:val="21"/>
        </w:rPr>
        <w:t> </w:t>
      </w:r>
      <w:r>
        <w:rPr>
          <w:rFonts w:ascii="宋体" w:hAnsi="宋体" w:cs="宋体" w:eastAsia="宋体" w:hint="default"/>
          <w:spacing w:val="-2"/>
          <w:sz w:val="21"/>
          <w:szCs w:val="21"/>
        </w:rPr>
        <w:t>根据中国证监会《关于核准科达集团股份有限公司向北京百仕成投资管理中心（普通合伙）</w:t>
      </w:r>
    </w:p>
    <w:p>
      <w:pPr>
        <w:pStyle w:val="BodyText"/>
        <w:spacing w:line="314" w:lineRule="auto" w:before="0"/>
        <w:ind w:left="218" w:right="226"/>
        <w:jc w:val="both"/>
      </w:pPr>
      <w:r>
        <w:rPr>
          <w:spacing w:val="-2"/>
        </w:rPr>
        <w:t>等发行股份购买资产并募集配套资金的批复》（证监许可</w:t>
      </w:r>
      <w:r>
        <w:rPr>
          <w:rFonts w:ascii="宋体" w:hAnsi="宋体" w:cs="宋体" w:eastAsia="宋体" w:hint="default"/>
          <w:spacing w:val="-2"/>
        </w:rPr>
        <w:t>[2015]1837</w:t>
      </w:r>
      <w:r>
        <w:rPr>
          <w:rFonts w:ascii="宋体" w:hAnsi="宋体" w:cs="宋体" w:eastAsia="宋体" w:hint="default"/>
        </w:rPr>
        <w:t> </w:t>
      </w:r>
      <w:r>
        <w:rPr>
          <w:spacing w:val="-3"/>
        </w:rPr>
        <w:t>号），本报告期公司完成发</w:t>
      </w:r>
      <w:r>
        <w:rPr>
          <w:spacing w:val="-96"/>
        </w:rPr>
        <w:t> </w:t>
      </w:r>
      <w:r>
        <w:rPr>
          <w:spacing w:val="-96"/>
        </w:rPr>
      </w:r>
      <w:r>
        <w:rPr/>
        <w:t>行股份购买资产并募集配套资金。（详见上海证券交易所网站：</w:t>
      </w:r>
      <w:hyperlink r:id="rId12">
        <w:r>
          <w:rPr>
            <w:rFonts w:ascii="宋体" w:hAnsi="宋体" w:cs="宋体" w:eastAsia="宋体" w:hint="default"/>
          </w:rPr>
          <w:t>www.sse.com.cn</w:t>
        </w:r>
      </w:hyperlink>
      <w:r>
        <w:rPr/>
        <w:t>，</w:t>
      </w:r>
      <w:r>
        <w:rPr>
          <w:spacing w:val="-6"/>
        </w:rPr>
        <w:t> </w:t>
      </w:r>
      <w:r>
        <w:rPr>
          <w:rFonts w:ascii="宋体" w:hAnsi="宋体" w:cs="宋体" w:eastAsia="宋体" w:hint="default"/>
        </w:rPr>
        <w:t>"</w:t>
      </w:r>
      <w:r>
        <w:rPr/>
        <w:t>上市公司公</w:t>
      </w:r>
      <w:r>
        <w:rPr>
          <w:w w:val="100"/>
        </w:rPr>
        <w:t> </w:t>
      </w:r>
      <w:r>
        <w:rPr/>
        <w:t>告</w:t>
      </w:r>
      <w:r>
        <w:rPr>
          <w:rFonts w:ascii="宋体" w:hAnsi="宋体" w:cs="宋体" w:eastAsia="宋体" w:hint="default"/>
        </w:rPr>
        <w:t>"</w:t>
      </w:r>
      <w:r>
        <w:rPr/>
        <w:t>栏科达股份临</w:t>
      </w:r>
      <w:r>
        <w:rPr>
          <w:spacing w:val="-56"/>
        </w:rPr>
        <w:t> </w:t>
      </w:r>
      <w:r>
        <w:rPr>
          <w:rFonts w:ascii="宋体" w:hAnsi="宋体" w:cs="宋体" w:eastAsia="宋体" w:hint="default"/>
        </w:rPr>
        <w:t>2015-041</w:t>
      </w:r>
      <w:r>
        <w:rPr>
          <w:rFonts w:ascii="宋体" w:hAnsi="宋体" w:cs="宋体" w:eastAsia="宋体" w:hint="default"/>
          <w:spacing w:val="-56"/>
        </w:rPr>
        <w:t> </w:t>
      </w:r>
      <w:r>
        <w:rPr/>
        <w:t>号公告）</w:t>
      </w:r>
    </w:p>
    <w:p>
      <w:pPr>
        <w:spacing w:line="336" w:lineRule="auto" w:before="3"/>
        <w:ind w:left="638" w:right="410" w:hanging="420"/>
        <w:jc w:val="left"/>
        <w:rPr>
          <w:rFonts w:ascii="宋体" w:hAnsi="宋体" w:cs="宋体" w:eastAsia="宋体" w:hint="default"/>
          <w:sz w:val="21"/>
          <w:szCs w:val="21"/>
        </w:rPr>
      </w:pPr>
      <w:r>
        <w:rPr>
          <w:rFonts w:ascii="Cambria" w:hAnsi="Cambria" w:cs="Cambria" w:eastAsia="Cambria"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普通股股份变动对最近一年和最近一期每股收益、每股净资产等财务指标的影响（如有）</w:t>
      </w:r>
      <w:r>
        <w:rPr>
          <w:rFonts w:ascii="宋体" w:hAnsi="宋体" w:cs="宋体" w:eastAsia="宋体" w:hint="default"/>
          <w:b/>
          <w:bCs/>
          <w:w w:val="100"/>
          <w:sz w:val="21"/>
          <w:szCs w:val="21"/>
        </w:rPr>
        <w:t> </w:t>
      </w:r>
      <w:r>
        <w:rPr>
          <w:rFonts w:ascii="宋体" w:hAnsi="宋体" w:cs="宋体" w:eastAsia="宋体" w:hint="default"/>
          <w:sz w:val="21"/>
          <w:szCs w:val="21"/>
        </w:rPr>
        <w:t>本报告期，公司完成发行股份购买资产并募集配套资金。本次发行前，公司股本为</w:t>
      </w:r>
    </w:p>
    <w:p>
      <w:pPr>
        <w:pStyle w:val="BodyText"/>
        <w:spacing w:line="240" w:lineRule="auto" w:before="1"/>
        <w:ind w:left="218" w:right="119"/>
        <w:jc w:val="left"/>
      </w:pPr>
      <w:r>
        <w:rPr>
          <w:rFonts w:ascii="宋体" w:hAnsi="宋体" w:cs="宋体" w:eastAsia="宋体" w:hint="default"/>
        </w:rPr>
        <w:t>335,269,708 </w:t>
      </w:r>
      <w:r>
        <w:rPr>
          <w:spacing w:val="-5"/>
        </w:rPr>
        <w:t>股，本次发行后，公司股本变更为 </w:t>
      </w:r>
      <w:r>
        <w:rPr>
          <w:rFonts w:ascii="宋体" w:hAnsi="宋体" w:cs="宋体" w:eastAsia="宋体" w:hint="default"/>
        </w:rPr>
        <w:t>868,886,423</w:t>
      </w:r>
      <w:r>
        <w:rPr>
          <w:rFonts w:ascii="宋体" w:hAnsi="宋体" w:cs="宋体" w:eastAsia="宋体" w:hint="default"/>
          <w:spacing w:val="51"/>
        </w:rPr>
        <w:t> </w:t>
      </w:r>
      <w:r>
        <w:rPr>
          <w:spacing w:val="-5"/>
        </w:rPr>
        <w:t>股。公司根据《公开发行证券的公</w:t>
      </w:r>
    </w:p>
    <w:p>
      <w:pPr>
        <w:spacing w:after="0" w:line="240" w:lineRule="auto"/>
        <w:jc w:val="left"/>
        <w:sectPr>
          <w:type w:val="continuous"/>
          <w:pgSz w:w="11910" w:h="16840"/>
          <w:pgMar w:top="1280" w:bottom="1380" w:left="1580" w:right="1040"/>
        </w:sectPr>
      </w:pPr>
    </w:p>
    <w:p>
      <w:pPr>
        <w:spacing w:line="240" w:lineRule="auto" w:before="9"/>
        <w:rPr>
          <w:rFonts w:ascii="宋体" w:hAnsi="宋体" w:cs="宋体" w:eastAsia="宋体" w:hint="default"/>
          <w:sz w:val="18"/>
          <w:szCs w:val="18"/>
        </w:rPr>
      </w:pPr>
    </w:p>
    <w:p>
      <w:pPr>
        <w:pStyle w:val="BodyText"/>
        <w:spacing w:line="314" w:lineRule="auto" w:before="36"/>
        <w:ind w:left="218" w:right="119"/>
        <w:jc w:val="left"/>
      </w:pPr>
      <w:r>
        <w:rPr/>
        <w:t>司信息披露编报规则第</w:t>
      </w:r>
      <w:r>
        <w:rPr>
          <w:spacing w:val="16"/>
        </w:rPr>
        <w:t> </w:t>
      </w:r>
      <w:r>
        <w:rPr>
          <w:rFonts w:ascii="宋体" w:hAnsi="宋体" w:cs="宋体" w:eastAsia="宋体" w:hint="default"/>
        </w:rPr>
        <w:t>9</w:t>
      </w:r>
      <w:r>
        <w:rPr>
          <w:rFonts w:ascii="宋体" w:hAnsi="宋体" w:cs="宋体" w:eastAsia="宋体" w:hint="default"/>
          <w:spacing w:val="10"/>
        </w:rPr>
        <w:t> </w:t>
      </w:r>
      <w:r>
        <w:rPr>
          <w:spacing w:val="-4"/>
        </w:rPr>
        <w:t>号</w:t>
      </w:r>
      <w:r>
        <w:rPr>
          <w:rFonts w:ascii="宋体" w:hAnsi="宋体" w:cs="宋体" w:eastAsia="宋体" w:hint="default"/>
          <w:spacing w:val="-4"/>
        </w:rPr>
        <w:t>-</w:t>
      </w:r>
      <w:r>
        <w:rPr>
          <w:spacing w:val="-4"/>
        </w:rPr>
        <w:t>净资产收益率和每股收益的计算及披露》（</w:t>
      </w:r>
      <w:r>
        <w:rPr>
          <w:rFonts w:ascii="宋体" w:hAnsi="宋体" w:cs="宋体" w:eastAsia="宋体" w:hint="default"/>
          <w:spacing w:val="-4"/>
        </w:rPr>
        <w:t>2010</w:t>
      </w:r>
      <w:r>
        <w:rPr>
          <w:rFonts w:ascii="宋体" w:hAnsi="宋体" w:cs="宋体" w:eastAsia="宋体" w:hint="default"/>
          <w:spacing w:val="13"/>
        </w:rPr>
        <w:t> </w:t>
      </w:r>
      <w:r>
        <w:rPr>
          <w:spacing w:val="-6"/>
        </w:rPr>
        <w:t>年修订）的规定计</w:t>
      </w:r>
      <w:r>
        <w:rPr>
          <w:spacing w:val="-102"/>
        </w:rPr>
        <w:t> </w:t>
      </w:r>
      <w:r>
        <w:rPr>
          <w:spacing w:val="-102"/>
        </w:rPr>
      </w:r>
      <w:r>
        <w:rPr/>
        <w:t>算每股收益和每股净资产，具体金额详见“会计数据和财务指标摘要”。</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5" w:footer="1193" w:top="1280" w:bottom="1380" w:left="1580" w:right="1040"/>
        </w:sectPr>
      </w:pPr>
    </w:p>
    <w:p>
      <w:pPr>
        <w:pStyle w:val="Heading2"/>
        <w:tabs>
          <w:tab w:pos="784" w:val="left" w:leader="none"/>
        </w:tabs>
        <w:spacing w:line="240" w:lineRule="auto"/>
        <w:ind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before="0"/>
        <w:ind w:left="218"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1910" w:h="16840"/>
          <w:pgMar w:top="1280" w:bottom="1380" w:left="1580" w:right="1040"/>
          <w:cols w:num="2" w:equalWidth="0">
            <w:col w:w="2475" w:space="5521"/>
            <w:col w:w="1294"/>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47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年初限售股</w:t>
            </w: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本年解除限</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本年增加限</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年末限售股</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解除限售日</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w:t>
            </w:r>
          </w:p>
        </w:tc>
      </w:tr>
      <w:tr>
        <w:trPr>
          <w:trHeight w:val="1179"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安信乾盛财</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0" w:lineRule="auto" w:before="7"/>
              <w:ind w:left="103" w:right="60"/>
              <w:jc w:val="both"/>
              <w:rPr>
                <w:rFonts w:ascii="宋体" w:hAnsi="宋体" w:cs="宋体" w:eastAsia="宋体" w:hint="default"/>
                <w:sz w:val="18"/>
                <w:szCs w:val="18"/>
              </w:rPr>
            </w:pPr>
            <w:r>
              <w:rPr>
                <w:rFonts w:ascii="宋体" w:hAnsi="宋体" w:cs="宋体" w:eastAsia="宋体" w:hint="default"/>
                <w:spacing w:val="9"/>
                <w:sz w:val="18"/>
                <w:szCs w:val="18"/>
              </w:rPr>
              <w:t>富</w:t>
            </w:r>
            <w:r>
              <w:rPr>
                <w:rFonts w:ascii="Calibri" w:hAnsi="Calibri" w:cs="Calibri" w:eastAsia="Calibri" w:hint="default"/>
                <w:spacing w:val="9"/>
                <w:sz w:val="18"/>
                <w:szCs w:val="18"/>
              </w:rPr>
              <w:t>-</w:t>
            </w:r>
            <w:r>
              <w:rPr>
                <w:rFonts w:ascii="宋体" w:hAnsi="宋体" w:cs="宋体" w:eastAsia="宋体" w:hint="default"/>
                <w:spacing w:val="9"/>
                <w:sz w:val="18"/>
                <w:szCs w:val="18"/>
              </w:rPr>
              <w:t>浦发银行</w:t>
            </w:r>
            <w:r>
              <w:rPr>
                <w:rFonts w:ascii="Calibri" w:hAnsi="Calibri" w:cs="Calibri" w:eastAsia="Calibri" w:hint="default"/>
                <w:spacing w:val="9"/>
                <w:sz w:val="18"/>
                <w:szCs w:val="18"/>
              </w:rPr>
              <w:t>-</w:t>
            </w:r>
            <w:r>
              <w:rPr>
                <w:rFonts w:ascii="Calibri" w:hAnsi="Calibri" w:cs="Calibri" w:eastAsia="Calibri" w:hint="default"/>
                <w:sz w:val="18"/>
                <w:szCs w:val="18"/>
              </w:rPr>
              <w:t> </w:t>
            </w:r>
            <w:r>
              <w:rPr>
                <w:rFonts w:ascii="宋体" w:hAnsi="宋体" w:cs="宋体" w:eastAsia="宋体" w:hint="default"/>
                <w:spacing w:val="34"/>
                <w:sz w:val="18"/>
                <w:szCs w:val="18"/>
              </w:rPr>
              <w:t>安信乾盛兴</w:t>
            </w:r>
            <w:r>
              <w:rPr>
                <w:rFonts w:ascii="宋体" w:hAnsi="宋体" w:cs="宋体" w:eastAsia="宋体" w:hint="default"/>
                <w:spacing w:val="-47"/>
                <w:sz w:val="18"/>
                <w:szCs w:val="18"/>
              </w:rPr>
              <w:t> </w:t>
            </w:r>
            <w:r>
              <w:rPr>
                <w:rFonts w:ascii="宋体" w:hAnsi="宋体" w:cs="宋体" w:eastAsia="宋体" w:hint="default"/>
                <w:spacing w:val="34"/>
                <w:sz w:val="18"/>
                <w:szCs w:val="18"/>
              </w:rPr>
              <w:t>源专项资产</w:t>
            </w:r>
            <w:r>
              <w:rPr>
                <w:rFonts w:ascii="宋体" w:hAnsi="宋体" w:cs="宋体" w:eastAsia="宋体" w:hint="default"/>
                <w:spacing w:val="-47"/>
                <w:sz w:val="18"/>
                <w:szCs w:val="18"/>
              </w:rPr>
              <w:t> </w:t>
            </w:r>
            <w:r>
              <w:rPr>
                <w:rFonts w:ascii="宋体" w:hAnsi="宋体" w:cs="宋体" w:eastAsia="宋体" w:hint="default"/>
                <w:sz w:val="18"/>
                <w:szCs w:val="18"/>
              </w:rPr>
              <w:t>管理计划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杭州好望角</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60"/>
              <w:jc w:val="both"/>
              <w:rPr>
                <w:rFonts w:ascii="宋体" w:hAnsi="宋体" w:cs="宋体" w:eastAsia="宋体" w:hint="default"/>
                <w:sz w:val="18"/>
                <w:szCs w:val="18"/>
              </w:rPr>
            </w:pPr>
            <w:r>
              <w:rPr>
                <w:rFonts w:ascii="宋体" w:hAnsi="宋体" w:cs="宋体" w:eastAsia="宋体" w:hint="default"/>
                <w:spacing w:val="34"/>
                <w:sz w:val="18"/>
                <w:szCs w:val="18"/>
              </w:rPr>
              <w:t>越航投资合</w:t>
            </w:r>
            <w:r>
              <w:rPr>
                <w:rFonts w:ascii="宋体" w:hAnsi="宋体" w:cs="宋体" w:eastAsia="宋体" w:hint="default"/>
                <w:spacing w:val="-47"/>
                <w:sz w:val="18"/>
                <w:szCs w:val="18"/>
              </w:rPr>
              <w:t> </w:t>
            </w:r>
            <w:r>
              <w:rPr>
                <w:rFonts w:ascii="宋体" w:hAnsi="宋体" w:cs="宋体" w:eastAsia="宋体" w:hint="default"/>
                <w:sz w:val="18"/>
                <w:szCs w:val="18"/>
              </w:rPr>
              <w:t>伙企业（有限</w:t>
            </w:r>
            <w:r>
              <w:rPr>
                <w:rFonts w:ascii="宋体" w:hAnsi="宋体" w:cs="宋体" w:eastAsia="宋体" w:hint="default"/>
                <w:sz w:val="18"/>
                <w:szCs w:val="18"/>
              </w:rPr>
              <w:t> 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何烽</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黄峥嵘</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18,700,000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18,700,000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山东科达集</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37,700,000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37,700,000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青岛润民投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资管理中心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青岛润岩投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资管理中心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浙江科祥股</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60"/>
              <w:jc w:val="left"/>
              <w:rPr>
                <w:rFonts w:ascii="宋体" w:hAnsi="宋体" w:cs="宋体" w:eastAsia="宋体" w:hint="default"/>
                <w:sz w:val="18"/>
                <w:szCs w:val="18"/>
              </w:rPr>
            </w:pPr>
            <w:r>
              <w:rPr>
                <w:rFonts w:ascii="宋体" w:hAnsi="宋体" w:cs="宋体" w:eastAsia="宋体" w:hint="default"/>
                <w:spacing w:val="34"/>
                <w:sz w:val="18"/>
                <w:szCs w:val="18"/>
              </w:rPr>
              <w:t>权投资有限</w:t>
            </w:r>
            <w:r>
              <w:rPr>
                <w:rFonts w:ascii="宋体" w:hAnsi="宋体" w:cs="宋体" w:eastAsia="宋体" w:hint="default"/>
                <w:spacing w:val="-47"/>
                <w:sz w:val="18"/>
                <w:szCs w:val="18"/>
              </w:rPr>
              <w:t> </w:t>
            </w:r>
            <w:r>
              <w:rPr>
                <w:rFonts w:ascii="宋体" w:hAnsi="宋体" w:cs="宋体" w:eastAsia="宋体" w:hint="default"/>
                <w:sz w:val="18"/>
                <w:szCs w:val="18"/>
              </w:rPr>
              <w:t>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8,012,589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8,012,589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0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陈伟</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5,827,343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5,827,343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陈伟</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5,665,476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5,665,476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童云洪</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10,473,029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10,473,029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杭州好望角</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60"/>
              <w:jc w:val="both"/>
              <w:rPr>
                <w:rFonts w:ascii="Calibri" w:hAnsi="Calibri" w:cs="Calibri" w:eastAsia="Calibri" w:hint="default"/>
                <w:sz w:val="18"/>
                <w:szCs w:val="18"/>
              </w:rPr>
            </w:pPr>
            <w:r>
              <w:rPr>
                <w:rFonts w:ascii="宋体" w:hAnsi="宋体" w:cs="宋体" w:eastAsia="宋体" w:hint="default"/>
                <w:spacing w:val="34"/>
                <w:sz w:val="18"/>
                <w:szCs w:val="18"/>
              </w:rPr>
              <w:t>启航投资合</w:t>
            </w:r>
            <w:r>
              <w:rPr>
                <w:rFonts w:ascii="宋体" w:hAnsi="宋体" w:cs="宋体" w:eastAsia="宋体" w:hint="default"/>
                <w:spacing w:val="-47"/>
                <w:sz w:val="18"/>
                <w:szCs w:val="18"/>
              </w:rPr>
              <w:t> </w:t>
            </w:r>
            <w:r>
              <w:rPr>
                <w:rFonts w:ascii="宋体" w:hAnsi="宋体" w:cs="宋体" w:eastAsia="宋体" w:hint="default"/>
                <w:spacing w:val="16"/>
                <w:sz w:val="18"/>
                <w:szCs w:val="18"/>
              </w:rPr>
              <w:t>伙企业</w:t>
            </w:r>
            <w:r>
              <w:rPr>
                <w:rFonts w:ascii="宋体" w:hAnsi="宋体" w:cs="宋体" w:eastAsia="宋体" w:hint="default"/>
                <w:spacing w:val="-67"/>
                <w:sz w:val="18"/>
                <w:szCs w:val="18"/>
              </w:rPr>
              <w:t> </w:t>
            </w:r>
            <w:r>
              <w:rPr>
                <w:rFonts w:ascii="Calibri" w:hAnsi="Calibri" w:cs="Calibri" w:eastAsia="Calibri" w:hint="default"/>
                <w:sz w:val="18"/>
                <w:szCs w:val="18"/>
              </w:rPr>
              <w:t>(</w:t>
            </w:r>
            <w:r>
              <w:rPr>
                <w:rFonts w:ascii="Calibri" w:hAnsi="Calibri" w:cs="Calibri" w:eastAsia="Calibri" w:hint="default"/>
                <w:spacing w:val="-17"/>
                <w:sz w:val="18"/>
                <w:szCs w:val="18"/>
              </w:rPr>
              <w:t> </w:t>
            </w:r>
            <w:r>
              <w:rPr>
                <w:rFonts w:ascii="宋体" w:hAnsi="宋体" w:cs="宋体" w:eastAsia="宋体" w:hint="default"/>
                <w:spacing w:val="12"/>
                <w:sz w:val="18"/>
                <w:szCs w:val="18"/>
              </w:rPr>
              <w:t>有限</w:t>
            </w:r>
            <w:r>
              <w:rPr>
                <w:rFonts w:ascii="宋体" w:hAnsi="宋体" w:cs="宋体" w:eastAsia="宋体" w:hint="default"/>
                <w:spacing w:val="-66"/>
                <w:sz w:val="18"/>
                <w:szCs w:val="18"/>
              </w:rPr>
              <w:t> </w:t>
            </w:r>
            <w:r>
              <w:rPr>
                <w:rFonts w:ascii="宋体" w:hAnsi="宋体" w:cs="宋体" w:eastAsia="宋体" w:hint="default"/>
                <w:sz w:val="18"/>
                <w:szCs w:val="18"/>
              </w:rPr>
              <w:t>合伙</w:t>
            </w:r>
            <w:r>
              <w:rPr>
                <w:rFonts w:ascii="Calibri" w:hAnsi="Calibri" w:cs="Calibri" w:eastAsia="Calibri" w:hint="default"/>
                <w:sz w:val="18"/>
                <w:szCs w:val="18"/>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21,306,188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21,306,188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杭州好望角</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28" w:lineRule="auto" w:before="9"/>
              <w:ind w:left="103" w:right="60"/>
              <w:jc w:val="both"/>
              <w:rPr>
                <w:rFonts w:ascii="Calibri" w:hAnsi="Calibri" w:cs="Calibri" w:eastAsia="Calibri" w:hint="default"/>
                <w:sz w:val="18"/>
                <w:szCs w:val="18"/>
              </w:rPr>
            </w:pPr>
            <w:r>
              <w:rPr>
                <w:rFonts w:ascii="宋体" w:hAnsi="宋体" w:cs="宋体" w:eastAsia="宋体" w:hint="default"/>
                <w:spacing w:val="34"/>
                <w:sz w:val="18"/>
                <w:szCs w:val="18"/>
              </w:rPr>
              <w:t>引航投资合</w:t>
            </w:r>
            <w:r>
              <w:rPr>
                <w:rFonts w:ascii="宋体" w:hAnsi="宋体" w:cs="宋体" w:eastAsia="宋体" w:hint="default"/>
                <w:spacing w:val="-47"/>
                <w:sz w:val="18"/>
                <w:szCs w:val="18"/>
              </w:rPr>
              <w:t> </w:t>
            </w:r>
            <w:r>
              <w:rPr>
                <w:rFonts w:ascii="宋体" w:hAnsi="宋体" w:cs="宋体" w:eastAsia="宋体" w:hint="default"/>
                <w:spacing w:val="16"/>
                <w:sz w:val="18"/>
                <w:szCs w:val="18"/>
              </w:rPr>
              <w:t>伙企业</w:t>
            </w:r>
            <w:r>
              <w:rPr>
                <w:rFonts w:ascii="宋体" w:hAnsi="宋体" w:cs="宋体" w:eastAsia="宋体" w:hint="default"/>
                <w:spacing w:val="-67"/>
                <w:sz w:val="18"/>
                <w:szCs w:val="18"/>
              </w:rPr>
              <w:t> </w:t>
            </w:r>
            <w:r>
              <w:rPr>
                <w:rFonts w:ascii="Calibri" w:hAnsi="Calibri" w:cs="Calibri" w:eastAsia="Calibri" w:hint="default"/>
                <w:sz w:val="18"/>
                <w:szCs w:val="18"/>
              </w:rPr>
              <w:t>(</w:t>
            </w:r>
            <w:r>
              <w:rPr>
                <w:rFonts w:ascii="Calibri" w:hAnsi="Calibri" w:cs="Calibri" w:eastAsia="Calibri" w:hint="default"/>
                <w:spacing w:val="-17"/>
                <w:sz w:val="18"/>
                <w:szCs w:val="18"/>
              </w:rPr>
              <w:t> </w:t>
            </w:r>
            <w:r>
              <w:rPr>
                <w:rFonts w:ascii="宋体" w:hAnsi="宋体" w:cs="宋体" w:eastAsia="宋体" w:hint="default"/>
                <w:spacing w:val="12"/>
                <w:sz w:val="18"/>
                <w:szCs w:val="18"/>
              </w:rPr>
              <w:t>有限</w:t>
            </w:r>
            <w:r>
              <w:rPr>
                <w:rFonts w:ascii="宋体" w:hAnsi="宋体" w:cs="宋体" w:eastAsia="宋体" w:hint="default"/>
                <w:spacing w:val="-66"/>
                <w:sz w:val="18"/>
                <w:szCs w:val="18"/>
              </w:rPr>
              <w:t> </w:t>
            </w:r>
            <w:r>
              <w:rPr>
                <w:rFonts w:ascii="宋体" w:hAnsi="宋体" w:cs="宋体" w:eastAsia="宋体" w:hint="default"/>
                <w:sz w:val="18"/>
                <w:szCs w:val="18"/>
              </w:rPr>
              <w:t>合伙</w:t>
            </w:r>
            <w:r>
              <w:rPr>
                <w:rFonts w:ascii="Calibri" w:hAnsi="Calibri" w:cs="Calibri" w:eastAsia="Calibri" w:hint="default"/>
                <w:sz w:val="18"/>
                <w:szCs w:val="18"/>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33,264,388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33,264,388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何烽</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3,205,035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3,205,035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42"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徐永忠</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2,003,147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2,003,147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tc>
      </w:tr>
    </w:tbl>
    <w:p>
      <w:pPr>
        <w:spacing w:after="0" w:line="205" w:lineRule="exact"/>
        <w:jc w:val="left"/>
        <w:rPr>
          <w:rFonts w:ascii="宋体" w:hAnsi="宋体" w:cs="宋体" w:eastAsia="宋体" w:hint="default"/>
          <w:sz w:val="18"/>
          <w:szCs w:val="18"/>
        </w:rPr>
        <w:sectPr>
          <w:type w:val="continuous"/>
          <w:pgSz w:w="11910" w:h="16840"/>
          <w:pgMar w:top="1280" w:bottom="1380" w:left="1580" w:right="1040"/>
        </w:sectPr>
      </w:pPr>
    </w:p>
    <w:p>
      <w:pPr>
        <w:spacing w:line="240" w:lineRule="auto" w:before="8"/>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478" w:hRule="exact"/>
        </w:trPr>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个月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褚明理</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14,214,638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14,214,638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褚明理</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14,214,638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14,214,638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褚明理</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42,643,913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42,643,913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周璇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959,167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959,167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周璇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959,167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959,167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周璇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2,877,499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2,877,499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褚旭</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93,133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93,133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褚旭</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93,133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93,133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褚旭</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279,397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279,397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北京百仕成</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投资管理中</w:t>
            </w:r>
            <w:r>
              <w:rPr>
                <w:rFonts w:ascii="宋体" w:hAnsi="宋体" w:cs="宋体" w:eastAsia="宋体" w:hint="default"/>
                <w:spacing w:val="-47"/>
                <w:sz w:val="18"/>
                <w:szCs w:val="18"/>
              </w:rPr>
              <w:t> </w:t>
            </w:r>
            <w:r>
              <w:rPr>
                <w:rFonts w:ascii="宋体" w:hAnsi="宋体" w:cs="宋体" w:eastAsia="宋体" w:hint="default"/>
                <w:spacing w:val="34"/>
                <w:sz w:val="18"/>
                <w:szCs w:val="18"/>
              </w:rPr>
              <w:t>心（普通合</w:t>
            </w:r>
            <w:r>
              <w:rPr>
                <w:rFonts w:ascii="宋体" w:hAnsi="宋体" w:cs="宋体" w:eastAsia="宋体" w:hint="default"/>
                <w:spacing w:val="-47"/>
                <w:sz w:val="18"/>
                <w:szCs w:val="18"/>
              </w:rPr>
              <w:t> </w:t>
            </w:r>
            <w:r>
              <w:rPr>
                <w:rFonts w:ascii="宋体" w:hAnsi="宋体" w:cs="宋体" w:eastAsia="宋体" w:hint="default"/>
                <w:sz w:val="18"/>
                <w:szCs w:val="18"/>
              </w:rPr>
              <w:t>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13,767,086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13,767,086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北京百仕成</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投资管理中</w:t>
            </w:r>
            <w:r>
              <w:rPr>
                <w:rFonts w:ascii="宋体" w:hAnsi="宋体" w:cs="宋体" w:eastAsia="宋体" w:hint="default"/>
                <w:spacing w:val="-47"/>
                <w:sz w:val="18"/>
                <w:szCs w:val="18"/>
              </w:rPr>
              <w:t> </w:t>
            </w:r>
            <w:r>
              <w:rPr>
                <w:rFonts w:ascii="宋体" w:hAnsi="宋体" w:cs="宋体" w:eastAsia="宋体" w:hint="default"/>
                <w:spacing w:val="34"/>
                <w:sz w:val="18"/>
                <w:szCs w:val="18"/>
              </w:rPr>
              <w:t>心（普通合</w:t>
            </w:r>
            <w:r>
              <w:rPr>
                <w:rFonts w:ascii="宋体" w:hAnsi="宋体" w:cs="宋体" w:eastAsia="宋体" w:hint="default"/>
                <w:spacing w:val="-47"/>
                <w:sz w:val="18"/>
                <w:szCs w:val="18"/>
              </w:rPr>
              <w:t> </w:t>
            </w:r>
            <w:r>
              <w:rPr>
                <w:rFonts w:ascii="宋体" w:hAnsi="宋体" w:cs="宋体" w:eastAsia="宋体" w:hint="default"/>
                <w:sz w:val="18"/>
                <w:szCs w:val="18"/>
              </w:rPr>
              <w:t>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13,767,086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13,767,086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北京百仕成</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60"/>
              <w:jc w:val="both"/>
              <w:rPr>
                <w:rFonts w:ascii="宋体" w:hAnsi="宋体" w:cs="宋体" w:eastAsia="宋体" w:hint="default"/>
                <w:sz w:val="18"/>
                <w:szCs w:val="18"/>
              </w:rPr>
            </w:pPr>
            <w:r>
              <w:rPr>
                <w:rFonts w:ascii="宋体" w:hAnsi="宋体" w:cs="宋体" w:eastAsia="宋体" w:hint="default"/>
                <w:spacing w:val="34"/>
                <w:sz w:val="18"/>
                <w:szCs w:val="18"/>
              </w:rPr>
              <w:t>投资管理中</w:t>
            </w:r>
            <w:r>
              <w:rPr>
                <w:rFonts w:ascii="宋体" w:hAnsi="宋体" w:cs="宋体" w:eastAsia="宋体" w:hint="default"/>
                <w:spacing w:val="-47"/>
                <w:sz w:val="18"/>
                <w:szCs w:val="18"/>
              </w:rPr>
              <w:t> </w:t>
            </w:r>
            <w:r>
              <w:rPr>
                <w:rFonts w:ascii="宋体" w:hAnsi="宋体" w:cs="宋体" w:eastAsia="宋体" w:hint="default"/>
                <w:spacing w:val="34"/>
                <w:sz w:val="18"/>
                <w:szCs w:val="18"/>
              </w:rPr>
              <w:t>心（普通合</w:t>
            </w:r>
            <w:r>
              <w:rPr>
                <w:rFonts w:ascii="宋体" w:hAnsi="宋体" w:cs="宋体" w:eastAsia="宋体" w:hint="default"/>
                <w:spacing w:val="-47"/>
                <w:sz w:val="18"/>
                <w:szCs w:val="18"/>
              </w:rPr>
              <w:t> </w:t>
            </w:r>
            <w:r>
              <w:rPr>
                <w:rFonts w:ascii="宋体" w:hAnsi="宋体" w:cs="宋体" w:eastAsia="宋体" w:hint="default"/>
                <w:sz w:val="18"/>
                <w:szCs w:val="18"/>
              </w:rPr>
              <w:t>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41,301,260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41,301,260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王华华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3,846,043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3,846,043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王华华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3,846,043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3,846,043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王华华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11,538,129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11,538,129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杜达亮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2,141,547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2,141,547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杜达亮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2,141,547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2,141,547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4"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7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杜达亮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6,424,639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6,424,639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个月</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55" w:footer="1193" w:top="1280" w:bottom="1380" w:left="1580" w:right="1040"/>
        </w:sectPr>
      </w:pPr>
    </w:p>
    <w:p>
      <w:pPr>
        <w:spacing w:line="240" w:lineRule="auto" w:before="8"/>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245" w:hRule="exact"/>
        </w:trPr>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内不出售</w:t>
            </w: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韩玲</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655,575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655,575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韩玲</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655,575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655,575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韩玲</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1,966,727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1,966,727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何毅</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655,575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655,575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何毅</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655,575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655,575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何毅</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1,966,727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1,966,727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广州因派投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资顾问中心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1,442,266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1,442,266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广州因派投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资顾问中心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1,442,266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1,442,266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广州因派投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资顾问中心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4,326,798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4,326,798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成都泰豪银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60"/>
              <w:jc w:val="both"/>
              <w:rPr>
                <w:rFonts w:ascii="宋体" w:hAnsi="宋体" w:cs="宋体" w:eastAsia="宋体" w:hint="default"/>
                <w:sz w:val="18"/>
                <w:szCs w:val="18"/>
              </w:rPr>
            </w:pPr>
            <w:r>
              <w:rPr>
                <w:rFonts w:ascii="宋体" w:hAnsi="宋体" w:cs="宋体" w:eastAsia="宋体" w:hint="default"/>
                <w:spacing w:val="34"/>
                <w:sz w:val="18"/>
                <w:szCs w:val="18"/>
              </w:rPr>
              <w:t>科创业投资</w:t>
            </w:r>
            <w:r>
              <w:rPr>
                <w:rFonts w:ascii="宋体" w:hAnsi="宋体" w:cs="宋体" w:eastAsia="宋体" w:hint="default"/>
                <w:spacing w:val="-47"/>
                <w:sz w:val="18"/>
                <w:szCs w:val="18"/>
              </w:rPr>
              <w:t> </w:t>
            </w:r>
            <w:r>
              <w:rPr>
                <w:rFonts w:ascii="宋体" w:hAnsi="宋体" w:cs="宋体" w:eastAsia="宋体" w:hint="default"/>
                <w:sz w:val="18"/>
                <w:szCs w:val="18"/>
              </w:rPr>
              <w:t>中心（有限合</w:t>
            </w:r>
            <w:r>
              <w:rPr>
                <w:rFonts w:ascii="宋体" w:hAnsi="宋体" w:cs="宋体" w:eastAsia="宋体" w:hint="default"/>
                <w:sz w:val="18"/>
                <w:szCs w:val="18"/>
              </w:rPr>
              <w:t> 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5,535,971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5,535,971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深圳市晟大</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60"/>
              <w:jc w:val="left"/>
              <w:rPr>
                <w:rFonts w:ascii="宋体" w:hAnsi="宋体" w:cs="宋体" w:eastAsia="宋体" w:hint="default"/>
                <w:sz w:val="18"/>
                <w:szCs w:val="18"/>
              </w:rPr>
            </w:pPr>
            <w:r>
              <w:rPr>
                <w:rFonts w:ascii="宋体" w:hAnsi="宋体" w:cs="宋体" w:eastAsia="宋体" w:hint="default"/>
                <w:spacing w:val="34"/>
                <w:sz w:val="18"/>
                <w:szCs w:val="18"/>
              </w:rPr>
              <w:t>投资有限公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291,366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291,366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吴钢</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2,092,888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2,092,888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吴钢</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2,092,888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2,092,888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吴钢</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6,278,666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6,278,666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2,091,820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2,091,820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2,091,820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2,091,820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0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6,275,460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6,275,460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乔羿正</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2,091,820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2,091,820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4" w:lineRule="exact" w:before="21"/>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7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乔羿正</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2,091,820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2,091,820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1"/>
                <w:sz w:val="18"/>
                <w:szCs w:val="18"/>
              </w:rPr>
              <w:t> </w:t>
            </w:r>
            <w:r>
              <w:rPr>
                <w:rFonts w:ascii="宋体" w:hAnsi="宋体" w:cs="宋体" w:eastAsia="宋体" w:hint="default"/>
                <w:sz w:val="18"/>
                <w:szCs w:val="18"/>
              </w:rPr>
              <w:t>个月</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34" w:lineRule="exact"/>
        <w:jc w:val="left"/>
        <w:rPr>
          <w:rFonts w:ascii="宋体" w:hAnsi="宋体" w:cs="宋体" w:eastAsia="宋体" w:hint="default"/>
          <w:sz w:val="18"/>
          <w:szCs w:val="18"/>
        </w:rPr>
        <w:sectPr>
          <w:pgSz w:w="11910" w:h="16840"/>
          <w:pgMar w:header="855" w:footer="1193" w:top="1280" w:bottom="1380" w:left="1580" w:right="1040"/>
        </w:sectPr>
      </w:pPr>
    </w:p>
    <w:p>
      <w:pPr>
        <w:spacing w:line="240" w:lineRule="auto" w:before="8"/>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245" w:hRule="exact"/>
        </w:trPr>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内不出售</w:t>
            </w: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乔羿正</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6,275,460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6,275,460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浙江睿久合</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盈创业投资</w:t>
            </w:r>
            <w:r>
              <w:rPr>
                <w:rFonts w:ascii="宋体" w:hAnsi="宋体" w:cs="宋体" w:eastAsia="宋体" w:hint="default"/>
                <w:spacing w:val="-47"/>
                <w:sz w:val="18"/>
                <w:szCs w:val="18"/>
              </w:rPr>
              <w:t> </w:t>
            </w:r>
            <w:r>
              <w:rPr>
                <w:rFonts w:ascii="宋体" w:hAnsi="宋体" w:cs="宋体" w:eastAsia="宋体" w:hint="default"/>
                <w:sz w:val="18"/>
                <w:szCs w:val="18"/>
              </w:rPr>
              <w:t>合伙企业（有</w:t>
            </w:r>
            <w:r>
              <w:rPr>
                <w:rFonts w:ascii="宋体" w:hAnsi="宋体" w:cs="宋体" w:eastAsia="宋体" w:hint="default"/>
                <w:sz w:val="18"/>
                <w:szCs w:val="18"/>
              </w:rPr>
              <w:t> 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6,009,442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6,009,442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上海同尚投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47"/>
                <w:sz w:val="18"/>
                <w:szCs w:val="18"/>
              </w:rPr>
              <w:t> </w:t>
            </w:r>
            <w:r>
              <w:rPr>
                <w:rFonts w:ascii="宋体" w:hAnsi="宋体" w:cs="宋体" w:eastAsia="宋体" w:hint="default"/>
                <w:spacing w:val="32"/>
                <w:sz w:val="18"/>
                <w:szCs w:val="18"/>
              </w:rPr>
              <w:t>合伙企业</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961,511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961,511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上海同尚投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资合伙企业</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961,511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961,511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上海同尚投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资合伙企业</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2,884,531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2,884,531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赖霖枫</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971,223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971,223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赖霖枫</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971,223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971,223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赖霖枫</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2,913,668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2,913,668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龚小燕</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2,913,667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2,913,667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刘杰娇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16,510,791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16,510,791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971,222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971,222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陈翀</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971,222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971,222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刘卫华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3,884,898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3,884,898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宁波正友一</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号投资合伙</w:t>
            </w:r>
            <w:r>
              <w:rPr>
                <w:rFonts w:ascii="宋体" w:hAnsi="宋体" w:cs="宋体" w:eastAsia="宋体" w:hint="default"/>
                <w:spacing w:val="-47"/>
                <w:sz w:val="18"/>
                <w:szCs w:val="18"/>
              </w:rPr>
              <w:t> </w:t>
            </w:r>
            <w:r>
              <w:rPr>
                <w:rFonts w:ascii="宋体" w:hAnsi="宋体" w:cs="宋体" w:eastAsia="宋体" w:hint="default"/>
                <w:sz w:val="18"/>
                <w:szCs w:val="18"/>
              </w:rPr>
              <w:t>企业（有限合</w:t>
            </w:r>
            <w:r>
              <w:rPr>
                <w:rFonts w:ascii="宋体" w:hAnsi="宋体" w:cs="宋体" w:eastAsia="宋体" w:hint="default"/>
                <w:sz w:val="18"/>
                <w:szCs w:val="18"/>
              </w:rPr>
              <w:t> 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9,712,233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9,712,233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东莞风骏网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络科技企业</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8,255,395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8,255,395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上海融翼投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资合伙企业</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971,222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971,222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朱琦虹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186,265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186,265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朱琦虹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186,265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186,265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42"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朱琦虹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558,795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558,795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tc>
      </w:tr>
    </w:tbl>
    <w:p>
      <w:pPr>
        <w:spacing w:after="0" w:line="205" w:lineRule="exact"/>
        <w:jc w:val="left"/>
        <w:rPr>
          <w:rFonts w:ascii="宋体" w:hAnsi="宋体" w:cs="宋体" w:eastAsia="宋体" w:hint="default"/>
          <w:sz w:val="18"/>
          <w:szCs w:val="18"/>
        </w:rPr>
        <w:sectPr>
          <w:pgSz w:w="11910" w:h="16840"/>
          <w:pgMar w:header="855" w:footer="1193" w:top="1280" w:bottom="1380" w:left="1580" w:right="1040"/>
        </w:sectPr>
      </w:pPr>
    </w:p>
    <w:p>
      <w:pPr>
        <w:spacing w:line="240" w:lineRule="auto" w:before="8"/>
        <w:rPr>
          <w:rFonts w:ascii="Times New Roman" w:hAnsi="Times New Roman" w:cs="Times New Roman" w:eastAsia="Times New Roman" w:hint="default"/>
          <w:sz w:val="20"/>
          <w:szCs w:val="20"/>
        </w:rPr>
      </w:pPr>
    </w:p>
    <w:tbl>
      <w:tblPr>
        <w:tblW w:w="0" w:type="auto"/>
        <w:jc w:val="left"/>
        <w:tblInd w:w="32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478" w:hRule="exact"/>
        </w:trPr>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个月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李国庆</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3,636,134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3,636,134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覃邦全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1,864,634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1,864,634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覃邦全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1,864,634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1,864,634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覃邦全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5,593,900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5,593,900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嘉兴嘉盛九</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鼎投资中心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5,845,342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5,845,342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上海理想润</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元股权投资</w:t>
            </w:r>
            <w:r>
              <w:rPr>
                <w:rFonts w:ascii="宋体" w:hAnsi="宋体" w:cs="宋体" w:eastAsia="宋体" w:hint="default"/>
                <w:spacing w:val="-47"/>
                <w:sz w:val="18"/>
                <w:szCs w:val="18"/>
              </w:rPr>
              <w:t> </w:t>
            </w:r>
            <w:r>
              <w:rPr>
                <w:rFonts w:ascii="宋体" w:hAnsi="宋体" w:cs="宋体" w:eastAsia="宋体" w:hint="default"/>
                <w:sz w:val="18"/>
                <w:szCs w:val="18"/>
              </w:rPr>
              <w:t>合伙企业（有</w:t>
            </w:r>
            <w:r>
              <w:rPr>
                <w:rFonts w:ascii="宋体" w:hAnsi="宋体" w:cs="宋体" w:eastAsia="宋体" w:hint="default"/>
                <w:sz w:val="18"/>
                <w:szCs w:val="18"/>
              </w:rPr>
              <w:t> 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2,446,349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2,446,349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465,663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465,663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465,663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465,663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1,396,989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1,396,989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45"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533,616,715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533,616,715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bl>
    <w:p>
      <w:pPr>
        <w:spacing w:line="240" w:lineRule="auto" w:before="8"/>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855" w:footer="1193" w:top="1280" w:bottom="1380" w:left="1360" w:right="820"/>
        </w:sectPr>
      </w:pPr>
    </w:p>
    <w:p>
      <w:pPr>
        <w:pStyle w:val="Heading2"/>
        <w:spacing w:line="240" w:lineRule="auto"/>
        <w:ind w:left="438" w:right="-18"/>
        <w:jc w:val="left"/>
        <w:rPr>
          <w:b w:val="0"/>
          <w:bCs w:val="0"/>
        </w:rPr>
      </w:pPr>
      <w:r>
        <w:rPr/>
        <w:t>二、</w:t>
      </w:r>
      <w:r>
        <w:rPr>
          <w:spacing w:val="-74"/>
        </w:rPr>
        <w:t> </w:t>
      </w:r>
      <w:r>
        <w:rPr/>
        <w:t>证券发行与上市情况</w:t>
      </w:r>
      <w:r>
        <w:rPr>
          <w:b w:val="0"/>
          <w:bCs w:val="0"/>
        </w:rPr>
      </w:r>
    </w:p>
    <w:p>
      <w:pPr>
        <w:pStyle w:val="Heading2"/>
        <w:spacing w:line="240" w:lineRule="auto" w:before="58"/>
        <w:ind w:left="43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截至报告期内证券发行情况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89" w:val="left" w:leader="none"/>
        </w:tabs>
        <w:spacing w:line="240" w:lineRule="auto" w:before="177"/>
        <w:ind w:left="438" w:right="0"/>
        <w:jc w:val="left"/>
      </w:pPr>
      <w:r>
        <w:rPr>
          <w:spacing w:val="-1"/>
        </w:rPr>
        <w:t>单位：股</w:t>
        <w:tab/>
      </w:r>
      <w:r>
        <w:rPr>
          <w:spacing w:val="-2"/>
        </w:rPr>
        <w:t>币种：人民币</w:t>
      </w:r>
    </w:p>
    <w:p>
      <w:pPr>
        <w:spacing w:after="0" w:line="240" w:lineRule="auto"/>
        <w:jc w:val="left"/>
        <w:sectPr>
          <w:type w:val="continuous"/>
          <w:pgSz w:w="11910" w:h="16840"/>
          <w:pgMar w:top="1280" w:bottom="1380" w:left="1360" w:right="820"/>
          <w:cols w:num="2" w:equalWidth="0">
            <w:col w:w="3393" w:space="3131"/>
            <w:col w:w="3206"/>
          </w:cols>
        </w:sectPr>
      </w:pPr>
    </w:p>
    <w:p>
      <w:pPr>
        <w:spacing w:line="240" w:lineRule="auto" w:before="7"/>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1721"/>
        <w:gridCol w:w="1148"/>
        <w:gridCol w:w="1164"/>
        <w:gridCol w:w="1371"/>
        <w:gridCol w:w="1147"/>
        <w:gridCol w:w="1371"/>
        <w:gridCol w:w="1130"/>
      </w:tblGrid>
      <w:tr>
        <w:trPr>
          <w:trHeight w:val="55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6"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3" w:lineRule="exact"/>
              <w:ind w:left="103" w:right="-1"/>
              <w:jc w:val="left"/>
              <w:rPr>
                <w:rFonts w:ascii="宋体" w:hAnsi="宋体" w:cs="宋体" w:eastAsia="宋体" w:hint="default"/>
                <w:sz w:val="21"/>
                <w:szCs w:val="21"/>
              </w:rPr>
            </w:pPr>
            <w:r>
              <w:rPr>
                <w:rFonts w:ascii="宋体" w:hAnsi="宋体" w:cs="宋体" w:eastAsia="宋体" w:hint="default"/>
                <w:sz w:val="21"/>
                <w:szCs w:val="21"/>
              </w:rPr>
              <w:t>（或利率）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易数量</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1" w:hRule="exact"/>
        </w:trPr>
        <w:tc>
          <w:tcPr>
            <w:tcW w:w="90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557"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5" w:lineRule="exact"/>
              <w:ind w:left="4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5.56</w:t>
            </w:r>
            <w:r>
              <w:rPr>
                <w:rFonts w:ascii="宋体" w:hAnsi="宋体" w:cs="宋体" w:eastAsia="宋体" w:hint="default"/>
                <w:spacing w:val="-52"/>
                <w:sz w:val="21"/>
                <w:szCs w:val="21"/>
              </w:rPr>
              <w:t> </w:t>
            </w:r>
            <w:r>
              <w:rPr>
                <w:rFonts w:ascii="宋体" w:hAnsi="宋体" w:cs="宋体" w:eastAsia="宋体" w:hint="default"/>
                <w:sz w:val="21"/>
                <w:szCs w:val="21"/>
              </w:rPr>
              <w:t>元</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533,616,715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5" w:lineRule="exact"/>
              <w:ind w:left="4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533,616,715</w:t>
            </w:r>
          </w:p>
        </w:tc>
        <w:tc>
          <w:tcPr>
            <w:tcW w:w="11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line="326" w:lineRule="auto" w:before="36"/>
        <w:ind w:left="85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公司普通股股份总数及股东结构变动及公司资产和负债结构的变动情况</w:t>
      </w:r>
      <w:r>
        <w:rPr>
          <w:rFonts w:ascii="宋体" w:hAnsi="宋体" w:cs="宋体" w:eastAsia="宋体" w:hint="default"/>
          <w:b/>
          <w:bCs/>
          <w:w w:val="100"/>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、报告期内，公司完成发行股份购买资产并募集配套资金，此次交易前后公司股权结构变动</w:t>
      </w:r>
    </w:p>
    <w:p>
      <w:pPr>
        <w:pStyle w:val="BodyText"/>
        <w:spacing w:line="240" w:lineRule="auto" w:before="9"/>
        <w:ind w:left="438" w:right="0"/>
        <w:jc w:val="left"/>
      </w:pPr>
      <w:r>
        <w:rPr/>
        <w:t>情况如下：</w:t>
      </w:r>
    </w:p>
    <w:p>
      <w:pPr>
        <w:spacing w:line="240" w:lineRule="auto" w:before="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560"/>
        <w:gridCol w:w="1637"/>
        <w:gridCol w:w="970"/>
        <w:gridCol w:w="1683"/>
        <w:gridCol w:w="967"/>
        <w:gridCol w:w="1683"/>
        <w:gridCol w:w="970"/>
      </w:tblGrid>
      <w:tr>
        <w:trPr>
          <w:trHeight w:val="305" w:hRule="exact"/>
        </w:trPr>
        <w:tc>
          <w:tcPr>
            <w:tcW w:w="1560" w:type="dxa"/>
            <w:vMerge w:val="restart"/>
            <w:tcBorders>
              <w:top w:val="single" w:sz="8" w:space="0" w:color="000000"/>
              <w:left w:val="single" w:sz="8" w:space="0" w:color="000000"/>
              <w:right w:val="single" w:sz="8"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b/>
                <w:bCs/>
                <w:sz w:val="21"/>
                <w:szCs w:val="21"/>
              </w:rPr>
              <w:t>股东</w:t>
            </w:r>
            <w:r>
              <w:rPr>
                <w:rFonts w:ascii="宋体" w:hAnsi="宋体" w:cs="宋体" w:eastAsia="宋体" w:hint="default"/>
                <w:sz w:val="21"/>
                <w:szCs w:val="21"/>
              </w:rPr>
            </w:r>
          </w:p>
        </w:tc>
        <w:tc>
          <w:tcPr>
            <w:tcW w:w="2607" w:type="dxa"/>
            <w:gridSpan w:val="2"/>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z w:val="21"/>
                <w:szCs w:val="21"/>
              </w:rPr>
              <w:t>交易前</w:t>
            </w:r>
            <w:r>
              <w:rPr>
                <w:rFonts w:ascii="宋体" w:hAnsi="宋体" w:cs="宋体" w:eastAsia="宋体" w:hint="default"/>
                <w:sz w:val="21"/>
                <w:szCs w:val="21"/>
              </w:rPr>
            </w:r>
          </w:p>
        </w:tc>
        <w:tc>
          <w:tcPr>
            <w:tcW w:w="265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61" w:right="0"/>
              <w:jc w:val="left"/>
              <w:rPr>
                <w:rFonts w:ascii="宋体" w:hAnsi="宋体" w:cs="宋体" w:eastAsia="宋体" w:hint="default"/>
                <w:sz w:val="21"/>
                <w:szCs w:val="21"/>
              </w:rPr>
            </w:pPr>
            <w:r>
              <w:rPr>
                <w:rFonts w:ascii="宋体" w:hAnsi="宋体" w:cs="宋体" w:eastAsia="宋体" w:hint="default"/>
                <w:b/>
                <w:bCs/>
                <w:sz w:val="21"/>
                <w:szCs w:val="21"/>
              </w:rPr>
              <w:t>发行股份购买资产之后</w:t>
            </w:r>
            <w:r>
              <w:rPr>
                <w:rFonts w:ascii="宋体" w:hAnsi="宋体" w:cs="宋体" w:eastAsia="宋体" w:hint="default"/>
                <w:sz w:val="21"/>
                <w:szCs w:val="21"/>
              </w:rPr>
            </w:r>
          </w:p>
        </w:tc>
        <w:tc>
          <w:tcPr>
            <w:tcW w:w="265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470" w:right="0"/>
              <w:jc w:val="left"/>
              <w:rPr>
                <w:rFonts w:ascii="宋体" w:hAnsi="宋体" w:cs="宋体" w:eastAsia="宋体" w:hint="default"/>
                <w:sz w:val="21"/>
                <w:szCs w:val="21"/>
              </w:rPr>
            </w:pPr>
            <w:r>
              <w:rPr>
                <w:rFonts w:ascii="宋体" w:hAnsi="宋体" w:cs="宋体" w:eastAsia="宋体" w:hint="default"/>
                <w:b/>
                <w:bCs/>
                <w:sz w:val="21"/>
                <w:szCs w:val="21"/>
              </w:rPr>
              <w:t>募集配套资金之后</w:t>
            </w:r>
            <w:r>
              <w:rPr>
                <w:rFonts w:ascii="宋体" w:hAnsi="宋体" w:cs="宋体" w:eastAsia="宋体" w:hint="default"/>
                <w:sz w:val="21"/>
                <w:szCs w:val="21"/>
              </w:rPr>
            </w:r>
          </w:p>
        </w:tc>
      </w:tr>
      <w:tr>
        <w:trPr>
          <w:trHeight w:val="305" w:hRule="exact"/>
        </w:trPr>
        <w:tc>
          <w:tcPr>
            <w:tcW w:w="1560" w:type="dxa"/>
            <w:vMerge/>
            <w:tcBorders>
              <w:left w:val="single" w:sz="8" w:space="0" w:color="000000"/>
              <w:bottom w:val="single" w:sz="8" w:space="0" w:color="000000"/>
              <w:right w:val="single" w:sz="8" w:space="0" w:color="000000"/>
            </w:tcBorders>
          </w:tcPr>
          <w:p>
            <w:pP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39"/>
              <w:jc w:val="right"/>
              <w:rPr>
                <w:rFonts w:ascii="宋体" w:hAnsi="宋体" w:cs="宋体" w:eastAsia="宋体" w:hint="default"/>
                <w:sz w:val="21"/>
                <w:szCs w:val="21"/>
              </w:rPr>
            </w:pPr>
            <w:r>
              <w:rPr>
                <w:rFonts w:ascii="宋体" w:hAnsi="宋体" w:cs="宋体" w:eastAsia="宋体" w:hint="default"/>
                <w:b/>
                <w:bCs/>
                <w:sz w:val="21"/>
                <w:szCs w:val="21"/>
              </w:rPr>
              <w:t>股份数（万股）</w:t>
            </w:r>
            <w:r>
              <w:rPr>
                <w:rFonts w:ascii="宋体" w:hAnsi="宋体" w:cs="宋体" w:eastAsia="宋体" w:hint="default"/>
                <w:sz w:val="21"/>
                <w:szCs w:val="21"/>
              </w:rPr>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87"/>
              <w:jc w:val="right"/>
              <w:rPr>
                <w:rFonts w:ascii="宋体" w:hAnsi="宋体" w:cs="宋体" w:eastAsia="宋体" w:hint="default"/>
                <w:sz w:val="21"/>
                <w:szCs w:val="21"/>
              </w:rPr>
            </w:pPr>
            <w:r>
              <w:rPr>
                <w:rFonts w:ascii="宋体" w:hAnsi="宋体" w:cs="宋体" w:eastAsia="宋体" w:hint="default"/>
                <w:b/>
                <w:bCs/>
                <w:spacing w:val="-1"/>
                <w:sz w:val="21"/>
                <w:szCs w:val="21"/>
              </w:rPr>
              <w:t>股份数（万股）</w:t>
            </w:r>
            <w:r>
              <w:rPr>
                <w:rFonts w:ascii="宋体" w:hAnsi="宋体" w:cs="宋体" w:eastAsia="宋体" w:hint="default"/>
                <w:spacing w:val="-1"/>
                <w:sz w:val="21"/>
                <w:szCs w:val="21"/>
              </w:rPr>
            </w:r>
          </w:p>
        </w:tc>
        <w:tc>
          <w:tcPr>
            <w:tcW w:w="96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87"/>
              <w:jc w:val="right"/>
              <w:rPr>
                <w:rFonts w:ascii="宋体" w:hAnsi="宋体" w:cs="宋体" w:eastAsia="宋体" w:hint="default"/>
                <w:sz w:val="21"/>
                <w:szCs w:val="21"/>
              </w:rPr>
            </w:pPr>
            <w:r>
              <w:rPr>
                <w:rFonts w:ascii="宋体" w:hAnsi="宋体" w:cs="宋体" w:eastAsia="宋体" w:hint="default"/>
                <w:b/>
                <w:bCs/>
                <w:spacing w:val="-1"/>
                <w:sz w:val="21"/>
                <w:szCs w:val="21"/>
              </w:rPr>
              <w:t>股份数（万股）</w:t>
            </w:r>
            <w:r>
              <w:rPr>
                <w:rFonts w:ascii="宋体" w:hAnsi="宋体" w:cs="宋体" w:eastAsia="宋体" w:hint="default"/>
                <w:spacing w:val="-1"/>
                <w:sz w:val="21"/>
                <w:szCs w:val="21"/>
              </w:rPr>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64"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564"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科达集团及其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2"/>
              <w:jc w:val="right"/>
              <w:rPr>
                <w:rFonts w:ascii="宋体" w:hAnsi="宋体" w:cs="宋体" w:eastAsia="宋体" w:hint="default"/>
                <w:sz w:val="21"/>
                <w:szCs w:val="21"/>
              </w:rPr>
            </w:pPr>
            <w:r>
              <w:rPr>
                <w:rFonts w:ascii="宋体"/>
                <w:spacing w:val="-1"/>
                <w:sz w:val="21"/>
              </w:rPr>
              <w:t>10,094.3178</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sz w:val="21"/>
              </w:rPr>
              <w:t>30.11%</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10,094.3178</w:t>
            </w:r>
          </w:p>
        </w:tc>
        <w:tc>
          <w:tcPr>
            <w:tcW w:w="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22" w:right="0"/>
              <w:jc w:val="center"/>
              <w:rPr>
                <w:rFonts w:ascii="宋体" w:hAnsi="宋体" w:cs="宋体" w:eastAsia="宋体" w:hint="default"/>
                <w:sz w:val="21"/>
                <w:szCs w:val="21"/>
              </w:rPr>
            </w:pPr>
            <w:r>
              <w:rPr>
                <w:rFonts w:ascii="宋体"/>
                <w:sz w:val="21"/>
              </w:rPr>
              <w:t>13.72%</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16,724.3778</w:t>
            </w:r>
            <w:r>
              <w:rPr>
                <w:rFonts w:ascii="宋体"/>
                <w:sz w:val="21"/>
              </w:rPr>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sz w:val="21"/>
              </w:rPr>
              <w:t>19.25%</w:t>
            </w:r>
          </w:p>
        </w:tc>
      </w:tr>
      <w:tr>
        <w:trPr>
          <w:trHeight w:val="564"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好望角及其一</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致行动人</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w w:val="100"/>
                <w:sz w:val="21"/>
              </w:rPr>
              <w:t>-</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w w:val="100"/>
                <w:sz w:val="21"/>
              </w:rPr>
              <w:t>-</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8,975.7195</w:t>
            </w:r>
          </w:p>
        </w:tc>
        <w:tc>
          <w:tcPr>
            <w:tcW w:w="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22" w:right="0"/>
              <w:jc w:val="center"/>
              <w:rPr>
                <w:rFonts w:ascii="宋体" w:hAnsi="宋体" w:cs="宋体" w:eastAsia="宋体" w:hint="default"/>
                <w:sz w:val="21"/>
                <w:szCs w:val="21"/>
              </w:rPr>
            </w:pPr>
            <w:r>
              <w:rPr>
                <w:rFonts w:ascii="宋体"/>
                <w:sz w:val="21"/>
              </w:rPr>
              <w:t>12.20%</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14,545.7195</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sz w:val="21"/>
              </w:rPr>
              <w:t>16.74%</w:t>
            </w:r>
          </w:p>
        </w:tc>
      </w:tr>
      <w:tr>
        <w:trPr>
          <w:trHeight w:val="566"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褚明理及其关</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联方</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w w:val="100"/>
                <w:sz w:val="21"/>
              </w:rPr>
              <w:t>-</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w w:val="100"/>
                <w:sz w:val="21"/>
              </w:rPr>
              <w:t>-</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7,633.4685</w:t>
            </w:r>
          </w:p>
        </w:tc>
        <w:tc>
          <w:tcPr>
            <w:tcW w:w="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22" w:right="0"/>
              <w:jc w:val="center"/>
              <w:rPr>
                <w:rFonts w:ascii="宋体" w:hAnsi="宋体" w:cs="宋体" w:eastAsia="宋体" w:hint="default"/>
                <w:sz w:val="21"/>
                <w:szCs w:val="21"/>
              </w:rPr>
            </w:pPr>
            <w:r>
              <w:rPr>
                <w:rFonts w:ascii="宋体"/>
                <w:sz w:val="21"/>
              </w:rPr>
              <w:t>10.38%</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7,633.4685</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sz w:val="21"/>
              </w:rPr>
              <w:t>8.79%</w:t>
            </w:r>
          </w:p>
        </w:tc>
      </w:tr>
    </w:tbl>
    <w:p>
      <w:pPr>
        <w:spacing w:after="0" w:line="240" w:lineRule="auto"/>
        <w:jc w:val="left"/>
        <w:rPr>
          <w:rFonts w:ascii="宋体" w:hAnsi="宋体" w:cs="宋体" w:eastAsia="宋体" w:hint="default"/>
          <w:sz w:val="21"/>
          <w:szCs w:val="21"/>
        </w:rPr>
        <w:sectPr>
          <w:type w:val="continuous"/>
          <w:pgSz w:w="11910" w:h="16840"/>
          <w:pgMar w:top="1280" w:bottom="1380" w:left="1360" w:right="820"/>
        </w:sectPr>
      </w:pPr>
    </w:p>
    <w:p>
      <w:pPr>
        <w:spacing w:line="240" w:lineRule="auto" w:before="5"/>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1560"/>
        <w:gridCol w:w="1637"/>
        <w:gridCol w:w="970"/>
        <w:gridCol w:w="1683"/>
        <w:gridCol w:w="967"/>
        <w:gridCol w:w="1683"/>
        <w:gridCol w:w="970"/>
      </w:tblGrid>
      <w:tr>
        <w:trPr>
          <w:trHeight w:val="296" w:hRule="exact"/>
        </w:trPr>
        <w:tc>
          <w:tcPr>
            <w:tcW w:w="1560" w:type="dxa"/>
            <w:tcBorders>
              <w:top w:val="nil" w:sz="6" w:space="0" w:color="auto"/>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百仕成投资</w:t>
            </w:r>
          </w:p>
        </w:tc>
        <w:tc>
          <w:tcPr>
            <w:tcW w:w="1637" w:type="dxa"/>
            <w:tcBorders>
              <w:top w:val="nil" w:sz="6" w:space="0" w:color="auto"/>
              <w:left w:val="single" w:sz="8" w:space="0" w:color="000000"/>
              <w:bottom w:val="single" w:sz="8" w:space="0" w:color="000000"/>
              <w:right w:val="single" w:sz="8" w:space="0" w:color="000000"/>
            </w:tcBorders>
          </w:tcPr>
          <w:p>
            <w:pPr>
              <w:pStyle w:val="TableParagraph"/>
              <w:spacing w:line="248" w:lineRule="exact"/>
              <w:ind w:right="95"/>
              <w:jc w:val="right"/>
              <w:rPr>
                <w:rFonts w:ascii="宋体" w:hAnsi="宋体" w:cs="宋体" w:eastAsia="宋体" w:hint="default"/>
                <w:sz w:val="21"/>
                <w:szCs w:val="21"/>
              </w:rPr>
            </w:pPr>
            <w:r>
              <w:rPr>
                <w:rFonts w:ascii="宋体"/>
                <w:w w:val="100"/>
                <w:sz w:val="21"/>
              </w:rPr>
              <w:t>-</w:t>
            </w:r>
          </w:p>
        </w:tc>
        <w:tc>
          <w:tcPr>
            <w:tcW w:w="970" w:type="dxa"/>
            <w:tcBorders>
              <w:top w:val="nil" w:sz="6" w:space="0" w:color="auto"/>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w w:val="100"/>
                <w:sz w:val="21"/>
              </w:rPr>
              <w:t>-</w:t>
            </w:r>
          </w:p>
        </w:tc>
        <w:tc>
          <w:tcPr>
            <w:tcW w:w="1683" w:type="dxa"/>
            <w:tcBorders>
              <w:top w:val="nil" w:sz="6" w:space="0" w:color="auto"/>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6,883.5432</w:t>
            </w:r>
          </w:p>
        </w:tc>
        <w:tc>
          <w:tcPr>
            <w:tcW w:w="967" w:type="dxa"/>
            <w:tcBorders>
              <w:top w:val="nil" w:sz="6" w:space="0" w:color="auto"/>
              <w:left w:val="single" w:sz="8" w:space="0" w:color="000000"/>
              <w:bottom w:val="single" w:sz="8" w:space="0" w:color="000000"/>
              <w:right w:val="single" w:sz="8" w:space="0" w:color="000000"/>
            </w:tcBorders>
          </w:tcPr>
          <w:p>
            <w:pPr>
              <w:pStyle w:val="TableParagraph"/>
              <w:spacing w:line="248" w:lineRule="exact"/>
              <w:ind w:right="95"/>
              <w:jc w:val="right"/>
              <w:rPr>
                <w:rFonts w:ascii="宋体" w:hAnsi="宋体" w:cs="宋体" w:eastAsia="宋体" w:hint="default"/>
                <w:sz w:val="21"/>
                <w:szCs w:val="21"/>
              </w:rPr>
            </w:pPr>
            <w:r>
              <w:rPr>
                <w:rFonts w:ascii="宋体"/>
                <w:sz w:val="21"/>
              </w:rPr>
              <w:t>9.36%</w:t>
            </w:r>
          </w:p>
        </w:tc>
        <w:tc>
          <w:tcPr>
            <w:tcW w:w="1683" w:type="dxa"/>
            <w:tcBorders>
              <w:top w:val="nil" w:sz="6" w:space="0" w:color="auto"/>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6,883.5432</w:t>
            </w:r>
          </w:p>
        </w:tc>
        <w:tc>
          <w:tcPr>
            <w:tcW w:w="970" w:type="dxa"/>
            <w:tcBorders>
              <w:top w:val="nil" w:sz="6" w:space="0" w:color="auto"/>
              <w:left w:val="single" w:sz="8" w:space="0" w:color="000000"/>
              <w:bottom w:val="single" w:sz="8" w:space="0" w:color="000000"/>
              <w:right w:val="single" w:sz="8" w:space="0" w:color="000000"/>
            </w:tcBorders>
          </w:tcPr>
          <w:p>
            <w:pPr>
              <w:pStyle w:val="TableParagraph"/>
              <w:spacing w:line="248" w:lineRule="exact"/>
              <w:ind w:right="95"/>
              <w:jc w:val="right"/>
              <w:rPr>
                <w:rFonts w:ascii="宋体" w:hAnsi="宋体" w:cs="宋体" w:eastAsia="宋体" w:hint="default"/>
                <w:sz w:val="21"/>
                <w:szCs w:val="21"/>
              </w:rPr>
            </w:pPr>
            <w:r>
              <w:rPr>
                <w:rFonts w:ascii="宋体"/>
                <w:sz w:val="21"/>
              </w:rPr>
              <w:t>7.92%</w:t>
            </w:r>
          </w:p>
        </w:tc>
      </w:tr>
      <w:tr>
        <w:trPr>
          <w:trHeight w:val="564"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其他购买资产</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交易对方</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w w:val="100"/>
                <w:sz w:val="21"/>
              </w:rPr>
              <w:t>-</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w w:val="100"/>
                <w:sz w:val="21"/>
              </w:rPr>
              <w:t>-</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16,528.9403</w:t>
            </w:r>
          </w:p>
        </w:tc>
        <w:tc>
          <w:tcPr>
            <w:tcW w:w="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sz w:val="21"/>
              </w:rPr>
              <w:t>22.47%</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16,528.9403</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sz w:val="21"/>
              </w:rPr>
              <w:t>19.02%</w:t>
            </w:r>
          </w:p>
        </w:tc>
      </w:tr>
      <w:tr>
        <w:trPr>
          <w:trHeight w:val="566"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其他配套融资</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认购对象</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5"/>
              <w:jc w:val="right"/>
              <w:rPr>
                <w:rFonts w:ascii="宋体" w:hAnsi="宋体" w:cs="宋体" w:eastAsia="宋体" w:hint="default"/>
                <w:sz w:val="21"/>
                <w:szCs w:val="21"/>
              </w:rPr>
            </w:pPr>
            <w:r>
              <w:rPr>
                <w:rFonts w:ascii="宋体"/>
                <w:w w:val="100"/>
                <w:sz w:val="21"/>
              </w:rPr>
              <w:t>-</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w w:val="100"/>
                <w:sz w:val="21"/>
              </w:rPr>
              <w:t>-</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w w:val="100"/>
                <w:sz w:val="21"/>
              </w:rPr>
              <w:t>-</w:t>
            </w:r>
          </w:p>
        </w:tc>
        <w:tc>
          <w:tcPr>
            <w:tcW w:w="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w w:val="100"/>
                <w:sz w:val="21"/>
              </w:rPr>
              <w:t>-</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1,100.0000</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5"/>
              <w:jc w:val="right"/>
              <w:rPr>
                <w:rFonts w:ascii="宋体" w:hAnsi="宋体" w:cs="宋体" w:eastAsia="宋体" w:hint="default"/>
                <w:sz w:val="21"/>
                <w:szCs w:val="21"/>
              </w:rPr>
            </w:pPr>
            <w:r>
              <w:rPr>
                <w:rFonts w:ascii="宋体"/>
                <w:sz w:val="21"/>
              </w:rPr>
              <w:t>1.27%</w:t>
            </w:r>
          </w:p>
        </w:tc>
      </w:tr>
      <w:tr>
        <w:trPr>
          <w:trHeight w:val="564"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原其他流通</w:t>
            </w:r>
            <w:r>
              <w:rPr>
                <w:rFonts w:ascii="宋体" w:hAnsi="宋体" w:cs="宋体" w:eastAsia="宋体" w:hint="default"/>
                <w:spacing w:val="-53"/>
                <w:sz w:val="21"/>
                <w:szCs w:val="21"/>
              </w:rPr>
              <w:t> </w:t>
            </w:r>
            <w:r>
              <w:rPr>
                <w:rFonts w:ascii="宋体" w:hAnsi="宋体" w:cs="宋体" w:eastAsia="宋体" w:hint="default"/>
                <w:sz w:val="21"/>
                <w:szCs w:val="21"/>
              </w:rPr>
              <w:t>A</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股股东</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23,432.6530</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sz w:val="21"/>
              </w:rPr>
              <w:t>69.89%</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23,432.6530</w:t>
            </w:r>
          </w:p>
        </w:tc>
        <w:tc>
          <w:tcPr>
            <w:tcW w:w="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sz w:val="21"/>
              </w:rPr>
              <w:t>31.86%</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23,432.6530</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sz w:val="21"/>
              </w:rPr>
              <w:t>26.97%</w:t>
            </w:r>
          </w:p>
        </w:tc>
      </w:tr>
      <w:tr>
        <w:trPr>
          <w:trHeight w:val="305"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4"/>
              <w:jc w:val="right"/>
              <w:rPr>
                <w:rFonts w:ascii="宋体" w:hAnsi="宋体" w:cs="宋体" w:eastAsia="宋体" w:hint="default"/>
                <w:sz w:val="21"/>
                <w:szCs w:val="21"/>
              </w:rPr>
            </w:pPr>
            <w:r>
              <w:rPr>
                <w:rFonts w:ascii="宋体"/>
                <w:b/>
                <w:w w:val="95"/>
                <w:sz w:val="21"/>
              </w:rPr>
              <w:t>33,526.9708</w:t>
            </w:r>
            <w:r>
              <w:rPr>
                <w:rFonts w:ascii="宋体"/>
                <w:sz w:val="21"/>
              </w:rPr>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108"/>
              <w:jc w:val="right"/>
              <w:rPr>
                <w:rFonts w:ascii="宋体" w:hAnsi="宋体" w:cs="宋体" w:eastAsia="宋体" w:hint="default"/>
                <w:sz w:val="21"/>
                <w:szCs w:val="21"/>
              </w:rPr>
            </w:pPr>
            <w:r>
              <w:rPr>
                <w:rFonts w:ascii="宋体"/>
                <w:b/>
                <w:sz w:val="21"/>
              </w:rPr>
              <w:t>100.00%</w:t>
            </w:r>
            <w:r>
              <w:rPr>
                <w:rFonts w:ascii="宋体"/>
                <w:sz w:val="21"/>
              </w:rPr>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9"/>
              <w:jc w:val="right"/>
              <w:rPr>
                <w:rFonts w:ascii="宋体" w:hAnsi="宋体" w:cs="宋体" w:eastAsia="宋体" w:hint="default"/>
                <w:sz w:val="21"/>
                <w:szCs w:val="21"/>
              </w:rPr>
            </w:pPr>
            <w:r>
              <w:rPr>
                <w:rFonts w:ascii="宋体"/>
                <w:b/>
                <w:w w:val="95"/>
                <w:sz w:val="21"/>
              </w:rPr>
              <w:t>73,548.6423</w:t>
            </w:r>
            <w:r>
              <w:rPr>
                <w:rFonts w:ascii="宋体"/>
                <w:sz w:val="21"/>
              </w:rPr>
            </w:r>
          </w:p>
        </w:tc>
        <w:tc>
          <w:tcPr>
            <w:tcW w:w="96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108"/>
              <w:jc w:val="right"/>
              <w:rPr>
                <w:rFonts w:ascii="宋体" w:hAnsi="宋体" w:cs="宋体" w:eastAsia="宋体" w:hint="default"/>
                <w:sz w:val="21"/>
                <w:szCs w:val="21"/>
              </w:rPr>
            </w:pPr>
            <w:r>
              <w:rPr>
                <w:rFonts w:ascii="宋体"/>
                <w:b/>
                <w:sz w:val="21"/>
              </w:rPr>
              <w:t>100.00%</w:t>
            </w:r>
            <w:r>
              <w:rPr>
                <w:rFonts w:ascii="宋体"/>
                <w:sz w:val="21"/>
              </w:rPr>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9"/>
              <w:jc w:val="right"/>
              <w:rPr>
                <w:rFonts w:ascii="宋体" w:hAnsi="宋体" w:cs="宋体" w:eastAsia="宋体" w:hint="default"/>
                <w:sz w:val="21"/>
                <w:szCs w:val="21"/>
              </w:rPr>
            </w:pPr>
            <w:r>
              <w:rPr>
                <w:rFonts w:ascii="宋体"/>
                <w:b/>
                <w:w w:val="95"/>
                <w:sz w:val="21"/>
              </w:rPr>
              <w:t>86,888.6423</w:t>
            </w:r>
            <w:r>
              <w:rPr>
                <w:rFonts w:ascii="宋体"/>
                <w:sz w:val="21"/>
              </w:rPr>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108"/>
              <w:jc w:val="right"/>
              <w:rPr>
                <w:rFonts w:ascii="宋体" w:hAnsi="宋体" w:cs="宋体" w:eastAsia="宋体" w:hint="default"/>
                <w:sz w:val="21"/>
                <w:szCs w:val="21"/>
              </w:rPr>
            </w:pPr>
            <w:r>
              <w:rPr>
                <w:rFonts w:ascii="宋体"/>
                <w:b/>
                <w:sz w:val="21"/>
              </w:rPr>
              <w:t>100.00%</w:t>
            </w:r>
            <w:r>
              <w:rPr>
                <w:rFonts w:ascii="宋体"/>
                <w:sz w:val="21"/>
              </w:rPr>
            </w:r>
          </w:p>
        </w:tc>
      </w:tr>
    </w:tbl>
    <w:p>
      <w:pPr>
        <w:pStyle w:val="BodyText"/>
        <w:spacing w:line="314" w:lineRule="auto" w:before="42"/>
        <w:ind w:left="438" w:right="0" w:firstLine="419"/>
        <w:jc w:val="left"/>
      </w:pPr>
      <w:r>
        <w:rPr/>
        <w:pict>
          <v:shape style="position:absolute;margin-left:95.664001pt;margin-top:35.963638pt;width:430.8pt;height:211.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9"/>
                    <w:gridCol w:w="1637"/>
                    <w:gridCol w:w="970"/>
                    <w:gridCol w:w="1680"/>
                    <w:gridCol w:w="1731"/>
                  </w:tblGrid>
                  <w:tr>
                    <w:trPr>
                      <w:trHeight w:val="307" w:hRule="exact"/>
                    </w:trPr>
                    <w:tc>
                      <w:tcPr>
                        <w:tcW w:w="2569" w:type="dxa"/>
                        <w:vMerge w:val="restart"/>
                        <w:tcBorders>
                          <w:top w:val="single" w:sz="8" w:space="0" w:color="000000"/>
                          <w:left w:val="single" w:sz="8" w:space="0" w:color="000000"/>
                          <w:right w:val="single" w:sz="8" w:space="0" w:color="000000"/>
                        </w:tcBorders>
                      </w:tcPr>
                      <w:p>
                        <w:pPr>
                          <w:pStyle w:val="TableParagraph"/>
                          <w:spacing w:line="240" w:lineRule="auto" w:before="127"/>
                          <w:ind w:right="3"/>
                          <w:jc w:val="center"/>
                          <w:rPr>
                            <w:rFonts w:ascii="宋体" w:hAnsi="宋体" w:cs="宋体" w:eastAsia="宋体" w:hint="default"/>
                            <w:sz w:val="21"/>
                            <w:szCs w:val="21"/>
                          </w:rPr>
                        </w:pPr>
                        <w:r>
                          <w:rPr>
                            <w:rFonts w:ascii="宋体" w:hAnsi="宋体" w:cs="宋体" w:eastAsia="宋体" w:hint="default"/>
                            <w:sz w:val="21"/>
                            <w:szCs w:val="21"/>
                          </w:rPr>
                          <w:t>股东</w:t>
                        </w:r>
                      </w:p>
                    </w:tc>
                    <w:tc>
                      <w:tcPr>
                        <w:tcW w:w="2607" w:type="dxa"/>
                        <w:gridSpan w:val="2"/>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554" w:right="0"/>
                          <w:jc w:val="left"/>
                          <w:rPr>
                            <w:rFonts w:ascii="宋体" w:hAnsi="宋体" w:cs="宋体" w:eastAsia="宋体" w:hint="default"/>
                            <w:sz w:val="21"/>
                            <w:szCs w:val="21"/>
                          </w:rPr>
                        </w:pPr>
                        <w:r>
                          <w:rPr>
                            <w:rFonts w:ascii="宋体" w:hAnsi="宋体" w:cs="宋体" w:eastAsia="宋体" w:hint="default"/>
                            <w:sz w:val="21"/>
                            <w:szCs w:val="21"/>
                          </w:rPr>
                          <w:t>解除一致行动前</w:t>
                        </w:r>
                      </w:p>
                    </w:tc>
                    <w:tc>
                      <w:tcPr>
                        <w:tcW w:w="341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0" w:right="0"/>
                          <w:jc w:val="left"/>
                          <w:rPr>
                            <w:rFonts w:ascii="宋体" w:hAnsi="宋体" w:cs="宋体" w:eastAsia="宋体" w:hint="default"/>
                            <w:sz w:val="21"/>
                            <w:szCs w:val="21"/>
                          </w:rPr>
                        </w:pPr>
                        <w:r>
                          <w:rPr>
                            <w:rFonts w:ascii="宋体" w:hAnsi="宋体" w:cs="宋体" w:eastAsia="宋体" w:hint="default"/>
                            <w:sz w:val="21"/>
                            <w:szCs w:val="21"/>
                          </w:rPr>
                          <w:t>解除一致行动后</w:t>
                        </w:r>
                      </w:p>
                    </w:tc>
                  </w:tr>
                  <w:tr>
                    <w:trPr>
                      <w:trHeight w:val="305" w:hRule="exact"/>
                    </w:trPr>
                    <w:tc>
                      <w:tcPr>
                        <w:tcW w:w="2569" w:type="dxa"/>
                        <w:vMerge/>
                        <w:tcBorders>
                          <w:left w:val="single" w:sz="8" w:space="0" w:color="000000"/>
                          <w:bottom w:val="single" w:sz="8" w:space="0" w:color="000000"/>
                          <w:right w:val="single" w:sz="8" w:space="0" w:color="000000"/>
                        </w:tcBorders>
                      </w:tcPr>
                      <w:p>
                        <w:pP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45"/>
                          <w:jc w:val="right"/>
                          <w:rPr>
                            <w:rFonts w:ascii="宋体" w:hAnsi="宋体" w:cs="宋体" w:eastAsia="宋体" w:hint="default"/>
                            <w:sz w:val="21"/>
                            <w:szCs w:val="21"/>
                          </w:rPr>
                        </w:pPr>
                        <w:r>
                          <w:rPr>
                            <w:rFonts w:ascii="宋体" w:hAnsi="宋体" w:cs="宋体" w:eastAsia="宋体" w:hint="default"/>
                            <w:spacing w:val="-1"/>
                            <w:sz w:val="21"/>
                            <w:szCs w:val="21"/>
                          </w:rPr>
                          <w:t>股份数（万股）</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26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88"/>
                          <w:jc w:val="right"/>
                          <w:rPr>
                            <w:rFonts w:ascii="宋体" w:hAnsi="宋体" w:cs="宋体" w:eastAsia="宋体" w:hint="default"/>
                            <w:sz w:val="21"/>
                            <w:szCs w:val="21"/>
                          </w:rPr>
                        </w:pPr>
                        <w:r>
                          <w:rPr>
                            <w:rFonts w:ascii="宋体" w:hAnsi="宋体" w:cs="宋体" w:eastAsia="宋体" w:hint="default"/>
                            <w:spacing w:val="-2"/>
                            <w:sz w:val="21"/>
                            <w:szCs w:val="21"/>
                          </w:rPr>
                          <w:t>股份数（万股）</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3"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05" w:hRule="exact"/>
                    </w:trPr>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5" w:right="0"/>
                          <w:jc w:val="left"/>
                          <w:rPr>
                            <w:rFonts w:ascii="宋体" w:hAnsi="宋体" w:cs="宋体" w:eastAsia="宋体" w:hint="default"/>
                            <w:sz w:val="21"/>
                            <w:szCs w:val="21"/>
                          </w:rPr>
                        </w:pPr>
                        <w:r>
                          <w:rPr>
                            <w:rFonts w:ascii="宋体" w:hAnsi="宋体" w:cs="宋体" w:eastAsia="宋体" w:hint="default"/>
                            <w:sz w:val="21"/>
                            <w:szCs w:val="21"/>
                          </w:rPr>
                          <w:t>科达集团及其关联方</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16,724.3778</w:t>
                        </w:r>
                        <w:r>
                          <w:rPr>
                            <w:rFonts w:ascii="宋体"/>
                            <w:sz w:val="21"/>
                          </w:rPr>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5"/>
                          <w:jc w:val="right"/>
                          <w:rPr>
                            <w:rFonts w:ascii="宋体" w:hAnsi="宋体" w:cs="宋体" w:eastAsia="宋体" w:hint="default"/>
                            <w:sz w:val="21"/>
                            <w:szCs w:val="21"/>
                          </w:rPr>
                        </w:pPr>
                        <w:r>
                          <w:rPr>
                            <w:rFonts w:ascii="宋体"/>
                            <w:sz w:val="21"/>
                          </w:rPr>
                          <w:t>19.25%</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16,724.3778</w:t>
                        </w:r>
                        <w:r>
                          <w:rPr>
                            <w:rFonts w:ascii="宋体"/>
                            <w:sz w:val="21"/>
                          </w:rPr>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5"/>
                          <w:jc w:val="right"/>
                          <w:rPr>
                            <w:rFonts w:ascii="宋体" w:hAnsi="宋体" w:cs="宋体" w:eastAsia="宋体" w:hint="default"/>
                            <w:sz w:val="21"/>
                            <w:szCs w:val="21"/>
                          </w:rPr>
                        </w:pPr>
                        <w:r>
                          <w:rPr>
                            <w:rFonts w:ascii="宋体"/>
                            <w:sz w:val="21"/>
                          </w:rPr>
                          <w:t>19.25%</w:t>
                        </w:r>
                      </w:p>
                    </w:tc>
                  </w:tr>
                  <w:tr>
                    <w:trPr>
                      <w:trHeight w:val="835" w:hRule="exact"/>
                    </w:trPr>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z w:val="21"/>
                            <w:szCs w:val="21"/>
                          </w:rPr>
                          <w:t>好望角及其一致行动人、</w:t>
                        </w:r>
                      </w:p>
                      <w:p>
                        <w:pPr>
                          <w:pStyle w:val="TableParagraph"/>
                          <w:spacing w:line="272" w:lineRule="exact" w:before="27"/>
                          <w:ind w:left="95" w:right="137"/>
                          <w:jc w:val="left"/>
                          <w:rPr>
                            <w:rFonts w:ascii="宋体" w:hAnsi="宋体" w:cs="宋体" w:eastAsia="宋体" w:hint="default"/>
                            <w:sz w:val="21"/>
                            <w:szCs w:val="21"/>
                          </w:rPr>
                        </w:pPr>
                        <w:r>
                          <w:rPr>
                            <w:rFonts w:ascii="宋体" w:hAnsi="宋体" w:cs="宋体" w:eastAsia="宋体" w:hint="default"/>
                            <w:sz w:val="21"/>
                            <w:szCs w:val="21"/>
                          </w:rPr>
                          <w:t>陈伟及其一致行动人、徐</w:t>
                        </w:r>
                        <w:r>
                          <w:rPr>
                            <w:rFonts w:ascii="宋体" w:hAnsi="宋体" w:cs="宋体" w:eastAsia="宋体" w:hint="default"/>
                            <w:w w:val="100"/>
                            <w:sz w:val="21"/>
                            <w:szCs w:val="21"/>
                          </w:rPr>
                          <w:t> </w:t>
                        </w:r>
                        <w:r>
                          <w:rPr>
                            <w:rFonts w:ascii="宋体" w:hAnsi="宋体" w:cs="宋体" w:eastAsia="宋体" w:hint="default"/>
                            <w:sz w:val="21"/>
                            <w:szCs w:val="21"/>
                          </w:rPr>
                          <w:t>永忠、童云洪</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14,545.7195</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z w:val="21"/>
                          </w:rPr>
                          <w:t>16.74%</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w w:val="100"/>
                            <w:sz w:val="21"/>
                          </w:rPr>
                          <w:t>-</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w w:val="100"/>
                            <w:sz w:val="21"/>
                          </w:rPr>
                          <w:t>-</w:t>
                        </w:r>
                      </w:p>
                    </w:tc>
                  </w:tr>
                  <w:tr>
                    <w:trPr>
                      <w:trHeight w:val="307" w:hRule="exact"/>
                    </w:trPr>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5" w:right="0"/>
                          <w:jc w:val="left"/>
                          <w:rPr>
                            <w:rFonts w:ascii="宋体" w:hAnsi="宋体" w:cs="宋体" w:eastAsia="宋体" w:hint="default"/>
                            <w:sz w:val="21"/>
                            <w:szCs w:val="21"/>
                          </w:rPr>
                        </w:pPr>
                        <w:r>
                          <w:rPr>
                            <w:rFonts w:ascii="宋体" w:hAnsi="宋体" w:cs="宋体" w:eastAsia="宋体" w:hint="default"/>
                            <w:sz w:val="21"/>
                            <w:szCs w:val="21"/>
                          </w:rPr>
                          <w:t>好望角及其一致行动人</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w w:val="100"/>
                            <w:sz w:val="21"/>
                          </w:rPr>
                          <w:t>-</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w w:val="100"/>
                            <w:sz w:val="21"/>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11,347.5611</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13.06%</w:t>
                        </w:r>
                      </w:p>
                    </w:tc>
                  </w:tr>
                  <w:tr>
                    <w:trPr>
                      <w:trHeight w:val="319" w:hRule="exact"/>
                    </w:trPr>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5" w:right="0"/>
                          <w:jc w:val="left"/>
                          <w:rPr>
                            <w:rFonts w:ascii="宋体" w:hAnsi="宋体" w:cs="宋体" w:eastAsia="宋体" w:hint="default"/>
                            <w:sz w:val="21"/>
                            <w:szCs w:val="21"/>
                          </w:rPr>
                        </w:pPr>
                        <w:r>
                          <w:rPr>
                            <w:rFonts w:ascii="宋体" w:hAnsi="宋体" w:cs="宋体" w:eastAsia="宋体" w:hint="default"/>
                            <w:sz w:val="21"/>
                            <w:szCs w:val="21"/>
                          </w:rPr>
                          <w:t>褚明理及其关联方</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3"/>
                          <w:jc w:val="right"/>
                          <w:rPr>
                            <w:rFonts w:ascii="宋体" w:hAnsi="宋体" w:cs="宋体" w:eastAsia="宋体" w:hint="default"/>
                            <w:sz w:val="21"/>
                            <w:szCs w:val="21"/>
                          </w:rPr>
                        </w:pPr>
                        <w:r>
                          <w:rPr>
                            <w:rFonts w:ascii="宋体"/>
                            <w:spacing w:val="-1"/>
                            <w:sz w:val="21"/>
                          </w:rPr>
                          <w:t>7,633.4685</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5"/>
                          <w:jc w:val="right"/>
                          <w:rPr>
                            <w:rFonts w:ascii="宋体" w:hAnsi="宋体" w:cs="宋体" w:eastAsia="宋体" w:hint="default"/>
                            <w:sz w:val="21"/>
                            <w:szCs w:val="21"/>
                          </w:rPr>
                        </w:pPr>
                        <w:r>
                          <w:rPr>
                            <w:rFonts w:ascii="宋体"/>
                            <w:sz w:val="21"/>
                          </w:rPr>
                          <w:t>8.79%</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3"/>
                          <w:jc w:val="right"/>
                          <w:rPr>
                            <w:rFonts w:ascii="宋体" w:hAnsi="宋体" w:cs="宋体" w:eastAsia="宋体" w:hint="default"/>
                            <w:sz w:val="21"/>
                            <w:szCs w:val="21"/>
                          </w:rPr>
                        </w:pPr>
                        <w:r>
                          <w:rPr>
                            <w:rFonts w:ascii="宋体"/>
                            <w:spacing w:val="-1"/>
                            <w:sz w:val="21"/>
                          </w:rPr>
                          <w:t>7,633.4685</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5"/>
                          <w:jc w:val="right"/>
                          <w:rPr>
                            <w:rFonts w:ascii="宋体" w:hAnsi="宋体" w:cs="宋体" w:eastAsia="宋体" w:hint="default"/>
                            <w:sz w:val="21"/>
                            <w:szCs w:val="21"/>
                          </w:rPr>
                        </w:pPr>
                        <w:r>
                          <w:rPr>
                            <w:rFonts w:ascii="宋体"/>
                            <w:sz w:val="21"/>
                          </w:rPr>
                          <w:t>8.79%</w:t>
                        </w:r>
                      </w:p>
                    </w:tc>
                  </w:tr>
                  <w:tr>
                    <w:trPr>
                      <w:trHeight w:val="305" w:hRule="exact"/>
                    </w:trPr>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5" w:right="0"/>
                          <w:jc w:val="left"/>
                          <w:rPr>
                            <w:rFonts w:ascii="宋体" w:hAnsi="宋体" w:cs="宋体" w:eastAsia="宋体" w:hint="default"/>
                            <w:sz w:val="21"/>
                            <w:szCs w:val="21"/>
                          </w:rPr>
                        </w:pPr>
                        <w:r>
                          <w:rPr>
                            <w:rFonts w:ascii="宋体" w:hAnsi="宋体" w:cs="宋体" w:eastAsia="宋体" w:hint="default"/>
                            <w:sz w:val="21"/>
                            <w:szCs w:val="21"/>
                          </w:rPr>
                          <w:t>百仕成投资</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6,883.5432</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5"/>
                          <w:jc w:val="right"/>
                          <w:rPr>
                            <w:rFonts w:ascii="宋体" w:hAnsi="宋体" w:cs="宋体" w:eastAsia="宋体" w:hint="default"/>
                            <w:sz w:val="21"/>
                            <w:szCs w:val="21"/>
                          </w:rPr>
                        </w:pPr>
                        <w:r>
                          <w:rPr>
                            <w:rFonts w:ascii="宋体"/>
                            <w:sz w:val="21"/>
                          </w:rPr>
                          <w:t>7.92%</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6,883.5432</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5"/>
                          <w:jc w:val="right"/>
                          <w:rPr>
                            <w:rFonts w:ascii="宋体" w:hAnsi="宋体" w:cs="宋体" w:eastAsia="宋体" w:hint="default"/>
                            <w:sz w:val="21"/>
                            <w:szCs w:val="21"/>
                          </w:rPr>
                        </w:pPr>
                        <w:r>
                          <w:rPr>
                            <w:rFonts w:ascii="宋体"/>
                            <w:sz w:val="21"/>
                          </w:rPr>
                          <w:t>7.92%</w:t>
                        </w:r>
                      </w:p>
                    </w:tc>
                  </w:tr>
                  <w:tr>
                    <w:trPr>
                      <w:trHeight w:val="305" w:hRule="exact"/>
                    </w:trPr>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5" w:right="0"/>
                          <w:jc w:val="left"/>
                          <w:rPr>
                            <w:rFonts w:ascii="宋体" w:hAnsi="宋体" w:cs="宋体" w:eastAsia="宋体" w:hint="default"/>
                            <w:sz w:val="21"/>
                            <w:szCs w:val="21"/>
                          </w:rPr>
                        </w:pPr>
                        <w:r>
                          <w:rPr>
                            <w:rFonts w:ascii="宋体" w:hAnsi="宋体" w:cs="宋体" w:eastAsia="宋体" w:hint="default"/>
                            <w:sz w:val="21"/>
                            <w:szCs w:val="21"/>
                          </w:rPr>
                          <w:t>陈伟及其一致行动人</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w w:val="100"/>
                            <w:sz w:val="21"/>
                          </w:rPr>
                          <w:t>-</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w w:val="100"/>
                            <w:sz w:val="21"/>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1,950.5408</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2.24%</w:t>
                        </w:r>
                      </w:p>
                    </w:tc>
                  </w:tr>
                  <w:tr>
                    <w:trPr>
                      <w:trHeight w:val="305" w:hRule="exact"/>
                    </w:trPr>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童云洪</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w w:val="100"/>
                            <w:sz w:val="21"/>
                          </w:rPr>
                          <w:t>-</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w w:val="100"/>
                            <w:sz w:val="21"/>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1,047.3029</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1.21%</w:t>
                        </w:r>
                      </w:p>
                    </w:tc>
                  </w:tr>
                  <w:tr>
                    <w:trPr>
                      <w:trHeight w:val="305" w:hRule="exact"/>
                    </w:trPr>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徐永忠</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w w:val="100"/>
                            <w:sz w:val="21"/>
                          </w:rPr>
                          <w:t>-</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w w:val="100"/>
                            <w:sz w:val="21"/>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200.3147</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0.23%</w:t>
                        </w:r>
                      </w:p>
                    </w:tc>
                  </w:tr>
                  <w:tr>
                    <w:trPr>
                      <w:trHeight w:val="305" w:hRule="exact"/>
                    </w:trPr>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52"/>
                            <w:sz w:val="21"/>
                            <w:szCs w:val="21"/>
                          </w:rPr>
                          <w:t> </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股股东</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41,061.5933</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5"/>
                          <w:jc w:val="right"/>
                          <w:rPr>
                            <w:rFonts w:ascii="宋体" w:hAnsi="宋体" w:cs="宋体" w:eastAsia="宋体" w:hint="default"/>
                            <w:sz w:val="21"/>
                            <w:szCs w:val="21"/>
                          </w:rPr>
                        </w:pPr>
                        <w:r>
                          <w:rPr>
                            <w:rFonts w:ascii="宋体"/>
                            <w:sz w:val="21"/>
                          </w:rPr>
                          <w:t>47.26%</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43,282.0968</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5"/>
                          <w:jc w:val="right"/>
                          <w:rPr>
                            <w:rFonts w:ascii="宋体" w:hAnsi="宋体" w:cs="宋体" w:eastAsia="宋体" w:hint="default"/>
                            <w:sz w:val="21"/>
                            <w:szCs w:val="21"/>
                          </w:rPr>
                        </w:pPr>
                        <w:r>
                          <w:rPr>
                            <w:rFonts w:ascii="宋体"/>
                            <w:sz w:val="21"/>
                          </w:rPr>
                          <w:t>49.82%</w:t>
                        </w:r>
                      </w:p>
                    </w:tc>
                  </w:tr>
                  <w:tr>
                    <w:trPr>
                      <w:trHeight w:val="307" w:hRule="exact"/>
                    </w:trPr>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86,888.6423</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113"/>
                          <w:jc w:val="right"/>
                          <w:rPr>
                            <w:rFonts w:ascii="宋体" w:hAnsi="宋体" w:cs="宋体" w:eastAsia="宋体" w:hint="default"/>
                            <w:sz w:val="21"/>
                            <w:szCs w:val="21"/>
                          </w:rPr>
                        </w:pPr>
                        <w:r>
                          <w:rPr>
                            <w:rFonts w:ascii="宋体"/>
                            <w:spacing w:val="-1"/>
                            <w:sz w:val="21"/>
                          </w:rPr>
                          <w:t>100.00%</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86,888.6423</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100.00%</w:t>
                        </w:r>
                      </w:p>
                    </w:tc>
                  </w:tr>
                </w:tbl>
                <w:p>
                  <w:pPr/>
                </w:p>
              </w:txbxContent>
            </v:textbox>
            <w10:wrap type="none"/>
          </v:shape>
        </w:pict>
      </w:r>
      <w:r>
        <w:rPr/>
        <w:t>好望角及其一致行动人于</w:t>
      </w:r>
      <w:r>
        <w:rPr>
          <w:spacing w:val="-55"/>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日签署《一致行动协议之解除协议》，解除一致行</w:t>
      </w:r>
      <w:r>
        <w:rPr>
          <w:w w:val="100"/>
        </w:rPr>
        <w:t> </w:t>
      </w:r>
      <w:r>
        <w:rPr>
          <w:spacing w:val="-2"/>
        </w:rPr>
        <w:t>动关系（详见公司公告临</w:t>
      </w:r>
      <w:r>
        <w:rPr>
          <w:spacing w:val="29"/>
        </w:rPr>
        <w:t> </w:t>
      </w:r>
      <w:r>
        <w:rPr>
          <w:rFonts w:ascii="宋体" w:hAnsi="宋体" w:cs="宋体" w:eastAsia="宋体" w:hint="default"/>
          <w:spacing w:val="-2"/>
        </w:rPr>
        <w:t>2016-022</w:t>
      </w:r>
      <w:r>
        <w:rPr>
          <w:spacing w:val="-2"/>
        </w:rPr>
        <w:t>），此次一致行动人构成发生变动导致股权结构变动如下：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BodyText"/>
        <w:spacing w:line="240" w:lineRule="auto" w:before="36"/>
        <w:ind w:left="858" w:right="0"/>
        <w:jc w:val="left"/>
      </w:pPr>
      <w:r>
        <w:rPr>
          <w:rFonts w:ascii="宋体" w:hAnsi="宋体" w:cs="宋体" w:eastAsia="宋体" w:hint="default"/>
        </w:rPr>
        <w:t>2</w:t>
      </w:r>
      <w:r>
        <w:rPr/>
        <w:t>、公司报告期内资产和负债结构变动情况如下：</w:t>
      </w:r>
    </w:p>
    <w:p>
      <w:pPr>
        <w:spacing w:line="240" w:lineRule="auto" w:before="3"/>
        <w:rPr>
          <w:rFonts w:ascii="宋体" w:hAnsi="宋体" w:cs="宋体" w:eastAsia="宋体" w:hint="default"/>
          <w:sz w:val="3"/>
          <w:szCs w:val="3"/>
        </w:rPr>
      </w:pPr>
    </w:p>
    <w:tbl>
      <w:tblPr>
        <w:tblW w:w="0" w:type="auto"/>
        <w:jc w:val="left"/>
        <w:tblInd w:w="325" w:type="dxa"/>
        <w:tblLayout w:type="fixed"/>
        <w:tblCellMar>
          <w:top w:w="0" w:type="dxa"/>
          <w:left w:w="0" w:type="dxa"/>
          <w:bottom w:w="0" w:type="dxa"/>
          <w:right w:w="0" w:type="dxa"/>
        </w:tblCellMar>
        <w:tblLook w:val="01E0"/>
      </w:tblPr>
      <w:tblGrid>
        <w:gridCol w:w="1704"/>
        <w:gridCol w:w="1705"/>
        <w:gridCol w:w="1803"/>
        <w:gridCol w:w="1843"/>
        <w:gridCol w:w="1985"/>
      </w:tblGrid>
      <w:tr>
        <w:trPr>
          <w:trHeight w:val="28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资产总额（万元）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hAnsi="宋体" w:cs="宋体" w:eastAsia="宋体" w:hint="default"/>
                <w:spacing w:val="-2"/>
                <w:sz w:val="21"/>
                <w:szCs w:val="21"/>
              </w:rPr>
              <w:t>负债总额（万元）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335,269,708</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464,134.86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385,108.92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82.97</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868,886,423</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888,452.00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501,980.62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56.50</w:t>
            </w:r>
          </w:p>
        </w:tc>
      </w:tr>
    </w:tbl>
    <w:p>
      <w:pPr>
        <w:spacing w:line="240" w:lineRule="auto" w:before="9"/>
        <w:rPr>
          <w:rFonts w:ascii="宋体" w:hAnsi="宋体" w:cs="宋体" w:eastAsia="宋体" w:hint="default"/>
          <w:sz w:val="26"/>
          <w:szCs w:val="26"/>
        </w:rPr>
      </w:pPr>
    </w:p>
    <w:p>
      <w:pPr>
        <w:pStyle w:val="Heading2"/>
        <w:spacing w:line="240" w:lineRule="auto"/>
        <w:ind w:left="438" w:right="0"/>
        <w:jc w:val="left"/>
        <w:rPr>
          <w:b w:val="0"/>
          <w:bCs w:val="0"/>
        </w:rPr>
      </w:pPr>
      <w:r>
        <w:rPr/>
        <w:t>三、</w:t>
      </w:r>
      <w:r>
        <w:rPr>
          <w:spacing w:val="-80"/>
        </w:rPr>
        <w:t> </w:t>
      </w:r>
      <w:r>
        <w:rPr/>
        <w:t>股东和实际控制人情况</w:t>
      </w:r>
      <w:r>
        <w:rPr>
          <w:b w:val="0"/>
          <w:bCs w:val="0"/>
        </w:rPr>
      </w:r>
    </w:p>
    <w:p>
      <w:pPr>
        <w:pStyle w:val="Heading2"/>
        <w:spacing w:line="240" w:lineRule="auto" w:before="56"/>
        <w:ind w:left="4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32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27,484</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27,455</w:t>
            </w: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55" w:footer="1193" w:top="1280" w:bottom="1380" w:left="1360" w:right="820"/>
        </w:sectPr>
      </w:pPr>
    </w:p>
    <w:p>
      <w:pPr>
        <w:pStyle w:val="Heading2"/>
        <w:spacing w:line="240" w:lineRule="auto"/>
        <w:ind w:left="43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before="0"/>
        <w:ind w:left="43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280" w:bottom="1380" w:left="1360" w:right="820"/>
          <w:cols w:num="2" w:equalWidth="0">
            <w:col w:w="8033" w:space="68"/>
            <w:col w:w="1629"/>
          </w:cols>
        </w:sectPr>
      </w:pPr>
    </w:p>
    <w:p>
      <w:pPr>
        <w:spacing w:line="240" w:lineRule="auto" w:before="4"/>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667"/>
        <w:gridCol w:w="1186"/>
        <w:gridCol w:w="1361"/>
        <w:gridCol w:w="828"/>
        <w:gridCol w:w="1402"/>
        <w:gridCol w:w="523"/>
        <w:gridCol w:w="1592"/>
        <w:gridCol w:w="1493"/>
      </w:tblGrid>
      <w:tr>
        <w:trPr>
          <w:trHeight w:val="245" w:hRule="exact"/>
        </w:trPr>
        <w:tc>
          <w:tcPr>
            <w:tcW w:w="9052"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242" w:hRule="exact"/>
        </w:trPr>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89"/>
              <w:ind w:left="148" w:right="146"/>
              <w:jc w:val="left"/>
              <w:rPr>
                <w:rFonts w:ascii="宋体" w:hAnsi="宋体" w:cs="宋体" w:eastAsia="宋体" w:hint="default"/>
                <w:sz w:val="18"/>
                <w:szCs w:val="18"/>
              </w:rPr>
            </w:pPr>
            <w:r>
              <w:rPr>
                <w:rFonts w:ascii="宋体" w:hAnsi="宋体" w:cs="宋体" w:eastAsia="宋体" w:hint="default"/>
                <w:sz w:val="18"/>
                <w:szCs w:val="18"/>
              </w:rPr>
              <w:t>股东 名称</w:t>
            </w:r>
          </w:p>
          <w:p>
            <w:pPr>
              <w:pStyle w:val="TableParagraph"/>
              <w:spacing w:line="232" w:lineRule="exact" w:before="22"/>
              <w:ind w:left="148" w:right="146"/>
              <w:jc w:val="left"/>
              <w:rPr>
                <w:rFonts w:ascii="宋体" w:hAnsi="宋体" w:cs="宋体" w:eastAsia="宋体" w:hint="default"/>
                <w:sz w:val="18"/>
                <w:szCs w:val="18"/>
              </w:rPr>
            </w:pPr>
            <w:r>
              <w:rPr>
                <w:rFonts w:ascii="宋体" w:hAnsi="宋体" w:cs="宋体" w:eastAsia="宋体" w:hint="default"/>
                <w:sz w:val="18"/>
                <w:szCs w:val="18"/>
              </w:rPr>
              <w:t>（全 称）</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496" w:right="137" w:hanging="360"/>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期末持股数量</w:t>
            </w:r>
          </w:p>
        </w:tc>
        <w:tc>
          <w:tcPr>
            <w:tcW w:w="82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273" w:right="22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4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242" w:right="156" w:hanging="89"/>
              <w:jc w:val="left"/>
              <w:rPr>
                <w:rFonts w:ascii="宋体" w:hAnsi="宋体" w:cs="宋体" w:eastAsia="宋体" w:hint="default"/>
                <w:sz w:val="18"/>
                <w:szCs w:val="18"/>
              </w:rPr>
            </w:pPr>
            <w:r>
              <w:rPr>
                <w:rFonts w:ascii="宋体" w:hAnsi="宋体" w:cs="宋体" w:eastAsia="宋体" w:hint="default"/>
                <w:sz w:val="18"/>
                <w:szCs w:val="18"/>
              </w:rPr>
              <w:t>持有有限售条 件股份数量</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559" w:right="563"/>
              <w:jc w:val="center"/>
              <w:rPr>
                <w:rFonts w:ascii="宋体" w:hAnsi="宋体" w:cs="宋体" w:eastAsia="宋体" w:hint="default"/>
                <w:sz w:val="18"/>
                <w:szCs w:val="18"/>
              </w:rPr>
            </w:pPr>
            <w:r>
              <w:rPr>
                <w:rFonts w:ascii="宋体" w:hAnsi="宋体" w:cs="宋体" w:eastAsia="宋体" w:hint="default"/>
                <w:sz w:val="18"/>
                <w:szCs w:val="18"/>
              </w:rPr>
              <w:t>股东 性质</w:t>
            </w:r>
          </w:p>
        </w:tc>
      </w:tr>
      <w:tr>
        <w:trPr>
          <w:trHeight w:val="943" w:hRule="exact"/>
        </w:trPr>
        <w:tc>
          <w:tcPr>
            <w:tcW w:w="667"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361"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c>
          <w:tcPr>
            <w:tcW w:w="1402" w:type="dxa"/>
            <w:vMerge/>
            <w:tcBorders>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7" w:lineRule="auto"/>
              <w:ind w:left="163" w:right="168"/>
              <w:jc w:val="both"/>
              <w:rPr>
                <w:rFonts w:ascii="宋体" w:hAnsi="宋体" w:cs="宋体" w:eastAsia="宋体" w:hint="default"/>
                <w:sz w:val="18"/>
                <w:szCs w:val="18"/>
              </w:rPr>
            </w:pPr>
            <w:r>
              <w:rPr>
                <w:rFonts w:ascii="宋体" w:hAnsi="宋体" w:cs="宋体" w:eastAsia="宋体" w:hint="default"/>
                <w:sz w:val="18"/>
                <w:szCs w:val="18"/>
              </w:rPr>
              <w:t>份 状 态</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493"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280" w:bottom="1380" w:left="1360" w:right="820"/>
        </w:sectPr>
      </w:pPr>
    </w:p>
    <w:p>
      <w:pPr>
        <w:spacing w:line="240" w:lineRule="auto" w:before="8"/>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667"/>
        <w:gridCol w:w="1186"/>
        <w:gridCol w:w="992"/>
        <w:gridCol w:w="370"/>
        <w:gridCol w:w="828"/>
        <w:gridCol w:w="1402"/>
        <w:gridCol w:w="523"/>
        <w:gridCol w:w="370"/>
        <w:gridCol w:w="1222"/>
        <w:gridCol w:w="1493"/>
      </w:tblGrid>
      <w:tr>
        <w:trPr>
          <w:trHeight w:val="1179" w:hRule="exact"/>
        </w:trPr>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山东</w:t>
            </w:r>
          </w:p>
          <w:p>
            <w:pPr>
              <w:pStyle w:val="TableParagraph"/>
              <w:spacing w:line="237" w:lineRule="auto"/>
              <w:ind w:left="103" w:right="192"/>
              <w:jc w:val="both"/>
              <w:rPr>
                <w:rFonts w:ascii="宋体" w:hAnsi="宋体" w:cs="宋体" w:eastAsia="宋体" w:hint="default"/>
                <w:sz w:val="18"/>
                <w:szCs w:val="18"/>
              </w:rPr>
            </w:pPr>
            <w:r>
              <w:rPr>
                <w:rFonts w:ascii="宋体" w:hAnsi="宋体" w:cs="宋体" w:eastAsia="宋体" w:hint="default"/>
                <w:sz w:val="18"/>
                <w:szCs w:val="18"/>
              </w:rPr>
              <w:t>科达 集团 有限 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37,300,600</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56" w:right="0"/>
              <w:jc w:val="left"/>
              <w:rPr>
                <w:rFonts w:ascii="宋体" w:hAnsi="宋体" w:cs="宋体" w:eastAsia="宋体" w:hint="default"/>
                <w:sz w:val="18"/>
                <w:szCs w:val="18"/>
              </w:rPr>
            </w:pPr>
            <w:r>
              <w:rPr>
                <w:rFonts w:ascii="宋体"/>
                <w:sz w:val="18"/>
              </w:rPr>
              <w:t>137,844,420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15.86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37,700,000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3" w:right="168"/>
              <w:jc w:val="left"/>
              <w:rPr>
                <w:rFonts w:ascii="宋体" w:hAnsi="宋体" w:cs="宋体" w:eastAsia="宋体" w:hint="default"/>
                <w:sz w:val="18"/>
                <w:szCs w:val="18"/>
              </w:rPr>
            </w:pPr>
            <w:r>
              <w:rPr>
                <w:rFonts w:ascii="宋体" w:hAnsi="宋体" w:cs="宋体" w:eastAsia="宋体" w:hint="default"/>
                <w:sz w:val="18"/>
                <w:szCs w:val="18"/>
              </w:rPr>
              <w:t>质 押</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78" w:right="0"/>
              <w:jc w:val="left"/>
              <w:rPr>
                <w:rFonts w:ascii="宋体" w:hAnsi="宋体" w:cs="宋体" w:eastAsia="宋体" w:hint="default"/>
                <w:sz w:val="18"/>
                <w:szCs w:val="18"/>
              </w:rPr>
            </w:pPr>
            <w:r>
              <w:rPr>
                <w:rFonts w:ascii="宋体"/>
                <w:sz w:val="18"/>
              </w:rPr>
              <w:t>67,700,000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478" w:hRule="exact"/>
        </w:trPr>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褚明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71,073,189</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8" w:right="0"/>
              <w:jc w:val="left"/>
              <w:rPr>
                <w:rFonts w:ascii="宋体" w:hAnsi="宋体" w:cs="宋体" w:eastAsia="宋体" w:hint="default"/>
                <w:sz w:val="18"/>
                <w:szCs w:val="18"/>
              </w:rPr>
            </w:pPr>
            <w:r>
              <w:rPr>
                <w:rFonts w:ascii="宋体"/>
                <w:sz w:val="18"/>
              </w:rPr>
              <w:t>71,073,189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8.18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71,073,189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1592" w:type="dxa"/>
            <w:gridSpan w:val="2"/>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1877" w:hRule="exact"/>
        </w:trPr>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37" w:lineRule="auto"/>
              <w:ind w:left="103" w:right="103"/>
              <w:jc w:val="left"/>
              <w:rPr>
                <w:rFonts w:ascii="宋体" w:hAnsi="宋体" w:cs="宋体" w:eastAsia="宋体" w:hint="default"/>
                <w:sz w:val="18"/>
                <w:szCs w:val="18"/>
              </w:rPr>
            </w:pPr>
            <w:r>
              <w:rPr>
                <w:rFonts w:ascii="宋体" w:hAnsi="宋体" w:cs="宋体" w:eastAsia="宋体" w:hint="default"/>
                <w:sz w:val="18"/>
                <w:szCs w:val="18"/>
              </w:rPr>
              <w:t>百仕 成投 资管 理中 </w:t>
            </w:r>
            <w:r>
              <w:rPr>
                <w:rFonts w:ascii="宋体" w:hAnsi="宋体" w:cs="宋体" w:eastAsia="宋体" w:hint="default"/>
                <w:spacing w:val="-31"/>
                <w:sz w:val="18"/>
                <w:szCs w:val="18"/>
              </w:rPr>
              <w:t>心（普</w:t>
            </w:r>
            <w:r>
              <w:rPr>
                <w:rFonts w:ascii="宋体" w:hAnsi="宋体" w:cs="宋体" w:eastAsia="宋体" w:hint="default"/>
                <w:sz w:val="18"/>
                <w:szCs w:val="18"/>
              </w:rPr>
              <w:t> 通合 伙）</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68,835,432</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8" w:right="0"/>
              <w:jc w:val="left"/>
              <w:rPr>
                <w:rFonts w:ascii="宋体" w:hAnsi="宋体" w:cs="宋体" w:eastAsia="宋体" w:hint="default"/>
                <w:sz w:val="18"/>
                <w:szCs w:val="18"/>
              </w:rPr>
            </w:pPr>
            <w:r>
              <w:rPr>
                <w:rFonts w:ascii="宋体"/>
                <w:sz w:val="18"/>
              </w:rPr>
              <w:t>68,835,432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7.92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68,835,432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1592" w:type="dxa"/>
            <w:gridSpan w:val="2"/>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2110" w:hRule="exact"/>
        </w:trPr>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p>
            <w:pPr>
              <w:pStyle w:val="TableParagraph"/>
              <w:spacing w:line="237" w:lineRule="auto"/>
              <w:ind w:left="103" w:right="103"/>
              <w:jc w:val="left"/>
              <w:rPr>
                <w:rFonts w:ascii="宋体" w:hAnsi="宋体" w:cs="宋体" w:eastAsia="宋体" w:hint="default"/>
                <w:sz w:val="18"/>
                <w:szCs w:val="18"/>
              </w:rPr>
            </w:pPr>
            <w:r>
              <w:rPr>
                <w:rFonts w:ascii="宋体" w:hAnsi="宋体" w:cs="宋体" w:eastAsia="宋体" w:hint="default"/>
                <w:sz w:val="18"/>
                <w:szCs w:val="18"/>
              </w:rPr>
              <w:t>好望 角引 航投 资合 伙企 </w:t>
            </w:r>
            <w:r>
              <w:rPr>
                <w:rFonts w:ascii="宋体" w:hAnsi="宋体" w:cs="宋体" w:eastAsia="宋体" w:hint="default"/>
                <w:spacing w:val="-31"/>
                <w:sz w:val="18"/>
                <w:szCs w:val="18"/>
              </w:rPr>
              <w:t>业（有</w:t>
            </w:r>
            <w:r>
              <w:rPr>
                <w:rFonts w:ascii="宋体" w:hAnsi="宋体" w:cs="宋体" w:eastAsia="宋体" w:hint="default"/>
                <w:sz w:val="18"/>
                <w:szCs w:val="18"/>
              </w:rPr>
              <w:t> 限合 伙）</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33,264,388</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8" w:right="0"/>
              <w:jc w:val="left"/>
              <w:rPr>
                <w:rFonts w:ascii="宋体" w:hAnsi="宋体" w:cs="宋体" w:eastAsia="宋体" w:hint="default"/>
                <w:sz w:val="18"/>
                <w:szCs w:val="18"/>
              </w:rPr>
            </w:pPr>
            <w:r>
              <w:rPr>
                <w:rFonts w:ascii="宋体"/>
                <w:sz w:val="18"/>
              </w:rPr>
              <w:t>33,264,388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3.83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33,264,388</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1592" w:type="dxa"/>
            <w:gridSpan w:val="2"/>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245" w:hRule="exact"/>
        </w:trPr>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何烽</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22,205,035</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48" w:right="0"/>
              <w:jc w:val="left"/>
              <w:rPr>
                <w:rFonts w:ascii="宋体" w:hAnsi="宋体" w:cs="宋体" w:eastAsia="宋体" w:hint="default"/>
                <w:sz w:val="18"/>
                <w:szCs w:val="18"/>
              </w:rPr>
            </w:pPr>
            <w:r>
              <w:rPr>
                <w:rFonts w:ascii="宋体"/>
                <w:sz w:val="18"/>
              </w:rPr>
              <w:t>22,205,035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2.56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22,205,035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1592" w:type="dxa"/>
            <w:gridSpan w:val="2"/>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110" w:hRule="exact"/>
        </w:trPr>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p>
            <w:pPr>
              <w:pStyle w:val="TableParagraph"/>
              <w:spacing w:line="237" w:lineRule="auto"/>
              <w:ind w:left="103" w:right="103"/>
              <w:jc w:val="left"/>
              <w:rPr>
                <w:rFonts w:ascii="宋体" w:hAnsi="宋体" w:cs="宋体" w:eastAsia="宋体" w:hint="default"/>
                <w:sz w:val="18"/>
                <w:szCs w:val="18"/>
              </w:rPr>
            </w:pPr>
            <w:r>
              <w:rPr>
                <w:rFonts w:ascii="宋体" w:hAnsi="宋体" w:cs="宋体" w:eastAsia="宋体" w:hint="default"/>
                <w:sz w:val="18"/>
                <w:szCs w:val="18"/>
              </w:rPr>
              <w:t>好望 角启 航投 资合 伙企 </w:t>
            </w:r>
            <w:r>
              <w:rPr>
                <w:rFonts w:ascii="宋体" w:hAnsi="宋体" w:cs="宋体" w:eastAsia="宋体" w:hint="default"/>
                <w:spacing w:val="-31"/>
                <w:sz w:val="18"/>
                <w:szCs w:val="18"/>
              </w:rPr>
              <w:t>业（有</w:t>
            </w:r>
            <w:r>
              <w:rPr>
                <w:rFonts w:ascii="宋体" w:hAnsi="宋体" w:cs="宋体" w:eastAsia="宋体" w:hint="default"/>
                <w:sz w:val="18"/>
                <w:szCs w:val="18"/>
              </w:rPr>
              <w:t> 限合 伙）</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21,306,188</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8" w:right="0"/>
              <w:jc w:val="left"/>
              <w:rPr>
                <w:rFonts w:ascii="宋体" w:hAnsi="宋体" w:cs="宋体" w:eastAsia="宋体" w:hint="default"/>
                <w:sz w:val="18"/>
                <w:szCs w:val="18"/>
              </w:rPr>
            </w:pPr>
            <w:r>
              <w:rPr>
                <w:rFonts w:ascii="宋体"/>
                <w:sz w:val="18"/>
              </w:rPr>
              <w:t>21,306,188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2.45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21,306,188</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1592" w:type="dxa"/>
            <w:gridSpan w:val="2"/>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1880" w:hRule="exact"/>
        </w:trPr>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青岛</w:t>
            </w:r>
          </w:p>
          <w:p>
            <w:pPr>
              <w:pStyle w:val="TableParagraph"/>
              <w:spacing w:line="237" w:lineRule="auto"/>
              <w:ind w:left="103" w:right="192"/>
              <w:jc w:val="both"/>
              <w:rPr>
                <w:rFonts w:ascii="宋体" w:hAnsi="宋体" w:cs="宋体" w:eastAsia="宋体" w:hint="default"/>
                <w:sz w:val="18"/>
                <w:szCs w:val="18"/>
              </w:rPr>
            </w:pPr>
            <w:r>
              <w:rPr>
                <w:rFonts w:ascii="宋体" w:hAnsi="宋体" w:cs="宋体" w:eastAsia="宋体" w:hint="default"/>
                <w:sz w:val="18"/>
                <w:szCs w:val="18"/>
              </w:rPr>
              <w:t>润岩 投资 管理 中心</w:t>
            </w:r>
          </w:p>
          <w:p>
            <w:pPr>
              <w:pStyle w:val="TableParagraph"/>
              <w:spacing w:line="232" w:lineRule="exact" w:before="22"/>
              <w:ind w:left="103" w:right="192"/>
              <w:jc w:val="both"/>
              <w:rPr>
                <w:rFonts w:ascii="宋体" w:hAnsi="宋体" w:cs="宋体" w:eastAsia="宋体" w:hint="default"/>
                <w:sz w:val="18"/>
                <w:szCs w:val="18"/>
              </w:rPr>
            </w:pPr>
            <w:r>
              <w:rPr>
                <w:rFonts w:ascii="宋体" w:hAnsi="宋体" w:cs="宋体" w:eastAsia="宋体" w:hint="default"/>
                <w:sz w:val="18"/>
                <w:szCs w:val="18"/>
              </w:rPr>
              <w:t>（有 限合 伙）</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20,000,000</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48" w:right="0"/>
              <w:jc w:val="left"/>
              <w:rPr>
                <w:rFonts w:ascii="宋体" w:hAnsi="宋体" w:cs="宋体" w:eastAsia="宋体" w:hint="default"/>
                <w:sz w:val="18"/>
                <w:szCs w:val="18"/>
              </w:rPr>
            </w:pPr>
            <w:r>
              <w:rPr>
                <w:rFonts w:ascii="宋体"/>
                <w:sz w:val="18"/>
              </w:rPr>
              <w:t>20,000,000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2.30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20,000,000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1592" w:type="dxa"/>
            <w:gridSpan w:val="2"/>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475" w:hRule="exact"/>
        </w:trPr>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王华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华</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19,230,215</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8" w:right="0"/>
              <w:jc w:val="left"/>
              <w:rPr>
                <w:rFonts w:ascii="宋体" w:hAnsi="宋体" w:cs="宋体" w:eastAsia="宋体" w:hint="default"/>
                <w:sz w:val="18"/>
                <w:szCs w:val="18"/>
              </w:rPr>
            </w:pPr>
            <w:r>
              <w:rPr>
                <w:rFonts w:ascii="宋体"/>
                <w:sz w:val="18"/>
              </w:rPr>
              <w:t>19,230,215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19,230,215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1592" w:type="dxa"/>
            <w:gridSpan w:val="2"/>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478" w:hRule="exact"/>
        </w:trPr>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黄峥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嵘</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18,700,000</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48" w:right="0"/>
              <w:jc w:val="left"/>
              <w:rPr>
                <w:rFonts w:ascii="宋体" w:hAnsi="宋体" w:cs="宋体" w:eastAsia="宋体" w:hint="default"/>
                <w:sz w:val="18"/>
                <w:szCs w:val="18"/>
              </w:rPr>
            </w:pPr>
            <w:r>
              <w:rPr>
                <w:rFonts w:ascii="宋体"/>
                <w:sz w:val="18"/>
              </w:rPr>
              <w:t>18,700,000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2.15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18,700,000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1592" w:type="dxa"/>
            <w:gridSpan w:val="2"/>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112" w:hRule="exact"/>
        </w:trPr>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p>
            <w:pPr>
              <w:pStyle w:val="TableParagraph"/>
              <w:spacing w:line="237" w:lineRule="auto" w:before="2"/>
              <w:ind w:left="103" w:right="103"/>
              <w:jc w:val="left"/>
              <w:rPr>
                <w:rFonts w:ascii="宋体" w:hAnsi="宋体" w:cs="宋体" w:eastAsia="宋体" w:hint="default"/>
                <w:sz w:val="18"/>
                <w:szCs w:val="18"/>
              </w:rPr>
            </w:pPr>
            <w:r>
              <w:rPr>
                <w:rFonts w:ascii="宋体" w:hAnsi="宋体" w:cs="宋体" w:eastAsia="宋体" w:hint="default"/>
                <w:sz w:val="18"/>
                <w:szCs w:val="18"/>
              </w:rPr>
              <w:t>好望 角越 航投 资合 伙企 </w:t>
            </w:r>
            <w:r>
              <w:rPr>
                <w:rFonts w:ascii="宋体" w:hAnsi="宋体" w:cs="宋体" w:eastAsia="宋体" w:hint="default"/>
                <w:spacing w:val="-31"/>
                <w:sz w:val="18"/>
                <w:szCs w:val="18"/>
              </w:rPr>
              <w:t>业（有</w:t>
            </w:r>
            <w:r>
              <w:rPr>
                <w:rFonts w:ascii="宋体" w:hAnsi="宋体" w:cs="宋体" w:eastAsia="宋体" w:hint="default"/>
                <w:sz w:val="18"/>
                <w:szCs w:val="18"/>
              </w:rPr>
              <w:t> 限合 伙）</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18,000,000</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8" w:right="0"/>
              <w:jc w:val="left"/>
              <w:rPr>
                <w:rFonts w:ascii="宋体" w:hAnsi="宋体" w:cs="宋体" w:eastAsia="宋体" w:hint="default"/>
                <w:sz w:val="18"/>
                <w:szCs w:val="18"/>
              </w:rPr>
            </w:pPr>
            <w:r>
              <w:rPr>
                <w:rFonts w:ascii="宋体"/>
                <w:sz w:val="18"/>
              </w:rPr>
              <w:t>18,000,000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18,000,000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1592" w:type="dxa"/>
            <w:gridSpan w:val="2"/>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243" w:hRule="exact"/>
        </w:trPr>
        <w:tc>
          <w:tcPr>
            <w:tcW w:w="905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5" w:hRule="exact"/>
        </w:trPr>
        <w:tc>
          <w:tcPr>
            <w:tcW w:w="2845" w:type="dxa"/>
            <w:gridSpan w:val="3"/>
            <w:vMerge w:val="restart"/>
            <w:tcBorders>
              <w:top w:val="single" w:sz="4" w:space="0" w:color="000000"/>
              <w:left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492" w:type="dxa"/>
            <w:gridSpan w:val="5"/>
            <w:vMerge w:val="restart"/>
            <w:tcBorders>
              <w:top w:val="single" w:sz="4" w:space="0" w:color="000000"/>
              <w:left w:val="single" w:sz="4" w:space="0" w:color="000000"/>
              <w:right w:val="single" w:sz="4" w:space="0" w:color="000000"/>
            </w:tcBorders>
          </w:tcPr>
          <w:p>
            <w:pPr>
              <w:pStyle w:val="TableParagraph"/>
              <w:spacing w:line="240" w:lineRule="auto" w:before="92"/>
              <w:ind w:left="571" w:right="0"/>
              <w:jc w:val="left"/>
              <w:rPr>
                <w:rFonts w:ascii="宋体" w:hAnsi="宋体" w:cs="宋体" w:eastAsia="宋体" w:hint="default"/>
                <w:sz w:val="18"/>
                <w:szCs w:val="18"/>
              </w:rPr>
            </w:pPr>
            <w:r>
              <w:rPr>
                <w:rFonts w:ascii="宋体" w:hAnsi="宋体" w:cs="宋体" w:eastAsia="宋体" w:hint="default"/>
                <w:sz w:val="18"/>
                <w:szCs w:val="18"/>
              </w:rPr>
              <w:t>持有无限售条件流通股的数量</w:t>
            </w:r>
          </w:p>
        </w:tc>
        <w:tc>
          <w:tcPr>
            <w:tcW w:w="27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2"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242" w:hRule="exact"/>
        </w:trPr>
        <w:tc>
          <w:tcPr>
            <w:tcW w:w="2845" w:type="dxa"/>
            <w:gridSpan w:val="3"/>
            <w:vMerge/>
            <w:tcBorders>
              <w:left w:val="single" w:sz="4" w:space="0" w:color="000000"/>
              <w:bottom w:val="single" w:sz="4" w:space="0" w:color="000000"/>
              <w:right w:val="single" w:sz="4" w:space="0" w:color="000000"/>
            </w:tcBorders>
          </w:tcPr>
          <w:p>
            <w:pPr/>
          </w:p>
        </w:tc>
        <w:tc>
          <w:tcPr>
            <w:tcW w:w="3492" w:type="dxa"/>
            <w:gridSpan w:val="5"/>
            <w:vMerge/>
            <w:tcBorders>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05" w:lineRule="exact"/>
        <w:jc w:val="center"/>
        <w:rPr>
          <w:rFonts w:ascii="宋体" w:hAnsi="宋体" w:cs="宋体" w:eastAsia="宋体" w:hint="default"/>
          <w:sz w:val="18"/>
          <w:szCs w:val="18"/>
        </w:rPr>
        <w:sectPr>
          <w:pgSz w:w="11910" w:h="16840"/>
          <w:pgMar w:header="855" w:footer="1193" w:top="1280" w:bottom="1380" w:left="1580" w:right="1040"/>
        </w:sectPr>
      </w:pPr>
    </w:p>
    <w:p>
      <w:pPr>
        <w:spacing w:line="240" w:lineRule="auto" w:before="8"/>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845"/>
        <w:gridCol w:w="3492"/>
        <w:gridCol w:w="1222"/>
        <w:gridCol w:w="1493"/>
      </w:tblGrid>
      <w:tr>
        <w:trPr>
          <w:trHeight w:val="478"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山东科达集团有限公司</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100,144,420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100,144,420</w:t>
            </w:r>
          </w:p>
        </w:tc>
      </w:tr>
      <w:tr>
        <w:trPr>
          <w:trHeight w:val="478"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全国社保基金一一零组合</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14,051,387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14,051,387</w:t>
            </w:r>
          </w:p>
        </w:tc>
      </w:tr>
      <w:tr>
        <w:trPr>
          <w:trHeight w:val="478"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中国工商银行－广发聚富开放式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证券投资基金</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6,641,337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6,641,337</w:t>
            </w:r>
          </w:p>
        </w:tc>
      </w:tr>
      <w:tr>
        <w:trPr>
          <w:trHeight w:val="475"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中国银行股份有限公司－招商国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企改革主题混合型证券投资基金</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6,000,000</w:t>
            </w:r>
          </w:p>
        </w:tc>
      </w:tr>
      <w:tr>
        <w:trPr>
          <w:trHeight w:val="478"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5,673,411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5,673,411</w:t>
            </w:r>
          </w:p>
        </w:tc>
      </w:tr>
      <w:tr>
        <w:trPr>
          <w:trHeight w:val="478"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中国工商银行－招商核心价值混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合型证券投资基金</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4,039,541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4,039,541</w:t>
            </w:r>
          </w:p>
        </w:tc>
      </w:tr>
      <w:tr>
        <w:trPr>
          <w:trHeight w:val="475"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中国工商银行－中银持续增长混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合型证券投资基金</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3,059,360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3,059,360</w:t>
            </w:r>
          </w:p>
        </w:tc>
      </w:tr>
      <w:tr>
        <w:trPr>
          <w:trHeight w:val="478"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中信银行股份有限公司－招商优</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质成长混合型证券投资基</w:t>
            </w:r>
            <w:r>
              <w:rPr>
                <w:rFonts w:ascii="宋体" w:hAnsi="宋体" w:cs="宋体" w:eastAsia="宋体" w:hint="default"/>
                <w:spacing w:val="-72"/>
                <w:sz w:val="18"/>
                <w:szCs w:val="18"/>
              </w:rPr>
              <w:t>金</w:t>
            </w:r>
            <w:r>
              <w:rPr>
                <w:rFonts w:ascii="宋体" w:hAnsi="宋体" w:cs="宋体" w:eastAsia="宋体" w:hint="default"/>
                <w:sz w:val="18"/>
                <w:szCs w:val="18"/>
              </w:rPr>
              <w:t>（</w:t>
            </w:r>
            <w:r>
              <w:rPr>
                <w:rFonts w:ascii="宋体" w:hAnsi="宋体" w:cs="宋体" w:eastAsia="宋体" w:hint="default"/>
                <w:spacing w:val="1"/>
                <w:sz w:val="18"/>
                <w:szCs w:val="18"/>
              </w:rPr>
              <w:t>L</w:t>
            </w:r>
            <w:r>
              <w:rPr>
                <w:rFonts w:ascii="宋体" w:hAnsi="宋体" w:cs="宋体" w:eastAsia="宋体" w:hint="default"/>
                <w:spacing w:val="-2"/>
                <w:sz w:val="18"/>
                <w:szCs w:val="18"/>
              </w:rPr>
              <w:t>O</w:t>
            </w:r>
            <w:r>
              <w:rPr>
                <w:rFonts w:ascii="宋体" w:hAnsi="宋体" w:cs="宋体" w:eastAsia="宋体" w:hint="default"/>
                <w:spacing w:val="1"/>
                <w:sz w:val="18"/>
                <w:szCs w:val="18"/>
              </w:rPr>
              <w:t>F</w:t>
            </w:r>
            <w:r>
              <w:rPr>
                <w:rFonts w:ascii="宋体" w:hAnsi="宋体" w:cs="宋体" w:eastAsia="宋体" w:hint="default"/>
                <w:sz w:val="18"/>
                <w:szCs w:val="18"/>
              </w:rPr>
              <w:t>）</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2,496,957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2,496,957</w:t>
            </w:r>
          </w:p>
        </w:tc>
      </w:tr>
      <w:tr>
        <w:trPr>
          <w:trHeight w:val="478"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全国社保基金六零四组合</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2,166,000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2,166,000</w:t>
            </w:r>
          </w:p>
        </w:tc>
      </w:tr>
      <w:tr>
        <w:trPr>
          <w:trHeight w:val="475"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中国银行股份有限公司－招商医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药健康产业股票型证券投资基金</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2,061,052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2,061,052</w:t>
            </w:r>
          </w:p>
        </w:tc>
      </w:tr>
      <w:tr>
        <w:trPr>
          <w:trHeight w:val="1178"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2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山东科达集团有限公司与青岛润岩投资管理中心（有限合伙）存在关联关系，</w:t>
            </w:r>
          </w:p>
          <w:p>
            <w:pPr>
              <w:pStyle w:val="TableParagraph"/>
              <w:spacing w:line="237" w:lineRule="auto"/>
              <w:ind w:left="103" w:right="10"/>
              <w:jc w:val="left"/>
              <w:rPr>
                <w:rFonts w:ascii="宋体" w:hAnsi="宋体" w:cs="宋体" w:eastAsia="宋体" w:hint="default"/>
                <w:sz w:val="18"/>
                <w:szCs w:val="18"/>
              </w:rPr>
            </w:pPr>
            <w:r>
              <w:rPr>
                <w:rFonts w:ascii="宋体" w:hAnsi="宋体" w:cs="宋体" w:eastAsia="宋体" w:hint="default"/>
                <w:sz w:val="18"/>
                <w:szCs w:val="18"/>
              </w:rPr>
              <w:t>杭州好望角引航投资合伙企业（有限合伙）、何烽、杭州好望角启航投资合 </w:t>
            </w:r>
            <w:r>
              <w:rPr>
                <w:rFonts w:ascii="宋体" w:hAnsi="宋体" w:cs="宋体" w:eastAsia="宋体" w:hint="default"/>
                <w:spacing w:val="-2"/>
                <w:sz w:val="18"/>
                <w:szCs w:val="18"/>
              </w:rPr>
              <w:t>伙企业（有限合伙）、黄峥嵘以及杭州好望角越航投资合伙企业（有限合伙）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为一致行动人。截至目前，公司未曾获得其他股东之间存在关联关系或一致 行动人关系的信息。</w:t>
            </w:r>
          </w:p>
        </w:tc>
      </w:tr>
    </w:tbl>
    <w:p>
      <w:pPr>
        <w:spacing w:line="240" w:lineRule="auto" w:before="8"/>
        <w:rPr>
          <w:rFonts w:ascii="Times New Roman" w:hAnsi="Times New Roman" w:cs="Times New Roman" w:eastAsia="Times New Roman" w:hint="default"/>
          <w:sz w:val="17"/>
          <w:szCs w:val="17"/>
        </w:rPr>
      </w:pPr>
    </w:p>
    <w:p>
      <w:pPr>
        <w:pStyle w:val="BodyText"/>
        <w:spacing w:line="273" w:lineRule="exact" w:before="36"/>
        <w:ind w:left="218" w:right="0"/>
        <w:jc w:val="left"/>
      </w:pPr>
      <w:r>
        <w:rPr/>
        <w:t>前十名有限售条件股东持股数量及限售条件</w:t>
      </w:r>
    </w:p>
    <w:p>
      <w:pPr>
        <w:pStyle w:val="BodyText"/>
        <w:spacing w:line="273" w:lineRule="exact" w:before="0"/>
        <w:ind w:left="0" w:right="348"/>
        <w:jc w:val="right"/>
      </w:pPr>
      <w:r>
        <w:rPr>
          <w:spacing w:val="-1"/>
        </w:rPr>
        <w:t>单位：股</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3"/>
        <w:gridCol w:w="3320"/>
        <w:gridCol w:w="1241"/>
        <w:gridCol w:w="1133"/>
        <w:gridCol w:w="1275"/>
        <w:gridCol w:w="1560"/>
      </w:tblGrid>
      <w:tr>
        <w:trPr>
          <w:trHeight w:val="478"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63" w:right="166"/>
              <w:jc w:val="center"/>
              <w:rPr>
                <w:rFonts w:ascii="宋体" w:hAnsi="宋体" w:cs="宋体" w:eastAsia="宋体" w:hint="default"/>
                <w:sz w:val="18"/>
                <w:szCs w:val="18"/>
              </w:rPr>
            </w:pPr>
            <w:r>
              <w:rPr>
                <w:rFonts w:ascii="宋体" w:hAnsi="宋体" w:cs="宋体" w:eastAsia="宋体" w:hint="default"/>
                <w:sz w:val="18"/>
                <w:szCs w:val="18"/>
              </w:rPr>
              <w:t>持有的有限 售条件股份 数量</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有限售条件股份可上市交易</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情况</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0" w:hRule="exact"/>
        </w:trPr>
        <w:tc>
          <w:tcPr>
            <w:tcW w:w="653" w:type="dxa"/>
            <w:vMerge/>
            <w:tcBorders>
              <w:left w:val="single" w:sz="4" w:space="0" w:color="000000"/>
              <w:bottom w:val="single" w:sz="4" w:space="0" w:color="000000"/>
              <w:right w:val="single" w:sz="4" w:space="0" w:color="000000"/>
            </w:tcBorders>
          </w:tcPr>
          <w:p>
            <w:pPr/>
          </w:p>
        </w:tc>
        <w:tc>
          <w:tcPr>
            <w:tcW w:w="3320" w:type="dxa"/>
            <w:vMerge/>
            <w:tcBorders>
              <w:left w:val="single" w:sz="4" w:space="0" w:color="000000"/>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79" w:right="113" w:hanging="272"/>
              <w:jc w:val="left"/>
              <w:rPr>
                <w:rFonts w:ascii="宋体" w:hAnsi="宋体" w:cs="宋体" w:eastAsia="宋体" w:hint="default"/>
                <w:sz w:val="18"/>
                <w:szCs w:val="18"/>
              </w:rPr>
            </w:pPr>
            <w:r>
              <w:rPr>
                <w:rFonts w:ascii="宋体" w:hAnsi="宋体" w:cs="宋体" w:eastAsia="宋体" w:hint="default"/>
                <w:sz w:val="18"/>
                <w:szCs w:val="18"/>
              </w:rPr>
              <w:t>可上市交易 时间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新增可上市</w:t>
            </w:r>
          </w:p>
          <w:p>
            <w:pPr>
              <w:pStyle w:val="TableParagraph"/>
              <w:spacing w:line="232" w:lineRule="exact" w:before="24"/>
              <w:ind w:left="542" w:right="182" w:hanging="360"/>
              <w:jc w:val="left"/>
              <w:rPr>
                <w:rFonts w:ascii="宋体" w:hAnsi="宋体" w:cs="宋体" w:eastAsia="宋体" w:hint="default"/>
                <w:sz w:val="18"/>
                <w:szCs w:val="18"/>
              </w:rPr>
            </w:pPr>
            <w:r>
              <w:rPr>
                <w:rFonts w:ascii="宋体" w:hAnsi="宋体" w:cs="宋体" w:eastAsia="宋体" w:hint="default"/>
                <w:sz w:val="18"/>
                <w:szCs w:val="18"/>
              </w:rPr>
              <w:t>交易股份数 量</w:t>
            </w:r>
          </w:p>
        </w:tc>
        <w:tc>
          <w:tcPr>
            <w:tcW w:w="1560" w:type="dxa"/>
            <w:vMerge/>
            <w:tcBorders>
              <w:left w:val="single" w:sz="4" w:space="0" w:color="000000"/>
              <w:bottom w:val="single" w:sz="4" w:space="0" w:color="000000"/>
              <w:right w:val="single" w:sz="4" w:space="0" w:color="000000"/>
            </w:tcBorders>
          </w:tcPr>
          <w:p>
            <w:pPr/>
          </w:p>
        </w:tc>
      </w:tr>
      <w:tr>
        <w:trPr>
          <w:trHeight w:val="478"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sz w:val="18"/>
              </w:rPr>
              <w:t>1</w:t>
            </w:r>
          </w:p>
        </w:tc>
        <w:tc>
          <w:tcPr>
            <w:tcW w:w="33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褚明理</w:t>
            </w: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25" w:right="0"/>
              <w:jc w:val="left"/>
              <w:rPr>
                <w:rFonts w:ascii="宋体" w:hAnsi="宋体" w:cs="宋体" w:eastAsia="宋体" w:hint="default"/>
                <w:sz w:val="18"/>
                <w:szCs w:val="18"/>
              </w:rPr>
            </w:pPr>
            <w:r>
              <w:rPr>
                <w:rFonts w:ascii="宋体"/>
                <w:sz w:val="18"/>
              </w:rPr>
              <w:t>71,073,189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宋体" w:hAnsi="宋体" w:cs="宋体" w:eastAsia="宋体" w:hint="default"/>
                <w:sz w:val="18"/>
                <w:szCs w:val="18"/>
              </w:rPr>
            </w:pPr>
            <w:r>
              <w:rPr>
                <w:rFonts w:ascii="宋体"/>
                <w:spacing w:val="-1"/>
                <w:sz w:val="18"/>
              </w:rPr>
              <w:t>2016-09-01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14,214,638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3" w:type="dxa"/>
            <w:vMerge/>
            <w:tcBorders>
              <w:left w:val="single" w:sz="4" w:space="0" w:color="000000"/>
              <w:right w:val="single" w:sz="4" w:space="0" w:color="000000"/>
            </w:tcBorders>
          </w:tcPr>
          <w:p>
            <w:pPr/>
          </w:p>
        </w:tc>
        <w:tc>
          <w:tcPr>
            <w:tcW w:w="3320" w:type="dxa"/>
            <w:vMerge/>
            <w:tcBorders>
              <w:left w:val="single" w:sz="4" w:space="0" w:color="000000"/>
              <w:right w:val="single" w:sz="4" w:space="0" w:color="000000"/>
            </w:tcBorders>
          </w:tcPr>
          <w:p>
            <w:pPr/>
          </w:p>
        </w:tc>
        <w:tc>
          <w:tcPr>
            <w:tcW w:w="1241" w:type="dxa"/>
            <w:vMerge/>
            <w:tcBorders>
              <w:left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宋体" w:hAnsi="宋体" w:cs="宋体" w:eastAsia="宋体" w:hint="default"/>
                <w:sz w:val="18"/>
                <w:szCs w:val="18"/>
              </w:rPr>
            </w:pPr>
            <w:r>
              <w:rPr>
                <w:rFonts w:ascii="宋体"/>
                <w:spacing w:val="-1"/>
                <w:sz w:val="18"/>
              </w:rPr>
              <w:t>2017-09-01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14,214,638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5" w:hRule="exact"/>
        </w:trPr>
        <w:tc>
          <w:tcPr>
            <w:tcW w:w="653" w:type="dxa"/>
            <w:vMerge/>
            <w:tcBorders>
              <w:left w:val="single" w:sz="4" w:space="0" w:color="000000"/>
              <w:bottom w:val="single" w:sz="4" w:space="0" w:color="000000"/>
              <w:right w:val="single" w:sz="4" w:space="0" w:color="000000"/>
            </w:tcBorders>
          </w:tcPr>
          <w:p>
            <w:pPr/>
          </w:p>
        </w:tc>
        <w:tc>
          <w:tcPr>
            <w:tcW w:w="3320" w:type="dxa"/>
            <w:vMerge/>
            <w:tcBorders>
              <w:left w:val="single" w:sz="4" w:space="0" w:color="000000"/>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宋体" w:hAnsi="宋体" w:cs="宋体" w:eastAsia="宋体" w:hint="default"/>
                <w:sz w:val="18"/>
                <w:szCs w:val="18"/>
              </w:rPr>
            </w:pPr>
            <w:r>
              <w:rPr>
                <w:rFonts w:ascii="宋体"/>
                <w:spacing w:val="-1"/>
                <w:sz w:val="18"/>
              </w:rPr>
              <w:t>2018-09-01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42,643,913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sz w:val="18"/>
              </w:rPr>
              <w:t>2</w:t>
            </w:r>
          </w:p>
        </w:tc>
        <w:tc>
          <w:tcPr>
            <w:tcW w:w="33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北京百仕成投资管理中心（普通合伙）</w:t>
            </w: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25" w:right="0"/>
              <w:jc w:val="left"/>
              <w:rPr>
                <w:rFonts w:ascii="宋体" w:hAnsi="宋体" w:cs="宋体" w:eastAsia="宋体" w:hint="default"/>
                <w:sz w:val="18"/>
                <w:szCs w:val="18"/>
              </w:rPr>
            </w:pPr>
            <w:r>
              <w:rPr>
                <w:rFonts w:ascii="宋体"/>
                <w:sz w:val="18"/>
              </w:rPr>
              <w:t>68,835,432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宋体" w:hAnsi="宋体" w:cs="宋体" w:eastAsia="宋体" w:hint="default"/>
                <w:sz w:val="18"/>
                <w:szCs w:val="18"/>
              </w:rPr>
            </w:pPr>
            <w:r>
              <w:rPr>
                <w:rFonts w:ascii="宋体"/>
                <w:spacing w:val="-1"/>
                <w:sz w:val="18"/>
              </w:rPr>
              <w:t>2016-09-01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13,767,086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3" w:type="dxa"/>
            <w:vMerge/>
            <w:tcBorders>
              <w:left w:val="single" w:sz="4" w:space="0" w:color="000000"/>
              <w:right w:val="single" w:sz="4" w:space="0" w:color="000000"/>
            </w:tcBorders>
          </w:tcPr>
          <w:p>
            <w:pPr/>
          </w:p>
        </w:tc>
        <w:tc>
          <w:tcPr>
            <w:tcW w:w="3320" w:type="dxa"/>
            <w:vMerge/>
            <w:tcBorders>
              <w:left w:val="single" w:sz="4" w:space="0" w:color="000000"/>
              <w:right w:val="single" w:sz="4" w:space="0" w:color="000000"/>
            </w:tcBorders>
          </w:tcPr>
          <w:p>
            <w:pPr/>
          </w:p>
        </w:tc>
        <w:tc>
          <w:tcPr>
            <w:tcW w:w="1241" w:type="dxa"/>
            <w:vMerge/>
            <w:tcBorders>
              <w:left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宋体" w:hAnsi="宋体" w:cs="宋体" w:eastAsia="宋体" w:hint="default"/>
                <w:sz w:val="18"/>
                <w:szCs w:val="18"/>
              </w:rPr>
            </w:pPr>
            <w:r>
              <w:rPr>
                <w:rFonts w:ascii="宋体"/>
                <w:spacing w:val="-1"/>
                <w:sz w:val="18"/>
              </w:rPr>
              <w:t>2017-09-01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13,767,086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5" w:hRule="exact"/>
        </w:trPr>
        <w:tc>
          <w:tcPr>
            <w:tcW w:w="653" w:type="dxa"/>
            <w:vMerge/>
            <w:tcBorders>
              <w:left w:val="single" w:sz="4" w:space="0" w:color="000000"/>
              <w:bottom w:val="single" w:sz="4" w:space="0" w:color="000000"/>
              <w:right w:val="single" w:sz="4" w:space="0" w:color="000000"/>
            </w:tcBorders>
          </w:tcPr>
          <w:p>
            <w:pPr/>
          </w:p>
        </w:tc>
        <w:tc>
          <w:tcPr>
            <w:tcW w:w="3320" w:type="dxa"/>
            <w:vMerge/>
            <w:tcBorders>
              <w:left w:val="single" w:sz="4" w:space="0" w:color="000000"/>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宋体" w:hAnsi="宋体" w:cs="宋体" w:eastAsia="宋体" w:hint="default"/>
                <w:sz w:val="18"/>
                <w:szCs w:val="18"/>
              </w:rPr>
            </w:pPr>
            <w:r>
              <w:rPr>
                <w:rFonts w:ascii="宋体"/>
                <w:spacing w:val="-1"/>
                <w:sz w:val="18"/>
              </w:rPr>
              <w:t>2018-09-01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41,301,260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3</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山东科达集团有限公司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37,700,000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0"/>
              <w:jc w:val="right"/>
              <w:rPr>
                <w:rFonts w:ascii="宋体" w:hAnsi="宋体" w:cs="宋体" w:eastAsia="宋体" w:hint="default"/>
                <w:sz w:val="18"/>
                <w:szCs w:val="18"/>
              </w:rPr>
            </w:pPr>
            <w:r>
              <w:rPr>
                <w:rFonts w:ascii="宋体"/>
                <w:spacing w:val="-1"/>
                <w:sz w:val="18"/>
              </w:rPr>
              <w:t>2018-09-01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37,700,000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4</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杭州好望角引航投资合伙企业（有限合</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33,264,388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宋体" w:hAnsi="宋体" w:cs="宋体" w:eastAsia="宋体" w:hint="default"/>
                <w:sz w:val="18"/>
                <w:szCs w:val="18"/>
              </w:rPr>
            </w:pPr>
            <w:r>
              <w:rPr>
                <w:rFonts w:ascii="宋体"/>
                <w:spacing w:val="-1"/>
                <w:sz w:val="18"/>
              </w:rPr>
              <w:t>2018-09-01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33,264,388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5"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5</w:t>
            </w:r>
          </w:p>
        </w:tc>
        <w:tc>
          <w:tcPr>
            <w:tcW w:w="33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何烽</w:t>
            </w: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5" w:right="0"/>
              <w:jc w:val="left"/>
              <w:rPr>
                <w:rFonts w:ascii="宋体" w:hAnsi="宋体" w:cs="宋体" w:eastAsia="宋体" w:hint="default"/>
                <w:sz w:val="18"/>
                <w:szCs w:val="18"/>
              </w:rPr>
            </w:pPr>
            <w:r>
              <w:rPr>
                <w:rFonts w:ascii="宋体"/>
                <w:sz w:val="18"/>
              </w:rPr>
              <w:t>22,205,035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宋体" w:hAnsi="宋体" w:cs="宋体" w:eastAsia="宋体" w:hint="default"/>
                <w:sz w:val="18"/>
                <w:szCs w:val="18"/>
              </w:rPr>
            </w:pPr>
            <w:r>
              <w:rPr>
                <w:rFonts w:ascii="宋体"/>
                <w:spacing w:val="-1"/>
                <w:sz w:val="18"/>
              </w:rPr>
              <w:t>2016-09-01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3,205,035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3" w:type="dxa"/>
            <w:vMerge/>
            <w:tcBorders>
              <w:left w:val="single" w:sz="4" w:space="0" w:color="000000"/>
              <w:bottom w:val="single" w:sz="4" w:space="0" w:color="000000"/>
              <w:right w:val="single" w:sz="4" w:space="0" w:color="000000"/>
            </w:tcBorders>
          </w:tcPr>
          <w:p>
            <w:pPr/>
          </w:p>
        </w:tc>
        <w:tc>
          <w:tcPr>
            <w:tcW w:w="3320" w:type="dxa"/>
            <w:vMerge/>
            <w:tcBorders>
              <w:left w:val="single" w:sz="4" w:space="0" w:color="000000"/>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0"/>
              <w:jc w:val="right"/>
              <w:rPr>
                <w:rFonts w:ascii="宋体" w:hAnsi="宋体" w:cs="宋体" w:eastAsia="宋体" w:hint="default"/>
                <w:sz w:val="18"/>
                <w:szCs w:val="18"/>
              </w:rPr>
            </w:pPr>
            <w:r>
              <w:rPr>
                <w:rFonts w:ascii="宋体"/>
                <w:spacing w:val="-1"/>
                <w:sz w:val="18"/>
              </w:rPr>
              <w:t>2018-09-01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19,000,000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6</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杭州好望角启航投资合伙企业（有限合</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21,306,188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宋体" w:hAnsi="宋体" w:cs="宋体" w:eastAsia="宋体" w:hint="default"/>
                <w:sz w:val="18"/>
                <w:szCs w:val="18"/>
              </w:rPr>
            </w:pPr>
            <w:r>
              <w:rPr>
                <w:rFonts w:ascii="宋体"/>
                <w:spacing w:val="-1"/>
                <w:sz w:val="18"/>
              </w:rPr>
              <w:t>2016-09-01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21,306,188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7</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青岛润岩投资管理中心（有限合伙）</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宋体" w:hAnsi="宋体" w:cs="宋体" w:eastAsia="宋体" w:hint="default"/>
                <w:sz w:val="18"/>
                <w:szCs w:val="18"/>
              </w:rPr>
            </w:pPr>
            <w:r>
              <w:rPr>
                <w:rFonts w:ascii="宋体"/>
                <w:spacing w:val="-1"/>
                <w:sz w:val="18"/>
              </w:rPr>
              <w:t>2018-09-01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bl>
    <w:p>
      <w:pPr>
        <w:spacing w:after="0" w:line="234" w:lineRule="exact"/>
        <w:jc w:val="left"/>
        <w:rPr>
          <w:rFonts w:ascii="宋体" w:hAnsi="宋体" w:cs="宋体" w:eastAsia="宋体" w:hint="default"/>
          <w:sz w:val="18"/>
          <w:szCs w:val="18"/>
        </w:rPr>
        <w:sectPr>
          <w:pgSz w:w="11910" w:h="16840"/>
          <w:pgMar w:header="855" w:footer="1193" w:top="1280" w:bottom="1380" w:left="1580" w:right="920"/>
        </w:sectPr>
      </w:pPr>
    </w:p>
    <w:p>
      <w:pPr>
        <w:spacing w:line="240" w:lineRule="auto" w:before="2"/>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653"/>
        <w:gridCol w:w="3320"/>
        <w:gridCol w:w="1241"/>
        <w:gridCol w:w="1133"/>
        <w:gridCol w:w="1275"/>
        <w:gridCol w:w="1560"/>
      </w:tblGrid>
      <w:tr>
        <w:trPr>
          <w:trHeight w:val="478"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sz w:val="18"/>
              </w:rPr>
              <w:t>8</w:t>
            </w:r>
          </w:p>
        </w:tc>
        <w:tc>
          <w:tcPr>
            <w:tcW w:w="33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王华华</w:t>
            </w: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25" w:right="0"/>
              <w:jc w:val="left"/>
              <w:rPr>
                <w:rFonts w:ascii="宋体" w:hAnsi="宋体" w:cs="宋体" w:eastAsia="宋体" w:hint="default"/>
                <w:sz w:val="18"/>
                <w:szCs w:val="18"/>
              </w:rPr>
            </w:pPr>
            <w:r>
              <w:rPr>
                <w:rFonts w:ascii="宋体"/>
                <w:sz w:val="18"/>
              </w:rPr>
              <w:t>19,230,215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0"/>
              <w:jc w:val="right"/>
              <w:rPr>
                <w:rFonts w:ascii="宋体" w:hAnsi="宋体" w:cs="宋体" w:eastAsia="宋体" w:hint="default"/>
                <w:sz w:val="18"/>
                <w:szCs w:val="18"/>
              </w:rPr>
            </w:pPr>
            <w:r>
              <w:rPr>
                <w:rFonts w:ascii="宋体"/>
                <w:spacing w:val="-1"/>
                <w:sz w:val="18"/>
              </w:rPr>
              <w:t>2016-09-01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3,846,043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3" w:type="dxa"/>
            <w:vMerge/>
            <w:tcBorders>
              <w:left w:val="single" w:sz="4" w:space="0" w:color="000000"/>
              <w:right w:val="single" w:sz="4" w:space="0" w:color="000000"/>
            </w:tcBorders>
          </w:tcPr>
          <w:p>
            <w:pPr/>
          </w:p>
        </w:tc>
        <w:tc>
          <w:tcPr>
            <w:tcW w:w="3320" w:type="dxa"/>
            <w:vMerge/>
            <w:tcBorders>
              <w:left w:val="single" w:sz="4" w:space="0" w:color="000000"/>
              <w:right w:val="single" w:sz="4" w:space="0" w:color="000000"/>
            </w:tcBorders>
          </w:tcPr>
          <w:p>
            <w:pPr/>
          </w:p>
        </w:tc>
        <w:tc>
          <w:tcPr>
            <w:tcW w:w="1241" w:type="dxa"/>
            <w:vMerge/>
            <w:tcBorders>
              <w:left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宋体" w:hAnsi="宋体" w:cs="宋体" w:eastAsia="宋体" w:hint="default"/>
                <w:sz w:val="18"/>
                <w:szCs w:val="18"/>
              </w:rPr>
            </w:pPr>
            <w:r>
              <w:rPr>
                <w:rFonts w:ascii="宋体"/>
                <w:spacing w:val="-1"/>
                <w:sz w:val="18"/>
              </w:rPr>
              <w:t>2017-09-01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3,846,043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3" w:type="dxa"/>
            <w:vMerge/>
            <w:tcBorders>
              <w:left w:val="single" w:sz="4" w:space="0" w:color="000000"/>
              <w:bottom w:val="single" w:sz="4" w:space="0" w:color="000000"/>
              <w:right w:val="single" w:sz="4" w:space="0" w:color="000000"/>
            </w:tcBorders>
          </w:tcPr>
          <w:p>
            <w:pPr/>
          </w:p>
        </w:tc>
        <w:tc>
          <w:tcPr>
            <w:tcW w:w="3320" w:type="dxa"/>
            <w:vMerge/>
            <w:tcBorders>
              <w:left w:val="single" w:sz="4" w:space="0" w:color="000000"/>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宋体" w:hAnsi="宋体" w:cs="宋体" w:eastAsia="宋体" w:hint="default"/>
                <w:sz w:val="18"/>
                <w:szCs w:val="18"/>
              </w:rPr>
            </w:pPr>
            <w:r>
              <w:rPr>
                <w:rFonts w:ascii="宋体"/>
                <w:spacing w:val="-1"/>
                <w:sz w:val="18"/>
              </w:rPr>
              <w:t>2018-09-01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11,538,129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9</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黄峥嵘</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18,700,000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宋体" w:hAnsi="宋体" w:cs="宋体" w:eastAsia="宋体" w:hint="default"/>
                <w:sz w:val="18"/>
                <w:szCs w:val="18"/>
              </w:rPr>
            </w:pPr>
            <w:r>
              <w:rPr>
                <w:rFonts w:ascii="宋体"/>
                <w:spacing w:val="-1"/>
                <w:sz w:val="18"/>
              </w:rPr>
              <w:t>2018-09-01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18,700,000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杭州好望角越航投资合伙企业（有限合</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18,000,000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宋体" w:hAnsi="宋体" w:cs="宋体" w:eastAsia="宋体" w:hint="default"/>
                <w:sz w:val="18"/>
                <w:szCs w:val="18"/>
              </w:rPr>
            </w:pPr>
            <w:r>
              <w:rPr>
                <w:rFonts w:ascii="宋体"/>
                <w:spacing w:val="-1"/>
                <w:sz w:val="18"/>
              </w:rPr>
              <w:t>2018-09-01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18,000,000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1412" w:hRule="exact"/>
        </w:trPr>
        <w:tc>
          <w:tcPr>
            <w:tcW w:w="3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2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山东科达集团有限公司与青岛润岩投资管理中心（有限合伙）</w:t>
            </w:r>
          </w:p>
          <w:p>
            <w:pPr>
              <w:pStyle w:val="TableParagraph"/>
              <w:spacing w:line="237" w:lineRule="auto"/>
              <w:ind w:left="103" w:right="233"/>
              <w:jc w:val="both"/>
              <w:rPr>
                <w:rFonts w:ascii="宋体" w:hAnsi="宋体" w:cs="宋体" w:eastAsia="宋体" w:hint="default"/>
                <w:sz w:val="18"/>
                <w:szCs w:val="18"/>
              </w:rPr>
            </w:pPr>
            <w:r>
              <w:rPr>
                <w:rFonts w:ascii="宋体" w:hAnsi="宋体" w:cs="宋体" w:eastAsia="宋体" w:hint="default"/>
                <w:sz w:val="18"/>
                <w:szCs w:val="18"/>
              </w:rPr>
              <w:t>存在关联关系，杭州好望角引航投资合伙企业（有限合伙）、 何烽、杭州好望角启航投资合伙企业（有限合伙）、黄峥嵘以 及杭州好望角越航投资合伙企业（有限合伙）为一致行动人。 截至目前，公司未曾获得其他股东之间存在关联关系或一致行 动人关系的信息。</w:t>
            </w:r>
          </w:p>
        </w:tc>
      </w:tr>
    </w:tbl>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64" w:lineRule="auto" w:before="58"/>
        <w:ind w:right="749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刘双珉</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1996-12-28</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10"/>
              <w:jc w:val="left"/>
              <w:rPr>
                <w:rFonts w:ascii="宋体" w:hAnsi="宋体" w:cs="宋体" w:eastAsia="宋体" w:hint="default"/>
                <w:sz w:val="21"/>
                <w:szCs w:val="21"/>
              </w:rPr>
            </w:pPr>
            <w:r>
              <w:rPr>
                <w:rFonts w:ascii="宋体" w:hAnsi="宋体" w:cs="宋体" w:eastAsia="宋体" w:hint="default"/>
                <w:spacing w:val="-5"/>
                <w:sz w:val="21"/>
                <w:szCs w:val="21"/>
              </w:rPr>
              <w:t>对外投资，企业管理及财务咨询（不含会计代理记账）服务，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文化旅游产业开发，广告业务。</w:t>
            </w:r>
          </w:p>
        </w:tc>
      </w:tr>
      <w:tr>
        <w:trPr>
          <w:trHeight w:val="55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2"/>
        <w:rPr>
          <w:rFonts w:ascii="宋体" w:hAnsi="宋体" w:cs="宋体" w:eastAsia="宋体" w:hint="default"/>
          <w:b/>
          <w:bCs/>
          <w:sz w:val="19"/>
          <w:szCs w:val="19"/>
        </w:rPr>
      </w:pPr>
    </w:p>
    <w:p>
      <w:pPr>
        <w:tabs>
          <w:tab w:pos="637" w:val="left" w:leader="none"/>
        </w:tabs>
        <w:spacing w:line="290" w:lineRule="auto" w:before="36"/>
        <w:ind w:left="218" w:right="518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pacing w:val="-1"/>
          <w:sz w:val="21"/>
          <w:szCs w:val="21"/>
        </w:rPr>
        <w:t>报告期内控股股东变更情况索引及日期</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本报告期内公司控股股东没有发生变更。</w:t>
      </w:r>
    </w:p>
    <w:p>
      <w:pPr>
        <w:spacing w:line="240" w:lineRule="auto" w:before="11"/>
        <w:rPr>
          <w:rFonts w:ascii="宋体" w:hAnsi="宋体" w:cs="宋体" w:eastAsia="宋体" w:hint="default"/>
          <w:sz w:val="21"/>
          <w:szCs w:val="21"/>
        </w:rPr>
      </w:pPr>
    </w:p>
    <w:p>
      <w:pPr>
        <w:pStyle w:val="Heading2"/>
        <w:tabs>
          <w:tab w:pos="637" w:val="left" w:leader="none"/>
        </w:tabs>
        <w:spacing w:line="240" w:lineRule="auto" w:before="0"/>
        <w:ind w:right="0"/>
        <w:jc w:val="left"/>
        <w:rPr>
          <w:b w:val="0"/>
          <w:bCs w:val="0"/>
        </w:rPr>
      </w:pPr>
      <w:r>
        <w:rPr>
          <w:rFonts w:ascii="宋体" w:hAnsi="宋体" w:cs="宋体" w:eastAsia="宋体" w:hint="default"/>
          <w:w w:val="95"/>
        </w:rPr>
        <w:t>3</w:t>
        <w:tab/>
      </w:r>
      <w:r>
        <w:rPr/>
        <w:t>公司与控股股东之间的产权及控制关系的方框图</w:t>
      </w:r>
      <w:r>
        <w:rPr>
          <w:b w:val="0"/>
          <w:bCs w:val="0"/>
        </w:rPr>
      </w:r>
    </w:p>
    <w:p>
      <w:pPr>
        <w:spacing w:line="240" w:lineRule="auto" w:before="11"/>
        <w:rPr>
          <w:rFonts w:ascii="宋体" w:hAnsi="宋体" w:cs="宋体" w:eastAsia="宋体" w:hint="default"/>
          <w:b/>
          <w:bCs/>
          <w:sz w:val="6"/>
          <w:szCs w:val="6"/>
        </w:rPr>
      </w:pPr>
    </w:p>
    <w:p>
      <w:pPr>
        <w:spacing w:line="3340" w:lineRule="exact"/>
        <w:ind w:left="24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496993" cy="2121408"/>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7" cstate="print"/>
                    <a:stretch>
                      <a:fillRect/>
                    </a:stretch>
                  </pic:blipFill>
                  <pic:spPr>
                    <a:xfrm>
                      <a:off x="0" y="0"/>
                      <a:ext cx="3496993" cy="2121408"/>
                    </a:xfrm>
                    <a:prstGeom prst="rect">
                      <a:avLst/>
                    </a:prstGeom>
                  </pic:spPr>
                </pic:pic>
              </a:graphicData>
            </a:graphic>
          </wp:inline>
        </w:drawing>
      </w:r>
      <w:r>
        <w:rPr>
          <w:rFonts w:ascii="宋体" w:hAnsi="宋体" w:cs="宋体" w:eastAsia="宋体" w:hint="default"/>
          <w:position w:val="-66"/>
          <w:sz w:val="20"/>
          <w:szCs w:val="20"/>
        </w:rPr>
      </w:r>
    </w:p>
    <w:p>
      <w:pPr>
        <w:pStyle w:val="Heading2"/>
        <w:tabs>
          <w:tab w:pos="642" w:val="left" w:leader="none"/>
        </w:tabs>
        <w:spacing w:line="264" w:lineRule="auto" w:before="33"/>
        <w:ind w:right="728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自然人</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刘双珉</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bl>
    <w:p>
      <w:pPr>
        <w:spacing w:after="0" w:line="243" w:lineRule="exact"/>
        <w:jc w:val="left"/>
        <w:rPr>
          <w:rFonts w:ascii="宋体" w:hAnsi="宋体" w:cs="宋体" w:eastAsia="宋体" w:hint="default"/>
          <w:sz w:val="21"/>
          <w:szCs w:val="21"/>
        </w:rPr>
        <w:sectPr>
          <w:footerReference w:type="default" r:id="rId26"/>
          <w:pgSz w:w="11910" w:h="16840"/>
          <w:pgMar w:footer="1193" w:header="855" w:top="1280" w:bottom="1380" w:left="1580" w:right="920"/>
        </w:sectPr>
      </w:pPr>
    </w:p>
    <w:p>
      <w:pPr>
        <w:spacing w:line="240" w:lineRule="auto" w:before="2"/>
        <w:rPr>
          <w:rFonts w:ascii="宋体" w:hAnsi="宋体" w:cs="宋体" w:eastAsia="宋体" w:hint="default"/>
          <w:b/>
          <w:bCs/>
          <w:sz w:val="18"/>
          <w:szCs w:val="18"/>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64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2000</w:t>
            </w:r>
            <w:r>
              <w:rPr>
                <w:rFonts w:ascii="宋体" w:hAnsi="宋体" w:cs="宋体" w:eastAsia="宋体" w:hint="default"/>
                <w:spacing w:val="-69"/>
                <w:sz w:val="21"/>
                <w:szCs w:val="21"/>
              </w:rPr>
              <w:t> </w:t>
            </w:r>
            <w:r>
              <w:rPr>
                <w:rFonts w:ascii="宋体" w:hAnsi="宋体" w:cs="宋体" w:eastAsia="宋体" w:hint="default"/>
                <w:w w:val="100"/>
                <w:sz w:val="21"/>
                <w:szCs w:val="21"/>
              </w:rPr>
              <w:t>年</w:t>
            </w:r>
            <w:r>
              <w:rPr>
                <w:rFonts w:ascii="宋体" w:hAnsi="宋体" w:cs="宋体" w:eastAsia="宋体" w:hint="default"/>
                <w:spacing w:val="-69"/>
                <w:sz w:val="21"/>
                <w:szCs w:val="21"/>
              </w:rPr>
              <w:t> </w:t>
            </w:r>
            <w:r>
              <w:rPr>
                <w:rFonts w:ascii="宋体" w:hAnsi="宋体" w:cs="宋体" w:eastAsia="宋体" w:hint="default"/>
                <w:w w:val="100"/>
                <w:sz w:val="21"/>
                <w:szCs w:val="21"/>
              </w:rPr>
              <w:t>5</w:t>
            </w:r>
            <w:r>
              <w:rPr>
                <w:rFonts w:ascii="宋体" w:hAnsi="宋体" w:cs="宋体" w:eastAsia="宋体" w:hint="default"/>
                <w:spacing w:val="-69"/>
                <w:sz w:val="21"/>
                <w:szCs w:val="21"/>
              </w:rPr>
              <w:t> </w:t>
            </w:r>
            <w:r>
              <w:rPr>
                <w:rFonts w:ascii="宋体" w:hAnsi="宋体" w:cs="宋体" w:eastAsia="宋体" w:hint="default"/>
                <w:w w:val="100"/>
                <w:sz w:val="21"/>
                <w:szCs w:val="21"/>
              </w:rPr>
              <w:t>月</w:t>
            </w:r>
            <w:r>
              <w:rPr>
                <w:rFonts w:ascii="宋体" w:hAnsi="宋体" w:cs="宋体" w:eastAsia="宋体" w:hint="default"/>
                <w:spacing w:val="-69"/>
                <w:sz w:val="21"/>
                <w:szCs w:val="21"/>
              </w:rPr>
              <w:t> </w:t>
            </w:r>
            <w:r>
              <w:rPr>
                <w:rFonts w:ascii="宋体" w:hAnsi="宋体" w:cs="宋体" w:eastAsia="宋体" w:hint="default"/>
                <w:w w:val="100"/>
                <w:sz w:val="21"/>
                <w:szCs w:val="21"/>
              </w:rPr>
              <w:t>8</w:t>
            </w:r>
            <w:r>
              <w:rPr>
                <w:rFonts w:ascii="宋体" w:hAnsi="宋体" w:cs="宋体" w:eastAsia="宋体" w:hint="default"/>
                <w:spacing w:val="-71"/>
                <w:sz w:val="21"/>
                <w:szCs w:val="21"/>
              </w:rPr>
              <w:t> </w:t>
            </w:r>
            <w:r>
              <w:rPr>
                <w:rFonts w:ascii="宋体" w:hAnsi="宋体" w:cs="宋体" w:eastAsia="宋体" w:hint="default"/>
                <w:w w:val="100"/>
                <w:sz w:val="21"/>
                <w:szCs w:val="21"/>
              </w:rPr>
              <w:t>日至</w:t>
            </w:r>
            <w:r>
              <w:rPr>
                <w:rFonts w:ascii="宋体" w:hAnsi="宋体" w:cs="宋体" w:eastAsia="宋体" w:hint="default"/>
                <w:spacing w:val="-69"/>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10</w:t>
            </w:r>
            <w:r>
              <w:rPr>
                <w:rFonts w:ascii="宋体" w:hAnsi="宋体" w:cs="宋体" w:eastAsia="宋体" w:hint="default"/>
                <w:spacing w:val="-70"/>
                <w:sz w:val="21"/>
                <w:szCs w:val="21"/>
              </w:rPr>
              <w:t> </w:t>
            </w:r>
            <w:r>
              <w:rPr>
                <w:rFonts w:ascii="宋体" w:hAnsi="宋体" w:cs="宋体" w:eastAsia="宋体" w:hint="default"/>
                <w:w w:val="100"/>
                <w:sz w:val="21"/>
                <w:szCs w:val="21"/>
              </w:rPr>
              <w:t>年</w:t>
            </w:r>
            <w:r>
              <w:rPr>
                <w:rFonts w:ascii="宋体" w:hAnsi="宋体" w:cs="宋体" w:eastAsia="宋体" w:hint="default"/>
                <w:spacing w:val="-72"/>
                <w:sz w:val="21"/>
                <w:szCs w:val="21"/>
              </w:rPr>
              <w:t> </w:t>
            </w:r>
            <w:r>
              <w:rPr>
                <w:rFonts w:ascii="宋体" w:hAnsi="宋体" w:cs="宋体" w:eastAsia="宋体" w:hint="default"/>
                <w:w w:val="100"/>
                <w:sz w:val="21"/>
                <w:szCs w:val="21"/>
              </w:rPr>
              <w:t>3</w:t>
            </w:r>
            <w:r>
              <w:rPr>
                <w:rFonts w:ascii="宋体" w:hAnsi="宋体" w:cs="宋体" w:eastAsia="宋体" w:hint="default"/>
                <w:spacing w:val="-69"/>
                <w:sz w:val="21"/>
                <w:szCs w:val="21"/>
              </w:rPr>
              <w:t> </w:t>
            </w:r>
            <w:r>
              <w:rPr>
                <w:rFonts w:ascii="宋体" w:hAnsi="宋体" w:cs="宋体" w:eastAsia="宋体" w:hint="default"/>
                <w:w w:val="100"/>
                <w:sz w:val="21"/>
                <w:szCs w:val="21"/>
              </w:rPr>
              <w:t>月</w:t>
            </w:r>
            <w:r>
              <w:rPr>
                <w:rFonts w:ascii="宋体" w:hAnsi="宋体" w:cs="宋体" w:eastAsia="宋体" w:hint="default"/>
                <w:spacing w:val="-69"/>
                <w:sz w:val="21"/>
                <w:szCs w:val="21"/>
              </w:rPr>
              <w:t> </w:t>
            </w:r>
            <w:r>
              <w:rPr>
                <w:rFonts w:ascii="宋体" w:hAnsi="宋体" w:cs="宋体" w:eastAsia="宋体" w:hint="default"/>
                <w:w w:val="100"/>
                <w:sz w:val="21"/>
                <w:szCs w:val="21"/>
              </w:rPr>
              <w:t>23</w:t>
            </w:r>
            <w:r>
              <w:rPr>
                <w:rFonts w:ascii="宋体" w:hAnsi="宋体" w:cs="宋体" w:eastAsia="宋体" w:hint="default"/>
                <w:spacing w:val="-69"/>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任</w:t>
            </w:r>
            <w:r>
              <w:rPr>
                <w:rFonts w:ascii="宋体" w:hAnsi="宋体" w:cs="宋体" w:eastAsia="宋体" w:hint="default"/>
                <w:w w:val="100"/>
                <w:sz w:val="21"/>
                <w:szCs w:val="21"/>
              </w:rPr>
              <w:t>科</w:t>
            </w:r>
            <w:r>
              <w:rPr>
                <w:rFonts w:ascii="宋体" w:hAnsi="宋体" w:cs="宋体" w:eastAsia="宋体" w:hint="default"/>
                <w:spacing w:val="-3"/>
                <w:w w:val="100"/>
                <w:sz w:val="21"/>
                <w:szCs w:val="21"/>
              </w:rPr>
              <w:t>达</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长</w:t>
            </w:r>
            <w:r>
              <w:rPr>
                <w:rFonts w:ascii="宋体" w:hAnsi="宋体" w:cs="宋体" w:eastAsia="宋体" w:hint="default"/>
                <w:spacing w:val="-106"/>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p>
          <w:p>
            <w:pPr>
              <w:pStyle w:val="TableParagraph"/>
              <w:spacing w:line="237" w:lineRule="auto" w:before="2"/>
              <w:ind w:left="100" w:right="-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pacing w:val="-5"/>
                <w:sz w:val="21"/>
                <w:szCs w:val="21"/>
              </w:rPr>
              <w:t>月至今兼任东营科英置业有限公司董事长；</w:t>
            </w:r>
            <w:r>
              <w:rPr>
                <w:rFonts w:ascii="宋体" w:hAnsi="宋体" w:cs="宋体" w:eastAsia="宋体" w:hint="default"/>
                <w:spacing w:val="-5"/>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92"/>
                <w:sz w:val="21"/>
                <w:szCs w:val="21"/>
              </w:rPr>
              <w:t> </w:t>
            </w:r>
            <w:r>
              <w:rPr>
                <w:rFonts w:ascii="宋体" w:hAnsi="宋体" w:cs="宋体" w:eastAsia="宋体" w:hint="default"/>
                <w:sz w:val="21"/>
                <w:szCs w:val="21"/>
              </w:rPr>
              <w:t>至今任山东科达集团有限公司董事长。兼任山东省工商联副</w:t>
            </w:r>
            <w:r>
              <w:rPr>
                <w:rFonts w:ascii="宋体" w:hAnsi="宋体" w:cs="宋体" w:eastAsia="宋体" w:hint="default"/>
                <w:w w:val="100"/>
                <w:sz w:val="21"/>
                <w:szCs w:val="21"/>
              </w:rPr>
              <w:t> </w:t>
            </w:r>
            <w:r>
              <w:rPr>
                <w:rFonts w:ascii="宋体" w:hAnsi="宋体" w:cs="宋体" w:eastAsia="宋体" w:hint="default"/>
                <w:spacing w:val="-6"/>
                <w:sz w:val="21"/>
                <w:szCs w:val="21"/>
              </w:rPr>
              <w:t>主席、中国中小企业协会副会长、中国商业法研究会副院长、</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全国工商联城市基础设施商会副会长、中国企业联合会、中</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国企业家协会副会长等多项社会职务。</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除间接控股本公司外，刘双珉先生没有直接或者间接控制其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他上市公司。</w:t>
            </w:r>
          </w:p>
        </w:tc>
      </w:tr>
    </w:tbl>
    <w:p>
      <w:pPr>
        <w:spacing w:line="240" w:lineRule="auto" w:before="2"/>
        <w:rPr>
          <w:rFonts w:ascii="宋体" w:hAnsi="宋体" w:cs="宋体" w:eastAsia="宋体" w:hint="default"/>
          <w:b/>
          <w:bCs/>
          <w:sz w:val="20"/>
          <w:szCs w:val="20"/>
        </w:rPr>
      </w:pPr>
    </w:p>
    <w:p>
      <w:pPr>
        <w:tabs>
          <w:tab w:pos="642" w:val="left" w:leader="none"/>
        </w:tabs>
        <w:spacing w:line="290" w:lineRule="auto" w:before="36"/>
        <w:ind w:left="218" w:right="4844"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pacing w:val="-1"/>
          <w:sz w:val="21"/>
          <w:szCs w:val="21"/>
        </w:rPr>
        <w:t>报告期内实际控制人变更情况索引及日期</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本报告期内公司实际控制人没有发生变更。</w:t>
      </w:r>
    </w:p>
    <w:p>
      <w:pPr>
        <w:spacing w:line="240" w:lineRule="auto" w:before="11"/>
        <w:rPr>
          <w:rFonts w:ascii="宋体" w:hAnsi="宋体" w:cs="宋体" w:eastAsia="宋体" w:hint="default"/>
          <w:sz w:val="21"/>
          <w:szCs w:val="21"/>
        </w:rPr>
      </w:pPr>
    </w:p>
    <w:p>
      <w:pPr>
        <w:pStyle w:val="Heading2"/>
        <w:tabs>
          <w:tab w:pos="642" w:val="left" w:leader="none"/>
        </w:tabs>
        <w:spacing w:line="240" w:lineRule="auto" w:before="0"/>
        <w:ind w:right="2465"/>
        <w:jc w:val="left"/>
        <w:rPr>
          <w:b w:val="0"/>
          <w:bCs w:val="0"/>
        </w:rPr>
      </w:pPr>
      <w:r>
        <w:rPr>
          <w:rFonts w:ascii="宋体" w:hAnsi="宋体" w:cs="宋体" w:eastAsia="宋体" w:hint="default"/>
          <w:w w:val="95"/>
        </w:rPr>
        <w:t>3</w:t>
        <w:tab/>
      </w:r>
      <w:r>
        <w:rPr/>
        <w:t>公司与实际控制人之间的产权及控制关系的方框图</w:t>
      </w:r>
      <w:r>
        <w:rPr>
          <w:b w:val="0"/>
          <w:bCs w:val="0"/>
        </w:rPr>
      </w:r>
    </w:p>
    <w:p>
      <w:pPr>
        <w:spacing w:line="240" w:lineRule="auto" w:before="0"/>
        <w:rPr>
          <w:rFonts w:ascii="宋体" w:hAnsi="宋体" w:cs="宋体" w:eastAsia="宋体" w:hint="default"/>
          <w:b/>
          <w:bCs/>
          <w:sz w:val="7"/>
          <w:szCs w:val="7"/>
        </w:rPr>
      </w:pPr>
    </w:p>
    <w:p>
      <w:pPr>
        <w:spacing w:line="3244" w:lineRule="exact"/>
        <w:ind w:left="24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2110649" cy="2060257"/>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9" cstate="print"/>
                    <a:stretch>
                      <a:fillRect/>
                    </a:stretch>
                  </pic:blipFill>
                  <pic:spPr>
                    <a:xfrm>
                      <a:off x="0" y="0"/>
                      <a:ext cx="2110649" cy="2060257"/>
                    </a:xfrm>
                    <a:prstGeom prst="rect">
                      <a:avLst/>
                    </a:prstGeom>
                  </pic:spPr>
                </pic:pic>
              </a:graphicData>
            </a:graphic>
          </wp:inline>
        </w:drawing>
      </w:r>
      <w:r>
        <w:rPr>
          <w:rFonts w:ascii="宋体" w:hAnsi="宋体" w:cs="宋体" w:eastAsia="宋体" w:hint="default"/>
          <w:position w:val="-64"/>
          <w:sz w:val="20"/>
          <w:szCs w:val="20"/>
        </w:rPr>
      </w:r>
    </w:p>
    <w:p>
      <w:pPr>
        <w:pStyle w:val="Heading2"/>
        <w:spacing w:line="240" w:lineRule="auto" w:before="37"/>
        <w:ind w:right="2465"/>
        <w:jc w:val="left"/>
        <w:rPr>
          <w:b w:val="0"/>
          <w:bCs w:val="0"/>
        </w:rPr>
      </w:pPr>
      <w:r>
        <w:rPr/>
        <w:t>五、</w:t>
      </w:r>
      <w:r>
        <w:rPr>
          <w:spacing w:val="-77"/>
        </w:rPr>
        <w:t> </w:t>
      </w:r>
      <w:r>
        <w:rPr/>
        <w:t>股份限制减持情况说明</w:t>
      </w:r>
      <w:r>
        <w:rPr>
          <w:b w:val="0"/>
          <w:bCs w:val="0"/>
        </w:rPr>
      </w:r>
    </w:p>
    <w:p>
      <w:pPr>
        <w:pStyle w:val="BodyText"/>
        <w:spacing w:line="240" w:lineRule="auto" w:before="56"/>
        <w:ind w:left="218" w:right="2465"/>
        <w:jc w:val="left"/>
      </w:pPr>
      <w:r>
        <w:rPr/>
        <w:t>□适用√不适用</w:t>
      </w:r>
    </w:p>
    <w:p>
      <w:pPr>
        <w:spacing w:after="0" w:line="240" w:lineRule="auto"/>
        <w:jc w:val="left"/>
        <w:sectPr>
          <w:footerReference w:type="default" r:id="rId28"/>
          <w:pgSz w:w="11910" w:h="16840"/>
          <w:pgMar w:footer="1193" w:header="855" w:top="1280" w:bottom="1380" w:left="1580" w:right="1040"/>
          <w:pgNumType w:start="51"/>
        </w:sectPr>
      </w:pPr>
    </w:p>
    <w:p>
      <w:pPr>
        <w:spacing w:line="240" w:lineRule="auto" w:before="5"/>
        <w:rPr>
          <w:rFonts w:ascii="宋体" w:hAnsi="宋体" w:cs="宋体" w:eastAsia="宋体" w:hint="default"/>
          <w:sz w:val="13"/>
          <w:szCs w:val="13"/>
        </w:rPr>
      </w:pPr>
    </w:p>
    <w:p>
      <w:pPr>
        <w:pStyle w:val="Heading1"/>
        <w:tabs>
          <w:tab w:pos="4201" w:val="left" w:leader="none"/>
        </w:tabs>
        <w:spacing w:line="240" w:lineRule="auto"/>
        <w:ind w:left="2941"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0"/>
        <w:jc w:val="left"/>
      </w:pPr>
      <w:r>
        <w:rPr/>
        <w:t>□适用</w:t>
      </w:r>
      <w:r>
        <w:rPr>
          <w:spacing w:val="-1"/>
        </w:rPr>
        <w:t> </w:t>
      </w:r>
      <w:r>
        <w:rPr/>
        <w:t>√不适用</w:t>
      </w:r>
    </w:p>
    <w:p>
      <w:pPr>
        <w:spacing w:after="0" w:line="240" w:lineRule="auto"/>
        <w:jc w:val="left"/>
        <w:sectPr>
          <w:pgSz w:w="11910" w:h="16840"/>
          <w:pgMar w:header="855" w:footer="1193" w:top="1280" w:bottom="1380" w:left="1660" w:right="11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1"/>
        <w:tabs>
          <w:tab w:pos="5397" w:val="left" w:leader="none"/>
        </w:tabs>
        <w:spacing w:line="240" w:lineRule="auto"/>
        <w:ind w:left="4137"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0"/>
          <w:footerReference w:type="default" r:id="rId31"/>
          <w:pgSz w:w="16840" w:h="11910" w:orient="landscape"/>
          <w:pgMar w:header="855" w:footer="1193" w:top="1280" w:bottom="1380" w:left="1220" w:right="1300"/>
          <w:pgNumType w:start="53"/>
        </w:sectPr>
      </w:pPr>
    </w:p>
    <w:p>
      <w:pPr>
        <w:pStyle w:val="Heading2"/>
        <w:spacing w:line="240" w:lineRule="auto"/>
        <w:ind w:left="220" w:right="-15"/>
        <w:jc w:val="left"/>
        <w:rPr>
          <w:b w:val="0"/>
          <w:bCs w:val="0"/>
        </w:rPr>
      </w:pPr>
      <w:r>
        <w:rPr/>
        <w:t>一、持股变动情况及报酬情况</w:t>
      </w:r>
      <w:r>
        <w:rPr>
          <w:b w:val="0"/>
          <w:bCs w:val="0"/>
        </w:rPr>
      </w:r>
    </w:p>
    <w:p>
      <w:pPr>
        <w:pStyle w:val="Heading2"/>
        <w:spacing w:line="240" w:lineRule="auto" w:before="56"/>
        <w:ind w:left="220"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0"/>
        <w:ind w:left="220" w:right="0"/>
        <w:jc w:val="left"/>
      </w:pPr>
      <w:r>
        <w:rPr/>
        <w:t>单位：股</w:t>
      </w:r>
    </w:p>
    <w:p>
      <w:pPr>
        <w:spacing w:after="0" w:line="240" w:lineRule="auto"/>
        <w:jc w:val="left"/>
        <w:sectPr>
          <w:type w:val="continuous"/>
          <w:pgSz w:w="16840" w:h="11910" w:orient="landscape"/>
          <w:pgMar w:top="1280" w:bottom="1380" w:left="1220" w:right="1300"/>
          <w:cols w:num="2" w:equalWidth="0">
            <w:col w:w="6968" w:space="6069"/>
            <w:col w:w="1283"/>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054"/>
        <w:gridCol w:w="1606"/>
        <w:gridCol w:w="710"/>
        <w:gridCol w:w="553"/>
        <w:gridCol w:w="1265"/>
        <w:gridCol w:w="1267"/>
        <w:gridCol w:w="1143"/>
        <w:gridCol w:w="1130"/>
        <w:gridCol w:w="1352"/>
        <w:gridCol w:w="1169"/>
        <w:gridCol w:w="1409"/>
        <w:gridCol w:w="1440"/>
      </w:tblGrid>
      <w:tr>
        <w:trPr>
          <w:trHeight w:val="110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07"/>
              <w:jc w:val="right"/>
              <w:rPr>
                <w:rFonts w:ascii="宋体" w:hAnsi="宋体" w:cs="宋体" w:eastAsia="宋体" w:hint="default"/>
                <w:sz w:val="21"/>
                <w:szCs w:val="21"/>
              </w:rPr>
            </w:pPr>
            <w:r>
              <w:rPr>
                <w:rFonts w:ascii="宋体" w:hAnsi="宋体" w:cs="宋体" w:eastAsia="宋体" w:hint="default"/>
                <w:sz w:val="21"/>
                <w:szCs w:val="21"/>
              </w:rPr>
              <w:t>姓名</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3" w:right="166"/>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0" w:right="98"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8"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1" w:right="142"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3" w:right="137"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4" w:right="142"/>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7" w:right="156"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04" w:right="185"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董事长、总经理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sz w:val="21"/>
              </w:rPr>
              <w:t>34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2010-03-29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2016-09-22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韩金亮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sz w:val="21"/>
              </w:rPr>
              <w:t>39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2013-09-23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2015-08-17</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黄峥嵘</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0"/>
              <w:jc w:val="right"/>
              <w:rPr>
                <w:rFonts w:ascii="宋体" w:hAnsi="宋体" w:cs="宋体" w:eastAsia="宋体" w:hint="default"/>
                <w:sz w:val="21"/>
                <w:szCs w:val="21"/>
              </w:rPr>
            </w:pPr>
            <w:r>
              <w:rPr>
                <w:rFonts w:ascii="宋体"/>
                <w:sz w:val="21"/>
              </w:rPr>
              <w:t>46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2015-09-08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2016-09-22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王巧兰</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85"/>
                <w:w w:val="100"/>
                <w:sz w:val="21"/>
                <w:szCs w:val="21"/>
              </w:rPr>
              <w:t>、</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负责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sz w:val="21"/>
              </w:rPr>
              <w:t>37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2012-07-25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2016-09-22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王为凯</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sz w:val="21"/>
              </w:rPr>
              <w:t>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2013-09-23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2015-03-05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薛爱永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0"/>
              <w:jc w:val="right"/>
              <w:rPr>
                <w:rFonts w:ascii="宋体" w:hAnsi="宋体" w:cs="宋体" w:eastAsia="宋体" w:hint="default"/>
                <w:sz w:val="21"/>
                <w:szCs w:val="21"/>
              </w:rPr>
            </w:pPr>
            <w:r>
              <w:rPr>
                <w:rFonts w:ascii="宋体"/>
                <w:sz w:val="21"/>
              </w:rPr>
              <w:t>41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2015-3-30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2016-09-22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曹志敏</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sz w:val="21"/>
              </w:rPr>
              <w:t>58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2013-09-23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2015-12-29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朱德胜</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sz w:val="21"/>
              </w:rPr>
              <w:t>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2013-09-23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2016-02-01</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李业顺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sz w:val="21"/>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2013-09-23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2015-08-17</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刘春</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0"/>
              <w:jc w:val="right"/>
              <w:rPr>
                <w:rFonts w:ascii="宋体" w:hAnsi="宋体" w:cs="宋体" w:eastAsia="宋体" w:hint="default"/>
                <w:sz w:val="21"/>
                <w:szCs w:val="21"/>
              </w:rPr>
            </w:pPr>
            <w:r>
              <w:rPr>
                <w:rFonts w:ascii="宋体"/>
                <w:sz w:val="21"/>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2015-09-08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2016-09-22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蔡立君</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0"/>
              <w:jc w:val="right"/>
              <w:rPr>
                <w:rFonts w:ascii="宋体" w:hAnsi="宋体" w:cs="宋体" w:eastAsia="宋体" w:hint="default"/>
                <w:sz w:val="21"/>
                <w:szCs w:val="21"/>
              </w:rPr>
            </w:pPr>
            <w:r>
              <w:rPr>
                <w:rFonts w:ascii="宋体"/>
                <w:sz w:val="21"/>
              </w:rPr>
              <w:t>35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2016-02-01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2016-09-22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成来国</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0"/>
              <w:jc w:val="right"/>
              <w:rPr>
                <w:rFonts w:ascii="宋体" w:hAnsi="宋体" w:cs="宋体" w:eastAsia="宋体" w:hint="default"/>
                <w:sz w:val="21"/>
                <w:szCs w:val="21"/>
              </w:rPr>
            </w:pPr>
            <w:r>
              <w:rPr>
                <w:rFonts w:ascii="宋体"/>
                <w:sz w:val="21"/>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2009-05-22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2016-09-22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李志军</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sz w:val="21"/>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2013-09-23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2015-02-25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张晓莉</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sz w:val="21"/>
              </w:rPr>
              <w:t>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2014-01-27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2016-09-22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孙岩</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0"/>
              <w:jc w:val="right"/>
              <w:rPr>
                <w:rFonts w:ascii="宋体" w:hAnsi="宋体" w:cs="宋体" w:eastAsia="宋体" w:hint="default"/>
                <w:sz w:val="21"/>
                <w:szCs w:val="21"/>
              </w:rPr>
            </w:pPr>
            <w:r>
              <w:rPr>
                <w:rFonts w:ascii="宋体"/>
                <w:sz w:val="21"/>
              </w:rPr>
              <w:t>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2015-02-25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2016-09-22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姜志涛</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sz w:val="21"/>
              </w:rPr>
              <w:t>33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2012-05-30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2016-09-22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7"/>
              <w:jc w:val="right"/>
              <w:rPr>
                <w:rFonts w:ascii="宋体" w:hAnsi="宋体" w:cs="宋体" w:eastAsia="宋体" w:hint="default"/>
                <w:sz w:val="21"/>
                <w:szCs w:val="21"/>
              </w:rPr>
            </w:pPr>
            <w:r>
              <w:rPr>
                <w:rFonts w:ascii="宋体" w:hAnsi="宋体" w:cs="宋体" w:eastAsia="宋体" w:hint="default"/>
                <w:sz w:val="21"/>
                <w:szCs w:val="21"/>
              </w:rPr>
              <w:t>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8"/>
              <w:jc w:val="righ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129.92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after="0" w:line="243" w:lineRule="exact"/>
        <w:jc w:val="center"/>
        <w:rPr>
          <w:rFonts w:ascii="宋体" w:hAnsi="宋体" w:cs="宋体" w:eastAsia="宋体" w:hint="default"/>
          <w:sz w:val="21"/>
          <w:szCs w:val="21"/>
        </w:rPr>
        <w:sectPr>
          <w:type w:val="continuous"/>
          <w:pgSz w:w="16840" w:h="11910" w:orient="landscape"/>
          <w:pgMar w:top="128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硕士研究生，</w:t>
            </w:r>
            <w:r>
              <w:rPr>
                <w:rFonts w:ascii="宋体" w:hAnsi="宋体" w:cs="宋体" w:eastAsia="宋体" w:hint="default"/>
                <w:spacing w:val="-1"/>
                <w:sz w:val="21"/>
                <w:szCs w:val="21"/>
              </w:rPr>
              <w:t>2008</w:t>
            </w:r>
            <w:r>
              <w:rPr>
                <w:rFonts w:ascii="宋体" w:hAnsi="宋体" w:cs="宋体" w:eastAsia="宋体" w:hint="default"/>
                <w:spacing w:val="94"/>
                <w:sz w:val="21"/>
                <w:szCs w:val="21"/>
              </w:rPr>
              <w:t> </w:t>
            </w:r>
            <w:r>
              <w:rPr>
                <w:rFonts w:ascii="宋体" w:hAnsi="宋体" w:cs="宋体" w:eastAsia="宋体" w:hint="default"/>
                <w:spacing w:val="-2"/>
                <w:sz w:val="21"/>
                <w:szCs w:val="21"/>
              </w:rPr>
              <w:t>年至今，先后任科达股份董事长助理、副董事长、董事长职务，现任公司董事长、总经理。同时兼任科达半导体有限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公司董事长、东营科创生物化工有限公司董事长、广饶县金桥小额贷款股份有限公司董事长。</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韩金亮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本科学历，中级会计师。</w:t>
            </w:r>
            <w:r>
              <w:rPr>
                <w:rFonts w:ascii="宋体" w:hAnsi="宋体" w:cs="宋体" w:eastAsia="宋体" w:hint="default"/>
                <w:spacing w:val="-3"/>
                <w:sz w:val="21"/>
                <w:szCs w:val="21"/>
              </w:rPr>
              <w:t>1997</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0"/>
                <w:sz w:val="21"/>
                <w:szCs w:val="21"/>
              </w:rPr>
              <w:t> </w:t>
            </w:r>
            <w:r>
              <w:rPr>
                <w:rFonts w:ascii="宋体" w:hAnsi="宋体" w:cs="宋体" w:eastAsia="宋体" w:hint="default"/>
                <w:sz w:val="21"/>
                <w:szCs w:val="21"/>
              </w:rPr>
              <w:t>月至</w:t>
            </w:r>
            <w:r>
              <w:rPr>
                <w:rFonts w:ascii="宋体" w:hAnsi="宋体" w:cs="宋体" w:eastAsia="宋体" w:hint="default"/>
                <w:spacing w:val="-40"/>
                <w:sz w:val="21"/>
                <w:szCs w:val="21"/>
              </w:rPr>
              <w:t> </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7</w:t>
            </w:r>
            <w:r>
              <w:rPr>
                <w:rFonts w:ascii="宋体" w:hAnsi="宋体" w:cs="宋体" w:eastAsia="宋体" w:hint="default"/>
                <w:spacing w:val="-43"/>
                <w:sz w:val="21"/>
                <w:szCs w:val="21"/>
              </w:rPr>
              <w:t> </w:t>
            </w:r>
            <w:r>
              <w:rPr>
                <w:rFonts w:ascii="宋体" w:hAnsi="宋体" w:cs="宋体" w:eastAsia="宋体" w:hint="default"/>
                <w:spacing w:val="-3"/>
                <w:sz w:val="21"/>
                <w:szCs w:val="21"/>
              </w:rPr>
              <w:t>月在科达股份财务部工作，先后担任财务部会计、主管会计、副部长、部长职务，全面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负责财务部日常工作。</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月至今，任山东科达集团有限公司副总会计师。</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月任公司董事。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黄峥嵘</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本科学历。</w:t>
            </w:r>
            <w:r>
              <w:rPr>
                <w:rFonts w:ascii="宋体" w:hAnsi="宋体" w:cs="宋体" w:eastAsia="宋体" w:hint="default"/>
                <w:spacing w:val="-6"/>
                <w:sz w:val="21"/>
                <w:szCs w:val="21"/>
              </w:rPr>
              <w:t>1991</w:t>
            </w:r>
            <w:r>
              <w:rPr>
                <w:rFonts w:ascii="宋体" w:hAnsi="宋体" w:cs="宋体" w:eastAsia="宋体" w:hint="default"/>
                <w:spacing w:val="-43"/>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1994</w:t>
            </w:r>
            <w:r>
              <w:rPr>
                <w:rFonts w:ascii="宋体" w:hAnsi="宋体" w:cs="宋体" w:eastAsia="宋体" w:hint="default"/>
                <w:spacing w:val="-45"/>
                <w:sz w:val="21"/>
                <w:szCs w:val="21"/>
              </w:rPr>
              <w:t> </w:t>
            </w:r>
            <w:r>
              <w:rPr>
                <w:rFonts w:ascii="宋体" w:hAnsi="宋体" w:cs="宋体" w:eastAsia="宋体" w:hint="default"/>
                <w:spacing w:val="-4"/>
                <w:sz w:val="21"/>
                <w:szCs w:val="21"/>
              </w:rPr>
              <w:t>年任职于浙江省金华市财政税务局；</w:t>
            </w:r>
            <w:r>
              <w:rPr>
                <w:rFonts w:ascii="宋体" w:hAnsi="宋体" w:cs="宋体" w:eastAsia="宋体" w:hint="default"/>
                <w:spacing w:val="-4"/>
                <w:sz w:val="21"/>
                <w:szCs w:val="21"/>
              </w:rPr>
              <w:t>1994</w:t>
            </w:r>
            <w:r>
              <w:rPr>
                <w:rFonts w:ascii="宋体" w:hAnsi="宋体" w:cs="宋体" w:eastAsia="宋体" w:hint="default"/>
                <w:spacing w:val="-43"/>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2000</w:t>
            </w:r>
            <w:r>
              <w:rPr>
                <w:rFonts w:ascii="宋体" w:hAnsi="宋体" w:cs="宋体" w:eastAsia="宋体" w:hint="default"/>
                <w:spacing w:val="-45"/>
                <w:sz w:val="21"/>
                <w:szCs w:val="21"/>
              </w:rPr>
              <w:t> </w:t>
            </w:r>
            <w:r>
              <w:rPr>
                <w:rFonts w:ascii="宋体" w:hAnsi="宋体" w:cs="宋体" w:eastAsia="宋体" w:hint="default"/>
                <w:spacing w:val="-3"/>
                <w:sz w:val="21"/>
                <w:szCs w:val="21"/>
              </w:rPr>
              <w:t>年任职于浙江省金华市信托投资有限公司；</w:t>
            </w:r>
            <w:r>
              <w:rPr>
                <w:rFonts w:ascii="宋体" w:hAnsi="宋体" w:cs="宋体" w:eastAsia="宋体" w:hint="default"/>
                <w:spacing w:val="-3"/>
                <w:sz w:val="21"/>
                <w:szCs w:val="21"/>
              </w:rPr>
              <w:t>2000</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2"/>
                <w:sz w:val="21"/>
                <w:szCs w:val="21"/>
              </w:rPr>
              <w:t> </w:t>
            </w:r>
            <w:r>
              <w:rPr>
                <w:rFonts w:ascii="宋体" w:hAnsi="宋体" w:cs="宋体" w:eastAsia="宋体" w:hint="default"/>
                <w:sz w:val="21"/>
                <w:szCs w:val="21"/>
              </w:rPr>
              <w:t>2004</w:t>
            </w:r>
          </w:p>
          <w:p>
            <w:pPr>
              <w:pStyle w:val="TableParagraph"/>
              <w:spacing w:line="273" w:lineRule="exact"/>
              <w:ind w:left="103" w:right="-8"/>
              <w:jc w:val="left"/>
              <w:rPr>
                <w:rFonts w:ascii="宋体" w:hAnsi="宋体" w:cs="宋体" w:eastAsia="宋体" w:hint="default"/>
                <w:sz w:val="21"/>
                <w:szCs w:val="21"/>
              </w:rPr>
            </w:pPr>
            <w:r>
              <w:rPr>
                <w:rFonts w:ascii="宋体" w:hAnsi="宋体" w:cs="宋体" w:eastAsia="宋体" w:hint="default"/>
                <w:w w:val="100"/>
                <w:sz w:val="21"/>
                <w:szCs w:val="21"/>
              </w:rPr>
              <w:t>年任</w:t>
            </w:r>
            <w:r>
              <w:rPr>
                <w:rFonts w:ascii="宋体" w:hAnsi="宋体" w:cs="宋体" w:eastAsia="宋体" w:hint="default"/>
                <w:spacing w:val="-3"/>
                <w:w w:val="100"/>
                <w:sz w:val="21"/>
                <w:szCs w:val="21"/>
              </w:rPr>
              <w:t>杭</w:t>
            </w:r>
            <w:r>
              <w:rPr>
                <w:rFonts w:ascii="宋体" w:hAnsi="宋体" w:cs="宋体" w:eastAsia="宋体" w:hint="default"/>
                <w:w w:val="100"/>
                <w:sz w:val="21"/>
                <w:szCs w:val="21"/>
              </w:rPr>
              <w:t>州</w:t>
            </w:r>
            <w:r>
              <w:rPr>
                <w:rFonts w:ascii="宋体" w:hAnsi="宋体" w:cs="宋体" w:eastAsia="宋体" w:hint="default"/>
                <w:spacing w:val="-3"/>
                <w:w w:val="100"/>
                <w:sz w:val="21"/>
                <w:szCs w:val="21"/>
              </w:rPr>
              <w:t>昊</w:t>
            </w:r>
            <w:r>
              <w:rPr>
                <w:rFonts w:ascii="宋体" w:hAnsi="宋体" w:cs="宋体" w:eastAsia="宋体" w:hint="default"/>
                <w:w w:val="100"/>
                <w:sz w:val="21"/>
                <w:szCs w:val="21"/>
              </w:rPr>
              <w:t>阳</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经</w:t>
            </w:r>
            <w:r>
              <w:rPr>
                <w:rFonts w:ascii="宋体" w:hAnsi="宋体" w:cs="宋体" w:eastAsia="宋体" w:hint="default"/>
                <w:w w:val="100"/>
                <w:sz w:val="21"/>
                <w:szCs w:val="21"/>
              </w:rPr>
              <w:t>理</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004</w:t>
            </w:r>
            <w:r>
              <w:rPr>
                <w:rFonts w:ascii="宋体" w:hAnsi="宋体" w:cs="宋体" w:eastAsia="宋体" w:hint="default"/>
                <w:spacing w:val="-67"/>
                <w:sz w:val="21"/>
                <w:szCs w:val="21"/>
              </w:rPr>
              <w:t> </w:t>
            </w:r>
            <w:r>
              <w:rPr>
                <w:rFonts w:ascii="宋体" w:hAnsi="宋体" w:cs="宋体" w:eastAsia="宋体" w:hint="default"/>
                <w:w w:val="100"/>
                <w:sz w:val="21"/>
                <w:szCs w:val="21"/>
              </w:rPr>
              <w:t>年至</w:t>
            </w:r>
            <w:r>
              <w:rPr>
                <w:rFonts w:ascii="宋体" w:hAnsi="宋体" w:cs="宋体" w:eastAsia="宋体" w:hint="default"/>
                <w:spacing w:val="-65"/>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r>
              <w:rPr>
                <w:rFonts w:ascii="宋体" w:hAnsi="宋体" w:cs="宋体" w:eastAsia="宋体" w:hint="default"/>
                <w:spacing w:val="-65"/>
                <w:sz w:val="21"/>
                <w:szCs w:val="21"/>
              </w:rPr>
              <w:t> </w:t>
            </w:r>
            <w:r>
              <w:rPr>
                <w:rFonts w:ascii="宋体" w:hAnsi="宋体" w:cs="宋体" w:eastAsia="宋体" w:hint="default"/>
                <w:w w:val="100"/>
                <w:sz w:val="21"/>
                <w:szCs w:val="21"/>
              </w:rPr>
              <w:t>年</w:t>
            </w:r>
            <w:r>
              <w:rPr>
                <w:rFonts w:ascii="宋体" w:hAnsi="宋体" w:cs="宋体" w:eastAsia="宋体" w:hint="default"/>
                <w:spacing w:val="-65"/>
                <w:sz w:val="21"/>
                <w:szCs w:val="21"/>
              </w:rPr>
              <w:t> </w:t>
            </w:r>
            <w:r>
              <w:rPr>
                <w:rFonts w:ascii="宋体" w:hAnsi="宋体" w:cs="宋体" w:eastAsia="宋体" w:hint="default"/>
                <w:w w:val="100"/>
                <w:sz w:val="21"/>
                <w:szCs w:val="21"/>
              </w:rPr>
              <w:t>5</w:t>
            </w:r>
            <w:r>
              <w:rPr>
                <w:rFonts w:ascii="宋体" w:hAnsi="宋体" w:cs="宋体" w:eastAsia="宋体" w:hint="default"/>
                <w:spacing w:val="-67"/>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任</w:t>
            </w:r>
            <w:r>
              <w:rPr>
                <w:rFonts w:ascii="宋体" w:hAnsi="宋体" w:cs="宋体" w:eastAsia="宋体" w:hint="default"/>
                <w:w w:val="100"/>
                <w:sz w:val="21"/>
                <w:szCs w:val="21"/>
              </w:rPr>
              <w:t>万</w:t>
            </w:r>
            <w:r>
              <w:rPr>
                <w:rFonts w:ascii="宋体" w:hAnsi="宋体" w:cs="宋体" w:eastAsia="宋体" w:hint="default"/>
                <w:spacing w:val="-3"/>
                <w:w w:val="100"/>
                <w:sz w:val="21"/>
                <w:szCs w:val="21"/>
              </w:rPr>
              <w:t>好</w:t>
            </w:r>
            <w:r>
              <w:rPr>
                <w:rFonts w:ascii="宋体" w:hAnsi="宋体" w:cs="宋体" w:eastAsia="宋体" w:hint="default"/>
                <w:w w:val="100"/>
                <w:sz w:val="21"/>
                <w:szCs w:val="21"/>
              </w:rPr>
              <w:t>万</w:t>
            </w:r>
            <w:r>
              <w:rPr>
                <w:rFonts w:ascii="宋体" w:hAnsi="宋体" w:cs="宋体" w:eastAsia="宋体" w:hint="default"/>
                <w:spacing w:val="-3"/>
                <w:w w:val="100"/>
                <w:sz w:val="21"/>
                <w:szCs w:val="21"/>
              </w:rPr>
              <w:t>家</w:t>
            </w:r>
            <w:r>
              <w:rPr>
                <w:rFonts w:ascii="宋体" w:hAnsi="宋体" w:cs="宋体" w:eastAsia="宋体" w:hint="default"/>
                <w:w w:val="100"/>
                <w:sz w:val="21"/>
                <w:szCs w:val="21"/>
              </w:rPr>
              <w:t>集</w:t>
            </w:r>
            <w:r>
              <w:rPr>
                <w:rFonts w:ascii="宋体" w:hAnsi="宋体" w:cs="宋体" w:eastAsia="宋体" w:hint="default"/>
                <w:spacing w:val="-3"/>
                <w:w w:val="100"/>
                <w:sz w:val="21"/>
                <w:szCs w:val="21"/>
              </w:rPr>
              <w:t>团</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部</w:t>
            </w:r>
            <w:r>
              <w:rPr>
                <w:rFonts w:ascii="宋体" w:hAnsi="宋体" w:cs="宋体" w:eastAsia="宋体" w:hint="default"/>
                <w:w w:val="100"/>
                <w:sz w:val="21"/>
                <w:szCs w:val="21"/>
              </w:rPr>
              <w:t>经</w:t>
            </w:r>
            <w:r>
              <w:rPr>
                <w:rFonts w:ascii="宋体" w:hAnsi="宋体" w:cs="宋体" w:eastAsia="宋体" w:hint="default"/>
                <w:spacing w:val="-3"/>
                <w:w w:val="100"/>
                <w:sz w:val="21"/>
                <w:szCs w:val="21"/>
              </w:rPr>
              <w:t>理</w:t>
            </w:r>
            <w:r>
              <w:rPr>
                <w:rFonts w:ascii="宋体" w:hAnsi="宋体" w:cs="宋体" w:eastAsia="宋体" w:hint="default"/>
                <w:w w:val="100"/>
                <w:sz w:val="21"/>
                <w:szCs w:val="21"/>
              </w:rPr>
              <w:t>和</w:t>
            </w:r>
            <w:r>
              <w:rPr>
                <w:rFonts w:ascii="宋体" w:hAnsi="宋体" w:cs="宋体" w:eastAsia="宋体" w:hint="default"/>
                <w:spacing w:val="-3"/>
                <w:w w:val="100"/>
                <w:sz w:val="21"/>
                <w:szCs w:val="21"/>
              </w:rPr>
              <w:t>浙</w:t>
            </w:r>
            <w:r>
              <w:rPr>
                <w:rFonts w:ascii="宋体" w:hAnsi="宋体" w:cs="宋体" w:eastAsia="宋体" w:hint="default"/>
                <w:w w:val="100"/>
                <w:sz w:val="21"/>
                <w:szCs w:val="21"/>
              </w:rPr>
              <w:t>江万</w:t>
            </w:r>
            <w:r>
              <w:rPr>
                <w:rFonts w:ascii="宋体" w:hAnsi="宋体" w:cs="宋体" w:eastAsia="宋体" w:hint="default"/>
                <w:spacing w:val="-3"/>
                <w:w w:val="100"/>
                <w:sz w:val="21"/>
                <w:szCs w:val="21"/>
              </w:rPr>
              <w:t>好</w:t>
            </w:r>
            <w:r>
              <w:rPr>
                <w:rFonts w:ascii="宋体" w:hAnsi="宋体" w:cs="宋体" w:eastAsia="宋体" w:hint="default"/>
                <w:w w:val="100"/>
                <w:sz w:val="21"/>
                <w:szCs w:val="21"/>
              </w:rPr>
              <w:t>万</w:t>
            </w:r>
            <w:r>
              <w:rPr>
                <w:rFonts w:ascii="宋体" w:hAnsi="宋体" w:cs="宋体" w:eastAsia="宋体" w:hint="default"/>
                <w:spacing w:val="-3"/>
                <w:w w:val="100"/>
                <w:sz w:val="21"/>
                <w:szCs w:val="21"/>
              </w:rPr>
              <w:t>家</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经理；</w:t>
            </w:r>
            <w:r>
              <w:rPr>
                <w:rFonts w:ascii="宋体" w:hAnsi="宋体" w:cs="宋体" w:eastAsia="宋体" w:hint="default"/>
                <w:w w:val="100"/>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月至今任杭州好望角投资管理有限公司总经理，</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月至今任公司董事。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王巧兰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本科学历，中级经济师、会计师，具有注册税务师执业资格，</w:t>
            </w:r>
            <w:r>
              <w:rPr>
                <w:rFonts w:ascii="宋体" w:hAnsi="宋体" w:cs="宋体" w:eastAsia="宋体" w:hint="default"/>
                <w:sz w:val="21"/>
                <w:szCs w:val="21"/>
              </w:rPr>
              <w:t>2001</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7</w:t>
            </w:r>
            <w:r>
              <w:rPr>
                <w:rFonts w:ascii="宋体" w:hAnsi="宋体" w:cs="宋体" w:eastAsia="宋体" w:hint="default"/>
                <w:spacing w:val="-43"/>
                <w:sz w:val="21"/>
                <w:szCs w:val="21"/>
              </w:rPr>
              <w:t> </w:t>
            </w:r>
            <w:r>
              <w:rPr>
                <w:rFonts w:ascii="宋体" w:hAnsi="宋体" w:cs="宋体" w:eastAsia="宋体" w:hint="default"/>
                <w:sz w:val="21"/>
                <w:szCs w:val="21"/>
              </w:rPr>
              <w:t>月毕业于中国石油大学工商管理专业，同期进入科达股份工作，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先后担任证券部职员、证券部副主任、证券部主任职务。现任公司董事、财务负责人。</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王为凯</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月任职于南京工苑建设监理咨询有限责任公司，从事公路工程施工监理工作，任总监理工程师。</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月任职于中达建设集团股份有限公司，从事公路工程施工技术管理工作，任项目总工程师。</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月至今就职于科达股份，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从事工程技术管理工作，</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月任公司董事。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薛爱永</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专科学历，工程师。</w:t>
            </w:r>
            <w:r>
              <w:rPr>
                <w:rFonts w:ascii="宋体" w:hAnsi="宋体" w:cs="宋体" w:eastAsia="宋体" w:hint="default"/>
                <w:sz w:val="21"/>
                <w:szCs w:val="21"/>
              </w:rPr>
              <w:t>1996</w:t>
            </w:r>
            <w:r>
              <w:rPr>
                <w:rFonts w:ascii="宋体" w:hAnsi="宋体" w:cs="宋体" w:eastAsia="宋体" w:hint="default"/>
                <w:spacing w:val="-31"/>
                <w:sz w:val="21"/>
                <w:szCs w:val="21"/>
              </w:rPr>
              <w:t> </w:t>
            </w:r>
            <w:r>
              <w:rPr>
                <w:rFonts w:ascii="宋体" w:hAnsi="宋体" w:cs="宋体" w:eastAsia="宋体" w:hint="default"/>
                <w:sz w:val="21"/>
                <w:szCs w:val="21"/>
              </w:rPr>
              <w:t>年入职科达集团股份有限公司，期间担任施工员、技术员、项目经理，</w:t>
            </w:r>
            <w:r>
              <w:rPr>
                <w:rFonts w:ascii="宋体" w:hAnsi="宋体" w:cs="宋体" w:eastAsia="宋体" w:hint="default"/>
                <w:spacing w:val="-3"/>
                <w:sz w:val="21"/>
                <w:szCs w:val="21"/>
              </w:rPr>
              <w:t> </w:t>
            </w:r>
            <w:r>
              <w:rPr>
                <w:rFonts w:ascii="宋体" w:hAnsi="宋体" w:cs="宋体" w:eastAsia="宋体" w:hint="default"/>
                <w:sz w:val="21"/>
                <w:szCs w:val="21"/>
              </w:rPr>
              <w:t>2015</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1</w:t>
            </w:r>
            <w:r>
              <w:rPr>
                <w:rFonts w:ascii="宋体" w:hAnsi="宋体" w:cs="宋体" w:eastAsia="宋体" w:hint="default"/>
                <w:spacing w:val="-30"/>
                <w:sz w:val="21"/>
                <w:szCs w:val="21"/>
              </w:rPr>
              <w:t> </w:t>
            </w:r>
            <w:r>
              <w:rPr>
                <w:rFonts w:ascii="宋体" w:hAnsi="宋体" w:cs="宋体" w:eastAsia="宋体" w:hint="default"/>
                <w:sz w:val="21"/>
                <w:szCs w:val="21"/>
              </w:rPr>
              <w:t>月至今任科达集团股份有限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公司路桥公司副总经理，</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月至今任公司董事。</w:t>
            </w:r>
          </w:p>
        </w:tc>
      </w:tr>
      <w:tr>
        <w:trPr>
          <w:trHeight w:val="16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曹志敏</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工学博士，大学教授，博士生导师。</w:t>
            </w:r>
            <w:r>
              <w:rPr>
                <w:rFonts w:ascii="宋体" w:hAnsi="宋体" w:cs="宋体" w:eastAsia="宋体" w:hint="default"/>
                <w:sz w:val="21"/>
                <w:szCs w:val="21"/>
              </w:rPr>
              <w:t>1978</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2</w:t>
            </w:r>
            <w:r>
              <w:rPr>
                <w:rFonts w:ascii="宋体" w:hAnsi="宋体" w:cs="宋体" w:eastAsia="宋体" w:hint="default"/>
                <w:spacing w:val="-38"/>
                <w:sz w:val="21"/>
                <w:szCs w:val="21"/>
              </w:rPr>
              <w:t> </w:t>
            </w:r>
            <w:r>
              <w:rPr>
                <w:rFonts w:ascii="宋体" w:hAnsi="宋体" w:cs="宋体" w:eastAsia="宋体" w:hint="default"/>
                <w:sz w:val="21"/>
                <w:szCs w:val="21"/>
              </w:rPr>
              <w:t>月考入武汉地质学院</w:t>
            </w:r>
            <w:r>
              <w:rPr>
                <w:rFonts w:ascii="宋体" w:hAnsi="宋体" w:cs="宋体" w:eastAsia="宋体" w:hint="default"/>
                <w:sz w:val="21"/>
                <w:szCs w:val="21"/>
              </w:rPr>
              <w:t>(</w:t>
            </w:r>
            <w:r>
              <w:rPr>
                <w:rFonts w:ascii="宋体" w:hAnsi="宋体" w:cs="宋体" w:eastAsia="宋体" w:hint="default"/>
                <w:sz w:val="21"/>
                <w:szCs w:val="21"/>
              </w:rPr>
              <w:t>现中国地质大学</w:t>
            </w:r>
            <w:r>
              <w:rPr>
                <w:rFonts w:ascii="宋体" w:hAnsi="宋体" w:cs="宋体" w:eastAsia="宋体" w:hint="default"/>
                <w:sz w:val="21"/>
                <w:szCs w:val="21"/>
              </w:rPr>
              <w:t>)</w:t>
            </w:r>
            <w:r>
              <w:rPr>
                <w:rFonts w:ascii="宋体" w:hAnsi="宋体" w:cs="宋体" w:eastAsia="宋体" w:hint="default"/>
                <w:sz w:val="21"/>
                <w:szCs w:val="21"/>
              </w:rPr>
              <w:t>地质矿产勘查学习</w:t>
            </w:r>
            <w:r>
              <w:rPr>
                <w:rFonts w:ascii="宋体" w:hAnsi="宋体" w:cs="宋体" w:eastAsia="宋体" w:hint="default"/>
                <w:sz w:val="21"/>
                <w:szCs w:val="21"/>
              </w:rPr>
              <w:t>,1982</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w:t>
            </w:r>
            <w:r>
              <w:rPr>
                <w:rFonts w:ascii="宋体" w:hAnsi="宋体" w:cs="宋体" w:eastAsia="宋体" w:hint="default"/>
                <w:spacing w:val="-38"/>
                <w:sz w:val="21"/>
                <w:szCs w:val="21"/>
              </w:rPr>
              <w:t> </w:t>
            </w:r>
            <w:r>
              <w:rPr>
                <w:rFonts w:ascii="宋体" w:hAnsi="宋体" w:cs="宋体" w:eastAsia="宋体" w:hint="default"/>
                <w:sz w:val="21"/>
                <w:szCs w:val="21"/>
              </w:rPr>
              <w:t>月获工学学士；</w:t>
            </w:r>
            <w:r>
              <w:rPr>
                <w:rFonts w:ascii="宋体" w:hAnsi="宋体" w:cs="宋体" w:eastAsia="宋体" w:hint="default"/>
                <w:sz w:val="21"/>
                <w:szCs w:val="21"/>
              </w:rPr>
              <w:t>1984</w:t>
            </w:r>
          </w:p>
          <w:p>
            <w:pPr>
              <w:pStyle w:val="TableParagraph"/>
              <w:spacing w:line="237" w:lineRule="auto" w:before="2"/>
              <w:ind w:left="103" w:right="4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月考入中国地质大学研究生学习矿床学</w:t>
            </w:r>
            <w:r>
              <w:rPr>
                <w:rFonts w:ascii="宋体" w:hAnsi="宋体" w:cs="宋体" w:eastAsia="宋体" w:hint="default"/>
                <w:sz w:val="21"/>
                <w:szCs w:val="21"/>
              </w:rPr>
              <w:t>,1987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pacing w:val="-7"/>
                <w:sz w:val="21"/>
                <w:szCs w:val="21"/>
              </w:rPr>
              <w:t>月获理学硕士；</w:t>
            </w:r>
            <w:r>
              <w:rPr>
                <w:rFonts w:ascii="宋体" w:hAnsi="宋体" w:cs="宋体" w:eastAsia="宋体" w:hint="default"/>
                <w:spacing w:val="-7"/>
                <w:sz w:val="21"/>
                <w:szCs w:val="21"/>
              </w:rPr>
              <w:t>1991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pacing w:val="-4"/>
                <w:sz w:val="21"/>
                <w:szCs w:val="21"/>
              </w:rPr>
              <w:t>月考取成都理工学院</w:t>
            </w:r>
            <w:r>
              <w:rPr>
                <w:rFonts w:ascii="宋体" w:hAnsi="宋体" w:cs="宋体" w:eastAsia="宋体" w:hint="default"/>
                <w:spacing w:val="-4"/>
                <w:sz w:val="21"/>
                <w:szCs w:val="21"/>
              </w:rPr>
              <w:t>(</w:t>
            </w:r>
            <w:r>
              <w:rPr>
                <w:rFonts w:ascii="宋体" w:hAnsi="宋体" w:cs="宋体" w:eastAsia="宋体" w:hint="default"/>
                <w:spacing w:val="-4"/>
                <w:sz w:val="21"/>
                <w:szCs w:val="21"/>
              </w:rPr>
              <w:t>原成都地质学院、现成都理工大学</w:t>
            </w:r>
            <w:r>
              <w:rPr>
                <w:rFonts w:ascii="宋体" w:hAnsi="宋体" w:cs="宋体" w:eastAsia="宋体" w:hint="default"/>
                <w:spacing w:val="-4"/>
                <w:sz w:val="21"/>
                <w:szCs w:val="21"/>
              </w:rPr>
              <w:t>)</w:t>
            </w:r>
            <w:r>
              <w:rPr>
                <w:rFonts w:ascii="宋体" w:hAnsi="宋体" w:cs="宋体" w:eastAsia="宋体" w:hint="default"/>
                <w:spacing w:val="-95"/>
                <w:sz w:val="21"/>
                <w:szCs w:val="21"/>
              </w:rPr>
              <w:t> </w:t>
            </w:r>
            <w:r>
              <w:rPr>
                <w:rFonts w:ascii="宋体" w:hAnsi="宋体" w:cs="宋体" w:eastAsia="宋体" w:hint="default"/>
                <w:sz w:val="21"/>
                <w:szCs w:val="21"/>
              </w:rPr>
              <w:t>学习地球化学，</w:t>
            </w:r>
            <w:r>
              <w:rPr>
                <w:rFonts w:ascii="宋体" w:hAnsi="宋体" w:cs="宋体" w:eastAsia="宋体" w:hint="default"/>
                <w:sz w:val="21"/>
                <w:szCs w:val="21"/>
              </w:rPr>
              <w:t>1995</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6</w:t>
            </w:r>
            <w:r>
              <w:rPr>
                <w:rFonts w:ascii="宋体" w:hAnsi="宋体" w:cs="宋体" w:eastAsia="宋体" w:hint="default"/>
                <w:spacing w:val="-62"/>
                <w:sz w:val="21"/>
                <w:szCs w:val="21"/>
              </w:rPr>
              <w:t> </w:t>
            </w:r>
            <w:r>
              <w:rPr>
                <w:rFonts w:ascii="宋体" w:hAnsi="宋体" w:cs="宋体" w:eastAsia="宋体" w:hint="default"/>
                <w:sz w:val="21"/>
                <w:szCs w:val="21"/>
              </w:rPr>
              <w:t>月获工学博士学位。</w:t>
            </w:r>
            <w:r>
              <w:rPr>
                <w:rFonts w:ascii="宋体" w:hAnsi="宋体" w:cs="宋体" w:eastAsia="宋体" w:hint="default"/>
                <w:sz w:val="21"/>
                <w:szCs w:val="21"/>
              </w:rPr>
              <w:t>1982.2-1984.8</w:t>
            </w:r>
            <w:r>
              <w:rPr>
                <w:rFonts w:ascii="宋体" w:hAnsi="宋体" w:cs="宋体" w:eastAsia="宋体" w:hint="default"/>
                <w:spacing w:val="-62"/>
                <w:sz w:val="21"/>
                <w:szCs w:val="21"/>
              </w:rPr>
              <w:t> </w:t>
            </w:r>
            <w:r>
              <w:rPr>
                <w:rFonts w:ascii="宋体" w:hAnsi="宋体" w:cs="宋体" w:eastAsia="宋体" w:hint="default"/>
                <w:sz w:val="21"/>
                <w:szCs w:val="21"/>
              </w:rPr>
              <w:t>月，四川省地矿局攀西裂谷研究队助理工程师；</w:t>
            </w:r>
            <w:r>
              <w:rPr>
                <w:rFonts w:ascii="宋体" w:hAnsi="宋体" w:cs="宋体" w:eastAsia="宋体" w:hint="default"/>
                <w:sz w:val="21"/>
                <w:szCs w:val="21"/>
              </w:rPr>
              <w:t>1987.7-1999.4</w:t>
            </w:r>
            <w:r>
              <w:rPr>
                <w:rFonts w:ascii="宋体" w:hAnsi="宋体" w:cs="宋体" w:eastAsia="宋体" w:hint="default"/>
                <w:spacing w:val="-60"/>
                <w:sz w:val="21"/>
                <w:szCs w:val="21"/>
              </w:rPr>
              <w:t> </w:t>
            </w:r>
            <w:r>
              <w:rPr>
                <w:rFonts w:ascii="宋体" w:hAnsi="宋体" w:cs="宋体" w:eastAsia="宋体" w:hint="default"/>
                <w:spacing w:val="-4"/>
                <w:sz w:val="21"/>
                <w:szCs w:val="21"/>
              </w:rPr>
              <w:t>月，成都成</w:t>
            </w:r>
            <w:r>
              <w:rPr>
                <w:rFonts w:ascii="宋体" w:hAnsi="宋体" w:cs="宋体" w:eastAsia="宋体" w:hint="default"/>
                <w:w w:val="100"/>
                <w:sz w:val="21"/>
                <w:szCs w:val="21"/>
              </w:rPr>
              <w:t> </w:t>
            </w:r>
            <w:r>
              <w:rPr>
                <w:rFonts w:ascii="宋体" w:hAnsi="宋体" w:cs="宋体" w:eastAsia="宋体" w:hint="default"/>
                <w:spacing w:val="-2"/>
                <w:sz w:val="21"/>
                <w:szCs w:val="21"/>
              </w:rPr>
              <w:t>都地质学院</w:t>
            </w:r>
            <w:r>
              <w:rPr>
                <w:rFonts w:ascii="宋体" w:hAnsi="宋体" w:cs="宋体" w:eastAsia="宋体" w:hint="default"/>
                <w:spacing w:val="-2"/>
                <w:sz w:val="21"/>
                <w:szCs w:val="21"/>
              </w:rPr>
              <w:t>(</w:t>
            </w:r>
            <w:r>
              <w:rPr>
                <w:rFonts w:ascii="宋体" w:hAnsi="宋体" w:cs="宋体" w:eastAsia="宋体" w:hint="default"/>
                <w:spacing w:val="-2"/>
                <w:sz w:val="21"/>
                <w:szCs w:val="21"/>
              </w:rPr>
              <w:t>现成都理工大学</w:t>
            </w:r>
            <w:r>
              <w:rPr>
                <w:rFonts w:ascii="宋体" w:hAnsi="宋体" w:cs="宋体" w:eastAsia="宋体" w:hint="default"/>
                <w:spacing w:val="-2"/>
                <w:sz w:val="21"/>
                <w:szCs w:val="21"/>
              </w:rPr>
              <w:t>)</w:t>
            </w:r>
            <w:r>
              <w:rPr>
                <w:rFonts w:ascii="宋体" w:hAnsi="宋体" w:cs="宋体" w:eastAsia="宋体" w:hint="default"/>
                <w:spacing w:val="-2"/>
                <w:sz w:val="21"/>
                <w:szCs w:val="21"/>
              </w:rPr>
              <w:t>助教、讲师</w:t>
            </w:r>
            <w:r>
              <w:rPr>
                <w:rFonts w:ascii="宋体" w:hAnsi="宋体" w:cs="宋体" w:eastAsia="宋体" w:hint="default"/>
                <w:spacing w:val="-2"/>
                <w:sz w:val="21"/>
                <w:szCs w:val="21"/>
              </w:rPr>
              <w:t>(1989.1)</w:t>
            </w:r>
            <w:r>
              <w:rPr>
                <w:rFonts w:ascii="宋体" w:hAnsi="宋体" w:cs="宋体" w:eastAsia="宋体" w:hint="default"/>
                <w:spacing w:val="-2"/>
                <w:sz w:val="21"/>
                <w:szCs w:val="21"/>
              </w:rPr>
              <w:t>、副教授（</w:t>
            </w:r>
            <w:r>
              <w:rPr>
                <w:rFonts w:ascii="宋体" w:hAnsi="宋体" w:cs="宋体" w:eastAsia="宋体" w:hint="default"/>
                <w:spacing w:val="-2"/>
                <w:sz w:val="21"/>
                <w:szCs w:val="21"/>
              </w:rPr>
              <w:t>1992.2</w:t>
            </w:r>
            <w:r>
              <w:rPr>
                <w:rFonts w:ascii="宋体" w:hAnsi="宋体" w:cs="宋体" w:eastAsia="宋体" w:hint="default"/>
                <w:spacing w:val="-2"/>
                <w:sz w:val="21"/>
                <w:szCs w:val="21"/>
              </w:rPr>
              <w:t>）、教授</w:t>
            </w:r>
            <w:r>
              <w:rPr>
                <w:rFonts w:ascii="宋体" w:hAnsi="宋体" w:cs="宋体" w:eastAsia="宋体" w:hint="default"/>
                <w:spacing w:val="-2"/>
                <w:sz w:val="21"/>
                <w:szCs w:val="21"/>
              </w:rPr>
              <w:t>(1995.5)</w:t>
            </w:r>
            <w:r>
              <w:rPr>
                <w:rFonts w:ascii="宋体" w:hAnsi="宋体" w:cs="宋体" w:eastAsia="宋体" w:hint="default"/>
                <w:spacing w:val="-2"/>
                <w:sz w:val="21"/>
                <w:szCs w:val="21"/>
              </w:rPr>
              <w:t>。</w:t>
            </w:r>
            <w:r>
              <w:rPr>
                <w:rFonts w:ascii="宋体" w:hAnsi="宋体" w:cs="宋体" w:eastAsia="宋体" w:hint="default"/>
                <w:spacing w:val="-2"/>
                <w:sz w:val="21"/>
                <w:szCs w:val="21"/>
              </w:rPr>
              <w:t>1999.5-2000.6</w:t>
            </w:r>
            <w:r>
              <w:rPr>
                <w:rFonts w:ascii="宋体" w:hAnsi="宋体" w:cs="宋体" w:eastAsia="宋体" w:hint="default"/>
                <w:sz w:val="21"/>
                <w:szCs w:val="21"/>
              </w:rPr>
              <w:t> </w:t>
            </w:r>
            <w:r>
              <w:rPr>
                <w:rFonts w:ascii="宋体" w:hAnsi="宋体" w:cs="宋体" w:eastAsia="宋体" w:hint="default"/>
                <w:spacing w:val="-2"/>
                <w:sz w:val="21"/>
                <w:szCs w:val="21"/>
              </w:rPr>
              <w:t>月，赴美国合作科研访问学者；</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2000.9</w:t>
            </w:r>
            <w:r>
              <w:rPr>
                <w:rFonts w:ascii="宋体" w:hAnsi="宋体" w:cs="宋体" w:eastAsia="宋体" w:hint="default"/>
                <w:spacing w:val="57"/>
                <w:sz w:val="21"/>
                <w:szCs w:val="21"/>
              </w:rPr>
              <w:t> </w:t>
            </w:r>
            <w:r>
              <w:rPr>
                <w:rFonts w:ascii="宋体" w:hAnsi="宋体" w:cs="宋体" w:eastAsia="宋体" w:hint="default"/>
                <w:spacing w:val="-3"/>
                <w:sz w:val="21"/>
                <w:szCs w:val="21"/>
              </w:rPr>
              <w:t>月至今，中国海洋大学教授、博导（</w:t>
            </w:r>
            <w:r>
              <w:rPr>
                <w:rFonts w:ascii="宋体" w:hAnsi="宋体" w:cs="宋体" w:eastAsia="宋体" w:hint="default"/>
                <w:spacing w:val="-3"/>
                <w:sz w:val="21"/>
                <w:szCs w:val="21"/>
              </w:rPr>
              <w:t>2001</w:t>
            </w:r>
            <w:r>
              <w:rPr>
                <w:rFonts w:ascii="宋体" w:hAnsi="宋体" w:cs="宋体" w:eastAsia="宋体" w:hint="default"/>
                <w:spacing w:val="-3"/>
                <w:sz w:val="21"/>
                <w:szCs w:val="21"/>
              </w:rPr>
              <w:t>）、地球科学学院院长（</w:t>
            </w:r>
            <w:r>
              <w:rPr>
                <w:rFonts w:ascii="宋体" w:hAnsi="宋体" w:cs="宋体" w:eastAsia="宋体" w:hint="default"/>
                <w:spacing w:val="-3"/>
                <w:sz w:val="21"/>
                <w:szCs w:val="21"/>
              </w:rPr>
              <w:t>2001-2004</w:t>
            </w:r>
            <w:r>
              <w:rPr>
                <w:rFonts w:ascii="宋体" w:hAnsi="宋体" w:cs="宋体" w:eastAsia="宋体" w:hint="default"/>
                <w:spacing w:val="-3"/>
                <w:sz w:val="21"/>
                <w:szCs w:val="21"/>
              </w:rPr>
              <w:t>）、研究生教育中心（现研究生院）常务副院长兼研</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工部部长、学位办主任（</w:t>
            </w:r>
            <w:r>
              <w:rPr>
                <w:rFonts w:ascii="宋体" w:hAnsi="宋体" w:cs="宋体" w:eastAsia="宋体" w:hint="default"/>
                <w:sz w:val="21"/>
                <w:szCs w:val="21"/>
              </w:rPr>
              <w:t>2005-2012</w:t>
            </w: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月任公司独立董事。</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朱德胜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管理学博士，大学教授，硕士生导师。</w:t>
            </w:r>
            <w:r>
              <w:rPr>
                <w:rFonts w:ascii="宋体" w:hAnsi="宋体" w:cs="宋体" w:eastAsia="宋体" w:hint="default"/>
                <w:spacing w:val="-2"/>
                <w:sz w:val="21"/>
                <w:szCs w:val="21"/>
              </w:rPr>
              <w:t>1988</w:t>
            </w:r>
            <w:r>
              <w:rPr>
                <w:rFonts w:ascii="宋体" w:hAnsi="宋体" w:cs="宋体" w:eastAsia="宋体" w:hint="default"/>
                <w:sz w:val="21"/>
                <w:szCs w:val="21"/>
              </w:rPr>
              <w:t> </w:t>
            </w:r>
            <w:r>
              <w:rPr>
                <w:rFonts w:ascii="宋体" w:hAnsi="宋体" w:cs="宋体" w:eastAsia="宋体" w:hint="default"/>
                <w:spacing w:val="-2"/>
                <w:sz w:val="21"/>
                <w:szCs w:val="21"/>
              </w:rPr>
              <w:t>年毕业于山东经济学院财务会计专业，获经济学学士学位；</w:t>
            </w:r>
            <w:r>
              <w:rPr>
                <w:rFonts w:ascii="宋体" w:hAnsi="宋体" w:cs="宋体" w:eastAsia="宋体" w:hint="default"/>
                <w:spacing w:val="-2"/>
                <w:sz w:val="21"/>
                <w:szCs w:val="21"/>
              </w:rPr>
              <w:t>2001</w:t>
            </w:r>
            <w:r>
              <w:rPr>
                <w:rFonts w:ascii="宋体" w:hAnsi="宋体" w:cs="宋体" w:eastAsia="宋体" w:hint="default"/>
                <w:spacing w:val="5"/>
                <w:sz w:val="21"/>
                <w:szCs w:val="21"/>
              </w:rPr>
              <w:t> </w:t>
            </w:r>
            <w:r>
              <w:rPr>
                <w:rFonts w:ascii="宋体" w:hAnsi="宋体" w:cs="宋体" w:eastAsia="宋体" w:hint="default"/>
                <w:spacing w:val="-2"/>
                <w:sz w:val="21"/>
                <w:szCs w:val="21"/>
              </w:rPr>
              <w:t>年毕业于东北财经大学会计</w:t>
            </w:r>
          </w:p>
          <w:p>
            <w:pPr>
              <w:pStyle w:val="TableParagraph"/>
              <w:spacing w:line="237" w:lineRule="auto" w:before="2"/>
              <w:ind w:left="103" w:right="93"/>
              <w:jc w:val="both"/>
              <w:rPr>
                <w:rFonts w:ascii="宋体" w:hAnsi="宋体" w:cs="宋体" w:eastAsia="宋体" w:hint="default"/>
                <w:sz w:val="21"/>
                <w:szCs w:val="21"/>
              </w:rPr>
            </w:pPr>
            <w:r>
              <w:rPr>
                <w:rFonts w:ascii="宋体" w:hAnsi="宋体" w:cs="宋体" w:eastAsia="宋体" w:hint="default"/>
                <w:sz w:val="21"/>
                <w:szCs w:val="21"/>
              </w:rPr>
              <w:t>学专业，获管理学硕士学位；</w:t>
            </w:r>
            <w:r>
              <w:rPr>
                <w:rFonts w:ascii="宋体" w:hAnsi="宋体" w:cs="宋体" w:eastAsia="宋体" w:hint="default"/>
                <w:sz w:val="21"/>
                <w:szCs w:val="21"/>
              </w:rPr>
              <w:t>2006</w:t>
            </w:r>
            <w:r>
              <w:rPr>
                <w:rFonts w:ascii="宋体" w:hAnsi="宋体" w:cs="宋体" w:eastAsia="宋体" w:hint="default"/>
                <w:spacing w:val="-41"/>
                <w:sz w:val="21"/>
                <w:szCs w:val="21"/>
              </w:rPr>
              <w:t> </w:t>
            </w:r>
            <w:r>
              <w:rPr>
                <w:rFonts w:ascii="宋体" w:hAnsi="宋体" w:cs="宋体" w:eastAsia="宋体" w:hint="default"/>
                <w:sz w:val="21"/>
                <w:szCs w:val="21"/>
              </w:rPr>
              <w:t>年毕业于南开大学会计学专业，获管理学博士学位。</w:t>
            </w:r>
            <w:r>
              <w:rPr>
                <w:rFonts w:ascii="宋体" w:hAnsi="宋体" w:cs="宋体" w:eastAsia="宋体" w:hint="default"/>
                <w:sz w:val="21"/>
                <w:szCs w:val="21"/>
              </w:rPr>
              <w:t>1988</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1"/>
                <w:sz w:val="21"/>
                <w:szCs w:val="21"/>
              </w:rPr>
              <w:t> </w:t>
            </w:r>
            <w:r>
              <w:rPr>
                <w:rFonts w:ascii="宋体" w:hAnsi="宋体" w:cs="宋体" w:eastAsia="宋体" w:hint="default"/>
                <w:sz w:val="21"/>
                <w:szCs w:val="21"/>
              </w:rPr>
              <w:t>2007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7</w:t>
            </w:r>
            <w:r>
              <w:rPr>
                <w:rFonts w:ascii="宋体" w:hAnsi="宋体" w:cs="宋体" w:eastAsia="宋体" w:hint="default"/>
                <w:spacing w:val="-43"/>
                <w:sz w:val="21"/>
                <w:szCs w:val="21"/>
              </w:rPr>
              <w:t> </w:t>
            </w:r>
            <w:r>
              <w:rPr>
                <w:rFonts w:ascii="宋体" w:hAnsi="宋体" w:cs="宋体" w:eastAsia="宋体" w:hint="default"/>
                <w:sz w:val="21"/>
                <w:szCs w:val="21"/>
              </w:rPr>
              <w:t>月，历任山东财政学院</w:t>
            </w:r>
            <w:r>
              <w:rPr>
                <w:rFonts w:ascii="宋体" w:hAnsi="宋体" w:cs="宋体" w:eastAsia="宋体" w:hint="default"/>
                <w:w w:val="100"/>
                <w:sz w:val="21"/>
                <w:szCs w:val="21"/>
              </w:rPr>
              <w:t> </w:t>
            </w:r>
            <w:r>
              <w:rPr>
                <w:rFonts w:ascii="宋体" w:hAnsi="宋体" w:cs="宋体" w:eastAsia="宋体" w:hint="default"/>
                <w:sz w:val="21"/>
                <w:szCs w:val="21"/>
              </w:rPr>
              <w:t>讲师、副教授、教授。</w:t>
            </w:r>
            <w:r>
              <w:rPr>
                <w:rFonts w:ascii="宋体" w:hAnsi="宋体" w:cs="宋体" w:eastAsia="宋体" w:hint="default"/>
                <w:sz w:val="21"/>
                <w:szCs w:val="21"/>
              </w:rPr>
              <w:t>2007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7</w:t>
            </w:r>
            <w:r>
              <w:rPr>
                <w:rFonts w:ascii="宋体" w:hAnsi="宋体" w:cs="宋体" w:eastAsia="宋体" w:hint="default"/>
                <w:spacing w:val="-41"/>
                <w:sz w:val="21"/>
                <w:szCs w:val="21"/>
              </w:rPr>
              <w:t> </w:t>
            </w:r>
            <w:r>
              <w:rPr>
                <w:rFonts w:ascii="宋体" w:hAnsi="宋体" w:cs="宋体" w:eastAsia="宋体" w:hint="default"/>
                <w:sz w:val="21"/>
                <w:szCs w:val="21"/>
              </w:rPr>
              <w:t>月至今，担任山东财经大学会计学院副院长、教授、硕士研究生导师。主要研究方向是资本市场与公司</w:t>
            </w:r>
            <w:r>
              <w:rPr>
                <w:rFonts w:ascii="宋体" w:hAnsi="宋体" w:cs="宋体" w:eastAsia="宋体" w:hint="default"/>
                <w:w w:val="100"/>
                <w:sz w:val="21"/>
                <w:szCs w:val="21"/>
              </w:rPr>
              <w:t> </w:t>
            </w:r>
            <w:r>
              <w:rPr>
                <w:rFonts w:ascii="宋体" w:hAnsi="宋体" w:cs="宋体" w:eastAsia="宋体" w:hint="default"/>
                <w:sz w:val="21"/>
                <w:szCs w:val="21"/>
              </w:rPr>
              <w:t>理财。</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月任公司独立董事。</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李业顺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法学博士。</w:t>
            </w:r>
            <w:r>
              <w:rPr>
                <w:rFonts w:ascii="宋体" w:hAnsi="宋体" w:cs="宋体" w:eastAsia="宋体" w:hint="default"/>
                <w:spacing w:val="-5"/>
                <w:sz w:val="21"/>
                <w:szCs w:val="21"/>
              </w:rPr>
              <w:t>1986.9-1990.7 </w:t>
            </w:r>
            <w:r>
              <w:rPr>
                <w:rFonts w:ascii="宋体" w:hAnsi="宋体" w:cs="宋体" w:eastAsia="宋体" w:hint="default"/>
                <w:spacing w:val="-6"/>
                <w:sz w:val="21"/>
                <w:szCs w:val="21"/>
              </w:rPr>
              <w:t>在山东农业大学学习，获农学学士学位；</w:t>
            </w:r>
            <w:r>
              <w:rPr>
                <w:rFonts w:ascii="宋体" w:hAnsi="宋体" w:cs="宋体" w:eastAsia="宋体" w:hint="default"/>
                <w:spacing w:val="-6"/>
                <w:sz w:val="21"/>
                <w:szCs w:val="21"/>
              </w:rPr>
              <w:t>1998.9-2001.2</w:t>
            </w:r>
            <w:r>
              <w:rPr>
                <w:rFonts w:ascii="宋体" w:hAnsi="宋体" w:cs="宋体" w:eastAsia="宋体" w:hint="default"/>
                <w:spacing w:val="18"/>
                <w:sz w:val="21"/>
                <w:szCs w:val="21"/>
              </w:rPr>
              <w:t> </w:t>
            </w:r>
            <w:r>
              <w:rPr>
                <w:rFonts w:ascii="宋体" w:hAnsi="宋体" w:cs="宋体" w:eastAsia="宋体" w:hint="default"/>
                <w:spacing w:val="-6"/>
                <w:sz w:val="21"/>
                <w:szCs w:val="21"/>
              </w:rPr>
              <w:t>在中国人民大学学习，获法学硕士学位；</w:t>
            </w:r>
            <w:r>
              <w:rPr>
                <w:rFonts w:ascii="宋体" w:hAnsi="宋体" w:cs="宋体" w:eastAsia="宋体" w:hint="default"/>
                <w:spacing w:val="-6"/>
                <w:sz w:val="21"/>
                <w:szCs w:val="21"/>
              </w:rPr>
              <w:t>2005.9-2008.7</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2"/>
                <w:sz w:val="21"/>
                <w:szCs w:val="21"/>
              </w:rPr>
              <w:t>在中国人民大学学习，获法学博士学位。</w:t>
            </w:r>
            <w:r>
              <w:rPr>
                <w:rFonts w:ascii="宋体" w:hAnsi="宋体" w:cs="宋体" w:eastAsia="宋体" w:hint="default"/>
                <w:spacing w:val="-2"/>
                <w:sz w:val="21"/>
                <w:szCs w:val="21"/>
              </w:rPr>
              <w:t>1990.7-1995.5</w:t>
            </w:r>
            <w:r>
              <w:rPr>
                <w:rFonts w:ascii="宋体" w:hAnsi="宋体" w:cs="宋体" w:eastAsia="宋体" w:hint="default"/>
                <w:sz w:val="21"/>
                <w:szCs w:val="21"/>
              </w:rPr>
              <w:t> </w:t>
            </w:r>
            <w:r>
              <w:rPr>
                <w:rFonts w:ascii="宋体" w:hAnsi="宋体" w:cs="宋体" w:eastAsia="宋体" w:hint="default"/>
                <w:spacing w:val="-2"/>
                <w:sz w:val="21"/>
                <w:szCs w:val="21"/>
              </w:rPr>
              <w:t>在山东省广饶县粮食局工作，任供销科长；</w:t>
            </w:r>
            <w:r>
              <w:rPr>
                <w:rFonts w:ascii="宋体" w:hAnsi="宋体" w:cs="宋体" w:eastAsia="宋体" w:hint="default"/>
                <w:spacing w:val="-2"/>
                <w:sz w:val="21"/>
                <w:szCs w:val="21"/>
              </w:rPr>
              <w:t>1995.5-2004.3</w:t>
            </w:r>
            <w:r>
              <w:rPr>
                <w:rFonts w:ascii="宋体" w:hAnsi="宋体" w:cs="宋体" w:eastAsia="宋体" w:hint="default"/>
                <w:sz w:val="21"/>
                <w:szCs w:val="21"/>
              </w:rPr>
              <w:t> </w:t>
            </w:r>
            <w:r>
              <w:rPr>
                <w:rFonts w:ascii="宋体" w:hAnsi="宋体" w:cs="宋体" w:eastAsia="宋体" w:hint="default"/>
                <w:spacing w:val="-2"/>
                <w:sz w:val="21"/>
                <w:szCs w:val="21"/>
              </w:rPr>
              <w:t>在山东省广饶县人民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4"/>
                <w:sz w:val="21"/>
                <w:szCs w:val="21"/>
              </w:rPr>
              <w:t>法院工作，任庭长；</w:t>
            </w:r>
            <w:r>
              <w:rPr>
                <w:rFonts w:ascii="宋体" w:hAnsi="宋体" w:cs="宋体" w:eastAsia="宋体" w:hint="default"/>
                <w:spacing w:val="-4"/>
                <w:sz w:val="21"/>
                <w:szCs w:val="21"/>
              </w:rPr>
              <w:t>2008.5</w:t>
            </w:r>
            <w:r>
              <w:rPr>
                <w:rFonts w:ascii="宋体" w:hAnsi="宋体" w:cs="宋体" w:eastAsia="宋体" w:hint="default"/>
                <w:spacing w:val="-44"/>
                <w:sz w:val="21"/>
                <w:szCs w:val="21"/>
              </w:rPr>
              <w:t> </w:t>
            </w:r>
            <w:r>
              <w:rPr>
                <w:rFonts w:ascii="宋体" w:hAnsi="宋体" w:cs="宋体" w:eastAsia="宋体" w:hint="default"/>
                <w:sz w:val="21"/>
                <w:szCs w:val="21"/>
              </w:rPr>
              <w:t>至今任北京市经济法学会副秘书长；</w:t>
            </w:r>
            <w:r>
              <w:rPr>
                <w:rFonts w:ascii="宋体" w:hAnsi="宋体" w:cs="宋体" w:eastAsia="宋体" w:hint="default"/>
                <w:sz w:val="21"/>
                <w:szCs w:val="21"/>
              </w:rPr>
              <w:t>2005.9</w:t>
            </w:r>
            <w:r>
              <w:rPr>
                <w:rFonts w:ascii="宋体" w:hAnsi="宋体" w:cs="宋体" w:eastAsia="宋体" w:hint="default"/>
                <w:spacing w:val="-45"/>
                <w:sz w:val="21"/>
                <w:szCs w:val="21"/>
              </w:rPr>
              <w:t> </w:t>
            </w:r>
            <w:r>
              <w:rPr>
                <w:rFonts w:ascii="宋体" w:hAnsi="宋体" w:cs="宋体" w:eastAsia="宋体" w:hint="default"/>
                <w:spacing w:val="-3"/>
                <w:sz w:val="21"/>
                <w:szCs w:val="21"/>
              </w:rPr>
              <w:t>至今任中国商业法研究会秘书长；</w:t>
            </w:r>
            <w:r>
              <w:rPr>
                <w:rFonts w:ascii="宋体" w:hAnsi="宋体" w:cs="宋体" w:eastAsia="宋体" w:hint="default"/>
                <w:spacing w:val="-3"/>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月至今兼任中国人民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大学法学院研究生导师。</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月任公司独立董事。</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硕士学历。</w:t>
            </w:r>
            <w:r>
              <w:rPr>
                <w:rFonts w:ascii="宋体" w:hAnsi="宋体" w:cs="宋体" w:eastAsia="宋体" w:hint="default"/>
                <w:sz w:val="21"/>
                <w:szCs w:val="21"/>
              </w:rPr>
              <w:t>1994</w:t>
            </w:r>
            <w:r>
              <w:rPr>
                <w:rFonts w:ascii="宋体" w:hAnsi="宋体" w:cs="宋体" w:eastAsia="宋体" w:hint="default"/>
                <w:spacing w:val="-51"/>
                <w:sz w:val="21"/>
                <w:szCs w:val="21"/>
              </w:rPr>
              <w:t> </w:t>
            </w:r>
            <w:r>
              <w:rPr>
                <w:rFonts w:ascii="宋体" w:hAnsi="宋体" w:cs="宋体" w:eastAsia="宋体" w:hint="default"/>
                <w:sz w:val="21"/>
                <w:szCs w:val="21"/>
              </w:rPr>
              <w:t>年至</w:t>
            </w:r>
            <w:r>
              <w:rPr>
                <w:rFonts w:ascii="宋体" w:hAnsi="宋体" w:cs="宋体" w:eastAsia="宋体" w:hint="default"/>
                <w:spacing w:val="-51"/>
                <w:sz w:val="21"/>
                <w:szCs w:val="21"/>
              </w:rPr>
              <w:t> </w:t>
            </w:r>
            <w:r>
              <w:rPr>
                <w:rFonts w:ascii="宋体" w:hAnsi="宋体" w:cs="宋体" w:eastAsia="宋体" w:hint="default"/>
                <w:sz w:val="21"/>
                <w:szCs w:val="21"/>
              </w:rPr>
              <w:t>2000</w:t>
            </w:r>
            <w:r>
              <w:rPr>
                <w:rFonts w:ascii="宋体" w:hAnsi="宋体" w:cs="宋体" w:eastAsia="宋体" w:hint="default"/>
                <w:spacing w:val="-48"/>
                <w:sz w:val="21"/>
                <w:szCs w:val="21"/>
              </w:rPr>
              <w:t> </w:t>
            </w:r>
            <w:r>
              <w:rPr>
                <w:rFonts w:ascii="宋体" w:hAnsi="宋体" w:cs="宋体" w:eastAsia="宋体" w:hint="default"/>
                <w:sz w:val="21"/>
                <w:szCs w:val="21"/>
              </w:rPr>
              <w:t>年任职于中国中央电视台；</w:t>
            </w:r>
            <w:r>
              <w:rPr>
                <w:rFonts w:ascii="宋体" w:hAnsi="宋体" w:cs="宋体" w:eastAsia="宋体" w:hint="default"/>
                <w:sz w:val="21"/>
                <w:szCs w:val="21"/>
              </w:rPr>
              <w:t>2000</w:t>
            </w:r>
            <w:r>
              <w:rPr>
                <w:rFonts w:ascii="宋体" w:hAnsi="宋体" w:cs="宋体" w:eastAsia="宋体" w:hint="default"/>
                <w:spacing w:val="-49"/>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年任职于香港凤凰卫视；</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宋体" w:hAnsi="宋体" w:cs="宋体" w:eastAsia="宋体" w:hint="default"/>
                <w:sz w:val="21"/>
                <w:szCs w:val="21"/>
              </w:rPr>
              <w:t>2013</w:t>
            </w:r>
            <w:r>
              <w:rPr>
                <w:rFonts w:ascii="宋体" w:hAnsi="宋体" w:cs="宋体" w:eastAsia="宋体" w:hint="default"/>
                <w:spacing w:val="-49"/>
                <w:sz w:val="21"/>
                <w:szCs w:val="21"/>
              </w:rPr>
              <w:t> </w:t>
            </w:r>
            <w:r>
              <w:rPr>
                <w:rFonts w:ascii="宋体" w:hAnsi="宋体" w:cs="宋体" w:eastAsia="宋体" w:hint="default"/>
                <w:sz w:val="21"/>
                <w:szCs w:val="21"/>
              </w:rPr>
              <w:t>年任搜狐副总裁、搜狐视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频总裁；</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年任中南重工执行总裁、中南影业总裁，</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月至今任公司董事。</w:t>
            </w:r>
          </w:p>
        </w:tc>
      </w:tr>
    </w:tbl>
    <w:p>
      <w:pPr>
        <w:spacing w:after="0" w:line="274" w:lineRule="exact"/>
        <w:jc w:val="left"/>
        <w:rPr>
          <w:rFonts w:ascii="宋体" w:hAnsi="宋体" w:cs="宋体" w:eastAsia="宋体" w:hint="default"/>
          <w:sz w:val="21"/>
          <w:szCs w:val="21"/>
        </w:rPr>
        <w:sectPr>
          <w:pgSz w:w="16840" w:h="11910" w:orient="landscape"/>
          <w:pgMar w:header="855" w:footer="1193" w:top="128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385"/>
        <w:gridCol w:w="12705"/>
      </w:tblGrid>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蔡立君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本科学历，注册会计师。</w:t>
            </w:r>
            <w:r>
              <w:rPr>
                <w:rFonts w:ascii="宋体" w:hAnsi="宋体" w:cs="宋体" w:eastAsia="宋体" w:hint="default"/>
                <w:sz w:val="21"/>
                <w:szCs w:val="21"/>
              </w:rPr>
              <w:t>2005 </w:t>
            </w:r>
            <w:r>
              <w:rPr>
                <w:rFonts w:ascii="宋体" w:hAnsi="宋体" w:cs="宋体" w:eastAsia="宋体" w:hint="default"/>
                <w:sz w:val="21"/>
                <w:szCs w:val="21"/>
              </w:rPr>
              <w:t>年至 </w:t>
            </w:r>
            <w:r>
              <w:rPr>
                <w:rFonts w:ascii="宋体" w:hAnsi="宋体" w:cs="宋体" w:eastAsia="宋体" w:hint="default"/>
                <w:sz w:val="21"/>
                <w:szCs w:val="21"/>
              </w:rPr>
              <w:t>2010 </w:t>
            </w:r>
            <w:r>
              <w:rPr>
                <w:rFonts w:ascii="宋体" w:hAnsi="宋体" w:cs="宋体" w:eastAsia="宋体" w:hint="default"/>
                <w:sz w:val="21"/>
                <w:szCs w:val="21"/>
              </w:rPr>
              <w:t>年任职于普华永道会计师事务所；</w:t>
            </w:r>
            <w:r>
              <w:rPr>
                <w:rFonts w:ascii="宋体" w:hAnsi="宋体" w:cs="宋体" w:eastAsia="宋体" w:hint="default"/>
                <w:sz w:val="21"/>
                <w:szCs w:val="21"/>
              </w:rPr>
              <w:t>2010 </w:t>
            </w:r>
            <w:r>
              <w:rPr>
                <w:rFonts w:ascii="宋体" w:hAnsi="宋体" w:cs="宋体" w:eastAsia="宋体" w:hint="default"/>
                <w:sz w:val="21"/>
                <w:szCs w:val="21"/>
              </w:rPr>
              <w:t>年至 </w:t>
            </w:r>
            <w:r>
              <w:rPr>
                <w:rFonts w:ascii="宋体" w:hAnsi="宋体" w:cs="宋体" w:eastAsia="宋体" w:hint="default"/>
                <w:sz w:val="21"/>
                <w:szCs w:val="21"/>
              </w:rPr>
              <w:t>2012 </w:t>
            </w:r>
            <w:r>
              <w:rPr>
                <w:rFonts w:ascii="宋体" w:hAnsi="宋体" w:cs="宋体" w:eastAsia="宋体" w:hint="default"/>
                <w:sz w:val="21"/>
                <w:szCs w:val="21"/>
              </w:rPr>
              <w:t>年任上置集团财务总监；</w:t>
            </w:r>
            <w:r>
              <w:rPr>
                <w:rFonts w:ascii="宋体" w:hAnsi="宋体" w:cs="宋体" w:eastAsia="宋体" w:hint="default"/>
                <w:sz w:val="21"/>
                <w:szCs w:val="21"/>
              </w:rPr>
              <w:t>2012</w:t>
            </w:r>
            <w:r>
              <w:rPr>
                <w:rFonts w:ascii="宋体" w:hAnsi="宋体" w:cs="宋体" w:eastAsia="宋体" w:hint="default"/>
                <w:spacing w:val="-22"/>
                <w:sz w:val="21"/>
                <w:szCs w:val="21"/>
              </w:rPr>
              <w:t> </w:t>
            </w:r>
            <w:r>
              <w:rPr>
                <w:rFonts w:ascii="宋体" w:hAnsi="宋体" w:cs="宋体" w:eastAsia="宋体" w:hint="default"/>
                <w:sz w:val="21"/>
                <w:szCs w:val="21"/>
              </w:rPr>
              <w:t>年至今中国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新城镇发展有限公司财务总监；</w:t>
            </w:r>
            <w:r>
              <w:rPr>
                <w:rFonts w:ascii="宋体" w:hAnsi="宋体" w:cs="宋体" w:eastAsia="宋体" w:hint="default"/>
                <w:spacing w:val="-2"/>
                <w:sz w:val="21"/>
                <w:szCs w:val="21"/>
              </w:rPr>
              <w:t>2016</w:t>
            </w:r>
            <w:r>
              <w:rPr>
                <w:rFonts w:ascii="宋体" w:hAnsi="宋体" w:cs="宋体" w:eastAsia="宋体" w:hint="default"/>
                <w:spacing w:val="1"/>
                <w:sz w:val="21"/>
                <w:szCs w:val="21"/>
              </w:rPr>
              <w:t> </w:t>
            </w:r>
            <w:r>
              <w:rPr>
                <w:rFonts w:ascii="宋体" w:hAnsi="宋体" w:cs="宋体" w:eastAsia="宋体" w:hint="default"/>
                <w:spacing w:val="-2"/>
                <w:sz w:val="21"/>
                <w:szCs w:val="21"/>
              </w:rPr>
              <w:t>年至今任公司独立董事。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成来国</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本科学历，高级经济师。</w:t>
            </w:r>
            <w:r>
              <w:rPr>
                <w:rFonts w:ascii="宋体" w:hAnsi="宋体" w:cs="宋体" w:eastAsia="宋体" w:hint="default"/>
                <w:sz w:val="21"/>
                <w:szCs w:val="21"/>
              </w:rPr>
              <w:t>2000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2009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月任东营科英激光电子有限公司业务部部长，</w:t>
            </w: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3"/>
                <w:sz w:val="21"/>
                <w:szCs w:val="21"/>
              </w:rPr>
              <w:t> </w:t>
            </w:r>
            <w:r>
              <w:rPr>
                <w:rFonts w:ascii="宋体" w:hAnsi="宋体" w:cs="宋体" w:eastAsia="宋体" w:hint="default"/>
                <w:sz w:val="21"/>
                <w:szCs w:val="21"/>
              </w:rPr>
              <w:t>月至今任东营科英进出口有限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公司总经理，</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月至今任公司监事。</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李志军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中共党员，本科学历，中级会计师、高级经济师、高级内部审计师。</w:t>
            </w:r>
            <w:r>
              <w:rPr>
                <w:rFonts w:ascii="宋体" w:hAnsi="宋体" w:cs="宋体" w:eastAsia="宋体" w:hint="default"/>
                <w:sz w:val="21"/>
                <w:szCs w:val="21"/>
              </w:rPr>
              <w:t>1995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1997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11</w:t>
            </w:r>
            <w:r>
              <w:rPr>
                <w:rFonts w:ascii="宋体" w:hAnsi="宋体" w:cs="宋体" w:eastAsia="宋体" w:hint="default"/>
                <w:spacing w:val="-47"/>
                <w:sz w:val="21"/>
                <w:szCs w:val="21"/>
              </w:rPr>
              <w:t> </w:t>
            </w:r>
            <w:r>
              <w:rPr>
                <w:rFonts w:ascii="宋体" w:hAnsi="宋体" w:cs="宋体" w:eastAsia="宋体" w:hint="default"/>
                <w:sz w:val="21"/>
                <w:szCs w:val="21"/>
              </w:rPr>
              <w:t>月任职于东营市农业局劳动服务公司、东</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营市明星食品厂出纳、会计、财务科长；</w:t>
            </w:r>
            <w:r>
              <w:rPr>
                <w:rFonts w:ascii="宋体" w:hAnsi="宋体" w:cs="宋体" w:eastAsia="宋体" w:hint="default"/>
                <w:sz w:val="21"/>
                <w:szCs w:val="21"/>
              </w:rPr>
              <w:t>1997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1999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月任职于东营市华联商厦从事会计、审计工作；</w:t>
            </w:r>
            <w:r>
              <w:rPr>
                <w:rFonts w:ascii="宋体" w:hAnsi="宋体" w:cs="宋体" w:eastAsia="宋体" w:hint="default"/>
                <w:sz w:val="21"/>
                <w:szCs w:val="21"/>
              </w:rPr>
              <w:t>2000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2001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7"/>
                <w:sz w:val="21"/>
                <w:szCs w:val="21"/>
              </w:rPr>
              <w:t> </w:t>
            </w:r>
            <w:r>
              <w:rPr>
                <w:rFonts w:ascii="宋体" w:hAnsi="宋体" w:cs="宋体" w:eastAsia="宋体" w:hint="default"/>
                <w:sz w:val="21"/>
                <w:szCs w:val="21"/>
              </w:rPr>
              <w:t>月任职于东营市金龙装饰公司、东营市玉华商贸有限公司会计、财务科长；</w:t>
            </w:r>
            <w:r>
              <w:rPr>
                <w:rFonts w:ascii="宋体" w:hAnsi="宋体" w:cs="宋体" w:eastAsia="宋体" w:hint="default"/>
                <w:sz w:val="21"/>
                <w:szCs w:val="21"/>
              </w:rPr>
              <w:t>2001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3</w:t>
            </w:r>
            <w:r>
              <w:rPr>
                <w:rFonts w:ascii="宋体" w:hAnsi="宋体" w:cs="宋体" w:eastAsia="宋体" w:hint="default"/>
                <w:spacing w:val="-47"/>
                <w:sz w:val="21"/>
                <w:szCs w:val="21"/>
              </w:rPr>
              <w:t> </w:t>
            </w:r>
            <w:r>
              <w:rPr>
                <w:rFonts w:ascii="宋体" w:hAnsi="宋体" w:cs="宋体" w:eastAsia="宋体" w:hint="default"/>
                <w:sz w:val="21"/>
                <w:szCs w:val="21"/>
              </w:rPr>
              <w:t>月至今，在科达股份工作，先后任科英激光电</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子公司会计、考审委办公室副主任、主任、考审委副主任助理、审计部部长。</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月任公司职工代表监事。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z w:val="21"/>
                <w:szCs w:val="21"/>
              </w:rPr>
              <w:t>本科学历，</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日毕业于山东师范大学政法学院法学系。</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14</w:t>
            </w:r>
            <w:r>
              <w:rPr>
                <w:rFonts w:ascii="宋体" w:hAnsi="宋体" w:cs="宋体" w:eastAsia="宋体" w:hint="default"/>
                <w:spacing w:val="-55"/>
                <w:sz w:val="21"/>
                <w:szCs w:val="21"/>
              </w:rPr>
              <w:t> </w:t>
            </w:r>
            <w:r>
              <w:rPr>
                <w:rFonts w:ascii="宋体" w:hAnsi="宋体" w:cs="宋体" w:eastAsia="宋体" w:hint="default"/>
                <w:sz w:val="21"/>
                <w:szCs w:val="21"/>
              </w:rPr>
              <w:t>日入职科达股份，先后担任公司法律事务部法务专员、</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z w:val="21"/>
                <w:szCs w:val="21"/>
              </w:rPr>
              <w:t>法务科长，从事合同审查、诉讼和非诉业务以及法律培训、法律咨询工作；</w:t>
            </w:r>
            <w:r>
              <w:rPr>
                <w:rFonts w:ascii="宋体" w:hAnsi="宋体" w:cs="宋体" w:eastAsia="宋体" w:hint="default"/>
                <w:sz w:val="21"/>
                <w:szCs w:val="21"/>
              </w:rPr>
              <w:t>2012</w:t>
            </w:r>
            <w:r>
              <w:rPr>
                <w:rFonts w:ascii="宋体" w:hAnsi="宋体" w:cs="宋体" w:eastAsia="宋体" w:hint="default"/>
                <w:spacing w:val="-15"/>
                <w:sz w:val="21"/>
                <w:szCs w:val="21"/>
              </w:rPr>
              <w:t> </w:t>
            </w:r>
            <w:r>
              <w:rPr>
                <w:rFonts w:ascii="宋体" w:hAnsi="宋体" w:cs="宋体" w:eastAsia="宋体" w:hint="default"/>
                <w:sz w:val="21"/>
                <w:szCs w:val="21"/>
              </w:rPr>
              <w:t>年至今担任科达集团股份有限公司法律事务部副部长，</w:t>
            </w:r>
            <w:r>
              <w:rPr>
                <w:rFonts w:ascii="宋体" w:hAnsi="宋体" w:cs="宋体" w:eastAsia="宋体" w:hint="default"/>
                <w:w w:val="100"/>
                <w:sz w:val="21"/>
                <w:szCs w:val="21"/>
              </w:rPr>
              <w:t> </w:t>
            </w:r>
            <w:r>
              <w:rPr>
                <w:rFonts w:ascii="宋体" w:hAnsi="宋体" w:cs="宋体" w:eastAsia="宋体" w:hint="default"/>
                <w:sz w:val="21"/>
                <w:szCs w:val="21"/>
              </w:rPr>
              <w:t>主持部门工作。</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月至今任公司职工代表监事。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w:t>
            </w:r>
            <w:r>
              <w:rPr>
                <w:rFonts w:ascii="宋体" w:hAnsi="宋体" w:cs="宋体" w:eastAsia="宋体" w:hint="default"/>
                <w:spacing w:val="-27"/>
                <w:sz w:val="21"/>
                <w:szCs w:val="21"/>
              </w:rPr>
              <w:t> </w:t>
            </w:r>
            <w:r>
              <w:rPr>
                <w:rFonts w:ascii="宋体" w:hAnsi="宋体" w:cs="宋体" w:eastAsia="宋体" w:hint="default"/>
                <w:sz w:val="21"/>
                <w:szCs w:val="21"/>
              </w:rPr>
              <w:t>2010</w:t>
            </w:r>
            <w:r>
              <w:rPr>
                <w:rFonts w:ascii="宋体" w:hAnsi="宋体" w:cs="宋体" w:eastAsia="宋体"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pacing w:val="-4"/>
                <w:sz w:val="21"/>
                <w:szCs w:val="21"/>
              </w:rPr>
              <w:t>月入职科达集团股份有限公司，任董事长秘书，</w:t>
            </w:r>
            <w:r>
              <w:rPr>
                <w:rFonts w:ascii="宋体" w:hAnsi="宋体" w:cs="宋体" w:eastAsia="宋体" w:hint="default"/>
                <w:spacing w:val="-4"/>
                <w:sz w:val="21"/>
                <w:szCs w:val="21"/>
              </w:rPr>
              <w:t>2012</w:t>
            </w:r>
            <w:r>
              <w:rPr>
                <w:rFonts w:ascii="宋体" w:hAnsi="宋体" w:cs="宋体" w:eastAsia="宋体"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月任滨州市科达置业有限公司总经理助理，</w:t>
            </w:r>
            <w:r>
              <w:rPr>
                <w:rFonts w:ascii="宋体" w:hAnsi="宋体" w:cs="宋体" w:eastAsia="宋体" w:hint="default"/>
                <w:spacing w:val="-27"/>
                <w:sz w:val="21"/>
                <w:szCs w:val="21"/>
              </w:rPr>
              <w:t> </w:t>
            </w:r>
            <w:r>
              <w:rPr>
                <w:rFonts w:ascii="宋体" w:hAnsi="宋体" w:cs="宋体" w:eastAsia="宋体" w:hint="default"/>
                <w:sz w:val="21"/>
                <w:szCs w:val="21"/>
              </w:rPr>
              <w:t>2014</w:t>
            </w:r>
            <w:r>
              <w:rPr>
                <w:rFonts w:ascii="宋体" w:hAnsi="宋体" w:cs="宋体" w:eastAsia="宋体" w:hint="default"/>
                <w:spacing w:val="5"/>
                <w:sz w:val="21"/>
                <w:szCs w:val="21"/>
              </w:rPr>
              <w:t> </w:t>
            </w:r>
            <w:r>
              <w:rPr>
                <w:rFonts w:ascii="宋体" w:hAnsi="宋体" w:cs="宋体" w:eastAsia="宋体" w:hint="default"/>
                <w:sz w:val="21"/>
                <w:szCs w:val="21"/>
              </w:rPr>
              <w:t>年 </w:t>
            </w:r>
            <w:r>
              <w:rPr>
                <w:rFonts w:ascii="宋体" w:hAnsi="宋体" w:cs="宋体" w:eastAsia="宋体" w:hint="default"/>
                <w:sz w:val="21"/>
                <w:szCs w:val="21"/>
              </w:rPr>
              <w:t>1</w:t>
            </w:r>
          </w:p>
          <w:p>
            <w:pPr>
              <w:pStyle w:val="TableParagraph"/>
              <w:spacing w:line="240" w:lineRule="auto"/>
              <w:ind w:left="103" w:right="95"/>
              <w:jc w:val="left"/>
              <w:rPr>
                <w:rFonts w:ascii="宋体" w:hAnsi="宋体" w:cs="宋体" w:eastAsia="宋体" w:hint="default"/>
                <w:sz w:val="21"/>
                <w:szCs w:val="21"/>
              </w:rPr>
            </w:pPr>
            <w:r>
              <w:rPr>
                <w:rFonts w:ascii="宋体" w:hAnsi="宋体" w:cs="宋体" w:eastAsia="宋体" w:hint="default"/>
                <w:spacing w:val="-3"/>
                <w:sz w:val="21"/>
                <w:szCs w:val="21"/>
              </w:rPr>
              <w:t>月任科达集团股份有限公司房地产事业部营销中心副主任，</w:t>
            </w:r>
            <w:r>
              <w:rPr>
                <w:rFonts w:ascii="宋体" w:hAnsi="宋体" w:cs="宋体" w:eastAsia="宋体" w:hint="default"/>
                <w:spacing w:val="-3"/>
                <w:sz w:val="21"/>
                <w:szCs w:val="21"/>
              </w:rPr>
              <w:t>2015</w:t>
            </w:r>
            <w:r>
              <w:rPr>
                <w:rFonts w:ascii="宋体" w:hAnsi="宋体" w:cs="宋体" w:eastAsia="宋体"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4</w:t>
            </w:r>
            <w:r>
              <w:rPr>
                <w:rFonts w:ascii="宋体" w:hAnsi="宋体" w:cs="宋体" w:eastAsia="宋体" w:hint="default"/>
                <w:spacing w:val="-46"/>
                <w:sz w:val="21"/>
                <w:szCs w:val="21"/>
              </w:rPr>
              <w:t> </w:t>
            </w:r>
            <w:r>
              <w:rPr>
                <w:rFonts w:ascii="宋体" w:hAnsi="宋体" w:cs="宋体" w:eastAsia="宋体" w:hint="default"/>
                <w:spacing w:val="-3"/>
                <w:sz w:val="21"/>
                <w:szCs w:val="21"/>
              </w:rPr>
              <w:t>月任东营科英置业有限公司副总经理，</w:t>
            </w:r>
            <w:r>
              <w:rPr>
                <w:rFonts w:ascii="宋体" w:hAnsi="宋体" w:cs="宋体" w:eastAsia="宋体" w:hint="default"/>
                <w:spacing w:val="-3"/>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6"/>
                <w:sz w:val="21"/>
                <w:szCs w:val="21"/>
              </w:rPr>
              <w:t> </w:t>
            </w:r>
            <w:r>
              <w:rPr>
                <w:rFonts w:ascii="宋体" w:hAnsi="宋体" w:cs="宋体" w:eastAsia="宋体" w:hint="default"/>
                <w:sz w:val="21"/>
                <w:szCs w:val="21"/>
              </w:rPr>
              <w:t>月至今任青</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岛科达置业有限公司副总经理。</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姜志涛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本科学历，中级经济师，具有国家</w:t>
            </w:r>
            <w:r>
              <w:rPr>
                <w:rFonts w:ascii="宋体" w:hAnsi="宋体" w:cs="宋体" w:eastAsia="宋体" w:hint="default"/>
                <w:spacing w:val="-57"/>
                <w:sz w:val="21"/>
                <w:szCs w:val="21"/>
              </w:rPr>
              <w:t> </w:t>
            </w:r>
            <w:r>
              <w:rPr>
                <w:rFonts w:ascii="宋体" w:hAnsi="宋体" w:cs="宋体" w:eastAsia="宋体" w:hint="default"/>
                <w:sz w:val="21"/>
                <w:szCs w:val="21"/>
              </w:rPr>
              <w:t>A</w:t>
            </w:r>
            <w:r>
              <w:rPr>
                <w:rFonts w:ascii="宋体" w:hAnsi="宋体" w:cs="宋体" w:eastAsia="宋体" w:hint="default"/>
                <w:spacing w:val="-59"/>
                <w:sz w:val="21"/>
                <w:szCs w:val="21"/>
              </w:rPr>
              <w:t> </w:t>
            </w:r>
            <w:r>
              <w:rPr>
                <w:rFonts w:ascii="宋体" w:hAnsi="宋体" w:cs="宋体" w:eastAsia="宋体" w:hint="default"/>
                <w:sz w:val="21"/>
                <w:szCs w:val="21"/>
              </w:rPr>
              <w:t>类法律职业资格，</w:t>
            </w:r>
            <w:r>
              <w:rPr>
                <w:rFonts w:ascii="宋体" w:hAnsi="宋体" w:cs="宋体" w:eastAsia="宋体" w:hint="default"/>
                <w:sz w:val="21"/>
                <w:szCs w:val="21"/>
              </w:rPr>
              <w:t>1999</w:t>
            </w:r>
            <w:r>
              <w:rPr>
                <w:rFonts w:ascii="宋体" w:hAnsi="宋体" w:cs="宋体" w:eastAsia="宋体" w:hint="default"/>
                <w:spacing w:val="-56"/>
                <w:sz w:val="21"/>
                <w:szCs w:val="21"/>
              </w:rPr>
              <w:t> </w:t>
            </w:r>
            <w:r>
              <w:rPr>
                <w:rFonts w:ascii="宋体" w:hAnsi="宋体" w:cs="宋体" w:eastAsia="宋体" w:hint="default"/>
                <w:sz w:val="21"/>
                <w:szCs w:val="21"/>
              </w:rPr>
              <w:t>年进入科达股份工作，先后担任施工员、主任工程师等职务，</w:t>
            </w:r>
            <w:r>
              <w:rPr>
                <w:rFonts w:ascii="宋体" w:hAnsi="宋体" w:cs="宋体" w:eastAsia="宋体" w:hint="default"/>
                <w:sz w:val="21"/>
                <w:szCs w:val="21"/>
              </w:rPr>
              <w:t>2005</w:t>
            </w:r>
            <w:r>
              <w:rPr>
                <w:rFonts w:ascii="宋体" w:hAnsi="宋体" w:cs="宋体" w:eastAsia="宋体" w:hint="default"/>
                <w:spacing w:val="-59"/>
                <w:sz w:val="21"/>
                <w:szCs w:val="21"/>
              </w:rPr>
              <w:t> </w:t>
            </w:r>
            <w:r>
              <w:rPr>
                <w:rFonts w:ascii="宋体" w:hAnsi="宋体" w:cs="宋体" w:eastAsia="宋体" w:hint="default"/>
                <w:sz w:val="21"/>
                <w:szCs w:val="21"/>
              </w:rPr>
              <w:t>年进入公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司证券部工作，</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5"/>
                <w:sz w:val="21"/>
                <w:szCs w:val="21"/>
              </w:rPr>
              <w:t> </w:t>
            </w:r>
            <w:r>
              <w:rPr>
                <w:rFonts w:ascii="宋体" w:hAnsi="宋体" w:cs="宋体" w:eastAsia="宋体" w:hint="default"/>
                <w:sz w:val="21"/>
                <w:szCs w:val="21"/>
              </w:rPr>
              <w:t>日担任公司证券事务代表，现任公司董事会秘书。</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6"/>
        <w:ind w:left="220" w:right="0"/>
        <w:jc w:val="both"/>
      </w:pPr>
      <w:r>
        <w:rPr/>
        <w:t>其它情况说明</w:t>
      </w:r>
    </w:p>
    <w:p>
      <w:pPr>
        <w:pStyle w:val="BodyText"/>
        <w:spacing w:line="240" w:lineRule="auto" w:before="73"/>
        <w:ind w:left="640" w:right="0"/>
        <w:jc w:val="left"/>
      </w:pPr>
      <w:r>
        <w:rPr>
          <w:rFonts w:ascii="宋体" w:hAnsi="宋体" w:cs="宋体" w:eastAsia="宋体" w:hint="default"/>
          <w:spacing w:val="-3"/>
        </w:rPr>
        <w:t>1</w:t>
      </w:r>
      <w:r>
        <w:rPr>
          <w:spacing w:val="-3"/>
        </w:rPr>
        <w:t>、</w:t>
      </w:r>
      <w:r>
        <w:rPr>
          <w:rFonts w:ascii="宋体" w:hAnsi="宋体" w:cs="宋体" w:eastAsia="宋体" w:hint="default"/>
          <w:spacing w:val="-3"/>
        </w:rPr>
        <w:t>2015</w:t>
      </w:r>
      <w:r>
        <w:rPr>
          <w:rFonts w:ascii="宋体" w:hAnsi="宋体" w:cs="宋体" w:eastAsia="宋体" w:hint="default"/>
          <w:spacing w:val="-59"/>
        </w:rPr>
        <w:t> </w:t>
      </w:r>
      <w:r>
        <w:rPr/>
        <w:t>年</w:t>
      </w:r>
      <w:r>
        <w:rPr>
          <w:spacing w:val="-61"/>
        </w:rPr>
        <w:t> </w:t>
      </w:r>
      <w:r>
        <w:rPr>
          <w:rFonts w:ascii="宋体" w:hAnsi="宋体" w:cs="宋体" w:eastAsia="宋体" w:hint="default"/>
        </w:rPr>
        <w:t>2</w:t>
      </w:r>
      <w:r>
        <w:rPr>
          <w:rFonts w:ascii="宋体" w:hAnsi="宋体" w:cs="宋体" w:eastAsia="宋体" w:hint="default"/>
          <w:spacing w:val="-59"/>
        </w:rPr>
        <w:t> </w:t>
      </w:r>
      <w:r>
        <w:rPr/>
        <w:t>月</w:t>
      </w:r>
      <w:r>
        <w:rPr>
          <w:spacing w:val="-61"/>
        </w:rPr>
        <w:t> </w:t>
      </w:r>
      <w:r>
        <w:rPr>
          <w:rFonts w:ascii="宋体" w:hAnsi="宋体" w:cs="宋体" w:eastAsia="宋体" w:hint="default"/>
        </w:rPr>
        <w:t>25</w:t>
      </w:r>
      <w:r>
        <w:rPr>
          <w:rFonts w:ascii="宋体" w:hAnsi="宋体" w:cs="宋体" w:eastAsia="宋体" w:hint="default"/>
          <w:spacing w:val="-61"/>
        </w:rPr>
        <w:t> </w:t>
      </w:r>
      <w:r>
        <w:rPr/>
        <w:t>日，公司职工代表监事李志军女士因工作变动辞去职工代表监事职务，由于该辞职事项导致公司监事会成员低于法定人数，公司</w:t>
      </w:r>
    </w:p>
    <w:p>
      <w:pPr>
        <w:pStyle w:val="BodyText"/>
        <w:spacing w:line="240" w:lineRule="auto" w:before="85"/>
        <w:ind w:left="220" w:right="0"/>
        <w:jc w:val="both"/>
      </w:pPr>
      <w:r>
        <w:rPr/>
        <w:t>于同日召开职工代表大会，选举举孙岩先生担任公司第七届监事会职工代表监事，任期同第七届监事会。（详见</w:t>
      </w:r>
      <w:r>
        <w:rPr>
          <w:spacing w:val="-54"/>
        </w:rPr>
        <w:t> </w:t>
      </w:r>
      <w:r>
        <w:rPr>
          <w:rFonts w:ascii="宋体" w:hAnsi="宋体" w:cs="宋体" w:eastAsia="宋体" w:hint="default"/>
        </w:rPr>
        <w:t>2015</w:t>
      </w:r>
      <w:r>
        <w:rPr>
          <w:rFonts w:ascii="宋体" w:hAnsi="宋体" w:cs="宋体" w:eastAsia="宋体" w:hint="default"/>
          <w:spacing w:val="-55"/>
        </w:rPr>
        <w:t> </w:t>
      </w:r>
      <w:r>
        <w:rPr/>
        <w:t>年</w:t>
      </w:r>
      <w:r>
        <w:rPr>
          <w:spacing w:val="-57"/>
        </w:rPr>
        <w:t> </w:t>
      </w:r>
      <w:r>
        <w:rPr>
          <w:rFonts w:ascii="宋体" w:hAnsi="宋体" w:cs="宋体" w:eastAsia="宋体" w:hint="default"/>
        </w:rPr>
        <w:t>2</w:t>
      </w:r>
      <w:r>
        <w:rPr>
          <w:rFonts w:ascii="宋体" w:hAnsi="宋体" w:cs="宋体" w:eastAsia="宋体" w:hint="default"/>
          <w:spacing w:val="-55"/>
        </w:rPr>
        <w:t> </w:t>
      </w:r>
      <w:r>
        <w:rPr/>
        <w:t>月</w:t>
      </w:r>
      <w:r>
        <w:rPr>
          <w:spacing w:val="-57"/>
        </w:rPr>
        <w:t> </w:t>
      </w:r>
      <w:r>
        <w:rPr>
          <w:rFonts w:ascii="宋体" w:hAnsi="宋体" w:cs="宋体" w:eastAsia="宋体" w:hint="default"/>
        </w:rPr>
        <w:t>26</w:t>
      </w:r>
      <w:r>
        <w:rPr>
          <w:rFonts w:ascii="宋体" w:hAnsi="宋体" w:cs="宋体" w:eastAsia="宋体" w:hint="default"/>
          <w:spacing w:val="-55"/>
        </w:rPr>
        <w:t> </w:t>
      </w:r>
      <w:r>
        <w:rPr/>
        <w:t>日公司发布的《科达股</w:t>
      </w:r>
    </w:p>
    <w:p>
      <w:pPr>
        <w:pStyle w:val="BodyText"/>
        <w:spacing w:line="240" w:lineRule="auto" w:before="85"/>
        <w:ind w:left="220" w:right="0"/>
        <w:jc w:val="both"/>
        <w:rPr>
          <w:rFonts w:ascii="宋体" w:hAnsi="宋体" w:cs="宋体" w:eastAsia="宋体" w:hint="default"/>
        </w:rPr>
      </w:pPr>
      <w:r>
        <w:rPr/>
        <w:t>份监事辞职及选举职工代表监事的公告》</w:t>
      </w:r>
      <w:r>
        <w:rPr>
          <w:spacing w:val="-12"/>
        </w:rPr>
        <w:t> </w:t>
      </w:r>
      <w:r>
        <w:rPr>
          <w:rFonts w:ascii="宋体" w:hAnsi="宋体" w:cs="宋体" w:eastAsia="宋体" w:hint="default"/>
          <w:spacing w:val="-4"/>
        </w:rPr>
        <w:t>2</w:t>
      </w:r>
      <w:r>
        <w:rPr>
          <w:spacing w:val="-4"/>
        </w:rPr>
        <w:t>、</w:t>
      </w:r>
      <w:r>
        <w:rPr>
          <w:rFonts w:ascii="宋体" w:hAnsi="宋体" w:cs="宋体" w:eastAsia="宋体" w:hint="default"/>
          <w:spacing w:val="-4"/>
        </w:rPr>
        <w:t>2015</w:t>
      </w:r>
      <w:r>
        <w:rPr>
          <w:rFonts w:ascii="宋体" w:hAnsi="宋体" w:cs="宋体" w:eastAsia="宋体" w:hint="default"/>
          <w:spacing w:val="-50"/>
        </w:rPr>
        <w:t> </w:t>
      </w:r>
      <w:r>
        <w:rPr/>
        <w:t>年</w:t>
      </w:r>
      <w:r>
        <w:rPr>
          <w:spacing w:val="-48"/>
        </w:rPr>
        <w:t> </w:t>
      </w:r>
      <w:r>
        <w:rPr>
          <w:rFonts w:ascii="宋体" w:hAnsi="宋体" w:cs="宋体" w:eastAsia="宋体" w:hint="default"/>
        </w:rPr>
        <w:t>3</w:t>
      </w:r>
      <w:r>
        <w:rPr>
          <w:rFonts w:ascii="宋体" w:hAnsi="宋体" w:cs="宋体" w:eastAsia="宋体" w:hint="default"/>
          <w:spacing w:val="-50"/>
        </w:rPr>
        <w:t> </w:t>
      </w:r>
      <w:r>
        <w:rPr/>
        <w:t>月</w:t>
      </w:r>
      <w:r>
        <w:rPr>
          <w:spacing w:val="-48"/>
        </w:rPr>
        <w:t> </w:t>
      </w:r>
      <w:r>
        <w:rPr>
          <w:rFonts w:ascii="宋体" w:hAnsi="宋体" w:cs="宋体" w:eastAsia="宋体" w:hint="default"/>
        </w:rPr>
        <w:t>5</w:t>
      </w:r>
      <w:r>
        <w:rPr>
          <w:rFonts w:ascii="宋体" w:hAnsi="宋体" w:cs="宋体" w:eastAsia="宋体" w:hint="default"/>
          <w:spacing w:val="-48"/>
        </w:rPr>
        <w:t> </w:t>
      </w:r>
      <w:r>
        <w:rPr>
          <w:spacing w:val="-3"/>
        </w:rPr>
        <w:t>日，公司董事王为凯先生因工作变动向公司董事会提出辞去董事职务申请。（详见</w:t>
      </w:r>
      <w:r>
        <w:rPr>
          <w:spacing w:val="-48"/>
        </w:rPr>
        <w:t> </w:t>
      </w:r>
      <w:r>
        <w:rPr>
          <w:rFonts w:ascii="宋体" w:hAnsi="宋体" w:cs="宋体" w:eastAsia="宋体" w:hint="default"/>
        </w:rPr>
        <w:t>2015</w:t>
      </w:r>
      <w:r>
        <w:rPr>
          <w:rFonts w:ascii="宋体" w:hAnsi="宋体" w:cs="宋体" w:eastAsia="宋体" w:hint="default"/>
          <w:spacing w:val="-47"/>
        </w:rPr>
        <w:t> </w:t>
      </w:r>
      <w:r>
        <w:rPr/>
        <w:t>年</w:t>
      </w:r>
      <w:r>
        <w:rPr>
          <w:spacing w:val="-50"/>
        </w:rPr>
        <w:t> </w:t>
      </w:r>
      <w:r>
        <w:rPr>
          <w:rFonts w:ascii="宋体" w:hAnsi="宋体" w:cs="宋体" w:eastAsia="宋体" w:hint="default"/>
        </w:rPr>
        <w:t>3</w:t>
      </w:r>
    </w:p>
    <w:p>
      <w:pPr>
        <w:pStyle w:val="BodyText"/>
        <w:spacing w:line="314" w:lineRule="auto" w:before="85"/>
        <w:ind w:left="220" w:right="217"/>
        <w:jc w:val="both"/>
      </w:pPr>
      <w:r>
        <w:rPr/>
        <w:t>月</w:t>
      </w:r>
      <w:r>
        <w:rPr>
          <w:spacing w:val="-49"/>
        </w:rPr>
        <w:t> </w:t>
      </w:r>
      <w:r>
        <w:rPr>
          <w:rFonts w:ascii="宋体" w:hAnsi="宋体" w:cs="宋体" w:eastAsia="宋体" w:hint="default"/>
        </w:rPr>
        <w:t>7</w:t>
      </w:r>
      <w:r>
        <w:rPr>
          <w:rFonts w:ascii="宋体" w:hAnsi="宋体" w:cs="宋体" w:eastAsia="宋体" w:hint="default"/>
          <w:spacing w:val="-50"/>
        </w:rPr>
        <w:t> </w:t>
      </w:r>
      <w:r>
        <w:rPr>
          <w:spacing w:val="-3"/>
        </w:rPr>
        <w:t>日公司发布的《科达股份关于董事辞职的公告》。</w:t>
      </w:r>
      <w:r>
        <w:rPr>
          <w:spacing w:val="1"/>
        </w:rPr>
        <w:t> </w:t>
      </w:r>
      <w:r>
        <w:rPr>
          <w:rFonts w:ascii="宋体" w:hAnsi="宋体" w:cs="宋体" w:eastAsia="宋体" w:hint="default"/>
        </w:rPr>
        <w:t>3</w:t>
      </w:r>
      <w:r>
        <w:rPr/>
        <w:t>、</w:t>
      </w:r>
      <w:r>
        <w:rPr>
          <w:rFonts w:ascii="宋体" w:hAnsi="宋体" w:cs="宋体" w:eastAsia="宋体" w:hint="default"/>
        </w:rPr>
        <w:t>2015</w:t>
      </w:r>
      <w:r>
        <w:rPr>
          <w:rFonts w:ascii="宋体" w:hAnsi="宋体" w:cs="宋体" w:eastAsia="宋体" w:hint="default"/>
          <w:spacing w:val="-52"/>
        </w:rPr>
        <w:t> </w:t>
      </w:r>
      <w:r>
        <w:rPr/>
        <w:t>年</w:t>
      </w:r>
      <w:r>
        <w:rPr>
          <w:spacing w:val="-50"/>
        </w:rPr>
        <w:t> </w:t>
      </w:r>
      <w:r>
        <w:rPr>
          <w:rFonts w:ascii="宋体" w:hAnsi="宋体" w:cs="宋体" w:eastAsia="宋体" w:hint="default"/>
        </w:rPr>
        <w:t>3</w:t>
      </w:r>
      <w:r>
        <w:rPr>
          <w:rFonts w:ascii="宋体" w:hAnsi="宋体" w:cs="宋体" w:eastAsia="宋体" w:hint="default"/>
          <w:spacing w:val="-52"/>
        </w:rPr>
        <w:t> </w:t>
      </w:r>
      <w:r>
        <w:rPr/>
        <w:t>月</w:t>
      </w:r>
      <w:r>
        <w:rPr>
          <w:spacing w:val="-50"/>
        </w:rPr>
        <w:t> </w:t>
      </w:r>
      <w:r>
        <w:rPr>
          <w:rFonts w:ascii="宋体" w:hAnsi="宋体" w:cs="宋体" w:eastAsia="宋体" w:hint="default"/>
        </w:rPr>
        <w:t>30</w:t>
      </w:r>
      <w:r>
        <w:rPr>
          <w:rFonts w:ascii="宋体" w:hAnsi="宋体" w:cs="宋体" w:eastAsia="宋体" w:hint="default"/>
          <w:spacing w:val="-52"/>
        </w:rPr>
        <w:t> </w:t>
      </w:r>
      <w:r>
        <w:rPr>
          <w:spacing w:val="-3"/>
        </w:rPr>
        <w:t>日，公司召开</w:t>
      </w:r>
      <w:r>
        <w:rPr>
          <w:spacing w:val="-50"/>
        </w:rPr>
        <w:t> </w:t>
      </w:r>
      <w:r>
        <w:rPr>
          <w:rFonts w:ascii="宋体" w:hAnsi="宋体" w:cs="宋体" w:eastAsia="宋体" w:hint="default"/>
        </w:rPr>
        <w:t>2015</w:t>
      </w:r>
      <w:r>
        <w:rPr>
          <w:rFonts w:ascii="宋体" w:hAnsi="宋体" w:cs="宋体" w:eastAsia="宋体" w:hint="default"/>
          <w:spacing w:val="-50"/>
        </w:rPr>
        <w:t> </w:t>
      </w:r>
      <w:r>
        <w:rPr/>
        <w:t>年第一次临时股东大会，审议通过了《关于补选公司董事</w:t>
      </w:r>
      <w:r>
        <w:rPr>
          <w:w w:val="100"/>
        </w:rPr>
        <w:t> </w:t>
      </w:r>
      <w:r>
        <w:rPr/>
        <w:t>的议案》，股东大会采用累积投票制度，选举薛爱永先生为公司第七届董事会董事。</w:t>
      </w:r>
      <w:r>
        <w:rPr>
          <w:spacing w:val="-2"/>
        </w:rPr>
        <w:t> </w:t>
      </w:r>
      <w:r>
        <w:rPr>
          <w:rFonts w:ascii="宋体" w:hAnsi="宋体" w:cs="宋体" w:eastAsia="宋体" w:hint="default"/>
        </w:rPr>
        <w:t>4</w:t>
      </w:r>
      <w:r>
        <w:rPr/>
        <w:t>、</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6"/>
        </w:rPr>
        <w:t> </w:t>
      </w:r>
      <w:r>
        <w:rPr>
          <w:rFonts w:ascii="宋体" w:hAnsi="宋体" w:cs="宋体" w:eastAsia="宋体" w:hint="default"/>
        </w:rPr>
        <w:t>17</w:t>
      </w:r>
      <w:r>
        <w:rPr>
          <w:rFonts w:ascii="宋体" w:hAnsi="宋体" w:cs="宋体" w:eastAsia="宋体" w:hint="default"/>
          <w:spacing w:val="-54"/>
        </w:rPr>
        <w:t> </w:t>
      </w:r>
      <w:r>
        <w:rPr/>
        <w:t>日，公司董事韩金亮先生因为个人原因向公司</w:t>
      </w:r>
      <w:r>
        <w:rPr>
          <w:w w:val="100"/>
        </w:rPr>
        <w:t> </w:t>
      </w:r>
      <w:r>
        <w:rPr/>
        <w:t>董事会提出辞去董事职务申请、独立董事李业顺先生因工作原因向公司董事会提出辞去独立董事职务申请。（详见</w:t>
      </w:r>
      <w:r>
        <w:rPr>
          <w:spacing w:val="-53"/>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18</w:t>
      </w:r>
      <w:r>
        <w:rPr>
          <w:rFonts w:ascii="宋体" w:hAnsi="宋体" w:cs="宋体" w:eastAsia="宋体" w:hint="default"/>
          <w:spacing w:val="-56"/>
        </w:rPr>
        <w:t> </w:t>
      </w:r>
      <w:r>
        <w:rPr/>
        <w:t>日公司发布的《科达</w:t>
      </w:r>
    </w:p>
    <w:p>
      <w:pPr>
        <w:pStyle w:val="BodyText"/>
        <w:spacing w:line="314" w:lineRule="auto"/>
        <w:ind w:left="220" w:right="217"/>
        <w:jc w:val="both"/>
      </w:pPr>
      <w:r>
        <w:rPr/>
        <w:t>股份关于董事及独立董事辞职的公告》</w:t>
      </w:r>
      <w:r>
        <w:rPr>
          <w:spacing w:val="-1"/>
        </w:rPr>
        <w:t> </w:t>
      </w:r>
      <w:r>
        <w:rPr>
          <w:rFonts w:ascii="宋体" w:hAnsi="宋体" w:cs="宋体" w:eastAsia="宋体" w:hint="default"/>
        </w:rPr>
        <w:t>5</w:t>
      </w:r>
      <w:r>
        <w:rPr/>
        <w:t>、</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8</w:t>
      </w:r>
      <w:r>
        <w:rPr>
          <w:rFonts w:ascii="宋体" w:hAnsi="宋体" w:cs="宋体" w:eastAsia="宋体" w:hint="default"/>
          <w:spacing w:val="-56"/>
        </w:rPr>
        <w:t> </w:t>
      </w:r>
      <w:r>
        <w:rPr/>
        <w:t>日，公司召开</w:t>
      </w:r>
      <w:r>
        <w:rPr>
          <w:spacing w:val="-56"/>
        </w:rPr>
        <w:t> </w:t>
      </w:r>
      <w:r>
        <w:rPr>
          <w:rFonts w:ascii="宋体" w:hAnsi="宋体" w:cs="宋体" w:eastAsia="宋体" w:hint="default"/>
        </w:rPr>
        <w:t>2015</w:t>
      </w:r>
      <w:r>
        <w:rPr>
          <w:rFonts w:ascii="宋体" w:hAnsi="宋体" w:cs="宋体" w:eastAsia="宋体" w:hint="default"/>
          <w:spacing w:val="-56"/>
        </w:rPr>
        <w:t> </w:t>
      </w:r>
      <w:r>
        <w:rPr/>
        <w:t>年第二次临时股东大会，审议通过了《关于补选公司董事的议案》和《关</w:t>
      </w:r>
      <w:r>
        <w:rPr>
          <w:spacing w:val="-3"/>
          <w:w w:val="100"/>
        </w:rPr>
        <w:t> </w:t>
      </w:r>
      <w:r>
        <w:rPr>
          <w:spacing w:val="-7"/>
          <w:w w:val="100"/>
        </w:rPr>
        <w:t>于补选公司独立董事的议案》，股东大会采用累积投票制度，选举黄峥嵘先生为公司第七届董事会董事，选举刘春先生为公司第七届董事会独立董事。</w:t>
      </w:r>
      <w:r>
        <w:rPr>
          <w:spacing w:val="-62"/>
          <w:w w:val="100"/>
        </w:rPr>
        <w:t> </w:t>
      </w:r>
      <w:r>
        <w:rPr>
          <w:rFonts w:ascii="宋体" w:hAnsi="宋体" w:cs="宋体" w:eastAsia="宋体" w:hint="default"/>
          <w:spacing w:val="-2"/>
          <w:w w:val="100"/>
        </w:rPr>
        <w:t>6</w:t>
      </w:r>
      <w:r>
        <w:rPr>
          <w:spacing w:val="-2"/>
          <w:w w:val="100"/>
        </w:rPr>
        <w:t>、</w:t>
      </w:r>
      <w:r>
        <w:rPr>
          <w:spacing w:val="-84"/>
          <w:w w:val="100"/>
        </w:rPr>
        <w:t> </w:t>
      </w:r>
      <w:r>
        <w:rPr>
          <w:rFonts w:ascii="宋体" w:hAnsi="宋体" w:cs="宋体" w:eastAsia="宋体" w:hint="default"/>
        </w:rPr>
        <w:t>2015</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29</w:t>
      </w:r>
      <w:r>
        <w:rPr>
          <w:rFonts w:ascii="宋体" w:hAnsi="宋体" w:cs="宋体" w:eastAsia="宋体" w:hint="default"/>
          <w:spacing w:val="-55"/>
        </w:rPr>
        <w:t> </w:t>
      </w:r>
      <w:r>
        <w:rPr/>
        <w:t>日，公司收到独立董事曹志敏先生递交的书面辞职申请。根据有关规定及中国海洋大学统一安排</w:t>
      </w:r>
      <w:r>
        <w:rPr>
          <w:rFonts w:ascii="宋体" w:hAnsi="宋体" w:cs="宋体" w:eastAsia="宋体" w:hint="default"/>
        </w:rPr>
        <w:t>,</w:t>
      </w:r>
      <w:r>
        <w:rPr/>
        <w:t>曹志敏先生请求辞去公司独立董事职</w:t>
      </w:r>
    </w:p>
    <w:p>
      <w:pPr>
        <w:pStyle w:val="BodyText"/>
        <w:spacing w:line="240" w:lineRule="auto"/>
        <w:ind w:left="220" w:right="0"/>
        <w:jc w:val="both"/>
      </w:pPr>
      <w:r>
        <w:rPr/>
        <w:t>务。（详见</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日公司发布的《科达股份关于独立董事辞职的公告》。</w:t>
      </w:r>
      <w:r>
        <w:rPr>
          <w:spacing w:val="-3"/>
        </w:rPr>
        <w:t> </w:t>
      </w:r>
      <w:r>
        <w:rPr>
          <w:rFonts w:ascii="宋体" w:hAnsi="宋体" w:cs="宋体" w:eastAsia="宋体" w:hint="default"/>
        </w:rPr>
        <w:t>7</w:t>
      </w:r>
      <w:r>
        <w:rPr/>
        <w:t>、</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日，公司收到独立董事朱德胜先生递交的书面</w:t>
      </w:r>
    </w:p>
    <w:p>
      <w:pPr>
        <w:spacing w:after="0" w:line="240" w:lineRule="auto"/>
        <w:jc w:val="both"/>
        <w:sectPr>
          <w:pgSz w:w="16840" w:h="11910" w:orient="landscape"/>
          <w:pgMar w:header="855" w:footer="1193" w:top="1280" w:bottom="1380" w:left="122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before="36"/>
        <w:ind w:left="220" w:right="0"/>
        <w:jc w:val="left"/>
        <w:rPr>
          <w:rFonts w:ascii="宋体" w:hAnsi="宋体" w:cs="宋体" w:eastAsia="宋体" w:hint="default"/>
        </w:rPr>
      </w:pPr>
      <w:r>
        <w:rPr/>
        <w:t>辞职申请。朱德胜先生因个人原因申请辞去公司独立董事职务。</w:t>
      </w:r>
      <w:r>
        <w:rPr>
          <w:spacing w:val="-3"/>
        </w:rPr>
        <w:t> </w:t>
      </w:r>
      <w:r>
        <w:rPr/>
        <w:t>（详见</w:t>
      </w:r>
      <w:r>
        <w:rPr>
          <w:spacing w:val="-54"/>
        </w:rPr>
        <w:t> </w:t>
      </w:r>
      <w:r>
        <w:rPr>
          <w:rFonts w:ascii="宋体" w:hAnsi="宋体" w:cs="宋体" w:eastAsia="宋体" w:hint="default"/>
        </w:rPr>
        <w:t>2016</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5</w:t>
      </w:r>
      <w:r>
        <w:rPr>
          <w:rFonts w:ascii="宋体" w:hAnsi="宋体" w:cs="宋体" w:eastAsia="宋体" w:hint="default"/>
          <w:spacing w:val="-56"/>
        </w:rPr>
        <w:t> </w:t>
      </w:r>
      <w:r>
        <w:rPr/>
        <w:t>日公司发布的《科达股份关于独立董事辞职的公告》。</w:t>
      </w:r>
      <w:r>
        <w:rPr>
          <w:spacing w:val="-3"/>
        </w:rPr>
        <w:t> </w:t>
      </w:r>
      <w:r>
        <w:rPr>
          <w:rFonts w:ascii="宋体" w:hAnsi="宋体" w:cs="宋体" w:eastAsia="宋体" w:hint="default"/>
        </w:rPr>
        <w:t>8</w:t>
      </w:r>
      <w:r>
        <w:rPr/>
        <w:t>、</w:t>
      </w:r>
      <w:r>
        <w:rPr>
          <w:rFonts w:ascii="宋体" w:hAnsi="宋体" w:cs="宋体" w:eastAsia="宋体" w:hint="default"/>
        </w:rPr>
        <w:t>2016</w:t>
      </w:r>
    </w:p>
    <w:p>
      <w:pPr>
        <w:pStyle w:val="BodyText"/>
        <w:spacing w:line="314" w:lineRule="auto" w:before="85"/>
        <w:ind w:left="220" w:right="0"/>
        <w:jc w:val="left"/>
      </w:pPr>
      <w:r>
        <w:rPr/>
        <w:t>年</w:t>
      </w:r>
      <w:r>
        <w:rPr>
          <w:spacing w:val="-39"/>
        </w:rPr>
        <w:t> </w:t>
      </w:r>
      <w:r>
        <w:rPr>
          <w:rFonts w:ascii="宋体" w:hAnsi="宋体" w:cs="宋体" w:eastAsia="宋体" w:hint="default"/>
        </w:rPr>
        <w:t>2</w:t>
      </w:r>
      <w:r>
        <w:rPr>
          <w:rFonts w:ascii="宋体" w:hAnsi="宋体" w:cs="宋体" w:eastAsia="宋体" w:hint="default"/>
          <w:spacing w:val="-43"/>
        </w:rPr>
        <w:t> </w:t>
      </w:r>
      <w:r>
        <w:rPr/>
        <w:t>月</w:t>
      </w:r>
      <w:r>
        <w:rPr>
          <w:spacing w:val="-40"/>
        </w:rPr>
        <w:t> </w:t>
      </w:r>
      <w:r>
        <w:rPr>
          <w:rFonts w:ascii="宋体" w:hAnsi="宋体" w:cs="宋体" w:eastAsia="宋体" w:hint="default"/>
        </w:rPr>
        <w:t>1</w:t>
      </w:r>
      <w:r>
        <w:rPr>
          <w:rFonts w:ascii="宋体" w:hAnsi="宋体" w:cs="宋体" w:eastAsia="宋体" w:hint="default"/>
          <w:spacing w:val="-40"/>
        </w:rPr>
        <w:t> </w:t>
      </w:r>
      <w:r>
        <w:rPr>
          <w:spacing w:val="-4"/>
        </w:rPr>
        <w:t>日，公司召开</w:t>
      </w:r>
      <w:r>
        <w:rPr>
          <w:spacing w:val="-43"/>
        </w:rPr>
        <w:t> </w:t>
      </w:r>
      <w:r>
        <w:rPr>
          <w:rFonts w:ascii="宋体" w:hAnsi="宋体" w:cs="宋体" w:eastAsia="宋体" w:hint="default"/>
        </w:rPr>
        <w:t>2016</w:t>
      </w:r>
      <w:r>
        <w:rPr>
          <w:rFonts w:ascii="宋体" w:hAnsi="宋体" w:cs="宋体" w:eastAsia="宋体" w:hint="default"/>
          <w:spacing w:val="-40"/>
        </w:rPr>
        <w:t> </w:t>
      </w:r>
      <w:r>
        <w:rPr>
          <w:spacing w:val="-3"/>
        </w:rPr>
        <w:t>年第一次临时股东大会，审议通过了《关于补选公司独立董事的议案》，股东大会采用累积投票制度，选举蔡立君先生为公</w:t>
      </w:r>
      <w:r>
        <w:rPr>
          <w:spacing w:val="-99"/>
        </w:rPr>
        <w:t> </w:t>
      </w:r>
      <w:r>
        <w:rPr>
          <w:spacing w:val="-99"/>
        </w:rPr>
      </w:r>
      <w:r>
        <w:rPr/>
        <w:t>司第七届董事会独立董事。</w:t>
      </w:r>
    </w:p>
    <w:p>
      <w:pPr>
        <w:spacing w:line="240" w:lineRule="auto" w:before="13"/>
        <w:rPr>
          <w:rFonts w:ascii="宋体" w:hAnsi="宋体" w:cs="宋体" w:eastAsia="宋体" w:hint="default"/>
          <w:sz w:val="20"/>
          <w:szCs w:val="20"/>
        </w:rPr>
      </w:pPr>
    </w:p>
    <w:p>
      <w:pPr>
        <w:pStyle w:val="Heading2"/>
        <w:spacing w:line="240" w:lineRule="auto" w:before="0"/>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Heading2"/>
        <w:spacing w:line="290" w:lineRule="auto" w:before="32"/>
        <w:ind w:left="220" w:right="7901"/>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before="0"/>
        <w:ind w:left="220"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6"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5"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东营科创生物化工有限公司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东营科英进出口有限公司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韩金亮</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成来国</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成来国</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东营科英进出口有限公司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0"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青岛科达置业有限公司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滨州市科达置业有限公司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科达半导体有限公司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20" w:right="0"/>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4362"/>
        <w:gridCol w:w="9729"/>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董事会薪酬与考核委员会根据《董事、监事及高级管理人员薪酬与考核办法》的有关规定提出《关于公</w:t>
            </w:r>
          </w:p>
        </w:tc>
      </w:tr>
    </w:tbl>
    <w:p>
      <w:pPr>
        <w:spacing w:after="0" w:line="243" w:lineRule="exact"/>
        <w:jc w:val="left"/>
        <w:rPr>
          <w:rFonts w:ascii="宋体" w:hAnsi="宋体" w:cs="宋体" w:eastAsia="宋体" w:hint="default"/>
          <w:sz w:val="21"/>
          <w:szCs w:val="21"/>
        </w:rPr>
        <w:sectPr>
          <w:footerReference w:type="default" r:id="rId32"/>
          <w:pgSz w:w="16840" w:h="11910" w:orient="landscape"/>
          <w:pgMar w:footer="1193" w:header="855" w:top="1280" w:bottom="1380" w:left="1220" w:right="1300"/>
          <w:pgNumType w:start="56"/>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tbl>
      <w:tblPr>
        <w:tblW w:w="0" w:type="auto"/>
        <w:jc w:val="left"/>
        <w:tblInd w:w="107" w:type="dxa"/>
        <w:tblLayout w:type="fixed"/>
        <w:tblCellMar>
          <w:top w:w="0" w:type="dxa"/>
          <w:left w:w="0" w:type="dxa"/>
          <w:bottom w:w="0" w:type="dxa"/>
          <w:right w:w="0" w:type="dxa"/>
        </w:tblCellMar>
        <w:tblLook w:val="01E0"/>
      </w:tblPr>
      <w:tblGrid>
        <w:gridCol w:w="4362"/>
        <w:gridCol w:w="9729"/>
      </w:tblGrid>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司董事、监事及高级管理人员薪酬的预案》，经公司董事会审议通过后，提交公司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年度股东大会审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议通过。</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根据年度经营计划的完成情况和公司经营业绩，结合其所担任的岗位和工作业绩由薪酬与考核委员会综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合考评确定。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公司董事、监事及高级管理人员在公司领取薪酬严格按照公司责任考核制度兑现，公司所披露的报酬与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实际发放情况相符。</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129.92</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2"/>
        <w:rPr>
          <w:rFonts w:ascii="宋体" w:hAnsi="宋体" w:cs="宋体" w:eastAsia="宋体" w:hint="default"/>
          <w:b/>
          <w:bCs/>
          <w:sz w:val="20"/>
          <w:szCs w:val="20"/>
        </w:rPr>
      </w:pPr>
    </w:p>
    <w:p>
      <w:pPr>
        <w:pStyle w:val="Heading2"/>
        <w:spacing w:line="240" w:lineRule="auto"/>
        <w:ind w:left="220" w:right="0"/>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3524"/>
        <w:gridCol w:w="3522"/>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王为凯</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工作变动</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李志军</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工作变动</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孙岩</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补选监事</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薛爱永</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补选董事</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韩金亮</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李业顺</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黄峥嵘</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补选董事</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刘春</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补选独立董事</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曹志敏</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朱德胜</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蔡立君</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补选独立董事</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pStyle w:val="Heading2"/>
        <w:spacing w:line="240" w:lineRule="auto"/>
        <w:ind w:left="220" w:right="0"/>
        <w:jc w:val="left"/>
        <w:rPr>
          <w:b w:val="0"/>
          <w:bCs w:val="0"/>
        </w:rPr>
      </w:pPr>
      <w:r>
        <w:rPr/>
        <w:t>五、近三年受证券监管机构处罚的情况说明</w:t>
      </w:r>
      <w:r>
        <w:rPr>
          <w:b w:val="0"/>
          <w:bCs w:val="0"/>
        </w:rPr>
      </w:r>
    </w:p>
    <w:p>
      <w:pPr>
        <w:pStyle w:val="BodyText"/>
        <w:spacing w:line="240" w:lineRule="auto" w:before="56"/>
        <w:ind w:left="220" w:right="0"/>
        <w:jc w:val="left"/>
      </w:pPr>
      <w:r>
        <w:rPr/>
        <w:t>□适用 √不适用</w:t>
      </w:r>
    </w:p>
    <w:p>
      <w:pPr>
        <w:spacing w:after="0" w:line="240" w:lineRule="auto"/>
        <w:jc w:val="left"/>
        <w:sectPr>
          <w:pgSz w:w="16840" w:h="11910" w:orient="landscape"/>
          <w:pgMar w:header="855" w:footer="1193" w:top="1280" w:bottom="1380" w:left="122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spacing w:line="240" w:lineRule="auto"/>
        <w:ind w:right="2465"/>
        <w:jc w:val="left"/>
        <w:rPr>
          <w:b w:val="0"/>
          <w:bCs w:val="0"/>
        </w:rPr>
      </w:pPr>
      <w:r>
        <w:rPr/>
        <w:t>六、母公司和主要子公司的员工情况</w:t>
      </w:r>
      <w:r>
        <w:rPr>
          <w:b w:val="0"/>
          <w:bCs w:val="0"/>
        </w:rPr>
      </w:r>
    </w:p>
    <w:p>
      <w:pPr>
        <w:pStyle w:val="Heading2"/>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7"/>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928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1,314</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16</w:t>
            </w:r>
          </w:p>
        </w:tc>
      </w:tr>
      <w:tr>
        <w:trPr>
          <w:trHeight w:val="283" w:hRule="exact"/>
        </w:trPr>
        <w:tc>
          <w:tcPr>
            <w:tcW w:w="9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393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80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257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1,314</w:t>
            </w:r>
          </w:p>
        </w:tc>
      </w:tr>
      <w:tr>
        <w:trPr>
          <w:trHeight w:val="283" w:hRule="exact"/>
        </w:trPr>
        <w:tc>
          <w:tcPr>
            <w:tcW w:w="9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408</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1,314</w:t>
            </w:r>
          </w:p>
        </w:tc>
      </w:tr>
    </w:tbl>
    <w:p>
      <w:pPr>
        <w:spacing w:line="240" w:lineRule="auto" w:before="2"/>
        <w:rPr>
          <w:rFonts w:ascii="宋体" w:hAnsi="宋体" w:cs="宋体" w:eastAsia="宋体" w:hint="default"/>
          <w:b/>
          <w:bCs/>
          <w:sz w:val="20"/>
          <w:szCs w:val="20"/>
        </w:rPr>
      </w:pPr>
    </w:p>
    <w:p>
      <w:pPr>
        <w:pStyle w:val="Heading2"/>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314" w:lineRule="auto" w:before="106"/>
        <w:ind w:left="218" w:right="237" w:firstLine="419"/>
        <w:jc w:val="both"/>
      </w:pPr>
      <w:r>
        <w:rPr>
          <w:spacing w:val="-2"/>
        </w:rPr>
        <w:t>公司高级管理人员实行基本工资与年终考核相结合的管理办法，董事会根据不同岗位制定标</w:t>
      </w:r>
      <w:r>
        <w:rPr>
          <w:w w:val="100"/>
        </w:rPr>
        <w:t> </w:t>
      </w:r>
      <w:r>
        <w:rPr>
          <w:spacing w:val="-2"/>
        </w:rPr>
        <w:t>准后每月发放基本工资，考核工资部分由董事会根据对年度经营目标的完成情况考核后发放。普</w:t>
      </w:r>
      <w:r>
        <w:rPr>
          <w:spacing w:val="-25"/>
        </w:rPr>
        <w:t> </w:t>
      </w:r>
      <w:r>
        <w:rPr>
          <w:spacing w:val="-25"/>
        </w:rPr>
      </w:r>
      <w:r>
        <w:rPr>
          <w:spacing w:val="-2"/>
        </w:rPr>
        <w:t>通员工依据岗位定酬，公司根据国家规定为其缴纳社会保险。考虑到企业的发展需要及实际支付</w:t>
      </w:r>
      <w:r>
        <w:rPr>
          <w:spacing w:val="-25"/>
        </w:rPr>
        <w:t> </w:t>
      </w:r>
      <w:r>
        <w:rPr>
          <w:spacing w:val="-25"/>
        </w:rPr>
      </w:r>
      <w:r>
        <w:rPr>
          <w:spacing w:val="-2"/>
        </w:rPr>
        <w:t>能力，对关键岗位及市场供应稀缺人员采取薪酬领先策略，对市场供应充足人员薪酬采取市场跟</w:t>
      </w:r>
      <w:r>
        <w:rPr>
          <w:spacing w:val="-25"/>
        </w:rPr>
        <w:t> </w:t>
      </w:r>
      <w:r>
        <w:rPr>
          <w:spacing w:val="-25"/>
        </w:rPr>
      </w:r>
      <w:r>
        <w:rPr/>
        <w:t>随战略，以保证企业既避免关键人才流失，又节约人工成本，为企业的发展提供保障。</w:t>
      </w:r>
    </w:p>
    <w:p>
      <w:pPr>
        <w:spacing w:line="240" w:lineRule="auto" w:before="6"/>
        <w:rPr>
          <w:rFonts w:ascii="宋体" w:hAnsi="宋体" w:cs="宋体" w:eastAsia="宋体" w:hint="default"/>
          <w:sz w:val="22"/>
          <w:szCs w:val="22"/>
        </w:rPr>
      </w:pPr>
    </w:p>
    <w:p>
      <w:pPr>
        <w:pStyle w:val="Heading2"/>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314" w:lineRule="auto" w:before="58"/>
        <w:ind w:left="218" w:right="237" w:firstLine="419"/>
        <w:jc w:val="both"/>
      </w:pPr>
      <w:r>
        <w:rPr>
          <w:spacing w:val="-2"/>
        </w:rPr>
        <w:t>公司根据各部门实际工作需求，建立了分层分类的培训体系，采取内训为主、外训为辅的培</w:t>
      </w:r>
      <w:r>
        <w:rPr>
          <w:w w:val="100"/>
        </w:rPr>
        <w:t> </w:t>
      </w:r>
      <w:r>
        <w:rPr/>
        <w:t>训方式，组织各岗位员工积极参加岗位所需技术职业资格的学习及考核。</w:t>
      </w:r>
    </w:p>
    <w:p>
      <w:pPr>
        <w:spacing w:after="0" w:line="314" w:lineRule="auto"/>
        <w:jc w:val="both"/>
        <w:sectPr>
          <w:headerReference w:type="default" r:id="rId33"/>
          <w:footerReference w:type="default" r:id="rId34"/>
          <w:pgSz w:w="11910" w:h="16840"/>
          <w:pgMar w:header="851" w:footer="1193" w:top="1280" w:bottom="1380" w:left="1580" w:right="1040"/>
          <w:pgNumType w:start="58"/>
        </w:sectPr>
      </w:pPr>
    </w:p>
    <w:p>
      <w:pPr>
        <w:spacing w:line="240" w:lineRule="auto" w:before="7"/>
        <w:rPr>
          <w:rFonts w:ascii="宋体" w:hAnsi="宋体" w:cs="宋体" w:eastAsia="宋体" w:hint="default"/>
          <w:sz w:val="13"/>
          <w:szCs w:val="13"/>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0"/>
        <w:jc w:val="both"/>
        <w:rPr>
          <w:b w:val="0"/>
          <w:bCs w:val="0"/>
        </w:rPr>
      </w:pPr>
      <w:r>
        <w:rPr/>
        <w:t>一、公司治理相关情况说明</w:t>
      </w:r>
      <w:r>
        <w:rPr>
          <w:b w:val="0"/>
          <w:bCs w:val="0"/>
        </w:rPr>
      </w:r>
    </w:p>
    <w:p>
      <w:pPr>
        <w:pStyle w:val="BodyText"/>
        <w:spacing w:line="314" w:lineRule="auto" w:before="135"/>
        <w:ind w:left="558" w:right="0"/>
        <w:jc w:val="left"/>
      </w:pPr>
      <w:r>
        <w:rPr>
          <w:rFonts w:ascii="宋体" w:hAnsi="宋体" w:cs="宋体" w:eastAsia="宋体" w:hint="default"/>
          <w:b/>
          <w:bCs/>
        </w:rPr>
        <w:t>（一）公司治理情况</w:t>
      </w:r>
      <w:r>
        <w:rPr>
          <w:rFonts w:ascii="宋体" w:hAnsi="宋体" w:cs="宋体" w:eastAsia="宋体" w:hint="default"/>
          <w:b/>
          <w:bCs/>
          <w:spacing w:val="-103"/>
        </w:rPr>
        <w:t> </w:t>
      </w:r>
      <w:r>
        <w:rPr>
          <w:spacing w:val="-2"/>
        </w:rPr>
        <w:t>报告期内，公司严格按照《公司法》、《证券法》、《上市公司治理准则》、《上海证券交</w:t>
      </w:r>
    </w:p>
    <w:p>
      <w:pPr>
        <w:pStyle w:val="BodyText"/>
        <w:spacing w:line="314" w:lineRule="auto"/>
        <w:ind w:right="157"/>
        <w:jc w:val="both"/>
      </w:pPr>
      <w:r>
        <w:rPr>
          <w:spacing w:val="-2"/>
        </w:rPr>
        <w:t>易所股票上市规则》等相关法律法规的要求，进一步完善法人治理结构，健全内部控制体系，不</w:t>
      </w:r>
      <w:r>
        <w:rPr>
          <w:spacing w:val="-25"/>
        </w:rPr>
        <w:t> </w:t>
      </w:r>
      <w:r>
        <w:rPr>
          <w:spacing w:val="-25"/>
        </w:rPr>
      </w:r>
      <w:r>
        <w:rPr>
          <w:spacing w:val="-2"/>
        </w:rPr>
        <w:t>断加强公司规范运作，提高公司治理水平，积极做好信息披露和投资者关系管理工作。目前，公</w:t>
      </w:r>
      <w:r>
        <w:rPr>
          <w:spacing w:val="-25"/>
        </w:rPr>
        <w:t> </w:t>
      </w:r>
      <w:r>
        <w:rPr>
          <w:spacing w:val="-25"/>
        </w:rPr>
      </w:r>
      <w:r>
        <w:rPr/>
        <w:t>司治理的实际状况符合中国证监会发布的有关上市公司治理的规范性文件，具体如下：</w:t>
      </w:r>
    </w:p>
    <w:p>
      <w:pPr>
        <w:pStyle w:val="BodyText"/>
        <w:spacing w:line="240" w:lineRule="auto"/>
        <w:ind w:left="558" w:right="0"/>
        <w:jc w:val="left"/>
      </w:pPr>
      <w:r>
        <w:rPr>
          <w:rFonts w:ascii="宋体" w:hAnsi="宋体" w:cs="宋体" w:eastAsia="宋体" w:hint="default"/>
          <w:spacing w:val="-4"/>
        </w:rPr>
        <w:t>1</w:t>
      </w:r>
      <w:r>
        <w:rPr>
          <w:spacing w:val="-4"/>
        </w:rPr>
        <w:t>、关于股东与股东大会：公司认真做好股东来访、来信和来电的咨询、接待工作，依据公司</w:t>
      </w:r>
    </w:p>
    <w:p>
      <w:pPr>
        <w:pStyle w:val="BodyText"/>
        <w:spacing w:line="314" w:lineRule="auto" w:before="85"/>
        <w:ind w:right="148"/>
        <w:jc w:val="both"/>
      </w:pPr>
      <w:r>
        <w:rPr>
          <w:spacing w:val="-6"/>
          <w:w w:val="100"/>
        </w:rPr>
        <w:t>《投资者关系管理制度》不断加强投资者关系管理工作，进一步完善公司与股东之间沟通的平台。</w:t>
      </w:r>
      <w:r>
        <w:rPr>
          <w:w w:val="100"/>
        </w:rPr>
        <w:t> </w:t>
      </w:r>
      <w:r>
        <w:rPr>
          <w:spacing w:val="-2"/>
        </w:rPr>
        <w:t>报告期内，公司严格按照《股东大会规范意见》、《公司章程》、《股东大会议事规则》的规定</w:t>
      </w:r>
      <w:r>
        <w:rPr>
          <w:spacing w:val="-25"/>
        </w:rPr>
        <w:t> </w:t>
      </w:r>
      <w:r>
        <w:rPr>
          <w:spacing w:val="-25"/>
        </w:rPr>
      </w:r>
      <w:r>
        <w:rPr>
          <w:spacing w:val="-2"/>
        </w:rPr>
        <w:t>召集和召开股东大会，按规定的时间提前公告关于召开股东大会的通知以及提前在上海证券交易</w:t>
      </w:r>
      <w:r>
        <w:rPr>
          <w:spacing w:val="-25"/>
        </w:rPr>
        <w:t> </w:t>
      </w:r>
      <w:r>
        <w:rPr>
          <w:spacing w:val="-25"/>
        </w:rPr>
      </w:r>
      <w:r>
        <w:rPr>
          <w:spacing w:val="-2"/>
        </w:rPr>
        <w:t>所网站披露股东大会的会议材料，聘请常年法律顾问对股东大会召集、召开的合法性和有效性出</w:t>
      </w:r>
      <w:r>
        <w:rPr>
          <w:spacing w:val="-25"/>
        </w:rPr>
        <w:t> </w:t>
      </w:r>
      <w:r>
        <w:rPr>
          <w:spacing w:val="-25"/>
        </w:rPr>
      </w:r>
      <w:r>
        <w:rPr/>
        <w:t>具法律意见书。</w:t>
      </w:r>
    </w:p>
    <w:p>
      <w:pPr>
        <w:pStyle w:val="BodyText"/>
        <w:spacing w:line="314" w:lineRule="auto"/>
        <w:ind w:right="145" w:firstLine="419"/>
        <w:jc w:val="both"/>
      </w:pPr>
      <w:r>
        <w:rPr>
          <w:rFonts w:ascii="宋体" w:hAnsi="宋体" w:cs="宋体" w:eastAsia="宋体" w:hint="default"/>
          <w:spacing w:val="-4"/>
        </w:rPr>
        <w:t>2</w:t>
      </w:r>
      <w:r>
        <w:rPr>
          <w:spacing w:val="-4"/>
        </w:rPr>
        <w:t>、关于控股股东与上市公司的关系：公司控股股东根据法律法规的规定依法行使权利并承担</w:t>
      </w:r>
      <w:r>
        <w:rPr>
          <w:w w:val="100"/>
        </w:rPr>
        <w:t> </w:t>
      </w:r>
      <w:r>
        <w:rPr>
          <w:spacing w:val="-2"/>
        </w:rPr>
        <w:t>义务。公司董事会、监事会及内部机构均独立运作，报告期内未发生控股股东占用上市公司资金</w:t>
      </w:r>
      <w:r>
        <w:rPr>
          <w:spacing w:val="-25"/>
        </w:rPr>
        <w:t> </w:t>
      </w:r>
      <w:r>
        <w:rPr>
          <w:spacing w:val="-25"/>
        </w:rPr>
      </w:r>
      <w:r>
        <w:rPr/>
        <w:t>和资产的情况。</w:t>
      </w:r>
    </w:p>
    <w:p>
      <w:pPr>
        <w:pStyle w:val="BodyText"/>
        <w:spacing w:line="314" w:lineRule="auto"/>
        <w:ind w:right="157" w:firstLine="419"/>
        <w:jc w:val="both"/>
      </w:pPr>
      <w:r>
        <w:rPr>
          <w:rFonts w:ascii="宋体" w:hAnsi="宋体" w:cs="宋体" w:eastAsia="宋体" w:hint="default"/>
        </w:rPr>
        <w:t>3</w:t>
      </w:r>
      <w:r>
        <w:rPr/>
        <w:t>、关于董事与董事会：报告期内，公司共召开</w:t>
      </w:r>
      <w:r>
        <w:rPr>
          <w:spacing w:val="-55"/>
        </w:rPr>
        <w:t> </w:t>
      </w:r>
      <w:r>
        <w:rPr>
          <w:rFonts w:ascii="宋体" w:hAnsi="宋体" w:cs="宋体" w:eastAsia="宋体" w:hint="default"/>
        </w:rPr>
        <w:t>12</w:t>
      </w:r>
      <w:r>
        <w:rPr>
          <w:rFonts w:ascii="宋体" w:hAnsi="宋体" w:cs="宋体" w:eastAsia="宋体" w:hint="default"/>
          <w:spacing w:val="-58"/>
        </w:rPr>
        <w:t> </w:t>
      </w:r>
      <w:r>
        <w:rPr/>
        <w:t>次董事会。董事会严格按照《公司章程》</w:t>
      </w:r>
      <w:r>
        <w:rPr>
          <w:w w:val="100"/>
        </w:rPr>
        <w:t> </w:t>
      </w:r>
      <w:r>
        <w:rPr>
          <w:spacing w:val="-2"/>
        </w:rPr>
        <w:t>和《董事会议事规则》的相关规定开展工作，董事会成员勤勉尽责，认真参加董事会会议，审阅</w:t>
      </w:r>
      <w:r>
        <w:rPr>
          <w:spacing w:val="-25"/>
        </w:rPr>
        <w:t> </w:t>
      </w:r>
      <w:r>
        <w:rPr>
          <w:spacing w:val="-25"/>
        </w:rPr>
      </w:r>
      <w:r>
        <w:rPr>
          <w:spacing w:val="-2"/>
        </w:rPr>
        <w:t>会议的各项议案，保证公司董事会决策的科学性和准确性。公司独立董事能够按照《独立董事工</w:t>
      </w:r>
      <w:r>
        <w:rPr>
          <w:spacing w:val="-25"/>
        </w:rPr>
        <w:t> </w:t>
      </w:r>
      <w:r>
        <w:rPr>
          <w:spacing w:val="-25"/>
        </w:rPr>
      </w:r>
      <w:r>
        <w:rPr>
          <w:spacing w:val="-2"/>
        </w:rPr>
        <w:t>作制度》及其他相关制度，认真出席董事会会议，独立履行职责。同时，公司董事会下设的各专</w:t>
      </w:r>
      <w:r>
        <w:rPr>
          <w:spacing w:val="-25"/>
        </w:rPr>
        <w:t> </w:t>
      </w:r>
      <w:r>
        <w:rPr>
          <w:spacing w:val="-25"/>
        </w:rPr>
      </w:r>
      <w:r>
        <w:rPr>
          <w:spacing w:val="-2"/>
        </w:rPr>
        <w:t>门委员会能够按照《董事会专门委员会工作制度》的规定对公司重大事项进行审议，充分发挥各</w:t>
      </w:r>
      <w:r>
        <w:rPr>
          <w:spacing w:val="-25"/>
        </w:rPr>
        <w:t> </w:t>
      </w:r>
      <w:r>
        <w:rPr>
          <w:spacing w:val="-25"/>
        </w:rPr>
      </w:r>
      <w:r>
        <w:rPr/>
        <w:t>专门委员会的作用。</w:t>
      </w:r>
    </w:p>
    <w:p>
      <w:pPr>
        <w:pStyle w:val="BodyText"/>
        <w:spacing w:line="314" w:lineRule="auto"/>
        <w:ind w:right="147" w:firstLine="419"/>
        <w:jc w:val="both"/>
      </w:pPr>
      <w:r>
        <w:rPr>
          <w:rFonts w:ascii="宋体" w:hAnsi="宋体" w:cs="宋体" w:eastAsia="宋体" w:hint="default"/>
          <w:spacing w:val="-5"/>
        </w:rPr>
        <w:t>4</w:t>
      </w:r>
      <w:r>
        <w:rPr>
          <w:spacing w:val="-5"/>
        </w:rPr>
        <w:t>、关于监事与监事会：目前，公司监事会有</w:t>
      </w:r>
      <w:r>
        <w:rPr>
          <w:spacing w:val="-37"/>
        </w:rPr>
        <w:t> </w:t>
      </w:r>
      <w:r>
        <w:rPr>
          <w:rFonts w:ascii="宋体" w:hAnsi="宋体" w:cs="宋体" w:eastAsia="宋体" w:hint="default"/>
        </w:rPr>
        <w:t>3</w:t>
      </w:r>
      <w:r>
        <w:rPr>
          <w:rFonts w:ascii="宋体" w:hAnsi="宋体" w:cs="宋体" w:eastAsia="宋体" w:hint="default"/>
          <w:spacing w:val="-40"/>
        </w:rPr>
        <w:t> </w:t>
      </w:r>
      <w:r>
        <w:rPr>
          <w:spacing w:val="-4"/>
        </w:rPr>
        <w:t>名监事组成，其中</w:t>
      </w:r>
      <w:r>
        <w:rPr>
          <w:spacing w:val="-37"/>
        </w:rPr>
        <w:t> </w:t>
      </w:r>
      <w:r>
        <w:rPr>
          <w:rFonts w:ascii="宋体" w:hAnsi="宋体" w:cs="宋体" w:eastAsia="宋体" w:hint="default"/>
        </w:rPr>
        <w:t>2</w:t>
      </w:r>
      <w:r>
        <w:rPr>
          <w:rFonts w:ascii="宋体" w:hAnsi="宋体" w:cs="宋体" w:eastAsia="宋体" w:hint="default"/>
          <w:spacing w:val="-40"/>
        </w:rPr>
        <w:t> </w:t>
      </w:r>
      <w:r>
        <w:rPr>
          <w:spacing w:val="-3"/>
        </w:rPr>
        <w:t>名为职工代表监事。公司</w:t>
      </w:r>
      <w:r>
        <w:rPr>
          <w:w w:val="100"/>
        </w:rPr>
        <w:t> </w:t>
      </w:r>
      <w:r>
        <w:rPr>
          <w:spacing w:val="-6"/>
        </w:rPr>
        <w:t>监事会的人数和人员结构符合法律、法规的要求。报告期内，公司按照《公司法》、《公司章程》</w:t>
      </w:r>
      <w:r>
        <w:rPr>
          <w:spacing w:val="-53"/>
        </w:rPr>
        <w:t> </w:t>
      </w:r>
      <w:r>
        <w:rPr>
          <w:spacing w:val="-53"/>
        </w:rPr>
      </w:r>
      <w:r>
        <w:rPr/>
        <w:t>的规定共召开</w:t>
      </w:r>
      <w:r>
        <w:rPr>
          <w:spacing w:val="-54"/>
        </w:rPr>
        <w:t> </w:t>
      </w:r>
      <w:r>
        <w:rPr>
          <w:rFonts w:ascii="宋体" w:hAnsi="宋体" w:cs="宋体" w:eastAsia="宋体" w:hint="default"/>
        </w:rPr>
        <w:t>8</w:t>
      </w:r>
      <w:r>
        <w:rPr>
          <w:rFonts w:ascii="宋体" w:hAnsi="宋体" w:cs="宋体" w:eastAsia="宋体" w:hint="default"/>
          <w:spacing w:val="-56"/>
        </w:rPr>
        <w:t> </w:t>
      </w:r>
      <w:r>
        <w:rPr/>
        <w:t>次监事会。公司监事会能够按照《监事会议事规则》的要求，本着对公司股东负</w:t>
      </w:r>
      <w:r>
        <w:rPr>
          <w:w w:val="100"/>
        </w:rPr>
        <w:t> </w:t>
      </w:r>
      <w:r>
        <w:rPr>
          <w:spacing w:val="-2"/>
        </w:rPr>
        <w:t>责的态度，对公司重大事项、关联交易、财务状况、董事和经理的履职等情况进行监督，并发表</w:t>
      </w:r>
      <w:r>
        <w:rPr>
          <w:spacing w:val="-25"/>
        </w:rPr>
        <w:t> </w:t>
      </w:r>
      <w:r>
        <w:rPr>
          <w:spacing w:val="-25"/>
        </w:rPr>
      </w:r>
      <w:r>
        <w:rPr/>
        <w:t>独立意见。</w:t>
      </w:r>
    </w:p>
    <w:p>
      <w:pPr>
        <w:pStyle w:val="BodyText"/>
        <w:spacing w:line="314" w:lineRule="auto"/>
        <w:ind w:right="147" w:firstLine="419"/>
        <w:jc w:val="both"/>
      </w:pPr>
      <w:r>
        <w:rPr>
          <w:rFonts w:ascii="宋体" w:hAnsi="宋体" w:cs="宋体" w:eastAsia="宋体" w:hint="default"/>
          <w:spacing w:val="-4"/>
        </w:rPr>
        <w:t>5</w:t>
      </w:r>
      <w:r>
        <w:rPr>
          <w:spacing w:val="-4"/>
        </w:rPr>
        <w:t>、关于相关利益者：公司能够尊重和维护相关利益者的合法权益，在经济交往中，做到诚实</w:t>
      </w:r>
      <w:r>
        <w:rPr>
          <w:w w:val="100"/>
        </w:rPr>
        <w:t> </w:t>
      </w:r>
      <w:r>
        <w:rPr>
          <w:spacing w:val="-7"/>
        </w:rPr>
        <w:t>守信，公平交易，实现债权人、员工、客户等各方利益的协调平衡，共同推动公司持续健康发展。</w:t>
      </w:r>
      <w:r>
        <w:rPr>
          <w:spacing w:val="-14"/>
        </w:rPr>
        <w:t> </w:t>
      </w:r>
      <w:r>
        <w:rPr>
          <w:spacing w:val="-14"/>
        </w:rPr>
      </w:r>
      <w:r>
        <w:rPr>
          <w:spacing w:val="-2"/>
        </w:rPr>
        <w:t>积极参与所在区域的公益事业，注重环境保护，积极响应国家关于节能减排的号召，认真履行应</w:t>
      </w:r>
      <w:r>
        <w:rPr>
          <w:spacing w:val="-25"/>
        </w:rPr>
        <w:t> </w:t>
      </w:r>
      <w:r>
        <w:rPr>
          <w:spacing w:val="-25"/>
        </w:rPr>
      </w:r>
      <w:r>
        <w:rPr/>
        <w:t>尽的社会责任。</w:t>
      </w:r>
    </w:p>
    <w:p>
      <w:pPr>
        <w:pStyle w:val="BodyText"/>
        <w:spacing w:line="314" w:lineRule="auto"/>
        <w:ind w:right="145" w:firstLine="419"/>
        <w:jc w:val="both"/>
      </w:pPr>
      <w:r>
        <w:rPr>
          <w:rFonts w:ascii="宋体" w:hAnsi="宋体" w:cs="宋体" w:eastAsia="宋体" w:hint="default"/>
          <w:spacing w:val="-4"/>
        </w:rPr>
        <w:t>6</w:t>
      </w:r>
      <w:r>
        <w:rPr>
          <w:spacing w:val="-4"/>
        </w:rPr>
        <w:t>、信息披露与透明度：公司指定董事会秘书负责信息披露工作，接待投资者来访及咨询。制</w:t>
      </w:r>
      <w:r>
        <w:rPr>
          <w:w w:val="100"/>
        </w:rPr>
        <w:t> </w:t>
      </w:r>
      <w:r>
        <w:rPr>
          <w:spacing w:val="-2"/>
        </w:rPr>
        <w:t>定了《信息披露事务管理制度》和《投资者关系管理制度》，明确了信息披露程序和相关人员的</w:t>
      </w:r>
      <w:r>
        <w:rPr>
          <w:spacing w:val="-25"/>
        </w:rPr>
        <w:t> </w:t>
      </w:r>
      <w:r>
        <w:rPr>
          <w:spacing w:val="-25"/>
        </w:rPr>
      </w:r>
      <w:r>
        <w:rPr>
          <w:spacing w:val="-6"/>
        </w:rPr>
        <w:t>职责，并对控股股东和子公司的信息披露也作出了规定，进一步完善了信息披露工作。报告期内，</w:t>
      </w:r>
      <w:r>
        <w:rPr>
          <w:spacing w:val="-51"/>
        </w:rPr>
        <w:t> </w:t>
      </w:r>
      <w:r>
        <w:rPr>
          <w:spacing w:val="-51"/>
        </w:rPr>
      </w:r>
      <w:r>
        <w:rPr/>
        <w:t>公司编制和披露了定期报告</w:t>
      </w:r>
      <w:r>
        <w:rPr>
          <w:spacing w:val="-43"/>
        </w:rPr>
        <w:t> </w:t>
      </w:r>
      <w:r>
        <w:rPr>
          <w:rFonts w:ascii="宋体" w:hAnsi="宋体" w:cs="宋体" w:eastAsia="宋体" w:hint="default"/>
        </w:rPr>
        <w:t>4</w:t>
      </w:r>
      <w:r>
        <w:rPr>
          <w:rFonts w:ascii="宋体" w:hAnsi="宋体" w:cs="宋体" w:eastAsia="宋体" w:hint="default"/>
          <w:spacing w:val="-43"/>
        </w:rPr>
        <w:t> </w:t>
      </w:r>
      <w:r>
        <w:rPr>
          <w:spacing w:val="-6"/>
        </w:rPr>
        <w:t>次，临时报告</w:t>
      </w:r>
      <w:r>
        <w:rPr>
          <w:spacing w:val="-43"/>
        </w:rPr>
        <w:t> </w:t>
      </w:r>
      <w:r>
        <w:rPr>
          <w:rFonts w:ascii="宋体" w:hAnsi="宋体" w:cs="宋体" w:eastAsia="宋体" w:hint="default"/>
        </w:rPr>
        <w:t>76</w:t>
      </w:r>
      <w:r>
        <w:rPr>
          <w:rFonts w:ascii="宋体" w:hAnsi="宋体" w:cs="宋体" w:eastAsia="宋体" w:hint="default"/>
          <w:spacing w:val="-45"/>
        </w:rPr>
        <w:t> </w:t>
      </w:r>
      <w:r>
        <w:rPr>
          <w:spacing w:val="-5"/>
        </w:rPr>
        <w:t>次，及时、准确、完整地披露了公司生产经营活动</w:t>
      </w:r>
      <w:r>
        <w:rPr>
          <w:spacing w:val="-100"/>
        </w:rPr>
        <w:t> </w:t>
      </w:r>
      <w:r>
        <w:rPr>
          <w:spacing w:val="-100"/>
        </w:rPr>
      </w:r>
      <w:r>
        <w:rPr/>
        <w:t>有关的信息，确保了公司信息的透明度和所有股东都能够以平等的机会获得公司信息。</w:t>
      </w:r>
    </w:p>
    <w:p>
      <w:pPr>
        <w:pStyle w:val="BodyText"/>
        <w:spacing w:line="240" w:lineRule="auto"/>
        <w:ind w:left="558" w:right="0"/>
        <w:jc w:val="left"/>
      </w:pPr>
      <w:r>
        <w:rPr>
          <w:rFonts w:ascii="宋体" w:hAnsi="宋体" w:cs="宋体" w:eastAsia="宋体" w:hint="default"/>
        </w:rPr>
        <w:t>7</w:t>
      </w:r>
      <w:r>
        <w:rPr/>
        <w:t>、报告期内，为提高公司治理水平开展的其他工作</w:t>
      </w:r>
    </w:p>
    <w:p>
      <w:pPr>
        <w:spacing w:after="0" w:line="240" w:lineRule="auto"/>
        <w:jc w:val="left"/>
        <w:sectPr>
          <w:pgSz w:w="11910" w:h="16840"/>
          <w:pgMar w:header="851" w:footer="1193" w:top="1280" w:bottom="1380" w:left="1660" w:right="1120"/>
        </w:sectPr>
      </w:pPr>
    </w:p>
    <w:p>
      <w:pPr>
        <w:spacing w:line="240" w:lineRule="auto" w:before="11"/>
        <w:rPr>
          <w:rFonts w:ascii="宋体" w:hAnsi="宋体" w:cs="宋体" w:eastAsia="宋体" w:hint="default"/>
          <w:sz w:val="18"/>
          <w:szCs w:val="18"/>
        </w:rPr>
      </w:pPr>
    </w:p>
    <w:p>
      <w:pPr>
        <w:pStyle w:val="BodyText"/>
        <w:spacing w:line="314" w:lineRule="auto" w:before="36"/>
        <w:ind w:left="638" w:right="250"/>
        <w:jc w:val="left"/>
      </w:pPr>
      <w:r>
        <w:rPr/>
        <w:t>（</w:t>
      </w:r>
      <w:r>
        <w:rPr>
          <w:rFonts w:ascii="宋体" w:hAnsi="宋体" w:cs="宋体" w:eastAsia="宋体" w:hint="default"/>
        </w:rPr>
        <w:t>1</w:t>
      </w:r>
      <w:r>
        <w:rPr/>
        <w:t>）公司治理结构建设情况。</w:t>
      </w:r>
      <w:r>
        <w:rPr>
          <w:w w:val="100"/>
        </w:rPr>
        <w:t> </w:t>
      </w:r>
      <w:r>
        <w:rPr>
          <w:spacing w:val="-2"/>
        </w:rPr>
        <w:t>报告期内，公司在制度建设、信息披露、财务基础工作规范、公司治理结构完善等方面得到</w:t>
      </w:r>
    </w:p>
    <w:p>
      <w:pPr>
        <w:pStyle w:val="BodyText"/>
        <w:spacing w:line="314" w:lineRule="auto"/>
        <w:ind w:left="218" w:right="237"/>
        <w:jc w:val="both"/>
      </w:pPr>
      <w:r>
        <w:rPr>
          <w:spacing w:val="-2"/>
        </w:rPr>
        <w:t>了进一步的提高，未来公司将尽最大努力提高公司的治理水平，为公司价值的最大化夯实治理基</w:t>
      </w:r>
      <w:r>
        <w:rPr>
          <w:spacing w:val="-25"/>
        </w:rPr>
        <w:t> </w:t>
      </w:r>
      <w:r>
        <w:rPr>
          <w:spacing w:val="-25"/>
        </w:rPr>
      </w:r>
      <w:r>
        <w:rPr/>
        <w:t>础。</w:t>
      </w:r>
    </w:p>
    <w:p>
      <w:pPr>
        <w:pStyle w:val="BodyText"/>
        <w:spacing w:line="314" w:lineRule="auto"/>
        <w:ind w:left="638" w:right="250"/>
        <w:jc w:val="left"/>
      </w:pPr>
      <w:r>
        <w:rPr/>
        <w:t>（</w:t>
      </w:r>
      <w:r>
        <w:rPr>
          <w:rFonts w:ascii="宋体" w:hAnsi="宋体" w:cs="宋体" w:eastAsia="宋体" w:hint="default"/>
        </w:rPr>
        <w:t>2</w:t>
      </w:r>
      <w:r>
        <w:rPr/>
        <w:t>）内幕知情人登记管理情况</w:t>
      </w:r>
      <w:r>
        <w:rPr>
          <w:w w:val="100"/>
        </w:rPr>
        <w:t> </w:t>
      </w:r>
      <w:r>
        <w:rPr>
          <w:spacing w:val="-2"/>
        </w:rPr>
        <w:t>报告期内，公司严格执行内幕信息登记管理制度，严格规范信息传递流程，在定期报告披露</w:t>
      </w:r>
    </w:p>
    <w:p>
      <w:pPr>
        <w:pStyle w:val="BodyText"/>
        <w:spacing w:line="314" w:lineRule="auto"/>
        <w:ind w:left="218" w:right="237"/>
        <w:jc w:val="both"/>
      </w:pPr>
      <w:r>
        <w:rPr>
          <w:spacing w:val="-2"/>
        </w:rPr>
        <w:t>期间和临时报告披露期间，对未公开信息，严格控制知情人范围并组织填写《内幕信息知情人登</w:t>
      </w:r>
      <w:r>
        <w:rPr>
          <w:spacing w:val="-25"/>
        </w:rPr>
        <w:t> </w:t>
      </w:r>
      <w:r>
        <w:rPr>
          <w:spacing w:val="-25"/>
        </w:rPr>
      </w:r>
      <w:r>
        <w:rPr>
          <w:spacing w:val="-2"/>
        </w:rPr>
        <w:t>记表》，如实、完整记录上述信息在公开前的所有内幕信息知情人名单，以及知情人知悉内幕信</w:t>
      </w:r>
      <w:r>
        <w:rPr>
          <w:spacing w:val="-25"/>
        </w:rPr>
        <w:t> </w:t>
      </w:r>
      <w:r>
        <w:rPr>
          <w:spacing w:val="-25"/>
        </w:rPr>
      </w:r>
      <w:r>
        <w:rPr/>
        <w:t>息的时间等。</w:t>
      </w:r>
    </w:p>
    <w:p>
      <w:pPr>
        <w:pStyle w:val="BodyText"/>
        <w:spacing w:line="314" w:lineRule="auto"/>
        <w:ind w:left="218" w:right="250" w:firstLine="419"/>
        <w:jc w:val="left"/>
      </w:pPr>
      <w:r>
        <w:rPr>
          <w:spacing w:val="-2"/>
        </w:rPr>
        <w:t>公司治理的实际情况与《公司法》和中国证监会发布的有关上市公司治理的规范性文件要求</w:t>
      </w:r>
      <w:r>
        <w:rPr>
          <w:w w:val="100"/>
        </w:rPr>
        <w:t> </w:t>
      </w:r>
      <w:r>
        <w:rPr/>
        <w:t>不存在差异。</w:t>
      </w:r>
    </w:p>
    <w:p>
      <w:pPr>
        <w:spacing w:line="240" w:lineRule="auto" w:before="2"/>
        <w:rPr>
          <w:rFonts w:ascii="宋体" w:hAnsi="宋体" w:cs="宋体" w:eastAsia="宋体" w:hint="default"/>
          <w:sz w:val="21"/>
          <w:szCs w:val="21"/>
        </w:rPr>
      </w:pPr>
    </w:p>
    <w:p>
      <w:pPr>
        <w:pStyle w:val="Heading2"/>
        <w:spacing w:line="240" w:lineRule="auto" w:before="0"/>
        <w:ind w:right="0"/>
        <w:jc w:val="both"/>
        <w:rPr>
          <w:b w:val="0"/>
          <w:bCs w:val="0"/>
        </w:rPr>
      </w:pPr>
      <w:r>
        <w:rPr/>
        <w:t>二、股东大会情况简介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312"/>
        <w:gridCol w:w="1910"/>
        <w:gridCol w:w="2835"/>
        <w:gridCol w:w="199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8"/>
              <w:jc w:val="right"/>
              <w:rPr>
                <w:rFonts w:ascii="宋体" w:hAnsi="宋体" w:cs="宋体" w:eastAsia="宋体" w:hint="default"/>
                <w:sz w:val="21"/>
                <w:szCs w:val="21"/>
              </w:rPr>
            </w:pPr>
            <w:r>
              <w:rPr>
                <w:rFonts w:ascii="宋体" w:hAnsi="宋体" w:cs="宋体" w:eastAsia="宋体" w:hint="default"/>
                <w:spacing w:val="-1"/>
                <w:sz w:val="21"/>
                <w:szCs w:val="21"/>
              </w:rPr>
              <w:t>会议届次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决议刊登的指定网站的查询</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索引</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决议刊登的披露日</w:t>
            </w:r>
          </w:p>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w w:val="100"/>
                <w:sz w:val="21"/>
                <w:szCs w:val="21"/>
              </w:rPr>
              <w:t>期</w:t>
            </w:r>
          </w:p>
        </w:tc>
      </w:tr>
      <w:tr>
        <w:trPr>
          <w:trHeight w:val="71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33"/>
                <w:sz w:val="21"/>
                <w:szCs w:val="21"/>
              </w:rPr>
              <w:t> </w:t>
            </w:r>
            <w:r>
              <w:rPr>
                <w:rFonts w:ascii="宋体" w:hAnsi="宋体" w:cs="宋体" w:eastAsia="宋体" w:hint="default"/>
                <w:spacing w:val="9"/>
                <w:sz w:val="21"/>
                <w:szCs w:val="21"/>
              </w:rPr>
              <w:t>年第一次临时股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 海 证 券 交 易 所 网 站</w:t>
            </w:r>
            <w:r>
              <w:rPr>
                <w:rFonts w:ascii="宋体" w:hAnsi="宋体" w:cs="宋体" w:eastAsia="宋体" w:hint="default"/>
                <w:spacing w:val="5"/>
                <w:sz w:val="18"/>
                <w:szCs w:val="18"/>
              </w:rPr>
              <w:t> </w:t>
            </w:r>
            <w:r>
              <w:rPr>
                <w:rFonts w:ascii="宋体" w:hAnsi="宋体" w:cs="宋体" w:eastAsia="宋体" w:hint="default"/>
                <w:sz w:val="18"/>
                <w:szCs w:val="18"/>
              </w:rPr>
              <w:t>：</w:t>
            </w:r>
          </w:p>
          <w:p>
            <w:pPr>
              <w:pStyle w:val="TableParagraph"/>
              <w:spacing w:line="232" w:lineRule="exact" w:before="23"/>
              <w:ind w:left="100" w:right="103"/>
              <w:jc w:val="left"/>
              <w:rPr>
                <w:rFonts w:ascii="宋体" w:hAnsi="宋体" w:cs="宋体" w:eastAsia="宋体" w:hint="default"/>
                <w:sz w:val="18"/>
                <w:szCs w:val="18"/>
              </w:rPr>
            </w:pPr>
            <w:hyperlink r:id="rId12">
              <w:r>
                <w:rPr>
                  <w:rFonts w:ascii="宋体" w:hAnsi="宋体" w:cs="宋体" w:eastAsia="宋体" w:hint="default"/>
                  <w:spacing w:val="-5"/>
                  <w:sz w:val="18"/>
                  <w:szCs w:val="18"/>
                </w:rPr>
                <w:t>www.sse.com.cn</w:t>
              </w:r>
            </w:hyperlink>
            <w:r>
              <w:rPr>
                <w:rFonts w:ascii="宋体" w:hAnsi="宋体" w:cs="宋体" w:eastAsia="宋体" w:hint="default"/>
                <w:spacing w:val="-5"/>
                <w:sz w:val="18"/>
                <w:szCs w:val="18"/>
              </w:rPr>
              <w:t>，通过“上市公司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公告”栏查询</w:t>
            </w:r>
            <w:r>
              <w:rPr>
                <w:rFonts w:ascii="宋体" w:hAnsi="宋体" w:cs="宋体" w:eastAsia="宋体" w:hint="default"/>
                <w:spacing w:val="1"/>
                <w:sz w:val="18"/>
                <w:szCs w:val="18"/>
              </w:rPr>
              <w:t> </w:t>
            </w:r>
            <w:r>
              <w:rPr>
                <w:rFonts w:ascii="宋体" w:hAnsi="宋体" w:cs="宋体" w:eastAsia="宋体" w:hint="default"/>
                <w:sz w:val="18"/>
                <w:szCs w:val="18"/>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82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71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年度股东大会</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47"/>
                <w:sz w:val="21"/>
                <w:szCs w:val="21"/>
              </w:rPr>
              <w:t> </w:t>
            </w:r>
            <w:r>
              <w:rPr>
                <w:rFonts w:ascii="宋体" w:hAnsi="宋体" w:cs="宋体" w:eastAsia="宋体" w:hint="default"/>
                <w:sz w:val="21"/>
                <w:szCs w:val="21"/>
              </w:rPr>
              <w:t>海</w:t>
            </w:r>
            <w:r>
              <w:rPr>
                <w:rFonts w:ascii="宋体" w:hAnsi="宋体" w:cs="宋体" w:eastAsia="宋体" w:hint="default"/>
                <w:spacing w:val="-50"/>
                <w:sz w:val="21"/>
                <w:szCs w:val="21"/>
              </w:rPr>
              <w:t> </w:t>
            </w:r>
            <w:r>
              <w:rPr>
                <w:rFonts w:ascii="宋体" w:hAnsi="宋体" w:cs="宋体" w:eastAsia="宋体" w:hint="default"/>
                <w:sz w:val="21"/>
                <w:szCs w:val="21"/>
              </w:rPr>
              <w:t>证</w:t>
            </w:r>
            <w:r>
              <w:rPr>
                <w:rFonts w:ascii="宋体" w:hAnsi="宋体" w:cs="宋体" w:eastAsia="宋体" w:hint="default"/>
                <w:spacing w:val="-47"/>
                <w:sz w:val="21"/>
                <w:szCs w:val="21"/>
              </w:rPr>
              <w:t> </w:t>
            </w:r>
            <w:r>
              <w:rPr>
                <w:rFonts w:ascii="宋体" w:hAnsi="宋体" w:cs="宋体" w:eastAsia="宋体" w:hint="default"/>
                <w:sz w:val="21"/>
                <w:szCs w:val="21"/>
              </w:rPr>
              <w:t>券</w:t>
            </w:r>
            <w:r>
              <w:rPr>
                <w:rFonts w:ascii="宋体" w:hAnsi="宋体" w:cs="宋体" w:eastAsia="宋体" w:hint="default"/>
                <w:spacing w:val="-50"/>
                <w:sz w:val="21"/>
                <w:szCs w:val="21"/>
              </w:rPr>
              <w:t> </w:t>
            </w:r>
            <w:r>
              <w:rPr>
                <w:rFonts w:ascii="宋体" w:hAnsi="宋体" w:cs="宋体" w:eastAsia="宋体" w:hint="default"/>
                <w:sz w:val="21"/>
                <w:szCs w:val="21"/>
              </w:rPr>
              <w:t>交</w:t>
            </w:r>
            <w:r>
              <w:rPr>
                <w:rFonts w:ascii="宋体" w:hAnsi="宋体" w:cs="宋体" w:eastAsia="宋体" w:hint="default"/>
                <w:spacing w:val="-47"/>
                <w:sz w:val="21"/>
                <w:szCs w:val="21"/>
              </w:rPr>
              <w:t> </w:t>
            </w:r>
            <w:r>
              <w:rPr>
                <w:rFonts w:ascii="宋体" w:hAnsi="宋体" w:cs="宋体" w:eastAsia="宋体" w:hint="default"/>
                <w:sz w:val="21"/>
                <w:szCs w:val="21"/>
              </w:rPr>
              <w:t>易</w:t>
            </w:r>
            <w:r>
              <w:rPr>
                <w:rFonts w:ascii="宋体" w:hAnsi="宋体" w:cs="宋体" w:eastAsia="宋体" w:hint="default"/>
                <w:spacing w:val="-50"/>
                <w:sz w:val="21"/>
                <w:szCs w:val="21"/>
              </w:rPr>
              <w:t> </w:t>
            </w:r>
            <w:r>
              <w:rPr>
                <w:rFonts w:ascii="宋体" w:hAnsi="宋体" w:cs="宋体" w:eastAsia="宋体" w:hint="default"/>
                <w:sz w:val="21"/>
                <w:szCs w:val="21"/>
              </w:rPr>
              <w:t>所</w:t>
            </w:r>
            <w:r>
              <w:rPr>
                <w:rFonts w:ascii="宋体" w:hAnsi="宋体" w:cs="宋体" w:eastAsia="宋体" w:hint="default"/>
                <w:spacing w:val="-47"/>
                <w:sz w:val="21"/>
                <w:szCs w:val="21"/>
              </w:rPr>
              <w:t> </w:t>
            </w:r>
            <w:r>
              <w:rPr>
                <w:rFonts w:ascii="宋体" w:hAnsi="宋体" w:cs="宋体" w:eastAsia="宋体" w:hint="default"/>
                <w:sz w:val="21"/>
                <w:szCs w:val="21"/>
              </w:rPr>
              <w:t>网</w:t>
            </w:r>
            <w:r>
              <w:rPr>
                <w:rFonts w:ascii="宋体" w:hAnsi="宋体" w:cs="宋体" w:eastAsia="宋体" w:hint="default"/>
                <w:spacing w:val="-50"/>
                <w:sz w:val="21"/>
                <w:szCs w:val="21"/>
              </w:rPr>
              <w:t> </w:t>
            </w:r>
            <w:r>
              <w:rPr>
                <w:rFonts w:ascii="宋体" w:hAnsi="宋体" w:cs="宋体" w:eastAsia="宋体" w:hint="default"/>
                <w:sz w:val="21"/>
                <w:szCs w:val="21"/>
              </w:rPr>
              <w:t>站</w:t>
            </w:r>
            <w:r>
              <w:rPr>
                <w:rFonts w:ascii="宋体" w:hAnsi="宋体" w:cs="宋体" w:eastAsia="宋体" w:hint="default"/>
                <w:spacing w:val="-50"/>
                <w:sz w:val="21"/>
                <w:szCs w:val="21"/>
              </w:rPr>
              <w:t> </w:t>
            </w:r>
            <w:r>
              <w:rPr>
                <w:rFonts w:ascii="宋体" w:hAnsi="宋体" w:cs="宋体" w:eastAsia="宋体" w:hint="default"/>
                <w:sz w:val="21"/>
                <w:szCs w:val="21"/>
              </w:rPr>
              <w:t>：</w:t>
            </w:r>
          </w:p>
          <w:p>
            <w:pPr>
              <w:pStyle w:val="TableParagraph"/>
              <w:spacing w:line="240" w:lineRule="auto"/>
              <w:ind w:left="100" w:right="103"/>
              <w:jc w:val="left"/>
              <w:rPr>
                <w:rFonts w:ascii="宋体" w:hAnsi="宋体" w:cs="宋体" w:eastAsia="宋体" w:hint="default"/>
                <w:sz w:val="21"/>
                <w:szCs w:val="21"/>
              </w:rPr>
            </w:pPr>
            <w:hyperlink r:id="rId12">
              <w:r>
                <w:rPr>
                  <w:rFonts w:ascii="宋体" w:hAnsi="宋体" w:cs="宋体" w:eastAsia="宋体" w:hint="default"/>
                  <w:spacing w:val="4"/>
                  <w:sz w:val="21"/>
                  <w:szCs w:val="21"/>
                </w:rPr>
                <w:t>www.sse.com.cn</w:t>
              </w:r>
            </w:hyperlink>
            <w:r>
              <w:rPr>
                <w:rFonts w:ascii="宋体" w:hAnsi="宋体" w:cs="宋体" w:eastAsia="宋体" w:hint="default"/>
                <w:spacing w:val="4"/>
                <w:sz w:val="21"/>
                <w:szCs w:val="21"/>
              </w:rPr>
              <w:t>，通过“上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市公司公告”栏查询</w:t>
            </w:r>
            <w:r>
              <w:rPr>
                <w:rFonts w:ascii="宋体" w:hAnsi="宋体" w:cs="宋体" w:eastAsia="宋体" w:hint="default"/>
                <w:spacing w:val="1"/>
                <w:sz w:val="21"/>
                <w:szCs w:val="21"/>
              </w:rPr>
              <w:t> </w:t>
            </w:r>
            <w:r>
              <w:rPr>
                <w:rFonts w:ascii="宋体" w:hAnsi="宋体" w:cs="宋体" w:eastAsia="宋体" w:hint="default"/>
                <w:sz w:val="21"/>
                <w:szCs w:val="21"/>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82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28"/>
                <w:sz w:val="21"/>
                <w:szCs w:val="21"/>
              </w:rPr>
              <w:t> </w:t>
            </w:r>
            <w:r>
              <w:rPr>
                <w:rFonts w:ascii="宋体" w:hAnsi="宋体" w:cs="宋体" w:eastAsia="宋体" w:hint="default"/>
                <w:spacing w:val="10"/>
                <w:sz w:val="21"/>
                <w:szCs w:val="21"/>
              </w:rPr>
              <w:t>年第二次临时股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47"/>
                <w:sz w:val="21"/>
                <w:szCs w:val="21"/>
              </w:rPr>
              <w:t> </w:t>
            </w:r>
            <w:r>
              <w:rPr>
                <w:rFonts w:ascii="宋体" w:hAnsi="宋体" w:cs="宋体" w:eastAsia="宋体" w:hint="default"/>
                <w:sz w:val="21"/>
                <w:szCs w:val="21"/>
              </w:rPr>
              <w:t>海</w:t>
            </w:r>
            <w:r>
              <w:rPr>
                <w:rFonts w:ascii="宋体" w:hAnsi="宋体" w:cs="宋体" w:eastAsia="宋体" w:hint="default"/>
                <w:spacing w:val="-50"/>
                <w:sz w:val="21"/>
                <w:szCs w:val="21"/>
              </w:rPr>
              <w:t> </w:t>
            </w:r>
            <w:r>
              <w:rPr>
                <w:rFonts w:ascii="宋体" w:hAnsi="宋体" w:cs="宋体" w:eastAsia="宋体" w:hint="default"/>
                <w:sz w:val="21"/>
                <w:szCs w:val="21"/>
              </w:rPr>
              <w:t>证</w:t>
            </w:r>
            <w:r>
              <w:rPr>
                <w:rFonts w:ascii="宋体" w:hAnsi="宋体" w:cs="宋体" w:eastAsia="宋体" w:hint="default"/>
                <w:spacing w:val="-47"/>
                <w:sz w:val="21"/>
                <w:szCs w:val="21"/>
              </w:rPr>
              <w:t> </w:t>
            </w:r>
            <w:r>
              <w:rPr>
                <w:rFonts w:ascii="宋体" w:hAnsi="宋体" w:cs="宋体" w:eastAsia="宋体" w:hint="default"/>
                <w:sz w:val="21"/>
                <w:szCs w:val="21"/>
              </w:rPr>
              <w:t>券</w:t>
            </w:r>
            <w:r>
              <w:rPr>
                <w:rFonts w:ascii="宋体" w:hAnsi="宋体" w:cs="宋体" w:eastAsia="宋体" w:hint="default"/>
                <w:spacing w:val="-50"/>
                <w:sz w:val="21"/>
                <w:szCs w:val="21"/>
              </w:rPr>
              <w:t> </w:t>
            </w:r>
            <w:r>
              <w:rPr>
                <w:rFonts w:ascii="宋体" w:hAnsi="宋体" w:cs="宋体" w:eastAsia="宋体" w:hint="default"/>
                <w:sz w:val="21"/>
                <w:szCs w:val="21"/>
              </w:rPr>
              <w:t>交</w:t>
            </w:r>
            <w:r>
              <w:rPr>
                <w:rFonts w:ascii="宋体" w:hAnsi="宋体" w:cs="宋体" w:eastAsia="宋体" w:hint="default"/>
                <w:spacing w:val="-47"/>
                <w:sz w:val="21"/>
                <w:szCs w:val="21"/>
              </w:rPr>
              <w:t> </w:t>
            </w:r>
            <w:r>
              <w:rPr>
                <w:rFonts w:ascii="宋体" w:hAnsi="宋体" w:cs="宋体" w:eastAsia="宋体" w:hint="default"/>
                <w:sz w:val="21"/>
                <w:szCs w:val="21"/>
              </w:rPr>
              <w:t>易</w:t>
            </w:r>
            <w:r>
              <w:rPr>
                <w:rFonts w:ascii="宋体" w:hAnsi="宋体" w:cs="宋体" w:eastAsia="宋体" w:hint="default"/>
                <w:spacing w:val="-50"/>
                <w:sz w:val="21"/>
                <w:szCs w:val="21"/>
              </w:rPr>
              <w:t> </w:t>
            </w:r>
            <w:r>
              <w:rPr>
                <w:rFonts w:ascii="宋体" w:hAnsi="宋体" w:cs="宋体" w:eastAsia="宋体" w:hint="default"/>
                <w:sz w:val="21"/>
                <w:szCs w:val="21"/>
              </w:rPr>
              <w:t>所</w:t>
            </w:r>
            <w:r>
              <w:rPr>
                <w:rFonts w:ascii="宋体" w:hAnsi="宋体" w:cs="宋体" w:eastAsia="宋体" w:hint="default"/>
                <w:spacing w:val="-47"/>
                <w:sz w:val="21"/>
                <w:szCs w:val="21"/>
              </w:rPr>
              <w:t> </w:t>
            </w:r>
            <w:r>
              <w:rPr>
                <w:rFonts w:ascii="宋体" w:hAnsi="宋体" w:cs="宋体" w:eastAsia="宋体" w:hint="default"/>
                <w:sz w:val="21"/>
                <w:szCs w:val="21"/>
              </w:rPr>
              <w:t>网</w:t>
            </w:r>
            <w:r>
              <w:rPr>
                <w:rFonts w:ascii="宋体" w:hAnsi="宋体" w:cs="宋体" w:eastAsia="宋体" w:hint="default"/>
                <w:spacing w:val="-50"/>
                <w:sz w:val="21"/>
                <w:szCs w:val="21"/>
              </w:rPr>
              <w:t> </w:t>
            </w:r>
            <w:r>
              <w:rPr>
                <w:rFonts w:ascii="宋体" w:hAnsi="宋体" w:cs="宋体" w:eastAsia="宋体" w:hint="default"/>
                <w:sz w:val="21"/>
                <w:szCs w:val="21"/>
              </w:rPr>
              <w:t>站</w:t>
            </w:r>
            <w:r>
              <w:rPr>
                <w:rFonts w:ascii="宋体" w:hAnsi="宋体" w:cs="宋体" w:eastAsia="宋体" w:hint="default"/>
                <w:spacing w:val="-50"/>
                <w:sz w:val="21"/>
                <w:szCs w:val="21"/>
              </w:rPr>
              <w:t> </w:t>
            </w:r>
            <w:r>
              <w:rPr>
                <w:rFonts w:ascii="宋体" w:hAnsi="宋体" w:cs="宋体" w:eastAsia="宋体" w:hint="default"/>
                <w:sz w:val="21"/>
                <w:szCs w:val="21"/>
              </w:rPr>
              <w:t>：</w:t>
            </w:r>
          </w:p>
          <w:p>
            <w:pPr>
              <w:pStyle w:val="TableParagraph"/>
              <w:spacing w:line="272" w:lineRule="exact" w:before="27"/>
              <w:ind w:left="100" w:right="103"/>
              <w:jc w:val="left"/>
              <w:rPr>
                <w:rFonts w:ascii="宋体" w:hAnsi="宋体" w:cs="宋体" w:eastAsia="宋体" w:hint="default"/>
                <w:sz w:val="21"/>
                <w:szCs w:val="21"/>
              </w:rPr>
            </w:pPr>
            <w:hyperlink r:id="rId12">
              <w:r>
                <w:rPr>
                  <w:rFonts w:ascii="宋体" w:hAnsi="宋体" w:cs="宋体" w:eastAsia="宋体" w:hint="default"/>
                  <w:spacing w:val="4"/>
                  <w:sz w:val="21"/>
                  <w:szCs w:val="21"/>
                </w:rPr>
                <w:t>www.sse.com.cn</w:t>
              </w:r>
            </w:hyperlink>
            <w:r>
              <w:rPr>
                <w:rFonts w:ascii="宋体" w:hAnsi="宋体" w:cs="宋体" w:eastAsia="宋体" w:hint="default"/>
                <w:spacing w:val="4"/>
                <w:sz w:val="21"/>
                <w:szCs w:val="21"/>
              </w:rPr>
              <w:t>，通过“上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市公司公告”栏查询</w:t>
            </w:r>
            <w:r>
              <w:rPr>
                <w:rFonts w:ascii="宋体" w:hAnsi="宋体" w:cs="宋体" w:eastAsia="宋体" w:hint="default"/>
                <w:spacing w:val="1"/>
                <w:sz w:val="21"/>
                <w:szCs w:val="21"/>
              </w:rPr>
              <w:t> </w:t>
            </w:r>
            <w:r>
              <w:rPr>
                <w:rFonts w:ascii="宋体" w:hAnsi="宋体" w:cs="宋体" w:eastAsia="宋体" w:hint="default"/>
                <w:sz w:val="21"/>
                <w:szCs w:val="21"/>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82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28"/>
                <w:sz w:val="21"/>
                <w:szCs w:val="21"/>
              </w:rPr>
              <w:t> </w:t>
            </w:r>
            <w:r>
              <w:rPr>
                <w:rFonts w:ascii="宋体" w:hAnsi="宋体" w:cs="宋体" w:eastAsia="宋体" w:hint="default"/>
                <w:spacing w:val="10"/>
                <w:sz w:val="21"/>
                <w:szCs w:val="21"/>
              </w:rPr>
              <w:t>年第三次临时股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26</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47"/>
                <w:sz w:val="21"/>
                <w:szCs w:val="21"/>
              </w:rPr>
              <w:t> </w:t>
            </w:r>
            <w:r>
              <w:rPr>
                <w:rFonts w:ascii="宋体" w:hAnsi="宋体" w:cs="宋体" w:eastAsia="宋体" w:hint="default"/>
                <w:sz w:val="21"/>
                <w:szCs w:val="21"/>
              </w:rPr>
              <w:t>海</w:t>
            </w:r>
            <w:r>
              <w:rPr>
                <w:rFonts w:ascii="宋体" w:hAnsi="宋体" w:cs="宋体" w:eastAsia="宋体" w:hint="default"/>
                <w:spacing w:val="-50"/>
                <w:sz w:val="21"/>
                <w:szCs w:val="21"/>
              </w:rPr>
              <w:t> </w:t>
            </w:r>
            <w:r>
              <w:rPr>
                <w:rFonts w:ascii="宋体" w:hAnsi="宋体" w:cs="宋体" w:eastAsia="宋体" w:hint="default"/>
                <w:sz w:val="21"/>
                <w:szCs w:val="21"/>
              </w:rPr>
              <w:t>证</w:t>
            </w:r>
            <w:r>
              <w:rPr>
                <w:rFonts w:ascii="宋体" w:hAnsi="宋体" w:cs="宋体" w:eastAsia="宋体" w:hint="default"/>
                <w:spacing w:val="-47"/>
                <w:sz w:val="21"/>
                <w:szCs w:val="21"/>
              </w:rPr>
              <w:t> </w:t>
            </w:r>
            <w:r>
              <w:rPr>
                <w:rFonts w:ascii="宋体" w:hAnsi="宋体" w:cs="宋体" w:eastAsia="宋体" w:hint="default"/>
                <w:sz w:val="21"/>
                <w:szCs w:val="21"/>
              </w:rPr>
              <w:t>券</w:t>
            </w:r>
            <w:r>
              <w:rPr>
                <w:rFonts w:ascii="宋体" w:hAnsi="宋体" w:cs="宋体" w:eastAsia="宋体" w:hint="default"/>
                <w:spacing w:val="-50"/>
                <w:sz w:val="21"/>
                <w:szCs w:val="21"/>
              </w:rPr>
              <w:t> </w:t>
            </w:r>
            <w:r>
              <w:rPr>
                <w:rFonts w:ascii="宋体" w:hAnsi="宋体" w:cs="宋体" w:eastAsia="宋体" w:hint="default"/>
                <w:sz w:val="21"/>
                <w:szCs w:val="21"/>
              </w:rPr>
              <w:t>交</w:t>
            </w:r>
            <w:r>
              <w:rPr>
                <w:rFonts w:ascii="宋体" w:hAnsi="宋体" w:cs="宋体" w:eastAsia="宋体" w:hint="default"/>
                <w:spacing w:val="-47"/>
                <w:sz w:val="21"/>
                <w:szCs w:val="21"/>
              </w:rPr>
              <w:t> </w:t>
            </w:r>
            <w:r>
              <w:rPr>
                <w:rFonts w:ascii="宋体" w:hAnsi="宋体" w:cs="宋体" w:eastAsia="宋体" w:hint="default"/>
                <w:sz w:val="21"/>
                <w:szCs w:val="21"/>
              </w:rPr>
              <w:t>易</w:t>
            </w:r>
            <w:r>
              <w:rPr>
                <w:rFonts w:ascii="宋体" w:hAnsi="宋体" w:cs="宋体" w:eastAsia="宋体" w:hint="default"/>
                <w:spacing w:val="-50"/>
                <w:sz w:val="21"/>
                <w:szCs w:val="21"/>
              </w:rPr>
              <w:t> </w:t>
            </w:r>
            <w:r>
              <w:rPr>
                <w:rFonts w:ascii="宋体" w:hAnsi="宋体" w:cs="宋体" w:eastAsia="宋体" w:hint="default"/>
                <w:sz w:val="21"/>
                <w:szCs w:val="21"/>
              </w:rPr>
              <w:t>所</w:t>
            </w:r>
            <w:r>
              <w:rPr>
                <w:rFonts w:ascii="宋体" w:hAnsi="宋体" w:cs="宋体" w:eastAsia="宋体" w:hint="default"/>
                <w:spacing w:val="-47"/>
                <w:sz w:val="21"/>
                <w:szCs w:val="21"/>
              </w:rPr>
              <w:t> </w:t>
            </w:r>
            <w:r>
              <w:rPr>
                <w:rFonts w:ascii="宋体" w:hAnsi="宋体" w:cs="宋体" w:eastAsia="宋体" w:hint="default"/>
                <w:sz w:val="21"/>
                <w:szCs w:val="21"/>
              </w:rPr>
              <w:t>网</w:t>
            </w:r>
            <w:r>
              <w:rPr>
                <w:rFonts w:ascii="宋体" w:hAnsi="宋体" w:cs="宋体" w:eastAsia="宋体" w:hint="default"/>
                <w:spacing w:val="-50"/>
                <w:sz w:val="21"/>
                <w:szCs w:val="21"/>
              </w:rPr>
              <w:t> </w:t>
            </w:r>
            <w:r>
              <w:rPr>
                <w:rFonts w:ascii="宋体" w:hAnsi="宋体" w:cs="宋体" w:eastAsia="宋体" w:hint="default"/>
                <w:sz w:val="21"/>
                <w:szCs w:val="21"/>
              </w:rPr>
              <w:t>站</w:t>
            </w:r>
            <w:r>
              <w:rPr>
                <w:rFonts w:ascii="宋体" w:hAnsi="宋体" w:cs="宋体" w:eastAsia="宋体" w:hint="default"/>
                <w:spacing w:val="-50"/>
                <w:sz w:val="21"/>
                <w:szCs w:val="21"/>
              </w:rPr>
              <w:t> </w:t>
            </w:r>
            <w:r>
              <w:rPr>
                <w:rFonts w:ascii="宋体" w:hAnsi="宋体" w:cs="宋体" w:eastAsia="宋体" w:hint="default"/>
                <w:sz w:val="21"/>
                <w:szCs w:val="21"/>
              </w:rPr>
              <w:t>：</w:t>
            </w:r>
          </w:p>
          <w:p>
            <w:pPr>
              <w:pStyle w:val="TableParagraph"/>
              <w:spacing w:line="240" w:lineRule="auto"/>
              <w:ind w:left="100" w:right="103"/>
              <w:jc w:val="left"/>
              <w:rPr>
                <w:rFonts w:ascii="宋体" w:hAnsi="宋体" w:cs="宋体" w:eastAsia="宋体" w:hint="default"/>
                <w:sz w:val="21"/>
                <w:szCs w:val="21"/>
              </w:rPr>
            </w:pPr>
            <w:hyperlink r:id="rId12">
              <w:r>
                <w:rPr>
                  <w:rFonts w:ascii="宋体" w:hAnsi="宋体" w:cs="宋体" w:eastAsia="宋体" w:hint="default"/>
                  <w:spacing w:val="4"/>
                  <w:sz w:val="21"/>
                  <w:szCs w:val="21"/>
                </w:rPr>
                <w:t>www.sse.com.cn</w:t>
              </w:r>
            </w:hyperlink>
            <w:r>
              <w:rPr>
                <w:rFonts w:ascii="宋体" w:hAnsi="宋体" w:cs="宋体" w:eastAsia="宋体" w:hint="default"/>
                <w:spacing w:val="4"/>
                <w:sz w:val="21"/>
                <w:szCs w:val="21"/>
              </w:rPr>
              <w:t>，通过“上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市公司公告”栏查询</w:t>
            </w:r>
            <w:r>
              <w:rPr>
                <w:rFonts w:ascii="宋体" w:hAnsi="宋体" w:cs="宋体" w:eastAsia="宋体" w:hint="default"/>
                <w:spacing w:val="1"/>
                <w:sz w:val="21"/>
                <w:szCs w:val="21"/>
              </w:rPr>
              <w:t> </w:t>
            </w:r>
            <w:r>
              <w:rPr>
                <w:rFonts w:ascii="宋体" w:hAnsi="宋体" w:cs="宋体" w:eastAsia="宋体" w:hint="default"/>
                <w:sz w:val="21"/>
                <w:szCs w:val="21"/>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20"/>
          <w:szCs w:val="20"/>
        </w:rPr>
      </w:pPr>
    </w:p>
    <w:p>
      <w:pPr>
        <w:pStyle w:val="Heading2"/>
        <w:spacing w:line="240" w:lineRule="auto"/>
        <w:ind w:right="2465"/>
        <w:jc w:val="left"/>
        <w:rPr>
          <w:b w:val="0"/>
          <w:bCs w:val="0"/>
        </w:rPr>
      </w:pPr>
      <w:r>
        <w:rPr/>
        <w:t>三、董事履行职责情况</w:t>
      </w:r>
      <w:r>
        <w:rPr>
          <w:b w:val="0"/>
          <w:bCs w:val="0"/>
        </w:rPr>
      </w:r>
    </w:p>
    <w:p>
      <w:pPr>
        <w:pStyle w:val="Heading2"/>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2"/>
      </w:tblGrid>
      <w:tr>
        <w:trPr>
          <w:trHeight w:val="572"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6"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5" w:lineRule="exact"/>
              <w:ind w:left="206"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20"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韩金亮</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黄峥嵘</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王巧兰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王为凯</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薛爱永</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曹志敏</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朱德胜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李业顺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bl>
    <w:p>
      <w:pPr>
        <w:spacing w:after="0" w:line="241" w:lineRule="exact"/>
        <w:jc w:val="right"/>
        <w:rPr>
          <w:rFonts w:ascii="宋体" w:hAnsi="宋体" w:cs="宋体" w:eastAsia="宋体" w:hint="default"/>
          <w:sz w:val="21"/>
          <w:szCs w:val="21"/>
        </w:rPr>
        <w:sectPr>
          <w:footerReference w:type="default" r:id="rId35"/>
          <w:pgSz w:w="11910" w:h="16840"/>
          <w:pgMar w:footer="1193" w:header="851" w:top="1280" w:bottom="1380" w:left="1580" w:right="104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r>
    </w:tbl>
    <w:p>
      <w:pPr>
        <w:spacing w:line="240" w:lineRule="auto" w:before="12"/>
        <w:rPr>
          <w:rFonts w:ascii="宋体" w:hAnsi="宋体" w:cs="宋体" w:eastAsia="宋体" w:hint="default"/>
          <w:b/>
          <w:bCs/>
          <w:sz w:val="19"/>
          <w:szCs w:val="19"/>
        </w:rPr>
      </w:pPr>
    </w:p>
    <w:p>
      <w:pPr>
        <w:pStyle w:val="Heading2"/>
        <w:spacing w:line="240" w:lineRule="auto"/>
        <w:ind w:left="638" w:right="119" w:hanging="420"/>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314" w:lineRule="auto" w:before="133"/>
        <w:ind w:left="218" w:right="237" w:firstLine="419"/>
        <w:jc w:val="both"/>
      </w:pPr>
      <w:r>
        <w:rPr>
          <w:spacing w:val="-2"/>
        </w:rPr>
        <w:t>报告期内，公司董事会下设专门委员会根据针对公司重大决策、战略规划、内控体系建设等</w:t>
      </w:r>
      <w:r>
        <w:rPr>
          <w:w w:val="100"/>
        </w:rPr>
        <w:t> </w:t>
      </w:r>
      <w:r>
        <w:rPr/>
        <w:t>方面积极进行专题研究，提出专业性意见，提高董事会的决策能力和治理效果。</w:t>
      </w:r>
    </w:p>
    <w:p>
      <w:pPr>
        <w:pStyle w:val="BodyText"/>
        <w:spacing w:line="314" w:lineRule="auto"/>
        <w:ind w:left="218" w:right="250" w:firstLine="525"/>
        <w:jc w:val="left"/>
      </w:pPr>
      <w:r>
        <w:rPr>
          <w:rFonts w:ascii="宋体" w:hAnsi="宋体" w:cs="宋体" w:eastAsia="宋体" w:hint="default"/>
          <w:spacing w:val="-2"/>
        </w:rPr>
        <w:t>1</w:t>
      </w:r>
      <w:r>
        <w:rPr>
          <w:spacing w:val="-2"/>
        </w:rPr>
        <w:t>、战略委员会根据公司所处的行业发展现状、存在的机遇和挑战，结合公司的综合竞争实</w:t>
      </w:r>
      <w:r>
        <w:rPr>
          <w:w w:val="100"/>
        </w:rPr>
        <w:t> </w:t>
      </w:r>
      <w:r>
        <w:rPr/>
        <w:t>力以及核心优势，与公司管理层拟定了长期发展规划、经营目标、发展方针等问题。</w:t>
      </w:r>
    </w:p>
    <w:p>
      <w:pPr>
        <w:pStyle w:val="BodyText"/>
        <w:spacing w:line="314" w:lineRule="auto"/>
        <w:ind w:left="218" w:right="119" w:firstLine="419"/>
        <w:jc w:val="left"/>
      </w:pPr>
      <w:r>
        <w:rPr>
          <w:rFonts w:ascii="宋体" w:hAnsi="宋体" w:cs="宋体" w:eastAsia="宋体" w:hint="default"/>
          <w:spacing w:val="-2"/>
        </w:rPr>
        <w:t>2</w:t>
      </w:r>
      <w:r>
        <w:rPr>
          <w:spacing w:val="-2"/>
        </w:rPr>
        <w:t>、审计委员会积极履行职责，切实有效地监督了公司的外部审计，指导公司内部审计工作，</w:t>
      </w:r>
      <w:r>
        <w:rPr>
          <w:w w:val="100"/>
        </w:rPr>
        <w:t> </w:t>
      </w:r>
      <w:r>
        <w:rPr/>
        <w:t>促进了公司建立有效的内部控制并提供真实、准确、完整的财务报告。</w:t>
      </w:r>
    </w:p>
    <w:p>
      <w:pPr>
        <w:pStyle w:val="BodyText"/>
        <w:spacing w:line="314" w:lineRule="auto"/>
        <w:ind w:left="218" w:right="240" w:firstLine="419"/>
        <w:jc w:val="both"/>
      </w:pPr>
      <w:r>
        <w:rPr>
          <w:rFonts w:ascii="宋体" w:hAnsi="宋体" w:cs="宋体" w:eastAsia="宋体" w:hint="default"/>
          <w:spacing w:val="-2"/>
        </w:rPr>
        <w:t>3</w:t>
      </w:r>
      <w:r>
        <w:rPr>
          <w:spacing w:val="-2"/>
        </w:rPr>
        <w:t>、薪酬与考核委员会通过研究和审查公司薪酬分配体系</w:t>
      </w:r>
      <w:r>
        <w:rPr>
          <w:rFonts w:ascii="宋体" w:hAnsi="宋体" w:cs="宋体" w:eastAsia="宋体" w:hint="default"/>
          <w:spacing w:val="-2"/>
        </w:rPr>
        <w:t>,</w:t>
      </w:r>
      <w:r>
        <w:rPr>
          <w:spacing w:val="-2"/>
        </w:rPr>
        <w:t>对董事及高级管理人员的绩效考核</w:t>
      </w:r>
      <w:r>
        <w:rPr>
          <w:w w:val="100"/>
        </w:rPr>
        <w:t> </w:t>
      </w:r>
      <w:r>
        <w:rPr>
          <w:spacing w:val="-2"/>
        </w:rPr>
        <w:t>机制、薪酬分配方案进行审查</w:t>
      </w:r>
      <w:r>
        <w:rPr>
          <w:rFonts w:ascii="宋体" w:hAnsi="宋体" w:cs="宋体" w:eastAsia="宋体" w:hint="default"/>
          <w:spacing w:val="-2"/>
        </w:rPr>
        <w:t>,</w:t>
      </w:r>
      <w:r>
        <w:rPr>
          <w:spacing w:val="-2"/>
        </w:rPr>
        <w:t>并对公司薪酬管理执行过程中的相关情况和问题提出建议性意等</w:t>
      </w:r>
      <w:r>
        <w:rPr>
          <w:rFonts w:ascii="宋体" w:hAnsi="宋体" w:cs="宋体" w:eastAsia="宋体" w:hint="default"/>
          <w:spacing w:val="-2"/>
        </w:rPr>
        <w:t>,</w:t>
      </w:r>
      <w:r>
        <w:rPr>
          <w:rFonts w:ascii="宋体" w:hAnsi="宋体" w:cs="宋体" w:eastAsia="宋体" w:hint="default"/>
          <w:spacing w:val="-26"/>
        </w:rPr>
        <w:t> </w:t>
      </w:r>
      <w:r>
        <w:rPr/>
        <w:t>切实履行了勤勉尽责义务。</w:t>
      </w:r>
    </w:p>
    <w:p>
      <w:pPr>
        <w:pStyle w:val="BodyText"/>
        <w:spacing w:line="314" w:lineRule="auto"/>
        <w:ind w:left="218" w:right="226" w:firstLine="419"/>
        <w:jc w:val="both"/>
      </w:pPr>
      <w:r>
        <w:rPr>
          <w:rFonts w:ascii="宋体" w:hAnsi="宋体" w:cs="宋体" w:eastAsia="宋体" w:hint="default"/>
          <w:spacing w:val="-4"/>
        </w:rPr>
        <w:t>4</w:t>
      </w:r>
      <w:r>
        <w:rPr>
          <w:spacing w:val="-4"/>
        </w:rPr>
        <w:t>、提名委员会在对公司董事候选人的教育背景、职业经历和专业素养等综合情况，进行了充</w:t>
      </w:r>
      <w:r>
        <w:rPr>
          <w:w w:val="100"/>
        </w:rPr>
        <w:t> </w:t>
      </w:r>
      <w:r>
        <w:rPr/>
        <w:t>分的调查和了解后，向公司董事会提名了董事候选人。</w:t>
      </w:r>
    </w:p>
    <w:p>
      <w:pPr>
        <w:spacing w:line="240" w:lineRule="auto" w:before="2"/>
        <w:rPr>
          <w:rFonts w:ascii="宋体" w:hAnsi="宋体" w:cs="宋体" w:eastAsia="宋体" w:hint="default"/>
          <w:sz w:val="21"/>
          <w:szCs w:val="21"/>
        </w:rPr>
      </w:pPr>
    </w:p>
    <w:p>
      <w:pPr>
        <w:spacing w:line="290" w:lineRule="auto" w:before="0"/>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监事会对报告期内的监督事项无异议。</w:t>
      </w:r>
    </w:p>
    <w:p>
      <w:pPr>
        <w:spacing w:line="240" w:lineRule="auto" w:before="13"/>
        <w:rPr>
          <w:rFonts w:ascii="宋体" w:hAnsi="宋体" w:cs="宋体" w:eastAsia="宋体" w:hint="default"/>
          <w:sz w:val="23"/>
          <w:szCs w:val="23"/>
        </w:rPr>
      </w:pPr>
    </w:p>
    <w:p>
      <w:pPr>
        <w:pStyle w:val="Heading2"/>
        <w:spacing w:line="272" w:lineRule="exact" w:before="0"/>
        <w:ind w:left="638" w:right="119" w:hanging="420"/>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314" w:lineRule="auto" w:before="110"/>
        <w:ind w:left="218" w:right="237" w:firstLine="419"/>
        <w:jc w:val="both"/>
      </w:pPr>
      <w:r>
        <w:rPr>
          <w:spacing w:val="-2"/>
        </w:rPr>
        <w:t>公司与其控股股东在业务、人员、资产、机构、财务等方面均能保证独立性，能保持自主经</w:t>
      </w:r>
      <w:r>
        <w:rPr>
          <w:w w:val="100"/>
        </w:rPr>
        <w:t> </w:t>
      </w:r>
      <w:r>
        <w:rPr/>
        <w:t>营能力。具体情况如下：</w:t>
      </w:r>
    </w:p>
    <w:p>
      <w:pPr>
        <w:pStyle w:val="BodyText"/>
        <w:spacing w:line="314" w:lineRule="auto"/>
        <w:ind w:left="638" w:right="250"/>
        <w:jc w:val="left"/>
      </w:pPr>
      <w:r>
        <w:rPr>
          <w:rFonts w:ascii="宋体" w:hAnsi="宋体" w:cs="宋体" w:eastAsia="宋体" w:hint="default"/>
        </w:rPr>
        <w:t>1</w:t>
      </w:r>
      <w:r>
        <w:rPr/>
        <w:t>、业务方面。</w:t>
      </w:r>
      <w:r>
        <w:rPr>
          <w:w w:val="100"/>
        </w:rPr>
        <w:t> </w:t>
      </w:r>
      <w:r>
        <w:rPr>
          <w:spacing w:val="-2"/>
        </w:rPr>
        <w:t>公司主营业务突出，具有独立完善的业务及自主经营能力，独立于控股股东，主要原材料的</w:t>
      </w:r>
    </w:p>
    <w:p>
      <w:pPr>
        <w:pStyle w:val="BodyText"/>
        <w:spacing w:line="314" w:lineRule="auto"/>
        <w:ind w:left="218" w:right="250"/>
        <w:jc w:val="left"/>
      </w:pPr>
      <w:r>
        <w:rPr>
          <w:spacing w:val="-2"/>
        </w:rPr>
        <w:t>采购不依赖于控股股东，与控股股东之间不存在同业竞争。涉及关联交易的事项，本着公平交易</w:t>
      </w:r>
      <w:r>
        <w:rPr>
          <w:spacing w:val="-25"/>
        </w:rPr>
        <w:t> </w:t>
      </w:r>
      <w:r>
        <w:rPr>
          <w:spacing w:val="-25"/>
        </w:rPr>
      </w:r>
      <w:r>
        <w:rPr/>
        <w:t>的原则进行，不存在损害公司及公司其他股东利益的情况，且有利于公司的长远发展。</w:t>
      </w:r>
    </w:p>
    <w:p>
      <w:pPr>
        <w:pStyle w:val="BodyText"/>
        <w:spacing w:line="314" w:lineRule="auto"/>
        <w:ind w:left="638" w:right="250"/>
        <w:jc w:val="left"/>
      </w:pPr>
      <w:r>
        <w:rPr>
          <w:rFonts w:ascii="宋体" w:hAnsi="宋体" w:cs="宋体" w:eastAsia="宋体" w:hint="default"/>
        </w:rPr>
        <w:t>2</w:t>
      </w:r>
      <w:r>
        <w:rPr/>
        <w:t>、人员方面。</w:t>
      </w:r>
      <w:r>
        <w:rPr>
          <w:w w:val="100"/>
        </w:rPr>
        <w:t> </w:t>
      </w:r>
      <w:r>
        <w:rPr>
          <w:spacing w:val="-2"/>
        </w:rPr>
        <w:t>公司建立了独立完善的劳动、人事和工资管理制度，独立与员工签订了劳动合同。公司总经</w:t>
      </w:r>
    </w:p>
    <w:p>
      <w:pPr>
        <w:pStyle w:val="BodyText"/>
        <w:spacing w:line="314" w:lineRule="auto"/>
        <w:ind w:left="218" w:right="250"/>
        <w:jc w:val="left"/>
      </w:pPr>
      <w:r>
        <w:rPr>
          <w:spacing w:val="-2"/>
        </w:rPr>
        <w:t>理、财务负责人等高级管理人员在本公司领取报酬。控股股东不存在干预本公司董事会和股东大</w:t>
      </w:r>
      <w:r>
        <w:rPr>
          <w:spacing w:val="-26"/>
        </w:rPr>
        <w:t> </w:t>
      </w:r>
      <w:r>
        <w:rPr>
          <w:spacing w:val="-26"/>
        </w:rPr>
      </w:r>
      <w:r>
        <w:rPr/>
        <w:t>会已作出的人事任免决定的情况。公司的财务人员均专职在公司工作并领取薪酬。</w:t>
      </w:r>
    </w:p>
    <w:p>
      <w:pPr>
        <w:pStyle w:val="BodyText"/>
        <w:spacing w:line="314" w:lineRule="auto"/>
        <w:ind w:left="638" w:right="250"/>
        <w:jc w:val="left"/>
      </w:pPr>
      <w:r>
        <w:rPr>
          <w:rFonts w:ascii="宋体" w:hAnsi="宋体" w:cs="宋体" w:eastAsia="宋体" w:hint="default"/>
        </w:rPr>
        <w:t>3</w:t>
      </w:r>
      <w:r>
        <w:rPr/>
        <w:t>、资产方面。</w:t>
      </w:r>
      <w:r>
        <w:rPr>
          <w:w w:val="100"/>
        </w:rPr>
        <w:t> </w:t>
      </w:r>
      <w:r>
        <w:rPr>
          <w:spacing w:val="-2"/>
        </w:rPr>
        <w:t>公司资产独立、完整，公司与控股股东之间产权关系明确，公司对所属资产拥有完整的所有</w:t>
      </w:r>
    </w:p>
    <w:p>
      <w:pPr>
        <w:pStyle w:val="BodyText"/>
        <w:spacing w:line="314" w:lineRule="auto"/>
        <w:ind w:left="218" w:right="250"/>
        <w:jc w:val="left"/>
      </w:pPr>
      <w:r>
        <w:rPr>
          <w:spacing w:val="-2"/>
        </w:rPr>
        <w:t>权。公司的资金、资产和其他资源由自身独立控制并支配，不存在股东单位和其他关联方违规占</w:t>
      </w:r>
      <w:r>
        <w:rPr>
          <w:spacing w:val="-25"/>
        </w:rPr>
        <w:t> </w:t>
      </w:r>
      <w:r>
        <w:rPr>
          <w:spacing w:val="-25"/>
        </w:rPr>
      </w:r>
      <w:r>
        <w:rPr/>
        <w:t>用公司的资金、资产和其他资源的情形。</w:t>
      </w:r>
    </w:p>
    <w:p>
      <w:pPr>
        <w:pStyle w:val="BodyText"/>
        <w:spacing w:line="240" w:lineRule="auto"/>
        <w:ind w:left="638" w:right="2465"/>
        <w:jc w:val="left"/>
      </w:pPr>
      <w:r>
        <w:rPr>
          <w:rFonts w:ascii="宋体" w:hAnsi="宋体" w:cs="宋体" w:eastAsia="宋体" w:hint="default"/>
        </w:rPr>
        <w:t>4</w:t>
      </w:r>
      <w:r>
        <w:rPr/>
        <w:t>、机构方面。</w:t>
      </w:r>
    </w:p>
    <w:p>
      <w:pPr>
        <w:spacing w:after="0" w:line="240" w:lineRule="auto"/>
        <w:jc w:val="left"/>
        <w:sectPr>
          <w:footerReference w:type="default" r:id="rId36"/>
          <w:pgSz w:w="11910" w:h="16840"/>
          <w:pgMar w:footer="1193" w:header="851" w:top="1280" w:bottom="1380" w:left="1580" w:right="1040"/>
          <w:pgNumType w:start="61"/>
        </w:sectPr>
      </w:pPr>
    </w:p>
    <w:p>
      <w:pPr>
        <w:spacing w:line="240" w:lineRule="auto" w:before="11"/>
        <w:rPr>
          <w:rFonts w:ascii="宋体" w:hAnsi="宋体" w:cs="宋体" w:eastAsia="宋体" w:hint="default"/>
          <w:sz w:val="18"/>
          <w:szCs w:val="18"/>
        </w:rPr>
      </w:pPr>
    </w:p>
    <w:p>
      <w:pPr>
        <w:pStyle w:val="BodyText"/>
        <w:spacing w:line="314" w:lineRule="auto" w:before="36"/>
        <w:ind w:right="157" w:firstLine="419"/>
        <w:jc w:val="both"/>
      </w:pPr>
      <w:r>
        <w:rPr>
          <w:spacing w:val="-2"/>
        </w:rPr>
        <w:t>公司根据经营管理和发展的需要建立了完整独立的内部组织机构和职能体系，不存在控股股</w:t>
      </w:r>
      <w:r>
        <w:rPr>
          <w:w w:val="100"/>
        </w:rPr>
        <w:t> </w:t>
      </w:r>
      <w:r>
        <w:rPr>
          <w:spacing w:val="-2"/>
        </w:rPr>
        <w:t>东及实际控制人干预公司机构设置的情况。公司董事会、监事会以及各职能部门独立运作，各部</w:t>
      </w:r>
      <w:r>
        <w:rPr>
          <w:spacing w:val="-25"/>
        </w:rPr>
        <w:t> </w:t>
      </w:r>
      <w:r>
        <w:rPr>
          <w:spacing w:val="-25"/>
        </w:rPr>
      </w:r>
      <w:r>
        <w:rPr>
          <w:spacing w:val="-2"/>
        </w:rPr>
        <w:t>门之间职责分明、相互协调，不存在与控股股东职能部门之间的从属关系，亦不存在与控股股东</w:t>
      </w:r>
      <w:r>
        <w:rPr>
          <w:spacing w:val="-25"/>
        </w:rPr>
        <w:t> </w:t>
      </w:r>
      <w:r>
        <w:rPr>
          <w:spacing w:val="-25"/>
        </w:rPr>
      </w:r>
      <w:r>
        <w:rPr/>
        <w:t>合署办公的情况。</w:t>
      </w:r>
    </w:p>
    <w:p>
      <w:pPr>
        <w:pStyle w:val="BodyText"/>
        <w:spacing w:line="314" w:lineRule="auto"/>
        <w:ind w:left="337" w:right="0" w:firstLine="220"/>
        <w:jc w:val="left"/>
      </w:pPr>
      <w:r>
        <w:rPr>
          <w:rFonts w:ascii="宋体" w:hAnsi="宋体" w:cs="宋体" w:eastAsia="宋体" w:hint="default"/>
        </w:rPr>
        <w:t>5</w:t>
      </w:r>
      <w:r>
        <w:rPr/>
        <w:t>、财务方面。</w:t>
      </w:r>
      <w:r>
        <w:rPr>
          <w:w w:val="100"/>
        </w:rPr>
        <w:t> </w:t>
      </w:r>
      <w:r>
        <w:rPr>
          <w:spacing w:val="-2"/>
        </w:rPr>
        <w:t>公司设立了独立的财务部门，拥有专职的财务人员，按照《会计法》和《企业会计准则》等有</w:t>
      </w:r>
    </w:p>
    <w:p>
      <w:pPr>
        <w:pStyle w:val="BodyText"/>
        <w:spacing w:line="314" w:lineRule="auto"/>
        <w:ind w:right="145"/>
        <w:jc w:val="both"/>
      </w:pPr>
      <w:r>
        <w:rPr>
          <w:spacing w:val="-2"/>
        </w:rPr>
        <w:t>关法规规定，建立了独立的会计核算体系与财务管理制度，独立作出财务决策。公司在银行独立</w:t>
      </w:r>
      <w:r>
        <w:rPr>
          <w:spacing w:val="-25"/>
        </w:rPr>
        <w:t> </w:t>
      </w:r>
      <w:r>
        <w:rPr>
          <w:spacing w:val="-25"/>
        </w:rPr>
      </w:r>
      <w:r>
        <w:rPr>
          <w:spacing w:val="-6"/>
        </w:rPr>
        <w:t>开户，对银行账户享有独立的使用权，没有与控股股东共用银行账户。公司作为独立的纳税主体，</w:t>
      </w:r>
      <w:r>
        <w:rPr>
          <w:spacing w:val="-51"/>
        </w:rPr>
        <w:t> </w:t>
      </w:r>
      <w:r>
        <w:rPr>
          <w:spacing w:val="-51"/>
        </w:rPr>
      </w:r>
      <w:r>
        <w:rPr/>
        <w:t>进行独立的税务登记，并依法纳税。</w:t>
      </w:r>
    </w:p>
    <w:p>
      <w:pPr>
        <w:spacing w:line="240" w:lineRule="auto" w:before="1"/>
        <w:rPr>
          <w:rFonts w:ascii="宋体" w:hAnsi="宋体" w:cs="宋体" w:eastAsia="宋体" w:hint="default"/>
          <w:sz w:val="29"/>
          <w:szCs w:val="29"/>
        </w:rPr>
      </w:pPr>
    </w:p>
    <w:p>
      <w:pPr>
        <w:pStyle w:val="Heading2"/>
        <w:spacing w:line="314" w:lineRule="auto" w:before="0"/>
        <w:ind w:left="558" w:right="1626" w:hanging="420"/>
        <w:jc w:val="left"/>
        <w:rPr>
          <w:rFonts w:ascii="宋体" w:hAnsi="宋体" w:cs="宋体" w:eastAsia="宋体" w:hint="default"/>
          <w:b w:val="0"/>
          <w:bCs w:val="0"/>
        </w:rPr>
      </w:pPr>
      <w:r>
        <w:rPr>
          <w:spacing w:val="-1"/>
        </w:rPr>
        <w:t>七、报告期内对高级管理人员的考评机制，以及激励机制的建立、实施情况</w:t>
      </w:r>
      <w:r>
        <w:rPr>
          <w:spacing w:val="-71"/>
        </w:rPr>
        <w:t> </w:t>
      </w:r>
      <w:r>
        <w:rPr>
          <w:spacing w:val="-71"/>
        </w:rPr>
      </w:r>
      <w:r>
        <w:rPr>
          <w:rFonts w:ascii="宋体" w:hAnsi="宋体" w:cs="宋体" w:eastAsia="宋体" w:hint="default"/>
          <w:b w:val="0"/>
          <w:bCs w:val="0"/>
        </w:rPr>
        <w:t>1</w:t>
      </w:r>
      <w:r>
        <w:rPr>
          <w:rFonts w:ascii="宋体" w:hAnsi="宋体" w:cs="宋体" w:eastAsia="宋体" w:hint="default"/>
          <w:b w:val="0"/>
          <w:bCs w:val="0"/>
        </w:rPr>
        <w:t>、考评机制</w:t>
      </w:r>
    </w:p>
    <w:p>
      <w:pPr>
        <w:pStyle w:val="BodyText"/>
        <w:spacing w:line="314" w:lineRule="auto"/>
        <w:ind w:right="145" w:firstLine="419"/>
        <w:jc w:val="both"/>
      </w:pPr>
      <w:r>
        <w:rPr>
          <w:spacing w:val="-7"/>
          <w:w w:val="100"/>
        </w:rPr>
        <w:t>公司考核小组负责高管人员的日常考核与测评，年终由董事会薪酬与考核委员会根据《董事、</w:t>
      </w:r>
      <w:r>
        <w:rPr>
          <w:w w:val="100"/>
        </w:rPr>
        <w:t> </w:t>
      </w:r>
      <w:r>
        <w:rPr/>
        <w:t>监事及高级管理人员薪酬与考核办法》进行综合测评，预支报酬，最终由股东大会确定。</w:t>
      </w:r>
    </w:p>
    <w:p>
      <w:pPr>
        <w:pStyle w:val="BodyText"/>
        <w:spacing w:line="314" w:lineRule="auto"/>
        <w:ind w:left="558" w:right="0"/>
        <w:jc w:val="left"/>
      </w:pPr>
      <w:r>
        <w:rPr>
          <w:rFonts w:ascii="宋体" w:hAnsi="宋体" w:cs="宋体" w:eastAsia="宋体" w:hint="default"/>
        </w:rPr>
        <w:t>2</w:t>
      </w:r>
      <w:r>
        <w:rPr/>
        <w:t>、激励机制</w:t>
      </w:r>
      <w:r>
        <w:rPr>
          <w:w w:val="100"/>
        </w:rPr>
        <w:t> </w:t>
      </w:r>
      <w:r>
        <w:rPr>
          <w:spacing w:val="-2"/>
        </w:rPr>
        <w:t>对于高管人员的年终奖金，公司将根据年度经营情况，结合其所担任的岗位和工作业绩由薪</w:t>
      </w:r>
    </w:p>
    <w:p>
      <w:pPr>
        <w:pStyle w:val="BodyText"/>
        <w:spacing w:line="240" w:lineRule="auto"/>
        <w:ind w:right="0"/>
        <w:jc w:val="both"/>
      </w:pPr>
      <w:r>
        <w:rPr/>
        <w:t>酬与考核委员会综合考评确定。</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before="0"/>
        <w:ind w:left="138" w:right="0"/>
        <w:jc w:val="both"/>
        <w:rPr>
          <w:b w:val="0"/>
          <w:bCs w:val="0"/>
        </w:rPr>
      </w:pPr>
      <w:r>
        <w:rPr/>
        <w:t>八、是否披露内部控制自我评价报告</w:t>
      </w:r>
      <w:r>
        <w:rPr>
          <w:b w:val="0"/>
          <w:bCs w:val="0"/>
        </w:rPr>
      </w:r>
    </w:p>
    <w:p>
      <w:pPr>
        <w:pStyle w:val="BodyText"/>
        <w:spacing w:line="240" w:lineRule="auto" w:before="85"/>
        <w:ind w:right="0"/>
        <w:jc w:val="both"/>
      </w:pPr>
      <w:r>
        <w:rPr/>
        <w:t>√适用</w:t>
      </w:r>
      <w:r>
        <w:rPr>
          <w:spacing w:val="-1"/>
        </w:rPr>
        <w:t> </w:t>
      </w:r>
      <w:r>
        <w:rPr/>
        <w:t>□不适用</w:t>
      </w:r>
    </w:p>
    <w:p>
      <w:pPr>
        <w:pStyle w:val="BodyText"/>
        <w:spacing w:line="314" w:lineRule="auto" w:before="85"/>
        <w:ind w:right="145" w:firstLine="419"/>
        <w:jc w:val="both"/>
      </w:pPr>
      <w:r>
        <w:rPr>
          <w:spacing w:val="-3"/>
        </w:rPr>
        <w:t>详见与公司《</w:t>
      </w:r>
      <w:r>
        <w:rPr>
          <w:rFonts w:ascii="宋体" w:hAnsi="宋体" w:cs="宋体" w:eastAsia="宋体" w:hint="default"/>
          <w:spacing w:val="-3"/>
        </w:rPr>
        <w:t>2015</w:t>
      </w:r>
      <w:r>
        <w:rPr>
          <w:rFonts w:ascii="宋体" w:hAnsi="宋体" w:cs="宋体" w:eastAsia="宋体" w:hint="default"/>
          <w:spacing w:val="73"/>
        </w:rPr>
        <w:t> </w:t>
      </w:r>
      <w:r>
        <w:rPr>
          <w:spacing w:val="-4"/>
        </w:rPr>
        <w:t>年年度报告》同日披露在上海证券交易所网站（</w:t>
      </w:r>
      <w:hyperlink r:id="rId12">
        <w:r>
          <w:rPr>
            <w:rFonts w:ascii="宋体" w:hAnsi="宋体" w:cs="宋体" w:eastAsia="宋体" w:hint="default"/>
            <w:spacing w:val="-4"/>
          </w:rPr>
          <w:t>www.sse.com.cn</w:t>
        </w:r>
      </w:hyperlink>
      <w:r>
        <w:rPr>
          <w:spacing w:val="-4"/>
        </w:rPr>
        <w:t>）的《公</w:t>
      </w:r>
      <w:r>
        <w:rPr>
          <w:w w:val="100"/>
        </w:rPr>
        <w:t> </w:t>
      </w:r>
      <w:r>
        <w:rPr/>
        <w:t>司</w:t>
      </w:r>
      <w:r>
        <w:rPr>
          <w:spacing w:val="-55"/>
        </w:rPr>
        <w:t> </w:t>
      </w:r>
      <w:r>
        <w:rPr>
          <w:rFonts w:ascii="宋体" w:hAnsi="宋体" w:cs="宋体" w:eastAsia="宋体" w:hint="default"/>
        </w:rPr>
        <w:t>2015</w:t>
      </w:r>
      <w:r>
        <w:rPr>
          <w:rFonts w:ascii="宋体" w:hAnsi="宋体" w:cs="宋体" w:eastAsia="宋体" w:hint="default"/>
          <w:spacing w:val="-55"/>
        </w:rPr>
        <w:t> </w:t>
      </w:r>
      <w:r>
        <w:rPr/>
        <w:t>年度内部控制评价报告》。</w:t>
      </w:r>
    </w:p>
    <w:p>
      <w:pPr>
        <w:pStyle w:val="BodyText"/>
        <w:spacing w:line="240" w:lineRule="auto"/>
        <w:ind w:right="0"/>
        <w:jc w:val="both"/>
      </w:pPr>
      <w:r>
        <w:rPr/>
        <w:t>报告期内部控制存在重大缺陷情况的说明</w:t>
      </w:r>
    </w:p>
    <w:p>
      <w:pPr>
        <w:pStyle w:val="BodyText"/>
        <w:spacing w:line="240" w:lineRule="auto" w:before="85"/>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2"/>
        <w:spacing w:line="240" w:lineRule="auto" w:before="0"/>
        <w:ind w:left="138" w:right="0"/>
        <w:jc w:val="both"/>
        <w:rPr>
          <w:b w:val="0"/>
          <w:bCs w:val="0"/>
        </w:rPr>
      </w:pPr>
      <w:r>
        <w:rPr/>
        <w:t>九、内部控制审计报告的相关情况说明</w:t>
      </w:r>
      <w:r>
        <w:rPr>
          <w:b w:val="0"/>
          <w:bCs w:val="0"/>
        </w:rPr>
      </w:r>
    </w:p>
    <w:p>
      <w:pPr>
        <w:pStyle w:val="BodyText"/>
        <w:spacing w:line="314" w:lineRule="auto" w:before="85"/>
        <w:ind w:right="150" w:firstLine="419"/>
        <w:jc w:val="both"/>
      </w:pPr>
      <w:r>
        <w:rPr>
          <w:spacing w:val="-7"/>
        </w:rPr>
        <w:t>详见与公司《</w:t>
      </w:r>
      <w:r>
        <w:rPr>
          <w:rFonts w:ascii="宋体" w:hAnsi="宋体" w:cs="宋体" w:eastAsia="宋体" w:hint="default"/>
          <w:spacing w:val="-7"/>
        </w:rPr>
        <w:t>2015</w:t>
      </w:r>
      <w:r>
        <w:rPr>
          <w:rFonts w:ascii="宋体" w:hAnsi="宋体" w:cs="宋体" w:eastAsia="宋体" w:hint="default"/>
          <w:spacing w:val="39"/>
        </w:rPr>
        <w:t> </w:t>
      </w:r>
      <w:r>
        <w:rPr>
          <w:spacing w:val="-7"/>
        </w:rPr>
        <w:t>年年度报告》同日披露在上海证券交易所网站（</w:t>
      </w:r>
      <w:hyperlink r:id="rId12">
        <w:r>
          <w:rPr>
            <w:rFonts w:ascii="宋体" w:hAnsi="宋体" w:cs="宋体" w:eastAsia="宋体" w:hint="default"/>
            <w:spacing w:val="-7"/>
          </w:rPr>
          <w:t>www.sse.com.cn</w:t>
        </w:r>
      </w:hyperlink>
      <w:r>
        <w:rPr>
          <w:spacing w:val="-7"/>
        </w:rPr>
        <w:t>）的《</w:t>
      </w:r>
      <w:r>
        <w:rPr>
          <w:rFonts w:ascii="宋体" w:hAnsi="宋体" w:cs="宋体" w:eastAsia="宋体" w:hint="default"/>
          <w:spacing w:val="-7"/>
        </w:rPr>
        <w:t>2015</w:t>
      </w:r>
      <w:r>
        <w:rPr>
          <w:rFonts w:ascii="宋体" w:hAnsi="宋体" w:cs="宋体" w:eastAsia="宋体" w:hint="default"/>
          <w:w w:val="100"/>
        </w:rPr>
        <w:t> </w:t>
      </w:r>
      <w:r>
        <w:rPr/>
        <w:t>年度内部控制审计报告》。</w:t>
      </w:r>
    </w:p>
    <w:p>
      <w:pPr>
        <w:pStyle w:val="BodyText"/>
        <w:spacing w:line="240" w:lineRule="auto"/>
        <w:ind w:right="0"/>
        <w:jc w:val="both"/>
      </w:pPr>
      <w:r>
        <w:rPr/>
        <w:t>是否披露内部控制审计报告：是</w:t>
      </w:r>
    </w:p>
    <w:p>
      <w:pPr>
        <w:spacing w:after="0" w:line="240" w:lineRule="auto"/>
        <w:jc w:val="both"/>
        <w:sectPr>
          <w:pgSz w:w="11910" w:h="16840"/>
          <w:pgMar w:header="851" w:footer="1193" w:top="1280" w:bottom="1380" w:left="1660" w:right="1120"/>
        </w:sectPr>
      </w:pPr>
    </w:p>
    <w:p>
      <w:pPr>
        <w:spacing w:line="240" w:lineRule="auto" w:before="7"/>
        <w:rPr>
          <w:rFonts w:ascii="宋体" w:hAnsi="宋体" w:cs="宋体" w:eastAsia="宋体" w:hint="default"/>
          <w:sz w:val="13"/>
          <w:szCs w:val="13"/>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0"/>
        <w:jc w:val="left"/>
      </w:pPr>
      <w:r>
        <w:rPr/>
        <w:t>□适用</w:t>
      </w:r>
      <w:r>
        <w:rPr>
          <w:spacing w:val="-1"/>
        </w:rPr>
        <w:t> </w:t>
      </w:r>
      <w:r>
        <w:rPr/>
        <w:t>√不适用</w:t>
      </w:r>
    </w:p>
    <w:p>
      <w:pPr>
        <w:spacing w:after="0" w:line="240" w:lineRule="auto"/>
        <w:jc w:val="left"/>
        <w:sectPr>
          <w:pgSz w:w="11910" w:h="16840"/>
          <w:pgMar w:header="851" w:footer="1193" w:top="1280" w:bottom="1380" w:left="1660" w:right="1120"/>
        </w:sectPr>
      </w:pPr>
    </w:p>
    <w:p>
      <w:pPr>
        <w:spacing w:line="240" w:lineRule="auto" w:before="2"/>
        <w:rPr>
          <w:rFonts w:ascii="宋体" w:hAnsi="宋体" w:cs="宋体" w:eastAsia="宋体" w:hint="default"/>
          <w:sz w:val="18"/>
          <w:szCs w:val="18"/>
        </w:rPr>
      </w:pPr>
    </w:p>
    <w:p>
      <w:pPr>
        <w:pStyle w:val="Heading1"/>
        <w:spacing w:line="240" w:lineRule="auto"/>
        <w:ind w:left="3462" w:right="3360"/>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51" w:footer="1193" w:top="1280" w:bottom="1380" w:left="1540" w:right="1120"/>
        </w:sectPr>
      </w:pPr>
    </w:p>
    <w:p>
      <w:pPr>
        <w:pStyle w:val="Heading2"/>
        <w:spacing w:line="240" w:lineRule="auto"/>
        <w:ind w:left="258" w:right="-18"/>
        <w:jc w:val="left"/>
        <w:rPr>
          <w:b w:val="0"/>
          <w:bCs w:val="0"/>
        </w:rPr>
      </w:pPr>
      <w:r>
        <w:rPr/>
        <w:t>一、审计报告</w:t>
      </w:r>
      <w:r>
        <w:rPr>
          <w:b w:val="0"/>
          <w:bCs w:val="0"/>
        </w:rPr>
      </w:r>
    </w:p>
    <w:p>
      <w:pPr>
        <w:pStyle w:val="BodyText"/>
        <w:spacing w:line="240" w:lineRule="auto" w:before="58"/>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Heading2"/>
        <w:spacing w:line="357" w:lineRule="auto" w:before="0"/>
        <w:ind w:left="258" w:right="3258" w:firstLine="873"/>
        <w:jc w:val="left"/>
        <w:rPr>
          <w:b w:val="0"/>
          <w:bCs w:val="0"/>
        </w:rPr>
      </w:pPr>
      <w:r>
        <w:rPr/>
        <w:t>审计报告</w:t>
      </w:r>
      <w:r>
        <w:rPr>
          <w:w w:val="100"/>
        </w:rPr>
        <w:t> </w:t>
      </w:r>
      <w:r>
        <w:rPr/>
        <w:t>天圆全审字</w:t>
      </w:r>
      <w:r>
        <w:rPr>
          <w:rFonts w:ascii="宋体" w:hAnsi="宋体" w:cs="宋体" w:eastAsia="宋体" w:hint="default"/>
        </w:rPr>
        <w:t>[2016]000137</w:t>
      </w:r>
      <w:r>
        <w:rPr>
          <w:rFonts w:ascii="宋体" w:hAnsi="宋体" w:cs="宋体" w:eastAsia="宋体" w:hint="default"/>
          <w:spacing w:val="-54"/>
        </w:rPr>
        <w:t> </w:t>
      </w:r>
      <w:r>
        <w:rPr/>
        <w:t>号</w:t>
      </w:r>
      <w:r>
        <w:rPr>
          <w:b w:val="0"/>
          <w:bCs w:val="0"/>
        </w:rPr>
      </w:r>
    </w:p>
    <w:p>
      <w:pPr>
        <w:spacing w:after="0" w:line="357" w:lineRule="auto"/>
        <w:jc w:val="left"/>
        <w:sectPr>
          <w:type w:val="continuous"/>
          <w:pgSz w:w="11910" w:h="16840"/>
          <w:pgMar w:top="1280" w:bottom="1380" w:left="1540" w:right="1120"/>
          <w:cols w:num="2" w:equalWidth="0">
            <w:col w:w="1835" w:space="1288"/>
            <w:col w:w="6127"/>
          </w:cols>
        </w:sectPr>
      </w:pPr>
    </w:p>
    <w:p>
      <w:pPr>
        <w:pStyle w:val="BodyText"/>
        <w:spacing w:line="355" w:lineRule="auto" w:before="30"/>
        <w:ind w:left="678" w:right="141" w:hanging="420"/>
        <w:jc w:val="left"/>
      </w:pPr>
      <w:r>
        <w:rPr/>
        <w:t>科达集团股份有限公司全体股东：</w:t>
      </w:r>
      <w:r>
        <w:rPr>
          <w:w w:val="100"/>
        </w:rPr>
        <w:t> </w:t>
      </w:r>
      <w:r>
        <w:rPr>
          <w:spacing w:val="-5"/>
          <w:w w:val="100"/>
        </w:rPr>
        <w:t>我们审计了后附的科达集团股份有限公司（以下简称“科达股份”）财务报表，包括</w:t>
      </w:r>
      <w:r>
        <w:rPr>
          <w:w w:val="100"/>
        </w:rPr>
        <w:t> </w:t>
      </w:r>
      <w:r>
        <w:rPr>
          <w:rFonts w:ascii="宋体" w:hAnsi="宋体" w:cs="宋体" w:eastAsia="宋体" w:hint="default"/>
          <w:spacing w:val="-1"/>
          <w:w w:val="100"/>
        </w:rPr>
        <w:t>2015</w:t>
      </w:r>
      <w:r>
        <w:rPr>
          <w:rFonts w:ascii="宋体" w:hAnsi="宋体" w:cs="宋体" w:eastAsia="宋体" w:hint="default"/>
          <w:spacing w:val="-63"/>
          <w:w w:val="100"/>
        </w:rPr>
        <w:t> </w:t>
      </w:r>
      <w:r>
        <w:rPr>
          <w:w w:val="100"/>
        </w:rPr>
        <w:t>年</w:t>
      </w:r>
    </w:p>
    <w:p>
      <w:pPr>
        <w:pStyle w:val="BodyText"/>
        <w:spacing w:line="357" w:lineRule="auto" w:before="32"/>
        <w:ind w:left="258" w:right="143"/>
        <w:jc w:val="left"/>
      </w:pP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日的合并及母公司的资产负债表</w:t>
      </w:r>
      <w:r>
        <w:rPr>
          <w:rFonts w:ascii="宋体" w:hAnsi="宋体" w:cs="宋体" w:eastAsia="宋体" w:hint="default"/>
        </w:rPr>
        <w:t>,</w:t>
      </w:r>
      <w:r>
        <w:rPr>
          <w:rFonts w:ascii="宋体" w:hAnsi="宋体" w:cs="宋体" w:eastAsia="宋体" w:hint="default"/>
          <w:spacing w:val="-1"/>
        </w:rPr>
        <w:t> </w:t>
      </w:r>
      <w:r>
        <w:rPr>
          <w:rFonts w:ascii="宋体" w:hAnsi="宋体" w:cs="宋体" w:eastAsia="宋体" w:hint="default"/>
        </w:rPr>
        <w:t>2015</w:t>
      </w:r>
      <w:r>
        <w:rPr>
          <w:rFonts w:ascii="宋体" w:hAnsi="宋体" w:cs="宋体" w:eastAsia="宋体" w:hint="default"/>
          <w:spacing w:val="-51"/>
        </w:rPr>
        <w:t> </w:t>
      </w:r>
      <w:r>
        <w:rPr/>
        <w:t>年度的合并及母公司的利润表、现金流量表、所</w:t>
      </w:r>
      <w:r>
        <w:rPr>
          <w:w w:val="100"/>
        </w:rPr>
        <w:t> </w:t>
      </w:r>
      <w:r>
        <w:rPr/>
        <w:t>有者权益变动表以及财务报表附注。</w:t>
      </w:r>
    </w:p>
    <w:p>
      <w:pPr>
        <w:spacing w:line="355" w:lineRule="auto" w:before="32"/>
        <w:ind w:left="678" w:right="141" w:hanging="48"/>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4"/>
          <w:sz w:val="21"/>
          <w:szCs w:val="21"/>
        </w:rPr>
        <w:t>编制和公允列报财务报表是科达股份管理层的责任，这种责任包括：（</w:t>
      </w:r>
      <w:r>
        <w:rPr>
          <w:rFonts w:ascii="宋体" w:hAnsi="宋体" w:cs="宋体" w:eastAsia="宋体" w:hint="default"/>
          <w:spacing w:val="-4"/>
          <w:sz w:val="21"/>
          <w:szCs w:val="21"/>
        </w:rPr>
        <w:t>1</w:t>
      </w:r>
      <w:r>
        <w:rPr>
          <w:rFonts w:ascii="宋体" w:hAnsi="宋体" w:cs="宋体" w:eastAsia="宋体" w:hint="default"/>
          <w:spacing w:val="-4"/>
          <w:sz w:val="21"/>
          <w:szCs w:val="21"/>
        </w:rPr>
        <w:t>）按照企业会计准则</w:t>
      </w:r>
    </w:p>
    <w:p>
      <w:pPr>
        <w:pStyle w:val="BodyText"/>
        <w:spacing w:line="355" w:lineRule="auto" w:before="32"/>
        <w:ind w:left="258" w:right="141"/>
        <w:jc w:val="left"/>
      </w:pPr>
      <w:r>
        <w:rPr>
          <w:spacing w:val="-4"/>
        </w:rPr>
        <w:t>的规定编制财务报表，并使其实现公允反映；（</w:t>
      </w:r>
      <w:r>
        <w:rPr>
          <w:rFonts w:ascii="宋体" w:hAnsi="宋体" w:cs="宋体" w:eastAsia="宋体" w:hint="default"/>
          <w:spacing w:val="-4"/>
        </w:rPr>
        <w:t>2</w:t>
      </w:r>
      <w:r>
        <w:rPr>
          <w:spacing w:val="-4"/>
        </w:rPr>
        <w:t>）设计、执行和维护必要的内部控制，以使财务</w:t>
      </w:r>
      <w:r>
        <w:rPr>
          <w:spacing w:val="-38"/>
        </w:rPr>
        <w:t> </w:t>
      </w:r>
      <w:r>
        <w:rPr>
          <w:spacing w:val="-38"/>
        </w:rPr>
      </w:r>
      <w:r>
        <w:rPr/>
        <w:t>报表不存在由于舞弊或错误导致的重大错报。</w:t>
      </w:r>
    </w:p>
    <w:p>
      <w:pPr>
        <w:spacing w:line="357" w:lineRule="auto" w:before="32"/>
        <w:ind w:left="678" w:right="141" w:hanging="48"/>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我们的责任是在执行审计工作的基础上对财务报表发表审计意见。我们按照中国注册会计师</w:t>
      </w:r>
    </w:p>
    <w:p>
      <w:pPr>
        <w:pStyle w:val="BodyText"/>
        <w:spacing w:line="357" w:lineRule="auto" w:before="30"/>
        <w:ind w:left="258" w:right="141"/>
        <w:jc w:val="left"/>
      </w:pPr>
      <w:r>
        <w:rPr>
          <w:spacing w:val="-2"/>
        </w:rPr>
        <w:t>审计准则的规定执行了审计工作。中国注册会计师审计准则要求我们遵守职业道德守则，计划和</w:t>
      </w:r>
      <w:r>
        <w:rPr>
          <w:spacing w:val="-25"/>
        </w:rPr>
        <w:t> </w:t>
      </w:r>
      <w:r>
        <w:rPr>
          <w:spacing w:val="-25"/>
        </w:rPr>
      </w:r>
      <w:r>
        <w:rPr/>
        <w:t>执行审计工作以对财务报表是否不存在重大错报获取合理保证。</w:t>
      </w:r>
    </w:p>
    <w:p>
      <w:pPr>
        <w:pStyle w:val="BodyText"/>
        <w:spacing w:line="357" w:lineRule="auto" w:before="30"/>
        <w:ind w:left="258" w:right="157" w:firstLine="419"/>
        <w:jc w:val="both"/>
      </w:pPr>
      <w:r>
        <w:rPr>
          <w:spacing w:val="-2"/>
        </w:rPr>
        <w:t>审计工作涉及实施审计程序，以获取有关财务报表金额和披露的审计证据。选择的审计程序</w:t>
      </w:r>
      <w:r>
        <w:rPr>
          <w:w w:val="100"/>
        </w:rPr>
        <w:t> </w:t>
      </w:r>
      <w:r>
        <w:rPr>
          <w:spacing w:val="-2"/>
        </w:rPr>
        <w:t>取决于注册会计师的判断，包括对由于舞弊或错误导致的财务报表重大错报风险的评估。在进行</w:t>
      </w:r>
      <w:r>
        <w:rPr>
          <w:spacing w:val="-25"/>
        </w:rPr>
        <w:t> </w:t>
      </w:r>
      <w:r>
        <w:rPr>
          <w:spacing w:val="-25"/>
        </w:rPr>
      </w:r>
      <w:r>
        <w:rPr>
          <w:spacing w:val="-2"/>
        </w:rPr>
        <w:t>风险评估时，注册会计师考虑与财务报表编制和公允列报相关的内部控制，以设计恰当的审计程</w:t>
      </w:r>
      <w:r>
        <w:rPr>
          <w:spacing w:val="-25"/>
        </w:rPr>
        <w:t> </w:t>
      </w:r>
      <w:r>
        <w:rPr>
          <w:spacing w:val="-25"/>
        </w:rPr>
      </w:r>
      <w:r>
        <w:rPr>
          <w:spacing w:val="-2"/>
        </w:rPr>
        <w:t>序。审计工作还包括评价管理层选用会计政策的恰当性和作出会计估计的合理性，以及评价财务</w:t>
      </w:r>
      <w:r>
        <w:rPr>
          <w:spacing w:val="-26"/>
        </w:rPr>
        <w:t> </w:t>
      </w:r>
      <w:r>
        <w:rPr>
          <w:spacing w:val="-26"/>
        </w:rPr>
      </w:r>
      <w:r>
        <w:rPr/>
        <w:t>报表的总体列报。</w:t>
      </w:r>
    </w:p>
    <w:p>
      <w:pPr>
        <w:pStyle w:val="BodyText"/>
        <w:spacing w:line="357" w:lineRule="auto" w:before="30"/>
        <w:ind w:left="630" w:right="141" w:firstLine="48"/>
        <w:jc w:val="left"/>
      </w:pPr>
      <w:r>
        <w:rPr/>
        <w:t>我们相信，我们获取的审计证据是充分、适当的，为发表审计意见提供了基础。</w:t>
      </w:r>
      <w:r>
        <w:rPr>
          <w:w w:val="100"/>
        </w:rPr>
        <w:t> </w:t>
      </w:r>
      <w:r>
        <w:rPr>
          <w:rFonts w:ascii="宋体" w:hAnsi="宋体" w:cs="宋体" w:eastAsia="宋体" w:hint="default"/>
          <w:b/>
          <w:bCs/>
        </w:rPr>
        <w:t>三、审计意见</w:t>
      </w:r>
      <w:r>
        <w:rPr>
          <w:rFonts w:ascii="宋体" w:hAnsi="宋体" w:cs="宋体" w:eastAsia="宋体" w:hint="default"/>
          <w:b/>
          <w:bCs/>
          <w:spacing w:val="-104"/>
        </w:rPr>
        <w:t> </w:t>
      </w:r>
      <w:r>
        <w:rPr>
          <w:spacing w:val="-2"/>
        </w:rPr>
        <w:t>我们认为，科达股份财务报表在所有重大方面按照企业会计准则的规定编制，公允反映了科</w:t>
      </w:r>
    </w:p>
    <w:p>
      <w:pPr>
        <w:pStyle w:val="BodyText"/>
        <w:spacing w:line="355" w:lineRule="auto" w:before="30"/>
        <w:ind w:left="258" w:right="141"/>
        <w:jc w:val="left"/>
      </w:pPr>
      <w:r>
        <w:rPr/>
        <w:t>达股份</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5"/>
        </w:rPr>
        <w:t> </w:t>
      </w:r>
      <w:r>
        <w:rPr/>
        <w:t>日的合并及母公司的财务状况以及</w:t>
      </w:r>
      <w:r>
        <w:rPr>
          <w:spacing w:val="-54"/>
        </w:rPr>
        <w:t> </w:t>
      </w:r>
      <w:r>
        <w:rPr>
          <w:rFonts w:ascii="宋体" w:hAnsi="宋体" w:cs="宋体" w:eastAsia="宋体" w:hint="default"/>
        </w:rPr>
        <w:t>2015</w:t>
      </w:r>
      <w:r>
        <w:rPr>
          <w:rFonts w:ascii="宋体" w:hAnsi="宋体" w:cs="宋体" w:eastAsia="宋体" w:hint="default"/>
          <w:spacing w:val="-54"/>
        </w:rPr>
        <w:t> </w:t>
      </w:r>
      <w:r>
        <w:rPr/>
        <w:t>年度的合并及母公司的经营成果</w:t>
      </w:r>
      <w:r>
        <w:rPr>
          <w:w w:val="100"/>
        </w:rPr>
        <w:t> </w:t>
      </w:r>
      <w:r>
        <w:rPr/>
        <w:t>和现金流量。</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tabs>
          <w:tab w:pos="4424" w:val="left" w:leader="none"/>
        </w:tabs>
        <w:spacing w:line="240" w:lineRule="auto" w:before="0"/>
        <w:ind w:left="116" w:right="141"/>
        <w:jc w:val="left"/>
      </w:pPr>
      <w:r>
        <w:rPr>
          <w:spacing w:val="-2"/>
        </w:rPr>
        <w:t>北京天圆全会计师事务所（特殊普通合伙）</w:t>
        <w:tab/>
        <w:t>中国注册会计师：谢东</w:t>
      </w:r>
      <w:r>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0"/>
        <w:ind w:left="4458" w:right="141"/>
        <w:jc w:val="left"/>
      </w:pPr>
      <w:r>
        <w:rPr/>
        <w:t>中国注册会计师：杜宪超</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tabs>
          <w:tab w:pos="4417" w:val="left" w:leader="none"/>
        </w:tabs>
        <w:spacing w:line="240" w:lineRule="auto" w:before="0"/>
        <w:ind w:left="877" w:right="141"/>
        <w:jc w:val="left"/>
      </w:pPr>
      <w:r>
        <w:rPr/>
        <w:t>中国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北京</w:t>
        <w:tab/>
        <w:t>二○一六年三月十一日</w:t>
      </w:r>
    </w:p>
    <w:p>
      <w:pPr>
        <w:spacing w:after="0" w:line="240" w:lineRule="auto"/>
        <w:jc w:val="left"/>
        <w:sectPr>
          <w:type w:val="continuous"/>
          <w:pgSz w:w="11910" w:h="16840"/>
          <w:pgMar w:top="1280" w:bottom="1380" w:left="1540" w:right="1120"/>
        </w:sectPr>
      </w:pP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51" w:footer="1193" w:top="1280" w:bottom="1380" w:left="1580" w:right="1040"/>
        </w:sectPr>
      </w:pPr>
    </w:p>
    <w:p>
      <w:pPr>
        <w:pStyle w:val="Heading2"/>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before="0"/>
        <w:ind w:left="218" w:right="-16"/>
        <w:jc w:val="left"/>
      </w:pPr>
      <w:r>
        <w:rPr/>
        <w:t>编制单位</w:t>
      </w:r>
      <w:r>
        <w:rPr>
          <w:rFonts w:ascii="宋体" w:hAnsi="宋体" w:cs="宋体" w:eastAsia="宋体" w:hint="default"/>
        </w:rPr>
        <w:t>:</w:t>
      </w:r>
      <w:r>
        <w:rPr>
          <w:rFonts w:ascii="宋体" w:hAnsi="宋体" w:cs="宋体" w:eastAsia="宋体" w:hint="default"/>
          <w:spacing w:val="-1"/>
        </w:rPr>
        <w:t> </w:t>
      </w:r>
      <w:r>
        <w:rPr/>
        <w:t>科达集团股份有限公司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5"/>
        <w:ind w:left="218" w:right="-16" w:firstLine="129"/>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39"/>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280" w:bottom="1380" w:left="1580" w:right="1040"/>
          <w:cols w:num="3" w:equalWidth="0">
            <w:col w:w="3372" w:space="178"/>
            <w:col w:w="1954" w:space="1231"/>
            <w:col w:w="255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4"/>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401"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1,669,565,821.22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432,259,839.75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4,534,580.00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1,365,496,830.77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682,737,059.66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96,308,785.67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16,110,117.33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111,965,993.74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101,883,154.92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2,581,137,911.58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2,471,638,688.25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83,115,354.42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34,669,146.05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5,912,125,277.40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3,739,668,005.96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401"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66,464,322.31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7,064,322.31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187,532,140.81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467,530,239.41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336,273.09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185,458,302.33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45,559,169.59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49,071,233.21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101,990,560.07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76,460,580.52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93,074,817.91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93,145,447.32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2,443,832,981.80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4,160,759.42</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27,834,163.40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22,949,475.60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1,609,531.81</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2,972,394,720.21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901,679,600.70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8,884,519,997.61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4,641,347,606.66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401"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924,000,000.00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660,000,000.00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益的金融负债</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755,000,000.00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470,000,000.00</w:t>
            </w:r>
          </w:p>
        </w:tc>
      </w:tr>
    </w:tbl>
    <w:p>
      <w:pPr>
        <w:spacing w:after="0" w:line="241" w:lineRule="exact"/>
        <w:jc w:val="right"/>
        <w:rPr>
          <w:rFonts w:ascii="宋体" w:hAnsi="宋体" w:cs="宋体" w:eastAsia="宋体" w:hint="default"/>
          <w:sz w:val="21"/>
          <w:szCs w:val="21"/>
        </w:rPr>
        <w:sectPr>
          <w:type w:val="continuous"/>
          <w:pgSz w:w="11910" w:h="16840"/>
          <w:pgMar w:top="1280" w:bottom="1380" w:left="1580" w:right="1040"/>
        </w:sectPr>
      </w:pPr>
    </w:p>
    <w:p>
      <w:pPr>
        <w:spacing w:line="240" w:lineRule="auto" w:before="4"/>
        <w:rPr>
          <w:rFonts w:ascii="宋体" w:hAnsi="宋体" w:cs="宋体" w:eastAsia="宋体"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3651"/>
        <w:gridCol w:w="984"/>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1,557,758,949.47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1,283,896,360.60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919,507,440.13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470,903,791.58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44,059,741.99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24,613,056.57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180,202,587.29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161,047,724.67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1,812,886.20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2,382,812.79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295,218.30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462,074,775.00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339,914,865.38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116,546,416.00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4,961,258,014.38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3,412,758,611.59</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413,000,000.00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11,732,792.08</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136,115.00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143,895.00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32,769,344.00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17,780,288.16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13,784,896.44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7,406,440.42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125,000.00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58,548,147.52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438,330,623.58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5,019,806,161.90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3,851,089,235.17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401"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868,886,423.80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335,269,708.80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2,523,084,865.17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106,365,870.84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116,274,949.00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109,332,042.79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322,580,957.25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212,375,336.56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3,830,827,195.22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763,342,958.99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33,886,640.49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26,915,412.50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3,864,713,835.71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790,258,371.49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4"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8,884,519,997.61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4,641,347,606.66</w:t>
            </w:r>
          </w:p>
        </w:tc>
      </w:tr>
    </w:tbl>
    <w:p>
      <w:pPr>
        <w:pStyle w:val="BodyText"/>
        <w:spacing w:line="241" w:lineRule="exact" w:before="0"/>
        <w:ind w:left="218" w:right="250"/>
        <w:jc w:val="left"/>
      </w:pPr>
      <w:r>
        <w:rPr/>
        <w:t>法定代表人：刘锋杰 主管会计工作负责人：王巧兰</w:t>
      </w:r>
      <w:r>
        <w:rPr>
          <w:spacing w:val="-6"/>
        </w:rPr>
        <w:t> </w:t>
      </w:r>
      <w:r>
        <w:rPr/>
        <w:t>会计机构负责人：曾祥龙</w:t>
      </w:r>
    </w:p>
    <w:p>
      <w:pPr>
        <w:spacing w:after="0" w:line="241" w:lineRule="exact"/>
        <w:jc w:val="left"/>
        <w:sectPr>
          <w:pgSz w:w="11910" w:h="16840"/>
          <w:pgMar w:header="851" w:footer="1193" w:top="1280" w:bottom="1380" w:left="1580" w:right="1040"/>
        </w:sectPr>
      </w:pP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51" w:footer="1193" w:top="128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0"/>
        <w:ind w:left="218" w:right="0"/>
        <w:jc w:val="left"/>
      </w:pPr>
      <w:r>
        <w:rPr>
          <w:spacing w:val="-2"/>
        </w:rPr>
        <w:t>编制单位</w:t>
      </w:r>
      <w:r>
        <w:rPr>
          <w:rFonts w:ascii="宋体" w:hAnsi="宋体" w:cs="宋体" w:eastAsia="宋体" w:hint="default"/>
          <w:spacing w:val="-2"/>
        </w:rPr>
        <w:t>:</w:t>
      </w:r>
      <w:r>
        <w:rPr>
          <w:spacing w:val="-2"/>
        </w:rPr>
        <w:t>科达集团股份有限公司</w:t>
      </w:r>
    </w:p>
    <w:p>
      <w:pPr>
        <w:spacing w:before="36"/>
        <w:ind w:left="218" w:right="-16" w:firstLine="24"/>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before="0"/>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280" w:bottom="1380" w:left="1580" w:right="1040"/>
          <w:cols w:num="3" w:equalWidth="0">
            <w:col w:w="3267" w:space="283"/>
            <w:col w:w="1954" w:space="1231"/>
            <w:col w:w="2555"/>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6"/>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7"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1,185,170,011.14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310,067,389.72</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20,000.00</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452,404,311.50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684,269,474.54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726,131.49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6,232,834.95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1,499,348,287.17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1,304,249,977.77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133,255,610.86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188,502,760.85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28,966.57</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3,271,833,318.73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2,493,342,437.83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7"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52,000,000.00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187,532,140.81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467,530,239.41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3,059,000,000.00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281,458,302.33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45,559,169.59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49,071,233.21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56,523,518.85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39,961,719.34</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8,811,368.23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9,218,391.90</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17,985,882.70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24,220,500.83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3,427,412,080.18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871,460,387.02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6,699,245,398.91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3,364,802,824.85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7"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913,000,000.00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660,000,000.00</w:t>
            </w:r>
          </w:p>
        </w:tc>
      </w:tr>
      <w:tr>
        <w:trPr>
          <w:trHeight w:val="56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755,000,000.00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470,000,000.00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663,711,144.37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940,343,842.31</w:t>
            </w:r>
          </w:p>
        </w:tc>
      </w:tr>
    </w:tbl>
    <w:p>
      <w:pPr>
        <w:spacing w:after="0" w:line="241" w:lineRule="exact"/>
        <w:jc w:val="right"/>
        <w:rPr>
          <w:rFonts w:ascii="宋体" w:hAnsi="宋体" w:cs="宋体" w:eastAsia="宋体" w:hint="default"/>
          <w:sz w:val="21"/>
          <w:szCs w:val="21"/>
        </w:rPr>
        <w:sectPr>
          <w:type w:val="continuous"/>
          <w:pgSz w:w="11910" w:h="16840"/>
          <w:pgMar w:top="1280" w:bottom="1380" w:left="1580" w:right="1040"/>
        </w:sectPr>
      </w:pPr>
    </w:p>
    <w:p>
      <w:pPr>
        <w:spacing w:line="240" w:lineRule="auto" w:before="4"/>
        <w:rPr>
          <w:rFonts w:ascii="宋体" w:hAnsi="宋体" w:cs="宋体" w:eastAsia="宋体"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6"/>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16,197,510.42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49,630,020.37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6,090,953.10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7,221,824.57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118,399,429.44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149,625,293.48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1,618,358.70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1,543,264.84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350,909,184.42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231,876,752.22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2,824,926,580.45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2,510,240,997.79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7" w:type="dxa"/>
            <w:gridSpan w:val="3"/>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136,115.00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143,895.00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17,780,288.16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17,780,288.16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17,916,403.16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17,924,183.16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2,842,842,983.61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2,528,165,180.95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7"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868,886,423.80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335,269,708.80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2,519,049,711.44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102,330,717.11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116,274,949.00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109,332,042.79</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352,191,331.06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289,705,175.20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3,856,402,415.30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836,637,643.90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6,699,245,398.91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3,364,802,824.85</w:t>
            </w:r>
          </w:p>
        </w:tc>
      </w:tr>
    </w:tbl>
    <w:p>
      <w:pPr>
        <w:pStyle w:val="BodyText"/>
        <w:spacing w:line="241" w:lineRule="exact" w:before="0"/>
        <w:ind w:left="218" w:right="250"/>
        <w:jc w:val="left"/>
      </w:pPr>
      <w:r>
        <w:rPr/>
        <w:t>法定代表人：刘锋杰 主管会计工作负责人：王巧兰</w:t>
      </w:r>
      <w:r>
        <w:rPr>
          <w:spacing w:val="-6"/>
        </w:rPr>
        <w:t> </w:t>
      </w:r>
      <w:r>
        <w:rPr/>
        <w:t>会计机构负责人：曾祥龙</w:t>
      </w:r>
    </w:p>
    <w:p>
      <w:pPr>
        <w:spacing w:after="0" w:line="241" w:lineRule="exact"/>
        <w:jc w:val="left"/>
        <w:sectPr>
          <w:pgSz w:w="11910" w:h="16840"/>
          <w:pgMar w:header="851" w:footer="1193" w:top="1280" w:bottom="1380" w:left="1580" w:right="1040"/>
        </w:sectPr>
      </w:pP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51" w:footer="1193" w:top="1280" w:bottom="1380" w:left="1580" w:right="1040"/>
        </w:sectPr>
      </w:pPr>
    </w:p>
    <w:p>
      <w:pPr>
        <w:spacing w:before="36"/>
        <w:ind w:left="3873" w:right="-16" w:firstLine="235"/>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61" w:val="left" w:leader="none"/>
        </w:tabs>
        <w:spacing w:line="240" w:lineRule="auto" w:before="0"/>
        <w:ind w:left="1515"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28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5"/>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2,416,964,779.03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1,115,439,347.14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2,416,964,779.03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1,115,439,347.14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2,307,762,320.89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1,062,934,688.82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1,990,804,124.34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932,988,764.46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60,874,109.82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52,805,272.58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79,077,532.10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18,708,647.69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117,646,937.57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44,849,649.05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25,616,921.29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-3,844,169.04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33,742,695.77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17,426,524.08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74,180,815.14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24,607,619.29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73,727,719.25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24,607,619.29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183,383,273.28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77,112,277.61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5,849,321.67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18,441,898.88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1,229,310.38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2,499,311.52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17,491,167.90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24,879,414.03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1,097,987.05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5,862,429.26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171,741,427.05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70,674,762.46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49,171,728.04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20,604,473.27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122,569,699.01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50,070,289.19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117,148,526.90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53,542,851.07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5,421,172.11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-3,472,561.88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122,569,699.01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50,070,289.19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117,148,526.90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53,542,851.07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5,421,172.11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-3,472,561.88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十八、</w:t>
            </w:r>
            <w:r>
              <w:rPr>
                <w:rFonts w:ascii="宋体" w:hAnsi="宋体" w:cs="宋体" w:eastAsia="宋体" w:hint="default"/>
                <w:sz w:val="21"/>
                <w:szCs w:val="21"/>
              </w:rPr>
              <w:t>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0.16</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十八、</w:t>
            </w:r>
            <w:r>
              <w:rPr>
                <w:rFonts w:ascii="宋体" w:hAnsi="宋体" w:cs="宋体" w:eastAsia="宋体" w:hint="default"/>
                <w:sz w:val="21"/>
                <w:szCs w:val="21"/>
              </w:rPr>
              <w:t>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0.16</w:t>
            </w:r>
          </w:p>
        </w:tc>
      </w:tr>
    </w:tbl>
    <w:p>
      <w:pPr>
        <w:spacing w:line="240" w:lineRule="auto" w:before="5"/>
        <w:rPr>
          <w:rFonts w:ascii="宋体" w:hAnsi="宋体" w:cs="宋体" w:eastAsia="宋体" w:hint="default"/>
          <w:sz w:val="15"/>
          <w:szCs w:val="15"/>
        </w:rPr>
      </w:pPr>
    </w:p>
    <w:p>
      <w:pPr>
        <w:pStyle w:val="BodyText"/>
        <w:spacing w:line="240" w:lineRule="auto" w:before="36"/>
        <w:ind w:left="218" w:right="250"/>
        <w:jc w:val="left"/>
      </w:pPr>
      <w:r>
        <w:rPr/>
        <w:t>法定代表人：刘锋杰 主管会计工作负责人：王巧兰</w:t>
      </w:r>
      <w:r>
        <w:rPr>
          <w:spacing w:val="-6"/>
        </w:rPr>
        <w:t> </w:t>
      </w:r>
      <w:r>
        <w:rPr/>
        <w:t>会计机构负责人：曾祥龙</w:t>
      </w:r>
    </w:p>
    <w:p>
      <w:pPr>
        <w:spacing w:after="0" w:line="240" w:lineRule="auto"/>
        <w:jc w:val="left"/>
        <w:sectPr>
          <w:type w:val="continuous"/>
          <w:pgSz w:w="11910" w:h="16840"/>
          <w:pgMar w:top="1280" w:bottom="1380" w:left="1580" w:right="1040"/>
        </w:sectPr>
      </w:pP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37"/>
          <w:pgSz w:w="11910" w:h="16840"/>
          <w:pgMar w:footer="1193" w:header="851" w:top="1280" w:bottom="1380" w:left="1580" w:right="1040"/>
        </w:sectPr>
      </w:pPr>
    </w:p>
    <w:p>
      <w:pPr>
        <w:spacing w:before="36"/>
        <w:ind w:left="3873" w:right="-16" w:firstLine="129"/>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61" w:val="left" w:leader="none"/>
        </w:tabs>
        <w:spacing w:line="240" w:lineRule="auto" w:before="0"/>
        <w:ind w:left="1515"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28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5"/>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818,586,718.18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1,110,331,997.53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733,392,395.85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927,654,724.75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26,101,261.32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52,729,650.02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1,351,571.85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2,187,639.32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40,872,183.11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23,300,149.39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15,051,647.79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-4,573,052.00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-6,566,196.94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19,066,803.82</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73,611,697.67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24,607,619.29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73,611,697.67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24,607,619.29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81,995,552.87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114,573,701.52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2,983,955.99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2,493,275.16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694,530.82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562,751.83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1,152,033.16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19,022,248.79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887,677.47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552,908.21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83,827,475.70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98,044,727.89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14,398,413.63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18,895,965.84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69,429,062.07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79,148,762.05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69,429,062.07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79,148,762.05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before="0"/>
        <w:ind w:left="218" w:right="250"/>
        <w:jc w:val="left"/>
      </w:pPr>
      <w:r>
        <w:rPr/>
        <w:t>法定代表人：刘锋杰 主管会计工作负责人：王巧兰</w:t>
      </w:r>
      <w:r>
        <w:rPr>
          <w:spacing w:val="-6"/>
        </w:rPr>
        <w:t> </w:t>
      </w:r>
      <w:r>
        <w:rPr/>
        <w:t>会计机构负责人：曾祥龙</w:t>
      </w:r>
    </w:p>
    <w:p>
      <w:pPr>
        <w:spacing w:after="0" w:line="241" w:lineRule="exact"/>
        <w:jc w:val="left"/>
        <w:sectPr>
          <w:type w:val="continuous"/>
          <w:pgSz w:w="11910" w:h="16840"/>
          <w:pgMar w:top="1280" w:bottom="1380" w:left="1580" w:right="1040"/>
        </w:sectPr>
      </w:pP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38"/>
          <w:pgSz w:w="11910" w:h="16840"/>
          <w:pgMar w:footer="1193" w:header="851" w:top="1280" w:bottom="1380" w:left="1580" w:right="1040"/>
          <w:pgNumType w:start="71"/>
        </w:sectPr>
      </w:pPr>
    </w:p>
    <w:p>
      <w:pPr>
        <w:spacing w:before="36"/>
        <w:ind w:left="3873" w:right="0" w:firstLine="24"/>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5" w:val="left" w:leader="none"/>
        </w:tabs>
        <w:spacing w:line="240" w:lineRule="auto" w:before="0"/>
        <w:ind w:left="1303" w:right="0"/>
        <w:jc w:val="left"/>
      </w:pPr>
      <w:r>
        <w:rPr>
          <w:spacing w:val="-1"/>
        </w:rPr>
        <w:t>单位：元</w:t>
        <w:tab/>
        <w:t>币种：人民币</w:t>
      </w:r>
    </w:p>
    <w:p>
      <w:pPr>
        <w:spacing w:after="0" w:line="240" w:lineRule="auto"/>
        <w:jc w:val="left"/>
        <w:sectPr>
          <w:type w:val="continuous"/>
          <w:pgSz w:w="11910" w:h="16840"/>
          <w:pgMar w:top="128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4"/>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1"/>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3,324,960,476.75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1,435,269,721.66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126,403,599.13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145,315,418.95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3,451,364,075.88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1,580,585,140.61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2,351,296,801.15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1,247,317,770.84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118,674,673.68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67,106,464.76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146,282,966.56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69,225,849.23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3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358,984,176.17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190,655,330.86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2,975,238,617.56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1,574,305,415.69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476,125,458.32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6,279,724.92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282,070,000.00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22,453,095.89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7,650,000.00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1,066,029.38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6,119,493.79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305,589,125.27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13,769,493.79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15,630,808.77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12,655,103.19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97,000,000.00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232,589,824.46</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202,291,152.80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547,511,786.03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12,655,103.19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-241,922,660.76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1,114,390.60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746,704,000.00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1,454,771,944.38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2,042,988,850.11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3,239,475,944.38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2,702,988,850.11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1,081,453,584.00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600,000,000.00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82,867,613.50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72,583,548.85</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1,300,964,177.48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2,329,519,026.43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2,465,285,374.98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3,002,102,575.28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774,190,569.40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-299,113,725.17</w:t>
            </w:r>
          </w:p>
        </w:tc>
      </w:tr>
    </w:tbl>
    <w:p>
      <w:pPr>
        <w:spacing w:after="0" w:line="241" w:lineRule="exact"/>
        <w:jc w:val="right"/>
        <w:rPr>
          <w:rFonts w:ascii="宋体" w:hAnsi="宋体" w:cs="宋体" w:eastAsia="宋体" w:hint="default"/>
          <w:sz w:val="21"/>
          <w:szCs w:val="21"/>
        </w:rPr>
        <w:sectPr>
          <w:type w:val="continuous"/>
          <w:pgSz w:w="11910" w:h="16840"/>
          <w:pgMar w:top="1280" w:bottom="1380" w:left="1580" w:right="1040"/>
        </w:sectPr>
      </w:pPr>
    </w:p>
    <w:p>
      <w:pPr>
        <w:spacing w:line="240" w:lineRule="auto" w:before="4"/>
        <w:rPr>
          <w:rFonts w:ascii="宋体" w:hAnsi="宋体" w:cs="宋体" w:eastAsia="宋体"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3651"/>
        <w:gridCol w:w="984"/>
        <w:gridCol w:w="2216"/>
        <w:gridCol w:w="2201"/>
      </w:tblGrid>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353,916.06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47,117.56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1,008,747,283.02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-291,672,492.09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209,015,292.58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500,687,784.67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4"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1,217,762,575.60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209,015,292.58</w:t>
            </w:r>
          </w:p>
        </w:tc>
      </w:tr>
    </w:tbl>
    <w:p>
      <w:pPr>
        <w:spacing w:line="240" w:lineRule="auto" w:before="7"/>
        <w:rPr>
          <w:rFonts w:ascii="宋体" w:hAnsi="宋体" w:cs="宋体" w:eastAsia="宋体" w:hint="default"/>
          <w:sz w:val="15"/>
          <w:szCs w:val="15"/>
        </w:rPr>
      </w:pPr>
    </w:p>
    <w:p>
      <w:pPr>
        <w:pStyle w:val="BodyText"/>
        <w:spacing w:line="240" w:lineRule="auto" w:before="36"/>
        <w:ind w:left="218" w:right="250"/>
        <w:jc w:val="left"/>
      </w:pPr>
      <w:r>
        <w:rPr/>
        <w:t>法定代表人：刘锋杰 主管会计工作负责人：王巧兰</w:t>
      </w:r>
      <w:r>
        <w:rPr>
          <w:spacing w:val="-6"/>
        </w:rPr>
        <w:t> </w:t>
      </w:r>
      <w:r>
        <w:rPr/>
        <w:t>会计机构负责人：曾祥龙</w:t>
      </w:r>
    </w:p>
    <w:p>
      <w:pPr>
        <w:spacing w:after="0" w:line="240" w:lineRule="auto"/>
        <w:jc w:val="left"/>
        <w:sectPr>
          <w:pgSz w:w="11910" w:h="16840"/>
          <w:pgMar w:header="851" w:footer="1193" w:top="1280" w:bottom="1380" w:left="1580" w:right="1040"/>
        </w:sectPr>
      </w:pP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51" w:footer="1193" w:top="1280" w:bottom="1380" w:left="1580" w:right="1040"/>
        </w:sectPr>
      </w:pPr>
    </w:p>
    <w:p>
      <w:pPr>
        <w:spacing w:before="36"/>
        <w:ind w:left="3873" w:right="-16" w:hanging="82"/>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before="0"/>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280" w:bottom="1380" w:left="1580" w:right="1040"/>
          <w:cols w:num="2" w:equalWidth="0">
            <w:col w:w="5482" w:space="40"/>
            <w:col w:w="3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7"/>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1,468,791,269.04</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1,075,171,096.48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82,320,958.61</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142,741,619.39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1,551,112,227.65</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1,217,912,715.87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994,641,788.60</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868,446,616.23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53,658,982.42</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56,651,537.06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33,590,397.39</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25,739,711.18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241,494,784.35</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149,376,876.51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1,323,385,952.76</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1,100,214,740.98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227,726,274.89</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117,697,974.89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237,070,000.00</w:t>
            </w: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22,000,000.00</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7,650,000.00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185,545.98</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50,291.00</w:t>
            </w:r>
          </w:p>
        </w:tc>
      </w:tr>
      <w:tr>
        <w:trPr>
          <w:trHeight w:val="48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259,255,545.98</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7,700,291.00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9,032,813.60</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9,503,963.18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72,000,000.00</w:t>
            </w: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515,558,464.90</w:t>
            </w: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202,236,464.10</w:t>
            </w: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798,827,742.60</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9,503,963.18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-539,572,196.62</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-1,803,672.18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726,704,000.00</w:t>
            </w: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1,038,000,000.00</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660,000,000.00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1,448,523,170.45</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2,144,478,850.11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3,213,227,170.45</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2,804,478,850.11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785,000,000.00</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57,293,352.89</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43,014,796.78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1,409,085,638.46</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2,591,442,819.04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2,251,378,991.35</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3,234,457,615.82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961,848,179.10</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-429,978,765.71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353,916.06</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47,117.56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650,356,173.43</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-314,037,345.44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90,336,161.26</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404,373,506.70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740,692,334.69</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90,336,161.26</w:t>
            </w:r>
          </w:p>
        </w:tc>
      </w:tr>
    </w:tbl>
    <w:p>
      <w:pPr>
        <w:pStyle w:val="BodyText"/>
        <w:spacing w:line="241" w:lineRule="exact" w:before="0"/>
        <w:ind w:left="218" w:right="250"/>
        <w:jc w:val="left"/>
      </w:pPr>
      <w:r>
        <w:rPr/>
        <w:t>法定代表人：刘锋杰 主管会计工作负责人：王巧兰</w:t>
      </w:r>
      <w:r>
        <w:rPr>
          <w:spacing w:val="-6"/>
        </w:rPr>
        <w:t> </w:t>
      </w:r>
      <w:r>
        <w:rPr/>
        <w:t>会计机构负责人：曾祥龙</w:t>
      </w:r>
    </w:p>
    <w:p>
      <w:pPr>
        <w:spacing w:after="0" w:line="241" w:lineRule="exact"/>
        <w:jc w:val="left"/>
        <w:sectPr>
          <w:type w:val="continuous"/>
          <w:pgSz w:w="11910" w:h="16840"/>
          <w:pgMar w:top="128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39"/>
          <w:footerReference w:type="default" r:id="rId40"/>
          <w:pgSz w:w="16840" w:h="11910" w:orient="landscape"/>
          <w:pgMar w:header="856" w:footer="1193" w:top="1280" w:bottom="1380" w:left="1280" w:right="960"/>
          <w:pgNumType w:start="74"/>
        </w:sectPr>
      </w:pPr>
    </w:p>
    <w:p>
      <w:pPr>
        <w:spacing w:before="36"/>
        <w:ind w:left="6324"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700" w:val="left" w:leader="none"/>
        </w:tabs>
        <w:spacing w:line="240" w:lineRule="auto" w:before="0"/>
        <w:ind w:left="3755"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280" w:bottom="1380" w:left="1280" w:right="960"/>
          <w:cols w:num="2" w:equalWidth="0">
            <w:col w:w="8142" w:space="40"/>
            <w:col w:w="641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65"/>
        <w:gridCol w:w="1561"/>
        <w:gridCol w:w="1750"/>
        <w:gridCol w:w="518"/>
        <w:gridCol w:w="708"/>
        <w:gridCol w:w="994"/>
        <w:gridCol w:w="1560"/>
        <w:gridCol w:w="1563"/>
        <w:gridCol w:w="1450"/>
        <w:gridCol w:w="1805"/>
      </w:tblGrid>
      <w:tr>
        <w:trPr>
          <w:trHeight w:val="250" w:hRule="exact"/>
        </w:trPr>
        <w:tc>
          <w:tcPr>
            <w:tcW w:w="24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08" w:type="dxa"/>
            <w:gridSpan w:val="9"/>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465" w:type="dxa"/>
            <w:vMerge/>
            <w:tcBorders>
              <w:left w:val="single" w:sz="4" w:space="0" w:color="000000"/>
              <w:right w:val="single" w:sz="4" w:space="0" w:color="000000"/>
            </w:tcBorders>
          </w:tcPr>
          <w:p>
            <w:pPr/>
          </w:p>
        </w:tc>
        <w:tc>
          <w:tcPr>
            <w:tcW w:w="865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12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7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6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970" w:hRule="exact"/>
        </w:trPr>
        <w:tc>
          <w:tcPr>
            <w:tcW w:w="2465"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0" w:right="0" w:hanging="6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60" w:right="167"/>
              <w:jc w:val="both"/>
              <w:rPr>
                <w:rFonts w:ascii="宋体" w:hAnsi="宋体" w:cs="宋体" w:eastAsia="宋体" w:hint="default"/>
                <w:sz w:val="18"/>
                <w:szCs w:val="18"/>
              </w:rPr>
            </w:pPr>
            <w:r>
              <w:rPr>
                <w:rFonts w:ascii="宋体" w:hAnsi="宋体" w:cs="宋体" w:eastAsia="宋体" w:hint="default"/>
                <w:sz w:val="18"/>
                <w:szCs w:val="18"/>
              </w:rPr>
              <w:t>库 存 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67" w:right="16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50"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r>
      <w:tr>
        <w:trPr>
          <w:trHeight w:val="24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335,269,708.80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106,365,870.84</w:t>
            </w: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109,332,042.79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212,375,336.56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26,915,412.50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790,258,371.49</w:t>
            </w:r>
          </w:p>
        </w:tc>
      </w:tr>
      <w:tr>
        <w:trPr>
          <w:trHeight w:val="24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335,269,708.80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106,365,870.84</w:t>
            </w: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109,332,042.79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212,375,336.56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26,915,412.50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790,258,371.49</w:t>
            </w:r>
          </w:p>
        </w:tc>
      </w:tr>
      <w:tr>
        <w:trPr>
          <w:trHeight w:val="476"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533,616,715.00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2,416,718,994.33</w:t>
            </w: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6,942,906.21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110,205,620.69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6,971,227.99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3,074,455,464.22</w:t>
            </w:r>
          </w:p>
        </w:tc>
      </w:tr>
      <w:tr>
        <w:trPr>
          <w:trHeight w:val="24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117,148,526.90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5,421,172.11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122,569,699.01</w:t>
            </w:r>
          </w:p>
        </w:tc>
      </w:tr>
      <w:tr>
        <w:trPr>
          <w:trHeight w:val="24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所有者投入和减少资本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533,616,715.00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2,416,718,994.33</w:t>
            </w: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1,550,055.88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2,951,885,765.21</w:t>
            </w:r>
          </w:p>
        </w:tc>
      </w:tr>
      <w:tr>
        <w:trPr>
          <w:trHeight w:val="24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533,616,715.00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2,416,718,994.33</w:t>
            </w: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1,351,104.78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2,951,686,814.11</w:t>
            </w:r>
          </w:p>
        </w:tc>
      </w:tr>
      <w:tr>
        <w:trPr>
          <w:trHeight w:val="47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198,951.10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198,951.10</w:t>
            </w:r>
          </w:p>
        </w:tc>
      </w:tr>
      <w:tr>
        <w:trPr>
          <w:trHeight w:val="24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6,942,906.21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-6,942,906.21</w:t>
            </w: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6,942,906.21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-6,942,906.21</w:t>
            </w: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280" w:bottom="1380" w:left="1280" w:right="9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465"/>
        <w:gridCol w:w="1561"/>
        <w:gridCol w:w="1750"/>
        <w:gridCol w:w="518"/>
        <w:gridCol w:w="708"/>
        <w:gridCol w:w="994"/>
        <w:gridCol w:w="1560"/>
        <w:gridCol w:w="1563"/>
        <w:gridCol w:w="1450"/>
        <w:gridCol w:w="1805"/>
      </w:tblGrid>
      <w:tr>
        <w:trPr>
          <w:trHeight w:val="24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11,426,3</w:t>
            </w:r>
          </w:p>
          <w:p>
            <w:pPr>
              <w:pStyle w:val="TableParagraph"/>
              <w:spacing w:line="240" w:lineRule="auto"/>
              <w:ind w:left="427" w:right="0"/>
              <w:jc w:val="left"/>
              <w:rPr>
                <w:rFonts w:ascii="宋体" w:hAnsi="宋体" w:cs="宋体" w:eastAsia="宋体" w:hint="default"/>
                <w:sz w:val="18"/>
                <w:szCs w:val="18"/>
              </w:rPr>
            </w:pPr>
            <w:r>
              <w:rPr>
                <w:rFonts w:ascii="宋体"/>
                <w:sz w:val="18"/>
              </w:rPr>
              <w:t>63.24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11,426,363.24</w:t>
            </w:r>
          </w:p>
        </w:tc>
      </w:tr>
      <w:tr>
        <w:trPr>
          <w:trHeight w:val="478"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11,426,3</w:t>
            </w:r>
          </w:p>
          <w:p>
            <w:pPr>
              <w:pStyle w:val="TableParagraph"/>
              <w:spacing w:line="234" w:lineRule="exact"/>
              <w:ind w:left="427" w:right="0"/>
              <w:jc w:val="left"/>
              <w:rPr>
                <w:rFonts w:ascii="宋体" w:hAnsi="宋体" w:cs="宋体" w:eastAsia="宋体" w:hint="default"/>
                <w:sz w:val="18"/>
                <w:szCs w:val="18"/>
              </w:rPr>
            </w:pPr>
            <w:r>
              <w:rPr>
                <w:rFonts w:ascii="宋体"/>
                <w:sz w:val="18"/>
              </w:rPr>
              <w:t>63.24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11,426,363.24</w:t>
            </w:r>
          </w:p>
        </w:tc>
      </w:tr>
      <w:tr>
        <w:trPr>
          <w:trHeight w:val="24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868,886,423.80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6" w:right="0"/>
              <w:jc w:val="left"/>
              <w:rPr>
                <w:rFonts w:ascii="宋体" w:hAnsi="宋体" w:cs="宋体" w:eastAsia="宋体" w:hint="default"/>
                <w:sz w:val="18"/>
                <w:szCs w:val="18"/>
              </w:rPr>
            </w:pPr>
            <w:r>
              <w:rPr>
                <w:rFonts w:ascii="宋体"/>
                <w:sz w:val="18"/>
              </w:rPr>
              <w:t>2,523,084,865.17</w:t>
            </w:r>
          </w:p>
        </w:tc>
        <w:tc>
          <w:tcPr>
            <w:tcW w:w="5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116,274,949.00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322,580,957.25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sz w:val="18"/>
              </w:rPr>
              <w:t>33,886,640.49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3,864,713,835.71</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434"/>
        <w:gridCol w:w="1606"/>
        <w:gridCol w:w="1702"/>
        <w:gridCol w:w="566"/>
        <w:gridCol w:w="708"/>
        <w:gridCol w:w="994"/>
        <w:gridCol w:w="1560"/>
        <w:gridCol w:w="1558"/>
        <w:gridCol w:w="1418"/>
        <w:gridCol w:w="1841"/>
      </w:tblGrid>
      <w:tr>
        <w:trPr>
          <w:trHeight w:val="250" w:hRule="exact"/>
        </w:trPr>
        <w:tc>
          <w:tcPr>
            <w:tcW w:w="24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4" w:type="dxa"/>
            <w:gridSpan w:val="9"/>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2434" w:type="dxa"/>
            <w:vMerge/>
            <w:tcBorders>
              <w:left w:val="single" w:sz="4" w:space="0" w:color="000000"/>
              <w:right w:val="single" w:sz="4" w:space="0" w:color="000000"/>
            </w:tcBorders>
          </w:tcPr>
          <w:p>
            <w:pPr/>
          </w:p>
        </w:tc>
        <w:tc>
          <w:tcPr>
            <w:tcW w:w="869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970" w:hRule="exact"/>
        </w:trPr>
        <w:tc>
          <w:tcPr>
            <w:tcW w:w="2434" w:type="dxa"/>
            <w:vMerge/>
            <w:tcBorders>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4" w:right="0" w:hanging="84"/>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5"/>
              <w:ind w:left="184" w:right="191"/>
              <w:jc w:val="both"/>
              <w:rPr>
                <w:rFonts w:ascii="宋体" w:hAnsi="宋体" w:cs="宋体" w:eastAsia="宋体" w:hint="default"/>
                <w:sz w:val="18"/>
                <w:szCs w:val="18"/>
              </w:rPr>
            </w:pPr>
            <w:r>
              <w:rPr>
                <w:rFonts w:ascii="宋体" w:hAnsi="宋体" w:cs="宋体" w:eastAsia="宋体" w:hint="default"/>
                <w:sz w:val="18"/>
                <w:szCs w:val="18"/>
              </w:rPr>
              <w:t>库 存 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67" w:right="16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4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center"/>
              <w:rPr>
                <w:rFonts w:ascii="宋体" w:hAnsi="宋体" w:cs="宋体" w:eastAsia="宋体" w:hint="default"/>
                <w:sz w:val="18"/>
                <w:szCs w:val="18"/>
              </w:rPr>
            </w:pPr>
            <w:r>
              <w:rPr>
                <w:rFonts w:ascii="宋体"/>
                <w:sz w:val="18"/>
              </w:rPr>
              <w:t>335,269,708.80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106,365,870.84</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101,417,166.59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166,747,361.69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30,387,974.38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740,188,082.30</w:t>
            </w: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9" w:right="0"/>
              <w:jc w:val="center"/>
              <w:rPr>
                <w:rFonts w:ascii="宋体" w:hAnsi="宋体" w:cs="宋体" w:eastAsia="宋体" w:hint="default"/>
                <w:sz w:val="18"/>
                <w:szCs w:val="18"/>
              </w:rPr>
            </w:pPr>
            <w:r>
              <w:rPr>
                <w:rFonts w:ascii="宋体"/>
                <w:sz w:val="18"/>
              </w:rPr>
              <w:t>335,269,708.80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106,365,870.84</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101,417,166.59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166,747,361.69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30,387,974.38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740,188,082.30</w:t>
            </w:r>
          </w:p>
        </w:tc>
      </w:tr>
      <w:tr>
        <w:trPr>
          <w:trHeight w:val="478"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7,914,876.20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45,627,974.87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-3,472,561.88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50,070,289.19</w:t>
            </w: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53,542,851.07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-3,472,561.88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50,070,289.19</w:t>
            </w:r>
          </w:p>
        </w:tc>
      </w:tr>
      <w:tr>
        <w:trPr>
          <w:trHeight w:val="478"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．其他权益工具持有者投入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6" w:footer="1193" w:top="1280" w:bottom="1380" w:left="1260" w:right="9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2434"/>
        <w:gridCol w:w="1606"/>
        <w:gridCol w:w="1702"/>
        <w:gridCol w:w="566"/>
        <w:gridCol w:w="708"/>
        <w:gridCol w:w="994"/>
        <w:gridCol w:w="1560"/>
        <w:gridCol w:w="1558"/>
        <w:gridCol w:w="1418"/>
        <w:gridCol w:w="1841"/>
      </w:tblGrid>
      <w:tr>
        <w:trPr>
          <w:trHeight w:val="47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7,914,876.20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-7,914,876.20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7,914,876.20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-7,914,876.20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．对所有者（或股东）的分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8" w:right="0"/>
              <w:jc w:val="left"/>
              <w:rPr>
                <w:rFonts w:ascii="宋体" w:hAnsi="宋体" w:cs="宋体" w:eastAsia="宋体" w:hint="default"/>
                <w:sz w:val="18"/>
                <w:szCs w:val="18"/>
              </w:rPr>
            </w:pPr>
            <w:r>
              <w:rPr>
                <w:rFonts w:ascii="宋体"/>
                <w:sz w:val="18"/>
              </w:rPr>
              <w:t>15,483,2</w:t>
            </w:r>
          </w:p>
          <w:p>
            <w:pPr>
              <w:pStyle w:val="TableParagraph"/>
              <w:spacing w:line="234" w:lineRule="exact"/>
              <w:ind w:left="427" w:right="0"/>
              <w:jc w:val="left"/>
              <w:rPr>
                <w:rFonts w:ascii="宋体" w:hAnsi="宋体" w:cs="宋体" w:eastAsia="宋体" w:hint="default"/>
                <w:sz w:val="18"/>
                <w:szCs w:val="18"/>
              </w:rPr>
            </w:pPr>
            <w:r>
              <w:rPr>
                <w:rFonts w:ascii="宋体"/>
                <w:sz w:val="18"/>
              </w:rPr>
              <w:t>61.05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15,483,261.05</w:t>
            </w:r>
          </w:p>
        </w:tc>
      </w:tr>
      <w:tr>
        <w:trPr>
          <w:trHeight w:val="478"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15,483,2</w:t>
            </w:r>
          </w:p>
          <w:p>
            <w:pPr>
              <w:pStyle w:val="TableParagraph"/>
              <w:spacing w:line="240" w:lineRule="auto"/>
              <w:ind w:left="427" w:right="0"/>
              <w:jc w:val="left"/>
              <w:rPr>
                <w:rFonts w:ascii="宋体" w:hAnsi="宋体" w:cs="宋体" w:eastAsia="宋体" w:hint="default"/>
                <w:sz w:val="18"/>
                <w:szCs w:val="18"/>
              </w:rPr>
            </w:pPr>
            <w:r>
              <w:rPr>
                <w:rFonts w:ascii="宋体"/>
                <w:sz w:val="18"/>
              </w:rPr>
              <w:t>61.05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15,483,261.05</w:t>
            </w: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2" w:right="0"/>
              <w:jc w:val="left"/>
              <w:rPr>
                <w:rFonts w:ascii="宋体" w:hAnsi="宋体" w:cs="宋体" w:eastAsia="宋体" w:hint="default"/>
                <w:sz w:val="18"/>
                <w:szCs w:val="18"/>
              </w:rPr>
            </w:pPr>
            <w:r>
              <w:rPr>
                <w:rFonts w:ascii="宋体"/>
                <w:sz w:val="18"/>
              </w:rPr>
              <w:t>335,269,708.80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8" w:right="0"/>
              <w:jc w:val="left"/>
              <w:rPr>
                <w:rFonts w:ascii="宋体" w:hAnsi="宋体" w:cs="宋体" w:eastAsia="宋体" w:hint="default"/>
                <w:sz w:val="18"/>
                <w:szCs w:val="18"/>
              </w:rPr>
            </w:pPr>
            <w:r>
              <w:rPr>
                <w:rFonts w:ascii="宋体"/>
                <w:sz w:val="18"/>
              </w:rPr>
              <w:t>106,365,870.84</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109,332,042.79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212,375,336.56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26,915,412.50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790,258,371.49</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180" w:right="0"/>
        <w:jc w:val="left"/>
      </w:pPr>
      <w:r>
        <w:rPr/>
        <w:t>法定代表人：刘锋杰 主管会计工作负责人：王巧兰</w:t>
      </w:r>
      <w:r>
        <w:rPr>
          <w:spacing w:val="-7"/>
        </w:rPr>
        <w:t> </w:t>
      </w:r>
      <w:r>
        <w:rPr/>
        <w:t>会计机构负责人：曾祥龙</w:t>
      </w:r>
    </w:p>
    <w:p>
      <w:pPr>
        <w:spacing w:after="0" w:line="240" w:lineRule="auto"/>
        <w:jc w:val="left"/>
        <w:sectPr>
          <w:pgSz w:w="16840" w:h="11910" w:orient="landscape"/>
          <w:pgMar w:header="856" w:footer="1193" w:top="1280" w:bottom="1380" w:left="1260" w:right="9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56" w:footer="1193" w:top="1280" w:bottom="1380" w:left="1260" w:right="1100"/>
        </w:sectPr>
      </w:pPr>
    </w:p>
    <w:p>
      <w:pPr>
        <w:spacing w:line="240" w:lineRule="auto" w:before="5"/>
        <w:rPr>
          <w:rFonts w:ascii="宋体" w:hAnsi="宋体" w:cs="宋体" w:eastAsia="宋体" w:hint="default"/>
          <w:sz w:val="18"/>
          <w:szCs w:val="18"/>
        </w:rPr>
      </w:pPr>
    </w:p>
    <w:p>
      <w:pPr>
        <w:spacing w:line="272" w:lineRule="exact" w:before="0"/>
        <w:ind w:left="6344"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tabs>
          <w:tab w:pos="4595" w:val="left" w:leader="none"/>
        </w:tabs>
        <w:spacing w:line="240" w:lineRule="auto" w:before="0"/>
        <w:ind w:left="3649"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280" w:bottom="1380" w:left="1260" w:right="1100"/>
          <w:cols w:num="2" w:equalWidth="0">
            <w:col w:w="8267" w:space="40"/>
            <w:col w:w="6173"/>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465"/>
        <w:gridCol w:w="1561"/>
        <w:gridCol w:w="1702"/>
        <w:gridCol w:w="850"/>
        <w:gridCol w:w="992"/>
        <w:gridCol w:w="1560"/>
        <w:gridCol w:w="1702"/>
        <w:gridCol w:w="1560"/>
        <w:gridCol w:w="1841"/>
      </w:tblGrid>
      <w:tr>
        <w:trPr>
          <w:trHeight w:val="250" w:hRule="exact"/>
        </w:trPr>
        <w:tc>
          <w:tcPr>
            <w:tcW w:w="246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67" w:type="dxa"/>
            <w:gridSpan w:val="8"/>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80" w:hRule="exact"/>
        </w:trPr>
        <w:tc>
          <w:tcPr>
            <w:tcW w:w="2465" w:type="dxa"/>
            <w:vMerge/>
            <w:tcBorders>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5"/>
                <w:sz w:val="18"/>
                <w:szCs w:val="18"/>
              </w:rPr>
              <w:t>：</w:t>
            </w:r>
            <w:r>
              <w:rPr>
                <w:rFonts w:ascii="宋体" w:hAnsi="宋体" w:cs="宋体" w:eastAsia="宋体" w:hint="default"/>
                <w:sz w:val="18"/>
                <w:szCs w:val="18"/>
              </w:rPr>
              <w:t>库存</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收益</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1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0"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81" w:right="0"/>
              <w:jc w:val="center"/>
              <w:rPr>
                <w:rFonts w:ascii="宋体" w:hAnsi="宋体" w:cs="宋体" w:eastAsia="宋体" w:hint="default"/>
                <w:sz w:val="18"/>
                <w:szCs w:val="18"/>
              </w:rPr>
            </w:pPr>
            <w:r>
              <w:rPr>
                <w:rFonts w:ascii="宋体"/>
                <w:sz w:val="18"/>
              </w:rPr>
              <w:t>335,269,708.80</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102,330,717.11</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109,332,042.79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289,705,175.20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836,637,643.90</w:t>
            </w:r>
          </w:p>
        </w:tc>
      </w:tr>
      <w:tr>
        <w:trPr>
          <w:trHeight w:val="250"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1" w:type="dxa"/>
            <w:tcBorders>
              <w:top w:val="single" w:sz="6" w:space="0" w:color="000000"/>
              <w:left w:val="single" w:sz="6"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1" w:type="dxa"/>
            <w:tcBorders>
              <w:top w:val="single" w:sz="6" w:space="0" w:color="000000"/>
              <w:left w:val="single" w:sz="6"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6" w:space="0" w:color="000000"/>
              <w:left w:val="single" w:sz="6"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81" w:right="0"/>
              <w:jc w:val="center"/>
              <w:rPr>
                <w:rFonts w:ascii="宋体" w:hAnsi="宋体" w:cs="宋体" w:eastAsia="宋体" w:hint="default"/>
                <w:sz w:val="18"/>
                <w:szCs w:val="18"/>
              </w:rPr>
            </w:pPr>
            <w:r>
              <w:rPr>
                <w:rFonts w:ascii="宋体"/>
                <w:sz w:val="18"/>
              </w:rPr>
              <w:t>335,269,708.80</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102,330,717.11</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109,332,042.79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289,705,175.20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836,637,643.90</w:t>
            </w:r>
          </w:p>
        </w:tc>
      </w:tr>
      <w:tr>
        <w:trPr>
          <w:trHeight w:val="482"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三、本期增减变动金额（减少</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533,616,715.00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2,416,718,994.33</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6,942,906.21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62,486,155.86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3,019,764,771.40</w:t>
            </w:r>
          </w:p>
        </w:tc>
      </w:tr>
      <w:tr>
        <w:trPr>
          <w:trHeight w:val="24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69,429,062.07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69,429,062.07</w:t>
            </w:r>
          </w:p>
        </w:tc>
      </w:tr>
      <w:tr>
        <w:trPr>
          <w:trHeight w:val="250"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所有者投入和减少资本</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83" w:right="0"/>
              <w:jc w:val="center"/>
              <w:rPr>
                <w:rFonts w:ascii="宋体" w:hAnsi="宋体" w:cs="宋体" w:eastAsia="宋体" w:hint="default"/>
                <w:sz w:val="18"/>
                <w:szCs w:val="18"/>
              </w:rPr>
            </w:pPr>
            <w:r>
              <w:rPr>
                <w:rFonts w:ascii="宋体"/>
                <w:sz w:val="18"/>
              </w:rPr>
              <w:t>533,616,715.00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2,416,718,994.33</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2,950,335,709.33</w:t>
            </w:r>
          </w:p>
        </w:tc>
      </w:tr>
      <w:tr>
        <w:trPr>
          <w:trHeight w:val="24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533,616,715.00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2,416,718,994.33</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2,950,335,709.33</w:t>
            </w:r>
          </w:p>
        </w:tc>
      </w:tr>
      <w:tr>
        <w:trPr>
          <w:trHeight w:val="482"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6,942,906.21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-6,942,906.21</w:t>
            </w: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6,942,906.21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-6,942,906.21</w:t>
            </w: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11,426,363.24</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11,426,363.24</w:t>
            </w:r>
          </w:p>
        </w:tc>
      </w:tr>
      <w:tr>
        <w:trPr>
          <w:trHeight w:val="248"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11,426,363.24</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11,426,363.24</w:t>
            </w:r>
          </w:p>
        </w:tc>
      </w:tr>
      <w:tr>
        <w:trPr>
          <w:trHeight w:val="250"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868,886,423.80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2,519,049,711.44</w:t>
            </w:r>
          </w:p>
        </w:tc>
        <w:tc>
          <w:tcPr>
            <w:tcW w:w="8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116,274,949.00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352,191,331.06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3,856,402,415.30</w:t>
            </w:r>
          </w:p>
        </w:tc>
      </w:tr>
    </w:tbl>
    <w:p>
      <w:pPr>
        <w:spacing w:after="0" w:line="205" w:lineRule="exact"/>
        <w:jc w:val="right"/>
        <w:rPr>
          <w:rFonts w:ascii="宋体" w:hAnsi="宋体" w:cs="宋体" w:eastAsia="宋体" w:hint="default"/>
          <w:sz w:val="18"/>
          <w:szCs w:val="18"/>
        </w:rPr>
        <w:sectPr>
          <w:type w:val="continuous"/>
          <w:pgSz w:w="16840" w:h="11910" w:orient="landscape"/>
          <w:pgMar w:top="1280" w:bottom="1380" w:left="1260" w:right="11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410"/>
        <w:gridCol w:w="1561"/>
        <w:gridCol w:w="1560"/>
        <w:gridCol w:w="991"/>
        <w:gridCol w:w="992"/>
        <w:gridCol w:w="1560"/>
        <w:gridCol w:w="1702"/>
        <w:gridCol w:w="1560"/>
        <w:gridCol w:w="1558"/>
      </w:tblGrid>
      <w:tr>
        <w:trPr>
          <w:trHeight w:val="247" w:hRule="exact"/>
        </w:trPr>
        <w:tc>
          <w:tcPr>
            <w:tcW w:w="2410"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84" w:type="dxa"/>
            <w:gridSpan w:val="8"/>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2" w:hRule="exact"/>
        </w:trPr>
        <w:tc>
          <w:tcPr>
            <w:tcW w:w="2410" w:type="dxa"/>
            <w:vMerge/>
            <w:tcBorders>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收益</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1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1"/>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0"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81" w:right="0"/>
              <w:jc w:val="center"/>
              <w:rPr>
                <w:rFonts w:ascii="宋体" w:hAnsi="宋体" w:cs="宋体" w:eastAsia="宋体" w:hint="default"/>
                <w:sz w:val="18"/>
                <w:szCs w:val="18"/>
              </w:rPr>
            </w:pPr>
            <w:r>
              <w:rPr>
                <w:rFonts w:ascii="宋体"/>
                <w:sz w:val="18"/>
              </w:rPr>
              <w:t>335,269,708.80</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sz w:val="18"/>
              </w:rPr>
              <w:t>102,330,717.11</w:t>
            </w: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101,417,166.59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218,471,289.35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757,488,881.85</w:t>
            </w:r>
          </w:p>
        </w:tc>
      </w:tr>
      <w:tr>
        <w:trPr>
          <w:trHeight w:val="2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1" w:type="dxa"/>
            <w:tcBorders>
              <w:top w:val="single" w:sz="6" w:space="0" w:color="000000"/>
              <w:left w:val="single" w:sz="6"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1" w:type="dxa"/>
            <w:tcBorders>
              <w:top w:val="single" w:sz="6" w:space="0" w:color="000000"/>
              <w:left w:val="single" w:sz="6"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6" w:space="0" w:color="000000"/>
              <w:left w:val="single" w:sz="6"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81" w:right="0"/>
              <w:jc w:val="center"/>
              <w:rPr>
                <w:rFonts w:ascii="宋体" w:hAnsi="宋体" w:cs="宋体" w:eastAsia="宋体" w:hint="default"/>
                <w:sz w:val="18"/>
                <w:szCs w:val="18"/>
              </w:rPr>
            </w:pPr>
            <w:r>
              <w:rPr>
                <w:rFonts w:ascii="宋体"/>
                <w:sz w:val="18"/>
              </w:rPr>
              <w:t>335,269,708.80</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sz w:val="18"/>
              </w:rPr>
              <w:t>102,330,717.11</w:t>
            </w: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101,417,166.59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218,471,289.35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757,488,881.85</w:t>
            </w:r>
          </w:p>
        </w:tc>
      </w:tr>
      <w:tr>
        <w:trPr>
          <w:trHeight w:val="481"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7,914,876.20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71,233,885.85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79,148,762.05</w:t>
            </w:r>
          </w:p>
        </w:tc>
      </w:tr>
      <w:tr>
        <w:trPr>
          <w:trHeight w:val="250"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79,148,762.05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79,148,762.05</w:t>
            </w:r>
          </w:p>
        </w:tc>
      </w:tr>
      <w:tr>
        <w:trPr>
          <w:trHeight w:val="482"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．其他权益工具持有者投入</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．股份支付计入所有者权益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7,914,876.20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-7,914,876.20</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7,914,876.20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-7,914,876.20</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15,483,261.05</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15,483,261.05</w:t>
            </w:r>
          </w:p>
        </w:tc>
      </w:tr>
      <w:tr>
        <w:trPr>
          <w:trHeight w:val="250"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15,483,261.05</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15,483,261.05</w:t>
            </w:r>
          </w:p>
        </w:tc>
      </w:tr>
      <w:tr>
        <w:trPr>
          <w:trHeight w:val="2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335,269,708.80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102,330,717.11</w:t>
            </w: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109,332,042.79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289,705,175.20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836,637,643.90</w:t>
            </w:r>
          </w:p>
        </w:tc>
      </w:tr>
    </w:tbl>
    <w:p>
      <w:pPr>
        <w:spacing w:line="240" w:lineRule="auto" w:before="5"/>
        <w:rPr>
          <w:rFonts w:ascii="宋体" w:hAnsi="宋体" w:cs="宋体" w:eastAsia="宋体" w:hint="default"/>
          <w:sz w:val="15"/>
          <w:szCs w:val="15"/>
        </w:rPr>
      </w:pPr>
    </w:p>
    <w:p>
      <w:pPr>
        <w:pStyle w:val="BodyText"/>
        <w:spacing w:line="240" w:lineRule="auto" w:before="36"/>
        <w:ind w:left="140" w:right="0"/>
        <w:jc w:val="left"/>
      </w:pPr>
      <w:r>
        <w:rPr/>
        <w:t>法定代表人：刘锋杰 主管会计工作负责人：王巧兰</w:t>
      </w:r>
      <w:r>
        <w:rPr>
          <w:spacing w:val="-7"/>
        </w:rPr>
        <w:t> </w:t>
      </w:r>
      <w:r>
        <w:rPr/>
        <w:t>会计机构负责人：曾祥龙</w:t>
      </w:r>
    </w:p>
    <w:p>
      <w:pPr>
        <w:spacing w:after="0" w:line="240" w:lineRule="auto"/>
        <w:jc w:val="left"/>
        <w:sectPr>
          <w:pgSz w:w="16840" w:h="11910" w:orient="landscape"/>
          <w:pgMar w:header="856" w:footer="1193" w:top="1280" w:bottom="1380" w:left="1300" w:right="1380"/>
        </w:sectPr>
      </w:pPr>
    </w:p>
    <w:p>
      <w:pPr>
        <w:spacing w:line="240" w:lineRule="auto" w:before="3"/>
        <w:rPr>
          <w:rFonts w:ascii="宋体" w:hAnsi="宋体" w:cs="宋体" w:eastAsia="宋体" w:hint="default"/>
          <w:sz w:val="17"/>
          <w:szCs w:val="17"/>
        </w:rPr>
      </w:pPr>
    </w:p>
    <w:p>
      <w:pPr>
        <w:pStyle w:val="Heading2"/>
        <w:spacing w:line="240" w:lineRule="auto"/>
        <w:ind w:left="138" w:right="0"/>
        <w:jc w:val="left"/>
        <w:rPr>
          <w:b w:val="0"/>
          <w:bCs w:val="0"/>
        </w:rPr>
      </w:pPr>
      <w:r>
        <w:rPr/>
        <w:t>三、公司基本情况</w:t>
      </w:r>
      <w:r>
        <w:rPr>
          <w:b w:val="0"/>
          <w:bCs w:val="0"/>
        </w:rPr>
      </w:r>
    </w:p>
    <w:p>
      <w:pPr>
        <w:pStyle w:val="BodyText"/>
        <w:tabs>
          <w:tab w:pos="557" w:val="left" w:leader="none"/>
        </w:tabs>
        <w:spacing w:line="333" w:lineRule="auto" w:before="58"/>
        <w:ind w:left="558" w:right="162" w:hanging="420"/>
        <w:jc w:val="left"/>
      </w:pPr>
      <w:r>
        <w:rPr>
          <w:rFonts w:ascii="Calibri" w:hAnsi="Calibri" w:cs="Calibri" w:eastAsia="Calibri" w:hint="default"/>
          <w:b/>
          <w:bCs/>
        </w:rPr>
        <w:t>1.</w:t>
        <w:tab/>
      </w:r>
      <w:r>
        <w:rPr>
          <w:rFonts w:ascii="宋体" w:hAnsi="宋体" w:cs="宋体" w:eastAsia="宋体" w:hint="default"/>
          <w:b/>
          <w:bCs/>
        </w:rPr>
        <w:t>公司概况</w:t>
      </w:r>
      <w:r>
        <w:rPr>
          <w:rFonts w:ascii="宋体" w:hAnsi="宋体" w:cs="宋体" w:eastAsia="宋体" w:hint="default"/>
          <w:b/>
          <w:bCs/>
          <w:w w:val="100"/>
        </w:rPr>
        <w:t> </w:t>
      </w:r>
      <w:r>
        <w:rPr>
          <w:spacing w:val="-2"/>
        </w:rPr>
        <w:t>科达集团股份有限公司</w:t>
      </w:r>
      <w:r>
        <w:rPr>
          <w:rFonts w:ascii="宋体" w:hAnsi="宋体" w:cs="宋体" w:eastAsia="宋体" w:hint="default"/>
          <w:spacing w:val="-2"/>
        </w:rPr>
        <w:t>(</w:t>
      </w:r>
      <w:r>
        <w:rPr>
          <w:spacing w:val="-2"/>
        </w:rPr>
        <w:t>以下简称“公司”或“本公司”</w:t>
      </w:r>
      <w:r>
        <w:rPr>
          <w:rFonts w:ascii="宋体" w:hAnsi="宋体" w:cs="宋体" w:eastAsia="宋体" w:hint="default"/>
          <w:spacing w:val="-2"/>
        </w:rPr>
        <w:t>)</w:t>
      </w:r>
      <w:r>
        <w:rPr>
          <w:spacing w:val="-2"/>
        </w:rPr>
        <w:t>，注册地址：山东省广饶县大王经</w:t>
      </w:r>
    </w:p>
    <w:p>
      <w:pPr>
        <w:pStyle w:val="BodyText"/>
        <w:spacing w:line="314" w:lineRule="auto" w:before="3"/>
        <w:ind w:right="148"/>
        <w:jc w:val="both"/>
      </w:pPr>
      <w:r>
        <w:rPr>
          <w:spacing w:val="-3"/>
        </w:rPr>
        <w:t>济技术开发区，总部地址：山东省东营市府前大街</w:t>
      </w:r>
      <w:r>
        <w:rPr>
          <w:spacing w:val="-28"/>
        </w:rPr>
        <w:t> </w:t>
      </w:r>
      <w:r>
        <w:rPr>
          <w:rFonts w:ascii="宋体" w:hAnsi="宋体" w:cs="宋体" w:eastAsia="宋体" w:hint="default"/>
        </w:rPr>
        <w:t>65</w:t>
      </w:r>
      <w:r>
        <w:rPr>
          <w:rFonts w:ascii="宋体" w:hAnsi="宋体" w:cs="宋体" w:eastAsia="宋体" w:hint="default"/>
          <w:spacing w:val="-29"/>
        </w:rPr>
        <w:t> </w:t>
      </w:r>
      <w:r>
        <w:rPr>
          <w:spacing w:val="-5"/>
        </w:rPr>
        <w:t>号；本公司的业务性质：建筑业、房地产业</w:t>
      </w:r>
      <w:r>
        <w:rPr>
          <w:spacing w:val="-96"/>
        </w:rPr>
        <w:t> </w:t>
      </w:r>
      <w:r>
        <w:rPr>
          <w:spacing w:val="-96"/>
        </w:rPr>
      </w:r>
      <w:r>
        <w:rPr>
          <w:spacing w:val="-2"/>
        </w:rPr>
        <w:t>和互联网业，主要经营活动：市政、公路、污水处理及给排水工程施工；房地产开发、销售；互</w:t>
      </w:r>
      <w:r>
        <w:rPr>
          <w:spacing w:val="-26"/>
        </w:rPr>
        <w:t> </w:t>
      </w:r>
      <w:r>
        <w:rPr>
          <w:spacing w:val="-26"/>
        </w:rPr>
      </w:r>
      <w:r>
        <w:rPr/>
        <w:t>联网营销业务等。</w:t>
      </w:r>
    </w:p>
    <w:p>
      <w:pPr>
        <w:pStyle w:val="BodyText"/>
        <w:spacing w:line="240" w:lineRule="auto" w:before="57"/>
        <w:ind w:left="337" w:right="0"/>
        <w:jc w:val="left"/>
        <w:rPr>
          <w:sz w:val="24"/>
          <w:szCs w:val="24"/>
        </w:rPr>
      </w:pPr>
      <w:r>
        <w:rPr/>
        <w:t>本公司财务报表已于</w:t>
      </w:r>
      <w:r>
        <w:rPr>
          <w:spacing w:val="-52"/>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日经公司董事会批准报出</w:t>
      </w:r>
      <w:r>
        <w:rPr>
          <w:sz w:val="24"/>
          <w:szCs w:val="24"/>
        </w:rPr>
        <w:t>。</w:t>
      </w:r>
    </w:p>
    <w:p>
      <w:pPr>
        <w:spacing w:line="240" w:lineRule="auto" w:before="11"/>
        <w:rPr>
          <w:rFonts w:ascii="宋体" w:hAnsi="宋体" w:cs="宋体" w:eastAsia="宋体" w:hint="default"/>
          <w:sz w:val="25"/>
          <w:szCs w:val="25"/>
        </w:rPr>
      </w:pPr>
    </w:p>
    <w:p>
      <w:pPr>
        <w:pStyle w:val="Heading2"/>
        <w:tabs>
          <w:tab w:pos="557" w:val="left" w:leader="none"/>
        </w:tabs>
        <w:spacing w:line="240" w:lineRule="auto" w:before="0"/>
        <w:ind w:left="138" w:right="0"/>
        <w:jc w:val="left"/>
        <w:rPr>
          <w:b w:val="0"/>
          <w:bCs w:val="0"/>
        </w:rPr>
      </w:pPr>
      <w:r>
        <w:rPr>
          <w:rFonts w:ascii="Calibri" w:hAnsi="Calibri" w:cs="Calibri" w:eastAsia="Calibri" w:hint="default"/>
        </w:rPr>
        <w:t>2.</w:t>
        <w:tab/>
      </w:r>
      <w:r>
        <w:rPr/>
        <w:t>合并财务报表范围</w:t>
      </w:r>
      <w:r>
        <w:rPr>
          <w:b w:val="0"/>
          <w:bCs w:val="0"/>
        </w:rPr>
      </w:r>
    </w:p>
    <w:p>
      <w:pPr>
        <w:pStyle w:val="BodyText"/>
        <w:spacing w:line="240" w:lineRule="auto" w:before="107"/>
        <w:ind w:left="558" w:right="0"/>
        <w:jc w:val="left"/>
      </w:pPr>
      <w:r>
        <w:rPr>
          <w:w w:val="100"/>
        </w:rPr>
        <w:t>本</w:t>
      </w:r>
      <w:r>
        <w:rPr>
          <w:spacing w:val="-3"/>
          <w:w w:val="100"/>
        </w:rPr>
        <w:t>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spacing w:val="-3"/>
          <w:w w:val="100"/>
        </w:rPr>
        <w:t>年</w:t>
      </w:r>
      <w:r>
        <w:rPr>
          <w:w w:val="100"/>
        </w:rPr>
        <w:t>度</w:t>
      </w:r>
      <w:r>
        <w:rPr>
          <w:spacing w:val="-3"/>
          <w:w w:val="100"/>
        </w:rPr>
        <w:t>纳</w:t>
      </w:r>
      <w:r>
        <w:rPr>
          <w:w w:val="100"/>
        </w:rPr>
        <w:t>入</w:t>
      </w:r>
      <w:r>
        <w:rPr>
          <w:spacing w:val="-3"/>
          <w:w w:val="100"/>
        </w:rPr>
        <w:t>合并</w:t>
      </w:r>
      <w:r>
        <w:rPr>
          <w:w w:val="100"/>
        </w:rPr>
        <w:t>范围</w:t>
      </w:r>
      <w:r>
        <w:rPr>
          <w:spacing w:val="-3"/>
          <w:w w:val="100"/>
        </w:rPr>
        <w:t>的</w:t>
      </w:r>
      <w:r>
        <w:rPr>
          <w:w w:val="100"/>
        </w:rPr>
        <w:t>子</w:t>
      </w:r>
      <w:r>
        <w:rPr>
          <w:spacing w:val="-3"/>
          <w:w w:val="100"/>
        </w:rPr>
        <w:t>公司</w:t>
      </w:r>
      <w:r>
        <w:rPr>
          <w:w w:val="100"/>
        </w:rPr>
        <w:t>共</w:t>
      </w:r>
      <w:r>
        <w:rPr>
          <w:spacing w:val="-53"/>
        </w:rPr>
        <w:t> </w:t>
      </w:r>
      <w:r>
        <w:rPr>
          <w:rFonts w:ascii="宋体" w:hAnsi="宋体" w:cs="宋体" w:eastAsia="宋体" w:hint="default"/>
          <w:w w:val="100"/>
        </w:rPr>
        <w:t>26</w:t>
      </w:r>
      <w:r>
        <w:rPr>
          <w:rFonts w:ascii="宋体" w:hAnsi="宋体" w:cs="宋体" w:eastAsia="宋体" w:hint="default"/>
          <w:spacing w:val="-55"/>
        </w:rPr>
        <w:t> </w:t>
      </w:r>
      <w:r>
        <w:rPr>
          <w:w w:val="100"/>
        </w:rPr>
        <w:t>户</w:t>
      </w:r>
      <w:r>
        <w:rPr>
          <w:spacing w:val="-32"/>
          <w:w w:val="100"/>
        </w:rPr>
        <w:t>，</w:t>
      </w:r>
      <w:r>
        <w:rPr>
          <w:spacing w:val="-3"/>
          <w:w w:val="100"/>
        </w:rPr>
        <w:t>详</w:t>
      </w:r>
      <w:r>
        <w:rPr>
          <w:w w:val="100"/>
        </w:rPr>
        <w:t>见本</w:t>
      </w:r>
      <w:r>
        <w:rPr>
          <w:spacing w:val="-3"/>
          <w:w w:val="100"/>
        </w:rPr>
        <w:t>附</w:t>
      </w:r>
      <w:r>
        <w:rPr>
          <w:spacing w:val="-1"/>
          <w:w w:val="100"/>
        </w:rPr>
        <w:t>注</w:t>
      </w:r>
      <w:r>
        <w:rPr>
          <w:spacing w:val="-34"/>
          <w:w w:val="100"/>
        </w:rPr>
        <w:t>九</w:t>
      </w:r>
      <w:r>
        <w:rPr>
          <w:w w:val="100"/>
        </w:rPr>
        <w:t>“</w:t>
      </w:r>
      <w:r>
        <w:rPr>
          <w:spacing w:val="-3"/>
          <w:w w:val="100"/>
        </w:rPr>
        <w:t>在</w:t>
      </w:r>
      <w:r>
        <w:rPr>
          <w:w w:val="100"/>
        </w:rPr>
        <w:t>其</w:t>
      </w:r>
      <w:r>
        <w:rPr>
          <w:spacing w:val="-3"/>
          <w:w w:val="100"/>
        </w:rPr>
        <w:t>他</w:t>
      </w:r>
      <w:r>
        <w:rPr>
          <w:w w:val="100"/>
        </w:rPr>
        <w:t>主</w:t>
      </w:r>
      <w:r>
        <w:rPr>
          <w:spacing w:val="-3"/>
          <w:w w:val="100"/>
        </w:rPr>
        <w:t>体</w:t>
      </w:r>
      <w:r>
        <w:rPr>
          <w:w w:val="100"/>
        </w:rPr>
        <w:t>中的</w:t>
      </w:r>
      <w:r>
        <w:rPr>
          <w:spacing w:val="-3"/>
          <w:w w:val="100"/>
        </w:rPr>
        <w:t>权</w:t>
      </w:r>
      <w:r>
        <w:rPr>
          <w:w w:val="100"/>
        </w:rPr>
        <w:t>益</w:t>
      </w:r>
      <w:r>
        <w:rPr>
          <w:spacing w:val="-106"/>
          <w:w w:val="100"/>
        </w:rPr>
        <w:t>”</w:t>
      </w:r>
      <w:r>
        <w:rPr>
          <w:spacing w:val="-34"/>
          <w:w w:val="100"/>
        </w:rPr>
        <w:t>。本</w:t>
      </w:r>
      <w:r>
        <w:rPr>
          <w:w w:val="100"/>
        </w:rPr>
      </w:r>
    </w:p>
    <w:p>
      <w:pPr>
        <w:pStyle w:val="BodyText"/>
        <w:spacing w:line="240" w:lineRule="auto" w:before="85"/>
        <w:ind w:right="0"/>
        <w:jc w:val="left"/>
      </w:pPr>
      <w:r>
        <w:rPr>
          <w:w w:val="100"/>
        </w:rPr>
        <w:t>公司</w:t>
      </w:r>
      <w:r>
        <w:rPr>
          <w:spacing w:val="-3"/>
          <w:w w:val="100"/>
        </w:rPr>
        <w:t>本</w:t>
      </w:r>
      <w:r>
        <w:rPr>
          <w:w w:val="100"/>
        </w:rPr>
        <w:t>年</w:t>
      </w:r>
      <w:r>
        <w:rPr>
          <w:spacing w:val="-3"/>
          <w:w w:val="100"/>
        </w:rPr>
        <w:t>度</w:t>
      </w:r>
      <w:r>
        <w:rPr>
          <w:w w:val="100"/>
        </w:rPr>
        <w:t>合</w:t>
      </w:r>
      <w:r>
        <w:rPr>
          <w:spacing w:val="-3"/>
          <w:w w:val="100"/>
        </w:rPr>
        <w:t>并</w:t>
      </w:r>
      <w:r>
        <w:rPr>
          <w:w w:val="100"/>
        </w:rPr>
        <w:t>范</w:t>
      </w:r>
      <w:r>
        <w:rPr>
          <w:spacing w:val="-3"/>
          <w:w w:val="100"/>
        </w:rPr>
        <w:t>围</w:t>
      </w:r>
      <w:r>
        <w:rPr>
          <w:w w:val="100"/>
        </w:rPr>
        <w:t>与</w:t>
      </w:r>
      <w:r>
        <w:rPr>
          <w:spacing w:val="-3"/>
          <w:w w:val="100"/>
        </w:rPr>
        <w:t>上</w:t>
      </w:r>
      <w:r>
        <w:rPr>
          <w:w w:val="100"/>
        </w:rPr>
        <w:t>年度</w:t>
      </w:r>
      <w:r>
        <w:rPr>
          <w:spacing w:val="-3"/>
          <w:w w:val="100"/>
        </w:rPr>
        <w:t>相</w:t>
      </w:r>
      <w:r>
        <w:rPr>
          <w:w w:val="100"/>
        </w:rPr>
        <w:t>比</w:t>
      </w:r>
      <w:r>
        <w:rPr>
          <w:spacing w:val="-3"/>
          <w:w w:val="100"/>
        </w:rPr>
        <w:t>增</w:t>
      </w:r>
      <w:r>
        <w:rPr>
          <w:w w:val="100"/>
        </w:rPr>
        <w:t>加</w:t>
      </w:r>
      <w:r>
        <w:rPr>
          <w:spacing w:val="-53"/>
        </w:rPr>
        <w:t> </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53"/>
        </w:rPr>
        <w:t> </w:t>
      </w:r>
      <w:r>
        <w:rPr>
          <w:spacing w:val="-3"/>
          <w:w w:val="100"/>
        </w:rPr>
        <w:t>户</w:t>
      </w:r>
      <w:r>
        <w:rPr>
          <w:w w:val="100"/>
        </w:rPr>
        <w:t>，</w:t>
      </w:r>
      <w:r>
        <w:rPr>
          <w:spacing w:val="-3"/>
          <w:w w:val="100"/>
        </w:rPr>
        <w:t>详见</w:t>
      </w:r>
      <w:r>
        <w:rPr>
          <w:w w:val="100"/>
        </w:rPr>
        <w:t>本附</w:t>
      </w:r>
      <w:r>
        <w:rPr>
          <w:spacing w:val="-3"/>
          <w:w w:val="100"/>
        </w:rPr>
        <w:t>注</w:t>
      </w:r>
      <w:r>
        <w:rPr>
          <w:w w:val="100"/>
        </w:rPr>
        <w:t>八</w:t>
      </w:r>
      <w:r>
        <w:rPr>
          <w:spacing w:val="-3"/>
          <w:w w:val="100"/>
        </w:rPr>
        <w:t>“</w:t>
      </w:r>
      <w:r>
        <w:rPr>
          <w:w w:val="100"/>
        </w:rPr>
        <w:t>合</w:t>
      </w:r>
      <w:r>
        <w:rPr>
          <w:spacing w:val="-3"/>
          <w:w w:val="100"/>
        </w:rPr>
        <w:t>并</w:t>
      </w:r>
      <w:r>
        <w:rPr>
          <w:w w:val="100"/>
        </w:rPr>
        <w:t>范</w:t>
      </w:r>
      <w:r>
        <w:rPr>
          <w:spacing w:val="-3"/>
          <w:w w:val="100"/>
        </w:rPr>
        <w:t>围</w:t>
      </w:r>
      <w:r>
        <w:rPr>
          <w:w w:val="100"/>
        </w:rPr>
        <w:t>的</w:t>
      </w:r>
      <w:r>
        <w:rPr>
          <w:spacing w:val="-3"/>
          <w:w w:val="100"/>
        </w:rPr>
        <w:t>变</w:t>
      </w:r>
      <w:r>
        <w:rPr>
          <w:w w:val="100"/>
        </w:rPr>
        <w:t>更</w:t>
      </w:r>
      <w:r>
        <w:rPr>
          <w:spacing w:val="-106"/>
          <w:w w:val="100"/>
        </w:rPr>
        <w:t>”</w:t>
      </w:r>
      <w:r>
        <w:rPr>
          <w:w w:val="100"/>
        </w:rPr>
        <w:t>。</w:t>
      </w:r>
    </w:p>
    <w:p>
      <w:pPr>
        <w:spacing w:line="240" w:lineRule="auto" w:before="2"/>
        <w:rPr>
          <w:rFonts w:ascii="宋体" w:hAnsi="宋体" w:cs="宋体" w:eastAsia="宋体" w:hint="default"/>
          <w:sz w:val="26"/>
          <w:szCs w:val="26"/>
        </w:rPr>
      </w:pPr>
    </w:p>
    <w:p>
      <w:pPr>
        <w:pStyle w:val="Heading2"/>
        <w:spacing w:line="240" w:lineRule="auto" w:before="0"/>
        <w:ind w:left="138" w:right="0"/>
        <w:jc w:val="left"/>
        <w:rPr>
          <w:b w:val="0"/>
          <w:bCs w:val="0"/>
        </w:rPr>
      </w:pPr>
      <w:r>
        <w:rPr/>
        <w:t>四、财务报表的编制基础</w:t>
      </w:r>
      <w:r>
        <w:rPr>
          <w:b w:val="0"/>
          <w:bCs w:val="0"/>
        </w:rPr>
      </w:r>
    </w:p>
    <w:p>
      <w:pPr>
        <w:tabs>
          <w:tab w:pos="562" w:val="left" w:leader="none"/>
        </w:tabs>
        <w:spacing w:line="266" w:lineRule="auto" w:before="56"/>
        <w:ind w:left="138" w:right="5202" w:firstLine="0"/>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本公司财务报表以持续经营为编制基础。</w:t>
      </w:r>
    </w:p>
    <w:p>
      <w:pPr>
        <w:spacing w:line="240" w:lineRule="auto" w:before="6"/>
        <w:rPr>
          <w:rFonts w:ascii="宋体" w:hAnsi="宋体" w:cs="宋体" w:eastAsia="宋体" w:hint="default"/>
          <w:sz w:val="23"/>
          <w:szCs w:val="23"/>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29"/>
        <w:ind w:left="558" w:right="0"/>
        <w:jc w:val="left"/>
      </w:pPr>
      <w:r>
        <w:rPr/>
        <w:t>公司自本报告期末至少</w:t>
      </w:r>
      <w:r>
        <w:rPr>
          <w:spacing w:val="-54"/>
        </w:rPr>
        <w:t> </w:t>
      </w:r>
      <w:r>
        <w:rPr>
          <w:rFonts w:ascii="宋体" w:hAnsi="宋体" w:cs="宋体" w:eastAsia="宋体" w:hint="default"/>
        </w:rPr>
        <w:t>12</w:t>
      </w:r>
      <w:r>
        <w:rPr>
          <w:rFonts w:ascii="宋体" w:hAnsi="宋体" w:cs="宋体" w:eastAsia="宋体" w:hint="default"/>
          <w:spacing w:val="-57"/>
        </w:rPr>
        <w:t> </w:t>
      </w:r>
      <w:r>
        <w:rPr/>
        <w:t>个月内具备持续经营能力，无影响持续经营能力的重大事项。</w:t>
      </w:r>
    </w:p>
    <w:p>
      <w:pPr>
        <w:spacing w:line="240" w:lineRule="auto" w:before="3"/>
        <w:rPr>
          <w:rFonts w:ascii="宋体" w:hAnsi="宋体" w:cs="宋体" w:eastAsia="宋体" w:hint="default"/>
          <w:sz w:val="25"/>
          <w:szCs w:val="25"/>
        </w:rPr>
      </w:pPr>
    </w:p>
    <w:p>
      <w:pPr>
        <w:spacing w:line="290" w:lineRule="auto" w:before="0"/>
        <w:ind w:left="138" w:right="348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314" w:lineRule="auto" w:before="29"/>
        <w:ind w:right="0" w:firstLine="419"/>
        <w:jc w:val="left"/>
      </w:pPr>
      <w:r>
        <w:rPr>
          <w:spacing w:val="-2"/>
        </w:rPr>
        <w:t>本公司根据实际生产经营特点，依据相关企业会计准则的规定，对收入确认等交易和事项制</w:t>
      </w:r>
      <w:r>
        <w:rPr>
          <w:w w:val="100"/>
        </w:rPr>
        <w:t> </w:t>
      </w:r>
      <w:r>
        <w:rPr/>
        <w:t>定了若干项具体会计政策和会计估计，详见本附注五、</w:t>
      </w:r>
      <w:r>
        <w:rPr>
          <w:rFonts w:ascii="宋体" w:hAnsi="宋体" w:cs="宋体" w:eastAsia="宋体" w:hint="default"/>
        </w:rPr>
        <w:t>23</w:t>
      </w:r>
      <w:r>
        <w:rPr/>
        <w:t>“收入”各项描述。</w:t>
      </w:r>
    </w:p>
    <w:p>
      <w:pPr>
        <w:pStyle w:val="BodyText"/>
        <w:tabs>
          <w:tab w:pos="562" w:val="left" w:leader="none"/>
        </w:tabs>
        <w:spacing w:line="252" w:lineRule="auto" w:before="3"/>
        <w:ind w:right="158"/>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100"/>
        </w:rPr>
        <w:t> </w:t>
      </w: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p>
    <w:p>
      <w:pPr>
        <w:spacing w:line="240" w:lineRule="auto" w:before="5"/>
        <w:rPr>
          <w:rFonts w:ascii="宋体" w:hAnsi="宋体" w:cs="宋体" w:eastAsia="宋体" w:hint="default"/>
          <w:sz w:val="24"/>
          <w:szCs w:val="24"/>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29"/>
        <w:ind w:right="0"/>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BodyText"/>
        <w:tabs>
          <w:tab w:pos="562" w:val="left" w:leader="none"/>
        </w:tabs>
        <w:spacing w:line="326" w:lineRule="auto" w:before="0"/>
        <w:ind w:left="558" w:right="158" w:hanging="420"/>
        <w:jc w:val="left"/>
      </w:pPr>
      <w:r>
        <w:rPr>
          <w:rFonts w:ascii="Calibri" w:hAnsi="Calibri" w:cs="Calibri" w:eastAsia="Calibri" w:hint="default"/>
          <w:b/>
          <w:bCs/>
        </w:rPr>
        <w:t>3.</w:t>
        <w:tab/>
        <w:tab/>
      </w:r>
      <w:r>
        <w:rPr>
          <w:rFonts w:ascii="宋体" w:hAnsi="宋体" w:cs="宋体" w:eastAsia="宋体" w:hint="default"/>
          <w:b/>
          <w:bCs/>
        </w:rPr>
        <w:t>营业周期</w:t>
      </w:r>
      <w:r>
        <w:rPr>
          <w:rFonts w:ascii="宋体" w:hAnsi="宋体" w:cs="宋体" w:eastAsia="宋体" w:hint="default"/>
          <w:b/>
          <w:bCs/>
          <w:w w:val="100"/>
        </w:rPr>
        <w:t> </w:t>
      </w:r>
      <w:r>
        <w:rPr>
          <w:spacing w:val="-2"/>
        </w:rPr>
        <w:t>正常营业周期是指本公司从购买用于经营的资产起至实现现金或现金等价物的期间。本公司</w:t>
      </w:r>
    </w:p>
    <w:p>
      <w:pPr>
        <w:pStyle w:val="BodyText"/>
        <w:spacing w:line="240" w:lineRule="auto" w:before="9"/>
        <w:ind w:right="0"/>
        <w:jc w:val="left"/>
      </w:pPr>
      <w:r>
        <w:rPr/>
        <w:t>以</w:t>
      </w:r>
      <w:r>
        <w:rPr>
          <w:spacing w:val="-55"/>
        </w:rPr>
        <w:t> </w:t>
      </w:r>
      <w:r>
        <w:rPr>
          <w:rFonts w:ascii="宋体" w:hAnsi="宋体" w:cs="宋体" w:eastAsia="宋体" w:hint="default"/>
        </w:rPr>
        <w:t>12</w:t>
      </w:r>
      <w:r>
        <w:rPr>
          <w:rFonts w:ascii="宋体" w:hAnsi="宋体" w:cs="宋体" w:eastAsia="宋体" w:hint="default"/>
          <w:spacing w:val="-57"/>
        </w:rPr>
        <w:t> </w:t>
      </w:r>
      <w:r>
        <w:rPr/>
        <w:t>个月作为一个营业周期，并以其作为资产和负债的流动性划分标准。</w:t>
      </w:r>
    </w:p>
    <w:p>
      <w:pPr>
        <w:spacing w:line="240" w:lineRule="auto" w:before="12"/>
        <w:rPr>
          <w:rFonts w:ascii="宋体" w:hAnsi="宋体" w:cs="宋体" w:eastAsia="宋体" w:hint="default"/>
          <w:sz w:val="25"/>
          <w:szCs w:val="25"/>
        </w:rPr>
      </w:pPr>
    </w:p>
    <w:p>
      <w:pPr>
        <w:tabs>
          <w:tab w:pos="562" w:val="left" w:leader="none"/>
        </w:tabs>
        <w:spacing w:line="266" w:lineRule="auto" w:before="0"/>
        <w:ind w:left="138" w:right="6041"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6"/>
        <w:rPr>
          <w:rFonts w:ascii="宋体" w:hAnsi="宋体" w:cs="宋体" w:eastAsia="宋体" w:hint="default"/>
          <w:sz w:val="23"/>
          <w:szCs w:val="23"/>
        </w:rPr>
      </w:pPr>
    </w:p>
    <w:p>
      <w:pPr>
        <w:tabs>
          <w:tab w:pos="562" w:val="left" w:leader="none"/>
        </w:tabs>
        <w:spacing w:line="324" w:lineRule="auto" w:before="0"/>
        <w:ind w:left="558" w:right="2469" w:hanging="420"/>
        <w:jc w:val="left"/>
        <w:rPr>
          <w:rFonts w:ascii="宋体" w:hAnsi="宋体" w:cs="宋体" w:eastAsia="宋体" w:hint="default"/>
          <w:sz w:val="21"/>
          <w:szCs w:val="21"/>
        </w:rPr>
      </w:pPr>
      <w:r>
        <w:rPr>
          <w:rFonts w:ascii="Calibri" w:hAnsi="Calibri" w:cs="Calibri" w:eastAsia="Calibri" w:hint="default"/>
          <w:b/>
          <w:bCs/>
          <w:sz w:val="21"/>
          <w:szCs w:val="21"/>
        </w:rPr>
        <w:t>5.</w:t>
        <w:tab/>
        <w:tab/>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企业合并分为同一控制下的企业合并和非同一控制下的企业合并。</w:t>
      </w:r>
    </w:p>
    <w:p>
      <w:pPr>
        <w:pStyle w:val="BodyText"/>
        <w:spacing w:line="240" w:lineRule="auto" w:before="12"/>
        <w:ind w:left="558" w:right="0"/>
        <w:jc w:val="left"/>
      </w:pPr>
      <w:r>
        <w:rPr/>
        <w:t>（</w:t>
      </w:r>
      <w:r>
        <w:rPr>
          <w:rFonts w:ascii="宋体" w:hAnsi="宋体" w:cs="宋体" w:eastAsia="宋体" w:hint="default"/>
        </w:rPr>
        <w:t>1</w:t>
      </w:r>
      <w:r>
        <w:rPr/>
        <w:t>）同一控制下的企业合并</w:t>
      </w:r>
    </w:p>
    <w:p>
      <w:pPr>
        <w:spacing w:after="0" w:line="240" w:lineRule="auto"/>
        <w:jc w:val="left"/>
        <w:sectPr>
          <w:headerReference w:type="default" r:id="rId41"/>
          <w:footerReference w:type="default" r:id="rId42"/>
          <w:pgSz w:w="11910" w:h="16840"/>
          <w:pgMar w:header="856" w:footer="1193" w:top="1280" w:bottom="1380" w:left="1660" w:right="1120"/>
        </w:sectPr>
      </w:pPr>
    </w:p>
    <w:p>
      <w:pPr>
        <w:spacing w:line="240" w:lineRule="auto" w:before="7"/>
        <w:rPr>
          <w:rFonts w:ascii="宋体" w:hAnsi="宋体" w:cs="宋体" w:eastAsia="宋体" w:hint="default"/>
          <w:sz w:val="18"/>
          <w:szCs w:val="18"/>
        </w:rPr>
      </w:pPr>
    </w:p>
    <w:p>
      <w:pPr>
        <w:pStyle w:val="BodyText"/>
        <w:spacing w:line="314" w:lineRule="auto" w:before="36"/>
        <w:ind w:right="99" w:firstLine="419"/>
        <w:jc w:val="left"/>
      </w:pPr>
      <w:r>
        <w:rPr>
          <w:spacing w:val="-2"/>
        </w:rPr>
        <w:t>参与合并的企业在合并前后均受同一方或相同的多方最终控制，且该控制并非暂时性的，为</w:t>
      </w:r>
      <w:r>
        <w:rPr>
          <w:w w:val="100"/>
        </w:rPr>
        <w:t> </w:t>
      </w:r>
      <w:r>
        <w:rPr/>
        <w:t>同一控制下的企业合并。</w:t>
      </w:r>
    </w:p>
    <w:p>
      <w:pPr>
        <w:pStyle w:val="BodyText"/>
        <w:spacing w:line="314" w:lineRule="auto"/>
        <w:ind w:right="208" w:firstLine="419"/>
        <w:jc w:val="both"/>
      </w:pPr>
      <w:r>
        <w:rPr>
          <w:spacing w:val="-2"/>
        </w:rPr>
        <w:t>在企业合并中取得的资产和负债，按合并日其在被合并方的账面价值计量。合并方取得的净</w:t>
      </w:r>
      <w:r>
        <w:rPr>
          <w:w w:val="100"/>
        </w:rPr>
        <w:t> </w:t>
      </w:r>
      <w:r>
        <w:rPr>
          <w:spacing w:val="-4"/>
          <w:w w:val="100"/>
        </w:rPr>
        <w:t>资产账面价值与支付的合并对价的账面价值</w:t>
      </w:r>
      <w:r>
        <w:rPr>
          <w:rFonts w:ascii="宋体" w:hAnsi="宋体" w:cs="宋体" w:eastAsia="宋体" w:hint="default"/>
          <w:spacing w:val="-4"/>
          <w:w w:val="100"/>
        </w:rPr>
        <w:t>/</w:t>
      </w:r>
      <w:r>
        <w:rPr>
          <w:spacing w:val="-4"/>
          <w:w w:val="100"/>
        </w:rPr>
        <w:t>发行股份面值总额的差额，调整资本公积中的股本溢</w:t>
      </w:r>
      <w:r>
        <w:rPr>
          <w:spacing w:val="-86"/>
          <w:w w:val="100"/>
        </w:rPr>
        <w:t> </w:t>
      </w:r>
      <w:r>
        <w:rPr>
          <w:spacing w:val="-86"/>
          <w:w w:val="100"/>
        </w:rPr>
      </w:r>
      <w:r>
        <w:rPr/>
        <w:t>价，股本溢价不足冲减的则调整留存收益。</w:t>
      </w:r>
    </w:p>
    <w:p>
      <w:pPr>
        <w:pStyle w:val="BodyText"/>
        <w:spacing w:line="240" w:lineRule="auto"/>
        <w:ind w:left="337" w:right="99"/>
        <w:jc w:val="left"/>
      </w:pPr>
      <w:r>
        <w:rPr/>
        <w:t>进行企业合并发生的各项直接费用，于发生时计入当期损益。</w:t>
      </w:r>
    </w:p>
    <w:p>
      <w:pPr>
        <w:pStyle w:val="BodyText"/>
        <w:spacing w:line="314" w:lineRule="auto" w:before="85"/>
        <w:ind w:left="558" w:right="99" w:hanging="221"/>
        <w:jc w:val="left"/>
      </w:pPr>
      <w:r>
        <w:rPr/>
        <w:t>（</w:t>
      </w:r>
      <w:r>
        <w:rPr>
          <w:rFonts w:ascii="宋体" w:hAnsi="宋体" w:cs="宋体" w:eastAsia="宋体" w:hint="default"/>
        </w:rPr>
        <w:t>2</w:t>
      </w:r>
      <w:r>
        <w:rPr/>
        <w:t>）非同一控制下的企业合并</w:t>
      </w:r>
      <w:r>
        <w:rPr>
          <w:w w:val="100"/>
        </w:rPr>
        <w:t> </w:t>
      </w:r>
      <w:r>
        <w:rPr>
          <w:spacing w:val="-4"/>
          <w:w w:val="100"/>
        </w:rPr>
        <w:t>参与合并的企业在合并前后不受同一方或相同的多方最终控制，为非同一控制下的企业合并。</w:t>
      </w:r>
      <w:r>
        <w:rPr>
          <w:w w:val="100"/>
        </w:rPr>
        <w:t> </w:t>
      </w:r>
      <w:r>
        <w:rPr/>
        <w:t>合并成本指购买方为取得被购买方的控制权而付出的资产、发生或承担的负债和发行的权益</w:t>
      </w:r>
    </w:p>
    <w:p>
      <w:pPr>
        <w:pStyle w:val="BodyText"/>
        <w:spacing w:line="314" w:lineRule="auto"/>
        <w:ind w:right="217"/>
        <w:jc w:val="both"/>
      </w:pPr>
      <w:r>
        <w:rPr>
          <w:spacing w:val="-2"/>
        </w:rPr>
        <w:t>性工具的公允价值。购买方为企业合并发生的审计、法律服务、评估咨询等中介费用以及其他相</w:t>
      </w:r>
      <w:r>
        <w:rPr>
          <w:spacing w:val="-26"/>
        </w:rPr>
        <w:t> </w:t>
      </w:r>
      <w:r>
        <w:rPr>
          <w:spacing w:val="-26"/>
        </w:rPr>
      </w:r>
      <w:r>
        <w:rPr>
          <w:spacing w:val="-2"/>
        </w:rPr>
        <w:t>关管理费用，于发生时计入当期损益。通过多次交易分步实现非同一控制下的企业合并的，合并</w:t>
      </w:r>
      <w:r>
        <w:rPr>
          <w:spacing w:val="-25"/>
        </w:rPr>
        <w:t> </w:t>
      </w:r>
      <w:r>
        <w:rPr>
          <w:spacing w:val="-25"/>
        </w:rPr>
      </w:r>
      <w:r>
        <w:rPr>
          <w:spacing w:val="-2"/>
        </w:rPr>
        <w:t>成本为购买日支付的对价与购买日之前已经持有的被购买方的股权在购买日的公允价值之和。对</w:t>
      </w:r>
      <w:r>
        <w:rPr>
          <w:spacing w:val="-25"/>
        </w:rPr>
        <w:t> </w:t>
      </w:r>
      <w:r>
        <w:rPr>
          <w:spacing w:val="-25"/>
        </w:rPr>
      </w:r>
      <w:r>
        <w:rPr>
          <w:spacing w:val="-2"/>
        </w:rPr>
        <w:t>于购买日之前已经持有的被购买方的股权，按照购买日的公允价值进行重新计量，公允价值与其</w:t>
      </w:r>
      <w:r>
        <w:rPr>
          <w:spacing w:val="-25"/>
        </w:rPr>
        <w:t> </w:t>
      </w:r>
      <w:r>
        <w:rPr>
          <w:spacing w:val="-25"/>
        </w:rPr>
      </w:r>
      <w:r>
        <w:rPr>
          <w:spacing w:val="-2"/>
        </w:rPr>
        <w:t>账面价值之间的差额计入当期投资收益；购买日之前已经持有的被购买方的股权涉及其他综合收</w:t>
      </w:r>
      <w:r>
        <w:rPr>
          <w:spacing w:val="-25"/>
        </w:rPr>
        <w:t> </w:t>
      </w:r>
      <w:r>
        <w:rPr>
          <w:spacing w:val="-25"/>
        </w:rPr>
      </w:r>
      <w:r>
        <w:rPr/>
        <w:t>益的，与其相关的其他综合收益转为购买日当期投资收益。</w:t>
      </w:r>
    </w:p>
    <w:p>
      <w:pPr>
        <w:pStyle w:val="BodyText"/>
        <w:spacing w:line="314" w:lineRule="auto"/>
        <w:ind w:right="99" w:firstLine="419"/>
        <w:jc w:val="left"/>
      </w:pPr>
      <w:r>
        <w:rPr/>
        <w:t>购买方在合并中所取得的被购买方符合确认条件的可辨认资产、负债及或有负债在购买日以</w:t>
      </w:r>
      <w:r>
        <w:rPr>
          <w:w w:val="100"/>
        </w:rPr>
        <w:t> </w:t>
      </w:r>
      <w:r>
        <w:rPr/>
        <w:t>公允价值计量。合并成本大于合并中取得的被购买方可辨认净资产公允价值份额的差额，作为一</w:t>
      </w:r>
      <w:r>
        <w:rPr>
          <w:w w:val="100"/>
        </w:rPr>
        <w:t> </w:t>
      </w:r>
      <w:r>
        <w:rPr/>
        <w:t>项资产确认为商誉并按成本进行初始计量。合并成本小于合并中取得的被购买方可辨认净资产公</w:t>
      </w:r>
      <w:r>
        <w:rPr>
          <w:w w:val="100"/>
        </w:rPr>
        <w:t> </w:t>
      </w:r>
      <w:r>
        <w:rPr/>
        <w:t>允价值份额的，首先对取得的被购买方各项可辨认资产、负债及或有负债的公允价值以及合并成</w:t>
      </w:r>
      <w:r>
        <w:rPr>
          <w:w w:val="100"/>
        </w:rPr>
        <w:t> </w:t>
      </w:r>
      <w:r>
        <w:rPr>
          <w:spacing w:val="-4"/>
          <w:w w:val="100"/>
        </w:rPr>
        <w:t>本的计量进行复核，复核后合并成本仍小于合并中取得的被购买方可辨认净资产公允价值份额的，</w:t>
      </w:r>
      <w:r>
        <w:rPr>
          <w:spacing w:val="-82"/>
          <w:w w:val="100"/>
        </w:rPr>
        <w:t> </w:t>
      </w:r>
      <w:r>
        <w:rPr>
          <w:spacing w:val="-82"/>
          <w:w w:val="100"/>
        </w:rPr>
      </w:r>
      <w:r>
        <w:rPr/>
        <w:t>计入当期损益。</w:t>
      </w:r>
    </w:p>
    <w:p>
      <w:pPr>
        <w:pStyle w:val="BodyText"/>
        <w:spacing w:line="314" w:lineRule="auto"/>
        <w:ind w:right="99" w:firstLine="199"/>
        <w:jc w:val="left"/>
      </w:pPr>
      <w:r>
        <w:rPr>
          <w:spacing w:val="-2"/>
        </w:rPr>
        <w:t>因企业合并形成的商誉在合并财务报表中单独列报，并按照成本扣除累计减值准备后的金额计</w:t>
      </w:r>
      <w:r>
        <w:rPr>
          <w:w w:val="100"/>
        </w:rPr>
        <w:t> </w:t>
      </w:r>
      <w:r>
        <w:rPr/>
        <w:t>量。</w:t>
      </w:r>
      <w:r>
        <w:rPr>
          <w:spacing w:val="-2"/>
        </w:rPr>
        <w:t> </w:t>
      </w:r>
      <w:r>
        <w:rPr/>
        <w:t>商誉至少在每年年度终了进行减值测试。</w:t>
      </w:r>
    </w:p>
    <w:p>
      <w:pPr>
        <w:spacing w:line="240" w:lineRule="auto" w:before="2"/>
        <w:rPr>
          <w:rFonts w:ascii="宋体" w:hAnsi="宋体" w:cs="宋体" w:eastAsia="宋体" w:hint="default"/>
          <w:sz w:val="21"/>
          <w:szCs w:val="21"/>
        </w:rPr>
      </w:pPr>
    </w:p>
    <w:p>
      <w:pPr>
        <w:tabs>
          <w:tab w:pos="562" w:val="left" w:leader="none"/>
        </w:tabs>
        <w:spacing w:line="324" w:lineRule="auto" w:before="0"/>
        <w:ind w:left="558" w:right="217" w:hanging="420"/>
        <w:jc w:val="left"/>
        <w:rPr>
          <w:rFonts w:ascii="宋体" w:hAnsi="宋体" w:cs="宋体" w:eastAsia="宋体" w:hint="default"/>
          <w:sz w:val="21"/>
          <w:szCs w:val="21"/>
        </w:rPr>
      </w:pPr>
      <w:r>
        <w:rPr>
          <w:rFonts w:ascii="Calibri" w:hAnsi="Calibri" w:cs="Calibri" w:eastAsia="Calibri" w:hint="default"/>
          <w:b/>
          <w:bCs/>
          <w:sz w:val="21"/>
          <w:szCs w:val="21"/>
        </w:rPr>
        <w:t>6.</w:t>
        <w:tab/>
        <w:tab/>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合并财务报表的合并范围以控制为基础予以确定。控制是指本公司拥有对被投资方的权力，</w:t>
      </w:r>
    </w:p>
    <w:p>
      <w:pPr>
        <w:pStyle w:val="BodyText"/>
        <w:spacing w:line="314" w:lineRule="auto" w:before="11"/>
        <w:ind w:right="217"/>
        <w:jc w:val="both"/>
      </w:pPr>
      <w:r>
        <w:rPr>
          <w:spacing w:val="-2"/>
        </w:rPr>
        <w:t>通过参与被投资方的相关活动而享有可变回报，并且有能力运用对被投资方的权力影响其回报金</w:t>
      </w:r>
      <w:r>
        <w:rPr>
          <w:spacing w:val="-25"/>
        </w:rPr>
        <w:t> </w:t>
      </w:r>
      <w:r>
        <w:rPr>
          <w:spacing w:val="-25"/>
        </w:rPr>
      </w:r>
      <w:r>
        <w:rPr/>
        <w:t>额。子公司，是指被本公司控制的主体。</w:t>
      </w:r>
    </w:p>
    <w:p>
      <w:pPr>
        <w:pStyle w:val="BodyText"/>
        <w:spacing w:line="314" w:lineRule="auto"/>
        <w:ind w:right="99" w:firstLine="419"/>
        <w:jc w:val="left"/>
      </w:pPr>
      <w:r>
        <w:rPr/>
        <w:t>本公司通过同一控制下的企业合并取得的子公司以及业务，编制合并财务报表时，无论该项</w:t>
      </w:r>
      <w:r>
        <w:rPr>
          <w:w w:val="100"/>
        </w:rPr>
        <w:t> </w:t>
      </w:r>
      <w:r>
        <w:rPr>
          <w:spacing w:val="-4"/>
          <w:w w:val="100"/>
        </w:rPr>
        <w:t>企业合并发生在报告期的任一时点，视同合并后的报告主体自最终控制方开始控制时点一直存在，</w:t>
      </w:r>
      <w:r>
        <w:rPr>
          <w:spacing w:val="-82"/>
          <w:w w:val="100"/>
        </w:rPr>
        <w:t> </w:t>
      </w:r>
      <w:r>
        <w:rPr>
          <w:spacing w:val="-82"/>
          <w:w w:val="100"/>
        </w:rPr>
      </w:r>
      <w:r>
        <w:rPr/>
        <w:t>调整合并资产负债表所有有关项目的期初数，同时对比较报表的相关项目进行调整，其自报告期</w:t>
      </w:r>
      <w:r>
        <w:rPr>
          <w:spacing w:val="-96"/>
        </w:rPr>
        <w:t> </w:t>
      </w:r>
      <w:r>
        <w:rPr>
          <w:spacing w:val="-96"/>
        </w:rPr>
      </w:r>
      <w:r>
        <w:rPr/>
        <w:t>最早期间期初起的经营成果和现金流量已适当地包括在合并利润表和合并现金流量表中。</w:t>
      </w:r>
    </w:p>
    <w:p>
      <w:pPr>
        <w:pStyle w:val="BodyText"/>
        <w:spacing w:line="314" w:lineRule="auto"/>
        <w:ind w:right="208" w:firstLine="419"/>
        <w:jc w:val="both"/>
      </w:pPr>
      <w:r>
        <w:rPr>
          <w:spacing w:val="-1"/>
        </w:rPr>
        <w:t>对于通过非同一控制下的企业合并取得的子公司以及业务，其自购买日</w:t>
      </w:r>
      <w:r>
        <w:rPr>
          <w:rFonts w:ascii="宋体" w:hAnsi="宋体" w:cs="宋体" w:eastAsia="宋体" w:hint="default"/>
          <w:spacing w:val="-1"/>
        </w:rPr>
        <w:t>(</w:t>
      </w:r>
      <w:r>
        <w:rPr>
          <w:spacing w:val="-1"/>
        </w:rPr>
        <w:t>取得控制权的日期</w:t>
      </w:r>
      <w:r>
        <w:rPr>
          <w:rFonts w:ascii="宋体" w:hAnsi="宋体" w:cs="宋体" w:eastAsia="宋体" w:hint="default"/>
          <w:spacing w:val="-1"/>
        </w:rPr>
        <w:t>)</w:t>
      </w:r>
      <w:r>
        <w:rPr>
          <w:rFonts w:ascii="宋体" w:hAnsi="宋体" w:cs="宋体" w:eastAsia="宋体" w:hint="default"/>
          <w:w w:val="100"/>
        </w:rPr>
        <w:t> </w:t>
      </w:r>
      <w:r>
        <w:rPr>
          <w:spacing w:val="-1"/>
        </w:rPr>
        <w:t>起的经营成果及现金流量已经适当地包括在合并利润表和合并现金流量表中，不调整合并财务报</w:t>
      </w:r>
      <w:r>
        <w:rPr>
          <w:spacing w:val="-55"/>
        </w:rPr>
        <w:t> </w:t>
      </w:r>
      <w:r>
        <w:rPr>
          <w:spacing w:val="-55"/>
        </w:rPr>
      </w:r>
      <w:r>
        <w:rPr/>
        <w:t>表的期初数和对比数。</w:t>
      </w:r>
    </w:p>
    <w:p>
      <w:pPr>
        <w:pStyle w:val="BodyText"/>
        <w:spacing w:line="314" w:lineRule="auto"/>
        <w:ind w:right="99" w:firstLine="419"/>
        <w:jc w:val="left"/>
      </w:pPr>
      <w:r>
        <w:rPr>
          <w:spacing w:val="-2"/>
        </w:rPr>
        <w:t>对于本公司处置的子公司，处置日</w:t>
      </w:r>
      <w:r>
        <w:rPr>
          <w:rFonts w:ascii="宋体" w:hAnsi="宋体" w:cs="宋体" w:eastAsia="宋体" w:hint="default"/>
          <w:spacing w:val="-2"/>
        </w:rPr>
        <w:t>(</w:t>
      </w:r>
      <w:r>
        <w:rPr>
          <w:spacing w:val="-2"/>
        </w:rPr>
        <w:t>丧失控制权的日期</w:t>
      </w:r>
      <w:r>
        <w:rPr>
          <w:rFonts w:ascii="宋体" w:hAnsi="宋体" w:cs="宋体" w:eastAsia="宋体" w:hint="default"/>
          <w:spacing w:val="-2"/>
        </w:rPr>
        <w:t>)</w:t>
      </w:r>
      <w:r>
        <w:rPr>
          <w:spacing w:val="-2"/>
        </w:rPr>
        <w:t>前的经营成果和现金流量已经适当地</w:t>
      </w:r>
      <w:r>
        <w:rPr>
          <w:w w:val="100"/>
        </w:rPr>
        <w:t> </w:t>
      </w:r>
      <w:r>
        <w:rPr/>
        <w:t>包括在合并利润表和合并现金流量表中。</w:t>
      </w:r>
    </w:p>
    <w:p>
      <w:pPr>
        <w:pStyle w:val="BodyText"/>
        <w:spacing w:line="240" w:lineRule="auto"/>
        <w:ind w:left="558" w:right="99"/>
        <w:jc w:val="left"/>
      </w:pPr>
      <w:r>
        <w:rPr/>
        <w:t>子公司所采用的会计政策和会计期间应与本公司保持一致，不一致的，按照本公司统一的会</w:t>
      </w:r>
    </w:p>
    <w:p>
      <w:pPr>
        <w:spacing w:after="0" w:line="240" w:lineRule="auto"/>
        <w:jc w:val="left"/>
        <w:sectPr>
          <w:footerReference w:type="default" r:id="rId43"/>
          <w:pgSz w:w="11910" w:h="16840"/>
          <w:pgMar w:footer="1193" w:header="856" w:top="1280" w:bottom="1380" w:left="1660" w:right="1060"/>
          <w:pgNumType w:start="80"/>
        </w:sectPr>
      </w:pPr>
    </w:p>
    <w:p>
      <w:pPr>
        <w:spacing w:line="240" w:lineRule="auto" w:before="7"/>
        <w:rPr>
          <w:rFonts w:ascii="宋体" w:hAnsi="宋体" w:cs="宋体" w:eastAsia="宋体" w:hint="default"/>
          <w:sz w:val="18"/>
          <w:szCs w:val="18"/>
        </w:rPr>
      </w:pPr>
    </w:p>
    <w:p>
      <w:pPr>
        <w:pStyle w:val="BodyText"/>
        <w:spacing w:line="314" w:lineRule="auto" w:before="36"/>
        <w:ind w:left="558" w:right="0" w:hanging="420"/>
        <w:jc w:val="left"/>
      </w:pPr>
      <w:r>
        <w:rPr/>
        <w:t>计政策和会计期间进行调整。</w:t>
      </w:r>
      <w:r>
        <w:rPr>
          <w:w w:val="100"/>
        </w:rPr>
        <w:t> </w:t>
      </w:r>
      <w:r>
        <w:rPr/>
        <w:t>本公司与子公司之间以及子公司相互之间的所有重大账目及交易在合并时抵销。</w:t>
      </w:r>
      <w:r>
        <w:rPr>
          <w:w w:val="100"/>
        </w:rPr>
        <w:t> </w:t>
      </w:r>
      <w:r>
        <w:rPr>
          <w:spacing w:val="-2"/>
        </w:rPr>
        <w:t>子公司所有者权益中不属于母公司的份额作为少数股东权益，在合并资产负债表中所有者权</w:t>
      </w:r>
    </w:p>
    <w:p>
      <w:pPr>
        <w:pStyle w:val="BodyText"/>
        <w:spacing w:line="314" w:lineRule="auto"/>
        <w:ind w:right="0"/>
        <w:jc w:val="left"/>
      </w:pPr>
      <w:r>
        <w:rPr>
          <w:spacing w:val="-2"/>
        </w:rPr>
        <w:t>益项目下以“少数股东权益”项目列示。子公司当期净损益中属于少数股东权益的份额，在合并</w:t>
      </w:r>
      <w:r>
        <w:rPr>
          <w:spacing w:val="-25"/>
        </w:rPr>
        <w:t> </w:t>
      </w:r>
      <w:r>
        <w:rPr>
          <w:spacing w:val="-25"/>
        </w:rPr>
      </w:r>
      <w:r>
        <w:rPr/>
        <w:t>利润表中净利润项目下以“少数股东损益”项目列示。</w:t>
      </w:r>
    </w:p>
    <w:p>
      <w:pPr>
        <w:pStyle w:val="BodyText"/>
        <w:spacing w:line="314" w:lineRule="auto"/>
        <w:ind w:right="145" w:firstLine="419"/>
        <w:jc w:val="both"/>
      </w:pPr>
      <w:r>
        <w:rPr>
          <w:spacing w:val="-7"/>
          <w:w w:val="100"/>
        </w:rPr>
        <w:t>子公司当期综合收益中属于少数股东权益的份额，在合并利润表中综合收益总额项目下以“归</w:t>
      </w:r>
      <w:r>
        <w:rPr>
          <w:w w:val="100"/>
        </w:rPr>
        <w:t> </w:t>
      </w:r>
      <w:r>
        <w:rPr/>
        <w:t>属于少数股东的综合收益总额”项目列示。</w:t>
      </w:r>
    </w:p>
    <w:p>
      <w:pPr>
        <w:pStyle w:val="BodyText"/>
        <w:spacing w:line="314" w:lineRule="auto"/>
        <w:ind w:right="157" w:firstLine="419"/>
        <w:jc w:val="both"/>
      </w:pPr>
      <w:r>
        <w:rPr>
          <w:spacing w:val="-2"/>
        </w:rPr>
        <w:t>少数股东分担的子公司的当期亏损超过了少数股东在该子公司期初所有者权益中所享有的份</w:t>
      </w:r>
      <w:r>
        <w:rPr>
          <w:w w:val="100"/>
        </w:rPr>
        <w:t> </w:t>
      </w:r>
      <w:r>
        <w:rPr/>
        <w:t>额的，其余额仍冲减少数股东权益。</w:t>
      </w:r>
    </w:p>
    <w:p>
      <w:pPr>
        <w:pStyle w:val="BodyText"/>
        <w:spacing w:line="314" w:lineRule="auto"/>
        <w:ind w:right="145" w:firstLine="419"/>
        <w:jc w:val="both"/>
      </w:pPr>
      <w:r>
        <w:rPr>
          <w:spacing w:val="-2"/>
        </w:rPr>
        <w:t>对于购买子公司少数股权或因处置部分股权投资但没有丧失对该子公司控制权的交易，作为</w:t>
      </w:r>
      <w:r>
        <w:rPr>
          <w:w w:val="100"/>
        </w:rPr>
        <w:t> </w:t>
      </w:r>
      <w:r>
        <w:rPr>
          <w:spacing w:val="-2"/>
        </w:rPr>
        <w:t>权益性交易核算，调整母公司所有者权益和少数股东权益的账面价值以反映其在子公司中相关权</w:t>
      </w:r>
      <w:r>
        <w:rPr>
          <w:spacing w:val="-25"/>
        </w:rPr>
        <w:t> </w:t>
      </w:r>
      <w:r>
        <w:rPr>
          <w:spacing w:val="-25"/>
        </w:rPr>
      </w:r>
      <w:r>
        <w:rPr>
          <w:spacing w:val="-4"/>
        </w:rPr>
        <w:t>益的变化。少数股东权益的调整额与支付</w:t>
      </w:r>
      <w:r>
        <w:rPr>
          <w:rFonts w:ascii="宋体" w:hAnsi="宋体" w:cs="宋体" w:eastAsia="宋体" w:hint="default"/>
          <w:spacing w:val="-4"/>
        </w:rPr>
        <w:t>/</w:t>
      </w:r>
      <w:r>
        <w:rPr>
          <w:spacing w:val="-4"/>
        </w:rPr>
        <w:t>收到对价的公允价值之间的差额调整资本公积（资本溢</w:t>
      </w:r>
      <w:r>
        <w:rPr>
          <w:spacing w:val="-29"/>
        </w:rPr>
        <w:t> </w:t>
      </w:r>
      <w:r>
        <w:rPr>
          <w:spacing w:val="-29"/>
        </w:rPr>
      </w:r>
      <w:r>
        <w:rPr/>
        <w:t>价或股本溢价），资本公积不足冲减的，调整留存收益。</w:t>
      </w:r>
    </w:p>
    <w:p>
      <w:pPr>
        <w:pStyle w:val="BodyText"/>
        <w:spacing w:line="314" w:lineRule="auto"/>
        <w:ind w:right="157" w:firstLine="419"/>
        <w:jc w:val="both"/>
      </w:pPr>
      <w:r>
        <w:rPr>
          <w:spacing w:val="-2"/>
        </w:rPr>
        <w:t>因处置部分股权投资或其他原因丧失了对原有子公司控制权的，在编制合并财务报表时，对</w:t>
      </w:r>
      <w:r>
        <w:rPr>
          <w:w w:val="100"/>
        </w:rPr>
        <w:t> </w:t>
      </w:r>
      <w:r>
        <w:rPr>
          <w:spacing w:val="-2"/>
        </w:rPr>
        <w:t>于剩余股权按照其在丧失控制权日的公允价值进行重新计量。处置股权取得的对价与剩余股权公</w:t>
      </w:r>
      <w:r>
        <w:rPr>
          <w:spacing w:val="-26"/>
        </w:rPr>
        <w:t> </w:t>
      </w:r>
      <w:r>
        <w:rPr>
          <w:spacing w:val="-26"/>
        </w:rPr>
      </w:r>
      <w:r>
        <w:rPr>
          <w:spacing w:val="-2"/>
        </w:rPr>
        <w:t>允价值之和，减去按原持股比例计算应享有原子公司自购买日开始持续计算的净资产的份额之间</w:t>
      </w:r>
      <w:r>
        <w:rPr>
          <w:spacing w:val="-25"/>
        </w:rPr>
        <w:t> </w:t>
      </w:r>
      <w:r>
        <w:rPr>
          <w:spacing w:val="-25"/>
        </w:rPr>
      </w:r>
      <w:r>
        <w:rPr>
          <w:spacing w:val="-2"/>
        </w:rPr>
        <w:t>的差额，计入丧失控制权当期的投资收益，同时冲减商誉。与原有子公司股权投资相关的其他综</w:t>
      </w:r>
      <w:r>
        <w:rPr>
          <w:spacing w:val="-25"/>
        </w:rPr>
        <w:t> </w:t>
      </w:r>
      <w:r>
        <w:rPr>
          <w:spacing w:val="-25"/>
        </w:rPr>
      </w:r>
      <w:r>
        <w:rPr/>
        <w:t>合收益等，在丧失控制权时转为当期投资收益。</w:t>
      </w:r>
    </w:p>
    <w:p>
      <w:pPr>
        <w:pStyle w:val="BodyText"/>
        <w:spacing w:line="314" w:lineRule="auto"/>
        <w:ind w:right="157" w:firstLine="419"/>
        <w:jc w:val="both"/>
      </w:pPr>
      <w:r>
        <w:rPr>
          <w:spacing w:val="-2"/>
        </w:rPr>
        <w:t>对于通过多次交易分步处置对子公司股权投资直至丧失控制权的，处置对子公司股权投资的</w:t>
      </w:r>
      <w:r>
        <w:rPr>
          <w:w w:val="100"/>
        </w:rPr>
        <w:t> </w:t>
      </w:r>
      <w:r>
        <w:rPr>
          <w:spacing w:val="-2"/>
        </w:rPr>
        <w:t>各项交易的条款、条件以及经济影响符合以下一种或多种情况，通常表明该多次交易事项为一揽</w:t>
      </w:r>
      <w:r>
        <w:rPr>
          <w:spacing w:val="-25"/>
        </w:rPr>
        <w:t> </w:t>
      </w:r>
      <w:r>
        <w:rPr>
          <w:spacing w:val="-25"/>
        </w:rPr>
      </w:r>
      <w:r>
        <w:rPr>
          <w:spacing w:val="-2"/>
        </w:rPr>
        <w:t>子交易：</w:t>
      </w:r>
      <w:r>
        <w:rPr>
          <w:rFonts w:ascii="宋体" w:hAnsi="宋体" w:cs="宋体" w:eastAsia="宋体" w:hint="default"/>
          <w:spacing w:val="-2"/>
        </w:rPr>
        <w:t>(1)</w:t>
      </w:r>
      <w:r>
        <w:rPr>
          <w:spacing w:val="-2"/>
        </w:rPr>
        <w:t>这些交易是同时或者在考虑了彼此影响的情况下订立的；</w:t>
      </w:r>
      <w:r>
        <w:rPr>
          <w:rFonts w:ascii="宋体" w:hAnsi="宋体" w:cs="宋体" w:eastAsia="宋体" w:hint="default"/>
          <w:spacing w:val="-2"/>
        </w:rPr>
        <w:t>(2)</w:t>
      </w:r>
      <w:r>
        <w:rPr>
          <w:spacing w:val="-2"/>
        </w:rPr>
        <w:t>这些交易整体才能达成</w:t>
      </w:r>
      <w:r>
        <w:rPr>
          <w:spacing w:val="-28"/>
        </w:rPr>
        <w:t> </w:t>
      </w:r>
      <w:r>
        <w:rPr>
          <w:spacing w:val="-28"/>
        </w:rPr>
      </w:r>
      <w:r>
        <w:rPr>
          <w:spacing w:val="-2"/>
        </w:rPr>
        <w:t>一项完整的商业结果；</w:t>
      </w:r>
      <w:r>
        <w:rPr>
          <w:rFonts w:ascii="宋体" w:hAnsi="宋体" w:cs="宋体" w:eastAsia="宋体" w:hint="default"/>
          <w:spacing w:val="-2"/>
        </w:rPr>
        <w:t>(3)</w:t>
      </w:r>
      <w:r>
        <w:rPr>
          <w:spacing w:val="-2"/>
        </w:rPr>
        <w:t>一项交易的发生取决于其他至少一项交易的发生；</w:t>
      </w:r>
      <w:r>
        <w:rPr>
          <w:rFonts w:ascii="宋体" w:hAnsi="宋体" w:cs="宋体" w:eastAsia="宋体" w:hint="default"/>
          <w:spacing w:val="-2"/>
        </w:rPr>
        <w:t>(4)</w:t>
      </w:r>
      <w:r>
        <w:rPr>
          <w:spacing w:val="-2"/>
        </w:rPr>
        <w:t>一项交易单独考</w:t>
      </w:r>
      <w:r>
        <w:rPr>
          <w:spacing w:val="-25"/>
        </w:rPr>
        <w:t> </w:t>
      </w:r>
      <w:r>
        <w:rPr>
          <w:spacing w:val="-25"/>
        </w:rPr>
      </w:r>
      <w:r>
        <w:rPr>
          <w:spacing w:val="-2"/>
        </w:rPr>
        <w:t>虑时是不经济的，但是和其他交易一并考虑时是经济的。处置对子公司股权投资直至丧失控制权</w:t>
      </w:r>
      <w:r>
        <w:rPr>
          <w:spacing w:val="-26"/>
        </w:rPr>
        <w:t> </w:t>
      </w:r>
      <w:r>
        <w:rPr>
          <w:spacing w:val="-26"/>
        </w:rPr>
      </w:r>
      <w:r>
        <w:rPr>
          <w:spacing w:val="-2"/>
        </w:rPr>
        <w:t>的各项交易属于一揽子交易的，将各项交易作为一项处置子公司并丧失控制权的交易进行会计处</w:t>
      </w:r>
      <w:r>
        <w:rPr>
          <w:spacing w:val="-25"/>
        </w:rPr>
        <w:t> </w:t>
      </w:r>
      <w:r>
        <w:rPr>
          <w:spacing w:val="-25"/>
        </w:rPr>
      </w:r>
      <w:r>
        <w:rPr>
          <w:spacing w:val="-2"/>
        </w:rPr>
        <w:t>理，在丧失控制权之前每一次处置价款与处置投资对应的享有该子公司净资产份额的差额，在合</w:t>
      </w:r>
      <w:r>
        <w:rPr>
          <w:spacing w:val="-25"/>
        </w:rPr>
        <w:t> </w:t>
      </w:r>
      <w:r>
        <w:rPr>
          <w:spacing w:val="-25"/>
        </w:rPr>
      </w:r>
      <w:r>
        <w:rPr>
          <w:spacing w:val="-2"/>
        </w:rPr>
        <w:t>并财务报表中确认为其他综合收益，在丧失控制权时一并转入丧失控制权当期的损益。处置对子</w:t>
      </w:r>
      <w:r>
        <w:rPr>
          <w:spacing w:val="-26"/>
        </w:rPr>
        <w:t> </w:t>
      </w:r>
      <w:r>
        <w:rPr>
          <w:spacing w:val="-26"/>
        </w:rPr>
      </w:r>
      <w:r>
        <w:rPr>
          <w:spacing w:val="-2"/>
        </w:rPr>
        <w:t>公司股权投资直至丧失控制权的各项交易不属于一揽子交易的，将各项交易作为独立的交易进行</w:t>
      </w:r>
      <w:r>
        <w:rPr>
          <w:spacing w:val="-26"/>
        </w:rPr>
        <w:t> </w:t>
      </w:r>
      <w:r>
        <w:rPr>
          <w:spacing w:val="-26"/>
        </w:rPr>
      </w:r>
      <w:r>
        <w:rPr/>
        <w:t>会计处理。</w:t>
      </w:r>
    </w:p>
    <w:p>
      <w:pPr>
        <w:spacing w:line="240" w:lineRule="auto" w:before="2"/>
        <w:rPr>
          <w:rFonts w:ascii="宋体" w:hAnsi="宋体" w:cs="宋体" w:eastAsia="宋体" w:hint="default"/>
          <w:sz w:val="21"/>
          <w:szCs w:val="21"/>
        </w:rPr>
      </w:pPr>
    </w:p>
    <w:p>
      <w:pPr>
        <w:tabs>
          <w:tab w:pos="562" w:val="left" w:leader="none"/>
        </w:tabs>
        <w:spacing w:line="324" w:lineRule="auto" w:before="0"/>
        <w:ind w:left="558" w:right="158" w:hanging="420"/>
        <w:jc w:val="left"/>
        <w:rPr>
          <w:rFonts w:ascii="宋体" w:hAnsi="宋体" w:cs="宋体" w:eastAsia="宋体" w:hint="default"/>
          <w:sz w:val="21"/>
          <w:szCs w:val="21"/>
        </w:rPr>
      </w:pPr>
      <w:r>
        <w:rPr>
          <w:rFonts w:ascii="Calibri" w:hAnsi="Calibri" w:cs="Calibri" w:eastAsia="Calibri" w:hint="default"/>
          <w:b/>
          <w:bCs/>
          <w:sz w:val="21"/>
          <w:szCs w:val="21"/>
        </w:rPr>
        <w:t>7.</w:t>
        <w:tab/>
        <w:tab/>
      </w:r>
      <w:r>
        <w:rPr>
          <w:rFonts w:ascii="宋体" w:hAnsi="宋体" w:cs="宋体" w:eastAsia="宋体" w:hint="default"/>
          <w:b/>
          <w:bCs/>
          <w:sz w:val="21"/>
          <w:szCs w:val="21"/>
        </w:rPr>
        <w:t>合营安排分类及共同经营会计处理方法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合营安排指一项由两个或两个以上的参与方共同控制的安排。共同控制，是指按照相关约定</w:t>
      </w:r>
    </w:p>
    <w:p>
      <w:pPr>
        <w:pStyle w:val="BodyText"/>
        <w:spacing w:line="314" w:lineRule="auto" w:before="11"/>
        <w:ind w:right="0"/>
        <w:jc w:val="left"/>
      </w:pPr>
      <w:r>
        <w:rPr>
          <w:spacing w:val="-2"/>
        </w:rPr>
        <w:t>对某项安排所共有的控制，并且该安排的相关活动必须经过分享控制权的参与方一致同意后才能</w:t>
      </w:r>
      <w:r>
        <w:rPr>
          <w:spacing w:val="-25"/>
        </w:rPr>
        <w:t> </w:t>
      </w:r>
      <w:r>
        <w:rPr>
          <w:spacing w:val="-25"/>
        </w:rPr>
      </w:r>
      <w:r>
        <w:rPr/>
        <w:t>决策。</w:t>
      </w:r>
    </w:p>
    <w:p>
      <w:pPr>
        <w:pStyle w:val="BodyText"/>
        <w:spacing w:line="314" w:lineRule="auto"/>
        <w:ind w:right="157" w:firstLine="419"/>
        <w:jc w:val="both"/>
      </w:pPr>
      <w:r>
        <w:rPr>
          <w:spacing w:val="-2"/>
        </w:rPr>
        <w:t>本公司根据在合营安排中享有的权利和承担的义务确定合营安排的分类。合营安排分为共同</w:t>
      </w:r>
      <w:r>
        <w:rPr>
          <w:w w:val="100"/>
        </w:rPr>
        <w:t> </w:t>
      </w:r>
      <w:r>
        <w:rPr/>
        <w:t>经营和合营企业。</w:t>
      </w:r>
    </w:p>
    <w:p>
      <w:pPr>
        <w:pStyle w:val="BodyText"/>
        <w:spacing w:line="314" w:lineRule="auto"/>
        <w:ind w:right="157" w:firstLine="419"/>
        <w:jc w:val="both"/>
      </w:pPr>
      <w:r>
        <w:rPr>
          <w:spacing w:val="-2"/>
        </w:rPr>
        <w:t>共同经营，是指合营方享有该安排相关资产且承担该安排相关负债的合营安排。本公司确认</w:t>
      </w:r>
      <w:r>
        <w:rPr>
          <w:w w:val="100"/>
        </w:rPr>
        <w:t> </w:t>
      </w:r>
      <w:r>
        <w:rPr/>
        <w:t>其与共同经营中利益份额相关的下列项目，并按照相关企业会计准则的规定进行会计处理：</w:t>
      </w:r>
    </w:p>
    <w:p>
      <w:pPr>
        <w:pStyle w:val="BodyText"/>
        <w:spacing w:line="240" w:lineRule="auto"/>
        <w:ind w:left="452" w:right="0"/>
        <w:jc w:val="left"/>
      </w:pPr>
      <w:r>
        <w:rPr/>
        <w:t>（</w:t>
      </w:r>
      <w:r>
        <w:rPr>
          <w:rFonts w:ascii="宋体" w:hAnsi="宋体" w:cs="宋体" w:eastAsia="宋体" w:hint="default"/>
        </w:rPr>
        <w:t>1</w:t>
      </w:r>
      <w:r>
        <w:rPr/>
        <w:t>）确认单独所持有的资产，以及按其份额确认共同持有的资产；</w:t>
      </w:r>
    </w:p>
    <w:p>
      <w:pPr>
        <w:spacing w:after="0" w:line="240" w:lineRule="auto"/>
        <w:jc w:val="left"/>
        <w:sectPr>
          <w:pgSz w:w="11910" w:h="16840"/>
          <w:pgMar w:header="856" w:footer="1193" w:top="1280" w:bottom="1380" w:left="1660" w:right="1120"/>
        </w:sectPr>
      </w:pPr>
    </w:p>
    <w:p>
      <w:pPr>
        <w:spacing w:line="240" w:lineRule="auto" w:before="7"/>
        <w:rPr>
          <w:rFonts w:ascii="宋体" w:hAnsi="宋体" w:cs="宋体" w:eastAsia="宋体" w:hint="default"/>
          <w:sz w:val="18"/>
          <w:szCs w:val="18"/>
        </w:rPr>
      </w:pPr>
    </w:p>
    <w:p>
      <w:pPr>
        <w:pStyle w:val="BodyText"/>
        <w:spacing w:line="314" w:lineRule="auto" w:before="36"/>
        <w:ind w:left="558" w:right="250"/>
        <w:jc w:val="left"/>
      </w:pPr>
      <w:r>
        <w:rPr>
          <w:rFonts w:ascii="宋体" w:hAnsi="宋体" w:cs="宋体" w:eastAsia="宋体" w:hint="default"/>
        </w:rPr>
        <w:t>(2)</w:t>
      </w:r>
      <w:r>
        <w:rPr/>
        <w:t>确认单独所承担的负债，以及按其份额确认共同承担的负债；</w:t>
      </w:r>
      <w:r>
        <w:rPr>
          <w:w w:val="100"/>
        </w:rPr>
        <w:t> </w:t>
      </w:r>
      <w:r>
        <w:rPr>
          <w:rFonts w:ascii="宋体" w:hAnsi="宋体" w:cs="宋体" w:eastAsia="宋体" w:hint="default"/>
        </w:rPr>
        <w:t>(3)</w:t>
      </w:r>
      <w:r>
        <w:rPr/>
        <w:t>确认出售其享有的共同经营产出份额所产生的收入；</w:t>
      </w:r>
      <w:r>
        <w:rPr>
          <w:w w:val="100"/>
        </w:rPr>
        <w:t> </w:t>
      </w:r>
      <w:r>
        <w:rPr>
          <w:rFonts w:ascii="宋体" w:hAnsi="宋体" w:cs="宋体" w:eastAsia="宋体" w:hint="default"/>
        </w:rPr>
        <w:t>(4)</w:t>
      </w:r>
      <w:r>
        <w:rPr/>
        <w:t>按其份额确认共同经营因出售产出所产生的收入；</w:t>
      </w:r>
      <w:r>
        <w:rPr>
          <w:w w:val="100"/>
        </w:rPr>
        <w:t> </w:t>
      </w:r>
      <w:r>
        <w:rPr>
          <w:rFonts w:ascii="宋体" w:hAnsi="宋体" w:cs="宋体" w:eastAsia="宋体" w:hint="default"/>
          <w:spacing w:val="-2"/>
        </w:rPr>
        <w:t>(5)</w:t>
      </w:r>
      <w:r>
        <w:rPr>
          <w:spacing w:val="-2"/>
        </w:rPr>
        <w:t>确认单独所发生的费用，以及按其份额确认共同经营发生的费用。</w:t>
      </w:r>
    </w:p>
    <w:p>
      <w:pPr>
        <w:pStyle w:val="BodyText"/>
        <w:spacing w:line="314" w:lineRule="auto"/>
        <w:ind w:right="250" w:firstLine="199"/>
        <w:jc w:val="left"/>
      </w:pPr>
      <w:r>
        <w:rPr>
          <w:spacing w:val="-2"/>
        </w:rPr>
        <w:t>合营企业，是指合营方仅对该安排的净资产享有权利的合营安排。本公司对于合营企业的长期</w:t>
      </w:r>
      <w:r>
        <w:rPr>
          <w:w w:val="100"/>
        </w:rPr>
        <w:t> </w:t>
      </w:r>
      <w:r>
        <w:rPr/>
        <w:t>股权投资采用权益法核算。</w:t>
      </w:r>
    </w:p>
    <w:p>
      <w:pPr>
        <w:spacing w:line="240" w:lineRule="auto" w:before="2"/>
        <w:rPr>
          <w:rFonts w:ascii="宋体" w:hAnsi="宋体" w:cs="宋体" w:eastAsia="宋体" w:hint="default"/>
          <w:sz w:val="21"/>
          <w:szCs w:val="21"/>
        </w:rPr>
      </w:pPr>
    </w:p>
    <w:p>
      <w:pPr>
        <w:tabs>
          <w:tab w:pos="562" w:val="left" w:leader="none"/>
        </w:tabs>
        <w:spacing w:line="324" w:lineRule="auto" w:before="0"/>
        <w:ind w:left="558" w:right="317" w:hanging="420"/>
        <w:jc w:val="left"/>
        <w:rPr>
          <w:rFonts w:ascii="宋体" w:hAnsi="宋体" w:cs="宋体" w:eastAsia="宋体" w:hint="default"/>
          <w:sz w:val="21"/>
          <w:szCs w:val="21"/>
        </w:rPr>
      </w:pPr>
      <w:r>
        <w:rPr>
          <w:rFonts w:ascii="Calibri" w:hAnsi="Calibri" w:cs="Calibri" w:eastAsia="Calibri" w:hint="default"/>
          <w:b/>
          <w:bCs/>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w:t>
      </w:r>
    </w:p>
    <w:p>
      <w:pPr>
        <w:pStyle w:val="BodyText"/>
        <w:spacing w:line="240" w:lineRule="auto" w:before="12"/>
        <w:ind w:right="0"/>
        <w:jc w:val="both"/>
      </w:pPr>
      <w:r>
        <w:rPr/>
        <w:t>换为已知金额现金、价值变动风险很小的投资。</w:t>
      </w:r>
    </w:p>
    <w:p>
      <w:pPr>
        <w:spacing w:line="240" w:lineRule="auto" w:before="2"/>
        <w:rPr>
          <w:rFonts w:ascii="宋体" w:hAnsi="宋体" w:cs="宋体" w:eastAsia="宋体" w:hint="default"/>
          <w:sz w:val="26"/>
          <w:szCs w:val="26"/>
        </w:rPr>
      </w:pPr>
    </w:p>
    <w:p>
      <w:pPr>
        <w:pStyle w:val="Heading2"/>
        <w:spacing w:line="240" w:lineRule="auto" w:before="0"/>
        <w:ind w:left="138" w:right="0"/>
        <w:jc w:val="both"/>
        <w:rPr>
          <w:b w:val="0"/>
          <w:bCs w:val="0"/>
        </w:rPr>
      </w:pPr>
      <w:r>
        <w:rPr>
          <w:rFonts w:ascii="Calibri" w:hAnsi="Calibri" w:cs="Calibri" w:eastAsia="Calibri" w:hint="default"/>
        </w:rPr>
        <w:t>9.    </w:t>
      </w:r>
      <w:r>
        <w:rPr>
          <w:rFonts w:ascii="Calibri" w:hAnsi="Calibri" w:cs="Calibri" w:eastAsia="Calibri" w:hint="default"/>
          <w:spacing w:val="24"/>
        </w:rPr>
        <w:t> </w:t>
      </w:r>
      <w:r>
        <w:rPr/>
        <w:t>外币业务和外币报表折算</w:t>
      </w:r>
      <w:r>
        <w:rPr>
          <w:b w:val="0"/>
          <w:bCs w:val="0"/>
        </w:rPr>
      </w:r>
    </w:p>
    <w:p>
      <w:pPr>
        <w:pStyle w:val="BodyText"/>
        <w:spacing w:line="314" w:lineRule="auto" w:before="106"/>
        <w:ind w:left="558" w:right="250"/>
        <w:jc w:val="left"/>
      </w:pPr>
      <w:r>
        <w:rPr/>
        <w:t>（</w:t>
      </w:r>
      <w:r>
        <w:rPr>
          <w:rFonts w:ascii="宋体" w:hAnsi="宋体" w:cs="宋体" w:eastAsia="宋体" w:hint="default"/>
        </w:rPr>
        <w:t>1</w:t>
      </w:r>
      <w:r>
        <w:rPr/>
        <w:t>）外币业务</w:t>
      </w:r>
      <w:r>
        <w:rPr>
          <w:w w:val="100"/>
        </w:rPr>
        <w:t> </w:t>
      </w:r>
      <w:r>
        <w:rPr>
          <w:spacing w:val="-2"/>
        </w:rPr>
        <w:t>外币交易在初始确认时采用交易发生日的即期汇率折算，于资产负债表日，外币货币性项目</w:t>
      </w:r>
    </w:p>
    <w:p>
      <w:pPr>
        <w:pStyle w:val="BodyText"/>
        <w:spacing w:line="314" w:lineRule="auto"/>
        <w:ind w:right="305"/>
        <w:jc w:val="both"/>
      </w:pPr>
      <w:r>
        <w:rPr>
          <w:spacing w:val="-2"/>
        </w:rPr>
        <w:t>采用该日即期汇率折算为人民币，因该日的即期汇率与初始确认时或者前一资产负债表日即期汇</w:t>
      </w:r>
      <w:r>
        <w:rPr>
          <w:spacing w:val="-25"/>
        </w:rPr>
        <w:t> </w:t>
      </w:r>
      <w:r>
        <w:rPr>
          <w:spacing w:val="-25"/>
        </w:rPr>
      </w:r>
      <w:r>
        <w:rPr>
          <w:spacing w:val="-4"/>
        </w:rPr>
        <w:t>率不同而产生的汇兑差额，除：</w:t>
      </w:r>
      <w:r>
        <w:rPr>
          <w:rFonts w:ascii="宋体" w:hAnsi="宋体" w:cs="宋体" w:eastAsia="宋体" w:hint="default"/>
          <w:spacing w:val="-4"/>
        </w:rPr>
        <w:t>(1)</w:t>
      </w:r>
      <w:r>
        <w:rPr>
          <w:spacing w:val="-4"/>
        </w:rPr>
        <w:t>符合资本化条件的外币专门借款的汇兑差额在资本化期间予以</w:t>
      </w:r>
      <w:r>
        <w:rPr>
          <w:spacing w:val="-26"/>
        </w:rPr>
        <w:t> </w:t>
      </w:r>
      <w:r>
        <w:rPr>
          <w:spacing w:val="-26"/>
        </w:rPr>
      </w:r>
      <w:r>
        <w:rPr>
          <w:spacing w:val="-4"/>
          <w:w w:val="100"/>
        </w:rPr>
        <w:t>资本化计入相关资产的成本；</w:t>
      </w:r>
      <w:r>
        <w:rPr>
          <w:rFonts w:ascii="宋体" w:hAnsi="宋体" w:cs="宋体" w:eastAsia="宋体" w:hint="default"/>
          <w:spacing w:val="-4"/>
          <w:w w:val="100"/>
        </w:rPr>
        <w:t>(2)</w:t>
      </w:r>
      <w:r>
        <w:rPr>
          <w:spacing w:val="-4"/>
          <w:w w:val="100"/>
        </w:rPr>
        <w:t>为了规避外汇风险进行套期的套期工具的汇兑差额按套期会计方</w:t>
      </w:r>
      <w:r>
        <w:rPr>
          <w:spacing w:val="-80"/>
          <w:w w:val="100"/>
        </w:rPr>
        <w:t> </w:t>
      </w:r>
      <w:r>
        <w:rPr>
          <w:spacing w:val="-80"/>
          <w:w w:val="100"/>
        </w:rPr>
      </w:r>
      <w:r>
        <w:rPr>
          <w:spacing w:val="-4"/>
          <w:w w:val="100"/>
        </w:rPr>
        <w:t>法处理；</w:t>
      </w:r>
      <w:r>
        <w:rPr>
          <w:rFonts w:ascii="宋体" w:hAnsi="宋体" w:cs="宋体" w:eastAsia="宋体" w:hint="default"/>
          <w:spacing w:val="-4"/>
          <w:w w:val="100"/>
        </w:rPr>
        <w:t>(3)</w:t>
      </w:r>
      <w:r>
        <w:rPr>
          <w:spacing w:val="-4"/>
          <w:w w:val="100"/>
        </w:rPr>
        <w:t>可供出售外币非货币性项目</w:t>
      </w:r>
      <w:r>
        <w:rPr>
          <w:rFonts w:ascii="宋体" w:hAnsi="宋体" w:cs="宋体" w:eastAsia="宋体" w:hint="default"/>
          <w:spacing w:val="-4"/>
          <w:w w:val="100"/>
        </w:rPr>
        <w:t>(</w:t>
      </w:r>
      <w:r>
        <w:rPr>
          <w:spacing w:val="-4"/>
          <w:w w:val="100"/>
        </w:rPr>
        <w:t>如股票</w:t>
      </w:r>
      <w:r>
        <w:rPr>
          <w:rFonts w:ascii="宋体" w:hAnsi="宋体" w:cs="宋体" w:eastAsia="宋体" w:hint="default"/>
          <w:spacing w:val="-4"/>
          <w:w w:val="100"/>
        </w:rPr>
        <w:t>)</w:t>
      </w:r>
      <w:r>
        <w:rPr>
          <w:spacing w:val="-4"/>
          <w:w w:val="100"/>
        </w:rPr>
        <w:t>产生的汇兑差额以及可供出售货币性项目除摊余</w:t>
      </w:r>
      <w:r>
        <w:rPr>
          <w:spacing w:val="-77"/>
          <w:w w:val="100"/>
        </w:rPr>
        <w:t> </w:t>
      </w:r>
      <w:r>
        <w:rPr>
          <w:spacing w:val="-77"/>
          <w:w w:val="100"/>
        </w:rPr>
      </w:r>
      <w:r>
        <w:rPr/>
        <w:t>成本之外的其他账面余额变动产生的汇兑差额确认为其他综合收益外，均计入当期损益。</w:t>
      </w:r>
    </w:p>
    <w:p>
      <w:pPr>
        <w:pStyle w:val="BodyText"/>
        <w:spacing w:line="314" w:lineRule="auto"/>
        <w:ind w:right="317" w:firstLine="419"/>
        <w:jc w:val="both"/>
      </w:pPr>
      <w:r>
        <w:rPr>
          <w:spacing w:val="-2"/>
        </w:rPr>
        <w:t>编制合并财务报表涉及境外经营的，如有实质上构成对境外经营净投资的外币货币性项目，</w:t>
      </w:r>
      <w:r>
        <w:rPr>
          <w:w w:val="100"/>
        </w:rPr>
        <w:t> </w:t>
      </w:r>
      <w:r>
        <w:rPr>
          <w:spacing w:val="-2"/>
        </w:rPr>
        <w:t>因汇率变动而产生的汇兑差额，列入其他综合收益中的“外币报表折算差额”项目；处置境外经</w:t>
      </w:r>
      <w:r>
        <w:rPr>
          <w:spacing w:val="-25"/>
        </w:rPr>
        <w:t> </w:t>
      </w:r>
      <w:r>
        <w:rPr>
          <w:spacing w:val="-25"/>
        </w:rPr>
      </w:r>
      <w:r>
        <w:rPr/>
        <w:t>营时，计入处置当期损益。</w:t>
      </w:r>
    </w:p>
    <w:p>
      <w:pPr>
        <w:pStyle w:val="BodyText"/>
        <w:spacing w:line="314" w:lineRule="auto"/>
        <w:ind w:right="119" w:firstLine="419"/>
        <w:jc w:val="left"/>
      </w:pPr>
      <w:r>
        <w:rPr>
          <w:spacing w:val="-1"/>
        </w:rPr>
        <w:t>以历史成本计量的外币非货币性项目仍以交易发生日的即期汇率折算的记账本位币金额计量。</w:t>
      </w:r>
      <w:r>
        <w:rPr>
          <w:w w:val="100"/>
        </w:rPr>
        <w:t> </w:t>
      </w:r>
      <w:r>
        <w:rPr/>
        <w:t>以公允价值计量的外币非货币性项目，采用公允价值确定日的即期汇率折算，折算后的记账本位</w:t>
      </w:r>
      <w:r>
        <w:rPr>
          <w:w w:val="100"/>
        </w:rPr>
        <w:t> </w:t>
      </w:r>
      <w:r>
        <w:rPr/>
        <w:t>币金额与原记账本位币金额的差额，作为公允价值变动</w:t>
      </w:r>
      <w:r>
        <w:rPr>
          <w:rFonts w:ascii="宋体" w:hAnsi="宋体" w:cs="宋体" w:eastAsia="宋体" w:hint="default"/>
        </w:rPr>
        <w:t>(</w:t>
      </w:r>
      <w:r>
        <w:rPr/>
        <w:t>含汇率变动</w:t>
      </w:r>
      <w:r>
        <w:rPr>
          <w:rFonts w:ascii="宋体" w:hAnsi="宋体" w:cs="宋体" w:eastAsia="宋体" w:hint="default"/>
        </w:rPr>
        <w:t>)</w:t>
      </w:r>
      <w:r>
        <w:rPr/>
        <w:t>处理，计入当期损益或确认</w:t>
      </w:r>
      <w:r>
        <w:rPr>
          <w:w w:val="100"/>
        </w:rPr>
        <w:t> </w:t>
      </w:r>
      <w:r>
        <w:rPr/>
        <w:t>为其他综合收益。</w:t>
      </w:r>
    </w:p>
    <w:p>
      <w:pPr>
        <w:spacing w:line="240" w:lineRule="auto" w:before="2"/>
        <w:rPr>
          <w:rFonts w:ascii="宋体" w:hAnsi="宋体" w:cs="宋体" w:eastAsia="宋体" w:hint="default"/>
          <w:sz w:val="21"/>
          <w:szCs w:val="21"/>
        </w:rPr>
      </w:pPr>
    </w:p>
    <w:p>
      <w:pPr>
        <w:pStyle w:val="Heading2"/>
        <w:spacing w:line="240" w:lineRule="auto" w:before="0"/>
        <w:ind w:left="138" w:right="0"/>
        <w:jc w:val="both"/>
        <w:rPr>
          <w:b w:val="0"/>
          <w:bCs w:val="0"/>
        </w:rPr>
      </w:pPr>
      <w:r>
        <w:rPr>
          <w:rFonts w:ascii="Calibri" w:hAnsi="Calibri" w:cs="Calibri" w:eastAsia="Calibri" w:hint="default"/>
        </w:rPr>
        <w:t>10.  </w:t>
      </w:r>
      <w:r>
        <w:rPr>
          <w:rFonts w:ascii="Calibri" w:hAnsi="Calibri" w:cs="Calibri" w:eastAsia="Calibri" w:hint="default"/>
          <w:spacing w:val="13"/>
        </w:rPr>
        <w:t> </w:t>
      </w:r>
      <w:r>
        <w:rPr/>
        <w:t>金融工具</w:t>
      </w:r>
      <w:r>
        <w:rPr>
          <w:b w:val="0"/>
          <w:bCs w:val="0"/>
        </w:rPr>
      </w:r>
    </w:p>
    <w:p>
      <w:pPr>
        <w:pStyle w:val="BodyText"/>
        <w:spacing w:line="314" w:lineRule="auto" w:before="107"/>
        <w:ind w:right="250" w:firstLine="405"/>
        <w:jc w:val="left"/>
      </w:pPr>
      <w:r>
        <w:rPr>
          <w:spacing w:val="-1"/>
        </w:rPr>
        <w:t>金融工具是指形成一个企业的金融资产，并形成其他单位的金融负债或权益工具的合同。金</w:t>
      </w:r>
      <w:r>
        <w:rPr>
          <w:w w:val="100"/>
        </w:rPr>
        <w:t> </w:t>
      </w:r>
      <w:r>
        <w:rPr/>
        <w:t>融工具包括金融资产、金融负债和权益工具。</w:t>
      </w:r>
    </w:p>
    <w:p>
      <w:pPr>
        <w:pStyle w:val="BodyText"/>
        <w:spacing w:line="314" w:lineRule="auto"/>
        <w:ind w:left="558" w:right="250" w:hanging="60"/>
        <w:jc w:val="left"/>
      </w:pPr>
      <w:r>
        <w:rPr/>
        <w:t>（</w:t>
      </w:r>
      <w:r>
        <w:rPr>
          <w:rFonts w:ascii="宋体" w:hAnsi="宋体" w:cs="宋体" w:eastAsia="宋体" w:hint="default"/>
        </w:rPr>
        <w:t>1</w:t>
      </w:r>
      <w:r>
        <w:rPr/>
        <w:t>）</w:t>
      </w:r>
      <w:r>
        <w:rPr>
          <w:spacing w:val="-33"/>
        </w:rPr>
        <w:t> </w:t>
      </w:r>
      <w:r>
        <w:rPr/>
        <w:t>金融资产和金融负债的分类：</w:t>
      </w:r>
      <w:r>
        <w:rPr>
          <w:spacing w:val="-102"/>
        </w:rPr>
        <w:t> </w:t>
      </w:r>
      <w:r>
        <w:rPr>
          <w:spacing w:val="-102"/>
        </w:rPr>
      </w:r>
      <w:r>
        <w:rPr>
          <w:spacing w:val="-2"/>
        </w:rPr>
        <w:t>本公司结合自身业务特点和风险管理要求，将取得的金融资产或承担的金融负债在初始确认</w:t>
      </w:r>
    </w:p>
    <w:p>
      <w:pPr>
        <w:pStyle w:val="BodyText"/>
        <w:spacing w:line="314" w:lineRule="auto"/>
        <w:ind w:right="250"/>
        <w:jc w:val="left"/>
      </w:pPr>
      <w:r>
        <w:rPr>
          <w:spacing w:val="-1"/>
        </w:rPr>
        <w:t>时分为以下五类：以公允价值计量且其变动计入当期损益的金融资产或金融负债、持有至到期投</w:t>
      </w:r>
      <w:r>
        <w:rPr>
          <w:spacing w:val="-55"/>
        </w:rPr>
        <w:t> </w:t>
      </w:r>
      <w:r>
        <w:rPr>
          <w:spacing w:val="-55"/>
        </w:rPr>
      </w:r>
      <w:r>
        <w:rPr/>
        <w:t>资、贷款和应收款项、可供出售的金融资产、其他金融负债。</w:t>
      </w:r>
    </w:p>
    <w:p>
      <w:pPr>
        <w:pStyle w:val="BodyText"/>
        <w:spacing w:line="314" w:lineRule="auto"/>
        <w:ind w:left="562" w:right="306" w:firstLine="609"/>
        <w:jc w:val="both"/>
      </w:pPr>
      <w:r>
        <w:rPr>
          <w:rFonts w:ascii="宋体" w:hAnsi="宋体" w:cs="宋体" w:eastAsia="宋体" w:hint="default"/>
        </w:rPr>
        <w:t>1</w:t>
      </w:r>
      <w:r>
        <w:rPr/>
        <w:t>）</w:t>
      </w:r>
      <w:r>
        <w:rPr>
          <w:spacing w:val="12"/>
        </w:rPr>
        <w:t> </w:t>
      </w:r>
      <w:r>
        <w:rPr/>
        <w:t>以公允价值计量且其变动计入当期损益的金融资产或金融负债</w:t>
      </w:r>
      <w:r>
        <w:rPr>
          <w:rFonts w:ascii="宋体" w:hAnsi="宋体" w:cs="宋体" w:eastAsia="宋体" w:hint="default"/>
        </w:rPr>
        <w:t>,</w:t>
      </w:r>
      <w:r>
        <w:rPr/>
        <w:t>可以进一步分</w:t>
      </w:r>
      <w:r>
        <w:rPr>
          <w:w w:val="100"/>
        </w:rPr>
        <w:t> </w:t>
      </w:r>
      <w:r>
        <w:rPr>
          <w:spacing w:val="-2"/>
        </w:rPr>
        <w:t>为交易性金融资产或金融负债和直接指定为以公允价值计量且其变动计入当期损益的金融资</w:t>
      </w:r>
      <w:r>
        <w:rPr>
          <w:spacing w:val="-19"/>
        </w:rPr>
        <w:t> </w:t>
      </w:r>
      <w:r>
        <w:rPr>
          <w:spacing w:val="-19"/>
        </w:rPr>
      </w:r>
      <w:r>
        <w:rPr/>
        <w:t>产或金融负债。</w:t>
      </w:r>
    </w:p>
    <w:p>
      <w:pPr>
        <w:pStyle w:val="BodyText"/>
        <w:tabs>
          <w:tab w:pos="1817" w:val="left" w:leader="none"/>
        </w:tabs>
        <w:spacing w:line="240" w:lineRule="auto"/>
        <w:ind w:left="1172" w:right="250"/>
        <w:jc w:val="left"/>
      </w:pPr>
      <w:r>
        <w:rPr>
          <w:rFonts w:ascii="宋体" w:hAnsi="宋体" w:cs="宋体" w:eastAsia="宋体" w:hint="default"/>
        </w:rPr>
        <w:t>2</w:t>
      </w:r>
      <w:r>
        <w:rPr/>
        <w:t>）</w:t>
        <w:tab/>
        <w:t>持有至到期投资：是指到期日固定、回收金额固定或可确定，且管理层有明确</w:t>
      </w:r>
    </w:p>
    <w:p>
      <w:pPr>
        <w:spacing w:after="0" w:line="240" w:lineRule="auto"/>
        <w:jc w:val="left"/>
        <w:sectPr>
          <w:pgSz w:w="11910" w:h="16840"/>
          <w:pgMar w:header="856" w:footer="1193" w:top="1280" w:bottom="1380" w:left="1660" w:right="960"/>
        </w:sectPr>
      </w:pPr>
    </w:p>
    <w:p>
      <w:pPr>
        <w:spacing w:line="240" w:lineRule="auto" w:before="7"/>
        <w:rPr>
          <w:rFonts w:ascii="宋体" w:hAnsi="宋体" w:cs="宋体" w:eastAsia="宋体" w:hint="default"/>
          <w:sz w:val="18"/>
          <w:szCs w:val="18"/>
        </w:rPr>
      </w:pPr>
    </w:p>
    <w:p>
      <w:pPr>
        <w:pStyle w:val="BodyText"/>
        <w:spacing w:line="240" w:lineRule="auto" w:before="36"/>
        <w:ind w:left="562" w:right="0"/>
        <w:jc w:val="left"/>
      </w:pPr>
      <w:r>
        <w:rPr/>
        <w:t>意图和能力持有至到期的非衍生金融资产。</w:t>
      </w:r>
    </w:p>
    <w:p>
      <w:pPr>
        <w:pStyle w:val="BodyText"/>
        <w:spacing w:line="314" w:lineRule="auto" w:before="85"/>
        <w:ind w:left="562" w:right="146" w:firstLine="609"/>
        <w:jc w:val="both"/>
      </w:pPr>
      <w:r>
        <w:rPr>
          <w:rFonts w:ascii="宋体" w:hAnsi="宋体" w:cs="宋体" w:eastAsia="宋体" w:hint="default"/>
        </w:rPr>
        <w:t>3</w:t>
      </w:r>
      <w:r>
        <w:rPr/>
        <w:t>）</w:t>
      </w:r>
      <w:r>
        <w:rPr>
          <w:spacing w:val="25"/>
        </w:rPr>
        <w:t> </w:t>
      </w:r>
      <w:r>
        <w:rPr/>
        <w:t>贷款和应收款项：是指在活跃市场中没有报价，回收金额固定或可确定的非衍</w:t>
      </w:r>
      <w:r>
        <w:rPr>
          <w:w w:val="100"/>
        </w:rPr>
        <w:t> </w:t>
      </w:r>
      <w:r>
        <w:rPr>
          <w:spacing w:val="-2"/>
        </w:rPr>
        <w:t>生金融资产。本公司划分贷款和应收款项的金融资产包括应收票据、应收账款、应收利息、</w:t>
      </w:r>
      <w:r>
        <w:rPr>
          <w:spacing w:val="-19"/>
        </w:rPr>
        <w:t> </w:t>
      </w:r>
      <w:r>
        <w:rPr>
          <w:spacing w:val="-19"/>
        </w:rPr>
      </w:r>
      <w:r>
        <w:rPr/>
        <w:t>应收股利及其他应收款。</w:t>
      </w:r>
    </w:p>
    <w:p>
      <w:pPr>
        <w:pStyle w:val="BodyText"/>
        <w:spacing w:line="314" w:lineRule="auto"/>
        <w:ind w:left="562" w:right="146" w:firstLine="609"/>
        <w:jc w:val="both"/>
      </w:pPr>
      <w:r>
        <w:rPr>
          <w:rFonts w:ascii="宋体" w:hAnsi="宋体" w:cs="宋体" w:eastAsia="宋体" w:hint="default"/>
        </w:rPr>
        <w:t>4</w:t>
      </w:r>
      <w:r>
        <w:rPr/>
        <w:t>）</w:t>
      </w:r>
      <w:r>
        <w:rPr>
          <w:spacing w:val="53"/>
        </w:rPr>
        <w:t> </w:t>
      </w:r>
      <w:r>
        <w:rPr>
          <w:spacing w:val="2"/>
        </w:rPr>
        <w:t>可供出售金融资产：包括初始确认时即被指定为可供出售的非衍生金融资产</w:t>
      </w:r>
      <w:r>
        <w:rPr>
          <w:rFonts w:ascii="宋体" w:hAnsi="宋体" w:cs="宋体" w:eastAsia="宋体" w:hint="default"/>
          <w:spacing w:val="2"/>
        </w:rPr>
        <w:t>,</w:t>
      </w:r>
      <w:r>
        <w:rPr>
          <w:rFonts w:ascii="宋体" w:hAnsi="宋体" w:cs="宋体" w:eastAsia="宋体" w:hint="default"/>
          <w:w w:val="100"/>
        </w:rPr>
        <w:t> </w:t>
      </w:r>
      <w:r>
        <w:rPr>
          <w:spacing w:val="-2"/>
        </w:rPr>
        <w:t>以及除了以公允价值计量且其变动计入当期损益的金融资产、贷款和应收款项、持有至到期</w:t>
      </w:r>
      <w:r>
        <w:rPr>
          <w:spacing w:val="-19"/>
        </w:rPr>
        <w:t> </w:t>
      </w:r>
      <w:r>
        <w:rPr>
          <w:spacing w:val="-19"/>
        </w:rPr>
      </w:r>
      <w:r>
        <w:rPr/>
        <w:t>投资以外的金融资产。</w:t>
      </w:r>
    </w:p>
    <w:p>
      <w:pPr>
        <w:pStyle w:val="BodyText"/>
        <w:spacing w:line="240" w:lineRule="auto"/>
        <w:ind w:left="348" w:right="15"/>
        <w:jc w:val="center"/>
      </w:pPr>
      <w:r>
        <w:rPr>
          <w:rFonts w:ascii="宋体" w:hAnsi="宋体" w:cs="宋体" w:eastAsia="宋体" w:hint="default"/>
        </w:rPr>
        <w:t>5)</w:t>
      </w:r>
      <w:r>
        <w:rPr/>
        <w:t>其他金融负债：是指没有划分为以公允价值计量且其变动计入当期损益的金融负债。</w:t>
      </w:r>
    </w:p>
    <w:p>
      <w:pPr>
        <w:pStyle w:val="BodyText"/>
        <w:spacing w:line="314" w:lineRule="auto" w:before="85"/>
        <w:ind w:left="558" w:right="0" w:hanging="60"/>
        <w:jc w:val="left"/>
      </w:pPr>
      <w:r>
        <w:rPr/>
        <w:t>（</w:t>
      </w:r>
      <w:r>
        <w:rPr>
          <w:rFonts w:ascii="宋体" w:hAnsi="宋体" w:cs="宋体" w:eastAsia="宋体" w:hint="default"/>
        </w:rPr>
        <w:t>2</w:t>
      </w:r>
      <w:r>
        <w:rPr/>
        <w:t>）</w:t>
      </w:r>
      <w:r>
        <w:rPr>
          <w:spacing w:val="-33"/>
        </w:rPr>
        <w:t> </w:t>
      </w:r>
      <w:r>
        <w:rPr/>
        <w:t>金融资产和金融负债的确认和计量：</w:t>
      </w:r>
      <w:r>
        <w:rPr>
          <w:spacing w:val="-101"/>
        </w:rPr>
        <w:t> </w:t>
      </w:r>
      <w:r>
        <w:rPr>
          <w:spacing w:val="-101"/>
        </w:rPr>
      </w:r>
      <w:r>
        <w:rPr>
          <w:spacing w:val="-2"/>
        </w:rPr>
        <w:t>当公司成为金融工具合同的一方时，确认一项金融资产或金融负债。根据此确认条件，公司</w:t>
      </w:r>
    </w:p>
    <w:p>
      <w:pPr>
        <w:pStyle w:val="BodyText"/>
        <w:spacing w:line="314" w:lineRule="auto"/>
        <w:ind w:right="148"/>
        <w:jc w:val="both"/>
      </w:pPr>
      <w:r>
        <w:rPr>
          <w:spacing w:val="-1"/>
        </w:rPr>
        <w:t>将金融工具确认和计量范围内的衍生工具合同形成的权利或义务，确认为金融资产或金融负债。</w:t>
      </w:r>
      <w:r>
        <w:rPr>
          <w:spacing w:val="-55"/>
        </w:rPr>
        <w:t> </w:t>
      </w:r>
      <w:r>
        <w:rPr>
          <w:spacing w:val="-55"/>
        </w:rPr>
      </w:r>
      <w:r>
        <w:rPr>
          <w:spacing w:val="-1"/>
        </w:rPr>
        <w:t>但是，如果衍生工具涉及金融资产转移，且导致该金融资产转移不符合终止确认条件，则不应将</w:t>
      </w:r>
      <w:r>
        <w:rPr>
          <w:spacing w:val="-55"/>
        </w:rPr>
        <w:t> </w:t>
      </w:r>
      <w:r>
        <w:rPr>
          <w:spacing w:val="-55"/>
        </w:rPr>
      </w:r>
      <w:r>
        <w:rPr/>
        <w:t>其确认，否则会导致衍生工具形成的义务被重复确认。</w:t>
      </w:r>
    </w:p>
    <w:p>
      <w:pPr>
        <w:pStyle w:val="BodyText"/>
        <w:spacing w:line="314" w:lineRule="auto"/>
        <w:ind w:right="148" w:firstLine="419"/>
        <w:jc w:val="both"/>
      </w:pPr>
      <w:r>
        <w:rPr>
          <w:spacing w:val="-2"/>
        </w:rPr>
        <w:t>金融资产和金融负债在初始确认时以公允价值计量。对于以公允价值计量且其变动计入当期</w:t>
      </w:r>
      <w:r>
        <w:rPr>
          <w:w w:val="100"/>
        </w:rPr>
        <w:t> </w:t>
      </w:r>
      <w:r>
        <w:rPr>
          <w:spacing w:val="-1"/>
        </w:rPr>
        <w:t>损益的金融资产或金融负债，相关交易费用直接计入当期损益；对于其他类别的金融资产或金融</w:t>
      </w:r>
      <w:r>
        <w:rPr>
          <w:spacing w:val="-55"/>
        </w:rPr>
        <w:t> </w:t>
      </w:r>
      <w:r>
        <w:rPr>
          <w:spacing w:val="-55"/>
        </w:rPr>
      </w:r>
      <w:r>
        <w:rPr/>
        <w:t>负债，相关交易费用计入初始确认金额，构成实际利息组成部分。</w:t>
      </w:r>
    </w:p>
    <w:p>
      <w:pPr>
        <w:pStyle w:val="BodyText"/>
        <w:spacing w:line="314" w:lineRule="auto"/>
        <w:ind w:left="558" w:right="0"/>
        <w:jc w:val="left"/>
      </w:pPr>
      <w:r>
        <w:rPr/>
        <w:t>金融资产的后续计量：</w:t>
      </w:r>
      <w:r>
        <w:rPr>
          <w:w w:val="100"/>
        </w:rPr>
        <w:t> </w:t>
      </w:r>
      <w:r>
        <w:rPr>
          <w:spacing w:val="-2"/>
        </w:rPr>
        <w:t>以公允价值计量且其变动计入当期损益的金融资产，按照公允价值进行后续计量，且不扣除</w:t>
      </w:r>
    </w:p>
    <w:p>
      <w:pPr>
        <w:pStyle w:val="BodyText"/>
        <w:spacing w:line="314" w:lineRule="auto"/>
        <w:ind w:right="148"/>
        <w:jc w:val="both"/>
      </w:pPr>
      <w:r>
        <w:rPr>
          <w:spacing w:val="-1"/>
        </w:rPr>
        <w:t>将来处置该金融资产时可能发生的交易费用；公允价值变动形成的利得或损失以及与该等金融资</w:t>
      </w:r>
      <w:r>
        <w:rPr>
          <w:spacing w:val="-55"/>
        </w:rPr>
        <w:t> </w:t>
      </w:r>
      <w:r>
        <w:rPr>
          <w:spacing w:val="-55"/>
        </w:rPr>
      </w:r>
      <w:r>
        <w:rPr/>
        <w:t>产相关的股利和利息收入计入当期损益。</w:t>
      </w:r>
    </w:p>
    <w:p>
      <w:pPr>
        <w:pStyle w:val="BodyText"/>
        <w:spacing w:line="314" w:lineRule="auto"/>
        <w:ind w:right="150" w:firstLine="419"/>
        <w:jc w:val="both"/>
      </w:pPr>
      <w:r>
        <w:rPr>
          <w:spacing w:val="-2"/>
        </w:rPr>
        <w:t>持有至到期投资，采用实际利率法，按摊余成本进行后续计量。在终止确认、发生减值或摊</w:t>
      </w:r>
      <w:r>
        <w:rPr>
          <w:w w:val="100"/>
        </w:rPr>
        <w:t> </w:t>
      </w:r>
      <w:r>
        <w:rPr/>
        <w:t>销时产生的利得或损失，计入当期损益。</w:t>
      </w:r>
    </w:p>
    <w:p>
      <w:pPr>
        <w:pStyle w:val="BodyText"/>
        <w:spacing w:line="314" w:lineRule="auto"/>
        <w:ind w:right="157" w:firstLine="419"/>
        <w:jc w:val="both"/>
      </w:pPr>
      <w:r>
        <w:rPr>
          <w:spacing w:val="-2"/>
        </w:rPr>
        <w:t>贷款和应收款项，采用实际利率法，按摊余成本进行后续计量。在终止确认、发生减值或摊</w:t>
      </w:r>
      <w:r>
        <w:rPr>
          <w:w w:val="100"/>
        </w:rPr>
        <w:t> </w:t>
      </w:r>
      <w:r>
        <w:rPr>
          <w:spacing w:val="-2"/>
        </w:rPr>
        <w:t>销时产生的利得或损失，计入当期损益。可供出售金融资产，按照公允价值进行后续计量，且不</w:t>
      </w:r>
      <w:r>
        <w:rPr>
          <w:spacing w:val="-25"/>
        </w:rPr>
        <w:t> </w:t>
      </w:r>
      <w:r>
        <w:rPr>
          <w:spacing w:val="-25"/>
        </w:rPr>
      </w:r>
      <w:r>
        <w:rPr>
          <w:spacing w:val="-2"/>
        </w:rPr>
        <w:t>扣除将来处置该金融资产时可能发生的交易费用。公允价值变动形成的利得或损失，除减值损失</w:t>
      </w:r>
      <w:r>
        <w:rPr>
          <w:spacing w:val="-25"/>
        </w:rPr>
        <w:t> </w:t>
      </w:r>
      <w:r>
        <w:rPr>
          <w:spacing w:val="-25"/>
        </w:rPr>
      </w:r>
      <w:r>
        <w:rPr>
          <w:spacing w:val="-2"/>
        </w:rPr>
        <w:t>和外币货币性金融资产与摊余成本相关的汇兑差额计入当期损益外，确认为其他综合收益，在该</w:t>
      </w:r>
      <w:r>
        <w:rPr>
          <w:spacing w:val="-25"/>
        </w:rPr>
        <w:t> </w:t>
      </w:r>
      <w:r>
        <w:rPr>
          <w:spacing w:val="-25"/>
        </w:rPr>
      </w:r>
      <w:r>
        <w:rPr/>
        <w:t>金融资产终止确认时转出，计入当期损益。</w:t>
      </w:r>
    </w:p>
    <w:p>
      <w:pPr>
        <w:pStyle w:val="BodyText"/>
        <w:spacing w:line="314" w:lineRule="auto"/>
        <w:ind w:left="558" w:right="0"/>
        <w:jc w:val="left"/>
      </w:pPr>
      <w:r>
        <w:rPr>
          <w:spacing w:val="-2"/>
        </w:rPr>
        <w:t>可供出售金融资产持有期间取得的利息及被投资单位宣告发放的现金股利，计入投资收益。</w:t>
      </w:r>
      <w:r>
        <w:rPr>
          <w:spacing w:val="-28"/>
        </w:rPr>
        <w:t> </w:t>
      </w:r>
      <w:r>
        <w:rPr>
          <w:spacing w:val="-28"/>
        </w:rPr>
      </w:r>
      <w:r>
        <w:rPr>
          <w:spacing w:val="-2"/>
        </w:rPr>
        <w:t>在活跃市场中没有报价且其公允价值不能可靠计量的权益工具投资，以及与该权益工具挂钩</w:t>
      </w:r>
    </w:p>
    <w:p>
      <w:pPr>
        <w:pStyle w:val="BodyText"/>
        <w:spacing w:line="314" w:lineRule="auto"/>
        <w:ind w:left="558" w:right="1626" w:hanging="420"/>
        <w:jc w:val="left"/>
      </w:pPr>
      <w:r>
        <w:rPr>
          <w:spacing w:val="-2"/>
        </w:rPr>
        <w:t>并须通过交付该权益工具结算的衍生金融资产，按照成本计量。</w:t>
      </w:r>
      <w:r>
        <w:rPr>
          <w:spacing w:val="-52"/>
        </w:rPr>
        <w:t> </w:t>
      </w:r>
      <w:r>
        <w:rPr>
          <w:spacing w:val="-52"/>
        </w:rPr>
      </w:r>
      <w:r>
        <w:rPr/>
        <w:t>金融负债的后续计量：</w:t>
      </w:r>
    </w:p>
    <w:p>
      <w:pPr>
        <w:pStyle w:val="BodyText"/>
        <w:spacing w:line="314" w:lineRule="auto"/>
        <w:ind w:right="150" w:firstLine="419"/>
        <w:jc w:val="both"/>
      </w:pPr>
      <w:r>
        <w:rPr>
          <w:spacing w:val="-2"/>
        </w:rPr>
        <w:t>以公允价值计量且其变动计入当期损益的金融负债，按照公允价值计量，且不扣除将来结清</w:t>
      </w:r>
      <w:r>
        <w:rPr>
          <w:w w:val="100"/>
        </w:rPr>
        <w:t> </w:t>
      </w:r>
      <w:r>
        <w:rPr/>
        <w:t>金融负债时可能发生的交易费用。</w:t>
      </w:r>
    </w:p>
    <w:p>
      <w:pPr>
        <w:pStyle w:val="BodyText"/>
        <w:spacing w:line="314" w:lineRule="auto"/>
        <w:ind w:right="150" w:firstLine="419"/>
        <w:jc w:val="both"/>
      </w:pPr>
      <w:r>
        <w:rPr>
          <w:spacing w:val="-2"/>
        </w:rPr>
        <w:t>与在活跃市场中没有报价、公允价值不能可靠计量的权益工具挂钩并须通过交付该权益工具</w:t>
      </w:r>
      <w:r>
        <w:rPr>
          <w:w w:val="100"/>
        </w:rPr>
        <w:t> </w:t>
      </w:r>
      <w:r>
        <w:rPr/>
        <w:t>结算的衍生金融负债，按照成本计量。</w:t>
      </w:r>
    </w:p>
    <w:p>
      <w:pPr>
        <w:pStyle w:val="BodyText"/>
        <w:spacing w:line="314" w:lineRule="auto"/>
        <w:ind w:right="145" w:firstLine="419"/>
        <w:jc w:val="both"/>
      </w:pPr>
      <w:r>
        <w:rPr>
          <w:spacing w:val="-1"/>
        </w:rPr>
        <w:t>不属于指定为以公允价值计量且其变动计入当期损益的金融负债的财务担保合同或没有指定</w:t>
      </w:r>
      <w:r>
        <w:rPr>
          <w:w w:val="100"/>
        </w:rPr>
        <w:t> </w:t>
      </w:r>
      <w:r>
        <w:rPr>
          <w:spacing w:val="-1"/>
        </w:rPr>
        <w:t>为以公允价值计量且其变动计入当期损益的金融负债并将以低于市场利率贷款的贷款承诺，在初</w:t>
      </w:r>
      <w:r>
        <w:rPr>
          <w:spacing w:val="-55"/>
        </w:rPr>
        <w:t> </w:t>
      </w:r>
      <w:r>
        <w:rPr>
          <w:spacing w:val="-55"/>
        </w:rPr>
      </w:r>
      <w:r>
        <w:rPr/>
        <w:t>始确认后按照下列两项金额之中的较高者进行后续计量：①按照《企业会计准则第</w:t>
      </w:r>
      <w:r>
        <w:rPr>
          <w:spacing w:val="-48"/>
        </w:rPr>
        <w:t> </w:t>
      </w:r>
      <w:r>
        <w:rPr>
          <w:rFonts w:ascii="宋体" w:hAnsi="宋体" w:cs="宋体" w:eastAsia="宋体" w:hint="default"/>
        </w:rPr>
        <w:t>13</w:t>
      </w:r>
      <w:r>
        <w:rPr>
          <w:rFonts w:ascii="宋体" w:hAnsi="宋体" w:cs="宋体" w:eastAsia="宋体" w:hint="default"/>
          <w:spacing w:val="-50"/>
        </w:rPr>
        <w:t> </w:t>
      </w:r>
      <w:r>
        <w:rPr/>
        <w:t>号</w:t>
      </w:r>
      <w:r>
        <w:rPr>
          <w:rFonts w:ascii="宋体" w:hAnsi="宋体" w:cs="宋体" w:eastAsia="宋体" w:hint="default"/>
        </w:rPr>
        <w:t>-</w:t>
      </w:r>
      <w:r>
        <w:rPr/>
        <w:t>或有事</w:t>
      </w:r>
    </w:p>
    <w:p>
      <w:pPr>
        <w:spacing w:after="0" w:line="314" w:lineRule="auto"/>
        <w:jc w:val="both"/>
        <w:sectPr>
          <w:footerReference w:type="default" r:id="rId44"/>
          <w:pgSz w:w="11910" w:h="16840"/>
          <w:pgMar w:footer="1193" w:header="856" w:top="1280" w:bottom="1380" w:left="1660" w:right="1120"/>
          <w:pgNumType w:start="83"/>
        </w:sectPr>
      </w:pPr>
    </w:p>
    <w:p>
      <w:pPr>
        <w:spacing w:line="240" w:lineRule="auto" w:before="7"/>
        <w:rPr>
          <w:rFonts w:ascii="宋体" w:hAnsi="宋体" w:cs="宋体" w:eastAsia="宋体" w:hint="default"/>
          <w:sz w:val="18"/>
          <w:szCs w:val="18"/>
        </w:rPr>
      </w:pPr>
    </w:p>
    <w:p>
      <w:pPr>
        <w:pStyle w:val="BodyText"/>
        <w:spacing w:line="314" w:lineRule="auto" w:before="36"/>
        <w:ind w:right="205"/>
        <w:jc w:val="both"/>
      </w:pPr>
      <w:r>
        <w:rPr/>
        <w:t>项》确定的金额②初始确认金额扣除按照《企业会计准则第</w:t>
      </w:r>
      <w:r>
        <w:rPr>
          <w:spacing w:val="-48"/>
        </w:rPr>
        <w:t> </w:t>
      </w:r>
      <w:r>
        <w:rPr>
          <w:rFonts w:ascii="宋体" w:hAnsi="宋体" w:cs="宋体" w:eastAsia="宋体" w:hint="default"/>
        </w:rPr>
        <w:t>14</w:t>
      </w:r>
      <w:r>
        <w:rPr>
          <w:rFonts w:ascii="宋体" w:hAnsi="宋体" w:cs="宋体" w:eastAsia="宋体" w:hint="default"/>
          <w:spacing w:val="-48"/>
        </w:rPr>
        <w:t> </w:t>
      </w:r>
      <w:r>
        <w:rPr/>
        <w:t>号</w:t>
      </w:r>
      <w:r>
        <w:rPr>
          <w:rFonts w:ascii="宋体" w:hAnsi="宋体" w:cs="宋体" w:eastAsia="宋体" w:hint="default"/>
        </w:rPr>
        <w:t>-</w:t>
      </w:r>
      <w:r>
        <w:rPr/>
        <w:t>收入》的原则确定的累计摊销</w:t>
      </w:r>
      <w:r>
        <w:rPr>
          <w:w w:val="100"/>
        </w:rPr>
        <w:t> </w:t>
      </w:r>
      <w:r>
        <w:rPr/>
        <w:t>后的余额。</w:t>
      </w:r>
    </w:p>
    <w:p>
      <w:pPr>
        <w:pStyle w:val="BodyText"/>
        <w:spacing w:line="240" w:lineRule="auto"/>
        <w:ind w:left="558" w:right="99"/>
        <w:jc w:val="left"/>
      </w:pPr>
      <w:r>
        <w:rPr/>
        <w:t>上述金融负债以外的金融负债，采用实际利率法按照摊余成本进行后续计量。</w:t>
      </w:r>
    </w:p>
    <w:p>
      <w:pPr>
        <w:pStyle w:val="BodyText"/>
        <w:spacing w:line="314" w:lineRule="auto" w:before="85"/>
        <w:ind w:left="558" w:right="95" w:hanging="60"/>
        <w:jc w:val="left"/>
      </w:pPr>
      <w:r>
        <w:rPr/>
        <w:t>（</w:t>
      </w:r>
      <w:r>
        <w:rPr>
          <w:rFonts w:ascii="宋体" w:hAnsi="宋体" w:cs="宋体" w:eastAsia="宋体" w:hint="default"/>
        </w:rPr>
        <w:t>3</w:t>
      </w:r>
      <w:r>
        <w:rPr/>
        <w:t>）</w:t>
      </w:r>
      <w:r>
        <w:rPr>
          <w:spacing w:val="-33"/>
        </w:rPr>
        <w:t> </w:t>
      </w:r>
      <w:r>
        <w:rPr/>
        <w:t>金融资产转移的确认依据和计量方法：</w:t>
      </w:r>
      <w:r>
        <w:rPr>
          <w:spacing w:val="-103"/>
        </w:rPr>
        <w:t> </w:t>
      </w:r>
      <w:r>
        <w:rPr>
          <w:spacing w:val="-103"/>
        </w:rPr>
      </w:r>
      <w:r>
        <w:rPr>
          <w:spacing w:val="-11"/>
          <w:w w:val="100"/>
        </w:rPr>
        <w:t>满足下列条件之一的金融资产，予以终止确认：①</w:t>
      </w:r>
      <w:r>
        <w:rPr>
          <w:spacing w:val="29"/>
          <w:w w:val="100"/>
        </w:rPr>
        <w:t> </w:t>
      </w:r>
      <w:r>
        <w:rPr>
          <w:spacing w:val="-2"/>
          <w:w w:val="100"/>
        </w:rPr>
        <w:t>收取该金融资产现金流量的合同权利终止；</w:t>
      </w:r>
    </w:p>
    <w:p>
      <w:pPr>
        <w:pStyle w:val="BodyText"/>
        <w:spacing w:line="314" w:lineRule="auto"/>
        <w:ind w:right="205"/>
        <w:jc w:val="both"/>
      </w:pPr>
      <w:r>
        <w:rPr/>
        <w:t>②</w:t>
      </w:r>
      <w:r>
        <w:rPr>
          <w:spacing w:val="54"/>
        </w:rPr>
        <w:t> </w:t>
      </w:r>
      <w:r>
        <w:rPr>
          <w:spacing w:val="-4"/>
        </w:rPr>
        <w:t>该金融资产已转移，且将金融资产所有权上几乎所有的风险和报酬转移给转入方；③该金融资</w:t>
      </w:r>
      <w:r>
        <w:rPr>
          <w:spacing w:val="-95"/>
        </w:rPr>
        <w:t> </w:t>
      </w:r>
      <w:r>
        <w:rPr>
          <w:spacing w:val="-95"/>
        </w:rPr>
      </w:r>
      <w:r>
        <w:rPr>
          <w:spacing w:val="-1"/>
        </w:rPr>
        <w:t>产已转移，虽然公司既没有转移也没有保留金融资产所有权上几乎所有的风险和报酬，但是放弃</w:t>
      </w:r>
      <w:r>
        <w:rPr>
          <w:spacing w:val="-55"/>
        </w:rPr>
        <w:t> </w:t>
      </w:r>
      <w:r>
        <w:rPr>
          <w:spacing w:val="-55"/>
        </w:rPr>
      </w:r>
      <w:r>
        <w:rPr/>
        <w:t>了对该金融资产控制的。</w:t>
      </w:r>
    </w:p>
    <w:p>
      <w:pPr>
        <w:pStyle w:val="BodyText"/>
        <w:spacing w:line="314" w:lineRule="auto"/>
        <w:ind w:right="208" w:firstLine="419"/>
        <w:jc w:val="both"/>
      </w:pPr>
      <w:r>
        <w:rPr>
          <w:spacing w:val="-2"/>
        </w:rPr>
        <w:t>若公司既没有转移也没有保留金融资产所有权上几乎所有的风险和报酬，且未放弃对该金融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r>
        <w:rPr>
          <w:w w:val="100"/>
        </w:rPr>
        <w:t> </w:t>
      </w:r>
      <w:r>
        <w:rPr/>
        <w:t>继续涉入所转移金融资产的程度，是指该金融资产价值变动使公司面临的风险水平。</w:t>
      </w:r>
    </w:p>
    <w:p>
      <w:pPr>
        <w:pStyle w:val="BodyText"/>
        <w:spacing w:line="314" w:lineRule="auto"/>
        <w:ind w:right="210" w:firstLine="419"/>
        <w:jc w:val="both"/>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p>
    <w:p>
      <w:pPr>
        <w:pStyle w:val="BodyText"/>
        <w:spacing w:line="314" w:lineRule="auto"/>
        <w:ind w:right="208" w:firstLine="419"/>
        <w:jc w:val="both"/>
      </w:pPr>
      <w:r>
        <w:rPr>
          <w:spacing w:val="-1"/>
        </w:rPr>
        <w:t>金融资产部分转移满足终止确认条件的，将所转移金融资产整体的账面价值在终止确认及未</w:t>
      </w:r>
      <w:r>
        <w:rPr>
          <w:w w:val="100"/>
        </w:rPr>
        <w:t> </w:t>
      </w:r>
      <w:r>
        <w:rPr>
          <w:spacing w:val="-1"/>
        </w:rPr>
        <w:t>终止确认部分之间按各自的相对公允价值进行分摊，并将因转移而收到的对价与应分摊至终止确</w:t>
      </w:r>
      <w:r>
        <w:rPr>
          <w:spacing w:val="-55"/>
        </w:rPr>
        <w:t> </w:t>
      </w:r>
      <w:r>
        <w:rPr>
          <w:spacing w:val="-55"/>
        </w:rPr>
      </w:r>
      <w:r>
        <w:rPr>
          <w:spacing w:val="-1"/>
        </w:rPr>
        <w:t>认部分的原计入其他综合收益的公允价值变动累计额之和与分摊的前述账面金额之差额计入当期</w:t>
      </w:r>
      <w:r>
        <w:rPr>
          <w:spacing w:val="-55"/>
        </w:rPr>
        <w:t> </w:t>
      </w:r>
      <w:r>
        <w:rPr>
          <w:spacing w:val="-55"/>
        </w:rPr>
      </w:r>
      <w:r>
        <w:rPr/>
        <w:t>损益。</w:t>
      </w:r>
    </w:p>
    <w:p>
      <w:pPr>
        <w:pStyle w:val="BodyText"/>
        <w:spacing w:line="314" w:lineRule="auto"/>
        <w:ind w:right="208" w:firstLine="419"/>
        <w:jc w:val="both"/>
      </w:pPr>
      <w:r>
        <w:rPr>
          <w:spacing w:val="-2"/>
        </w:rPr>
        <w:t>本公司对采用附追索权方式出售的金融资产，或将持有的金融资产背书转让，需确定该金融</w:t>
      </w:r>
      <w:r>
        <w:rPr>
          <w:w w:val="100"/>
        </w:rPr>
        <w:t> </w:t>
      </w:r>
      <w:r>
        <w:rPr>
          <w:spacing w:val="-1"/>
        </w:rPr>
        <w:t>资产所有权上几乎所有的风险和报酬是否已经转移。已将该金融资产所有权上几乎所有的风险和</w:t>
      </w:r>
      <w:r>
        <w:rPr>
          <w:spacing w:val="-55"/>
        </w:rPr>
        <w:t> </w:t>
      </w:r>
      <w:r>
        <w:rPr>
          <w:spacing w:val="-55"/>
        </w:rPr>
      </w:r>
      <w:r>
        <w:rPr>
          <w:spacing w:val="-6"/>
          <w:w w:val="100"/>
        </w:rPr>
        <w:t>报酬转移给转入方的，终止确认该金融资产；保留了金融资产所有权上几乎所有的风险和报酬的，</w:t>
      </w:r>
      <w:r>
        <w:rPr>
          <w:w w:val="100"/>
        </w:rPr>
        <w:t> </w:t>
      </w:r>
      <w:r>
        <w:rPr>
          <w:spacing w:val="-1"/>
        </w:rPr>
        <w:t>不终止确认该金融资产；既没有转移也没有保留金融资产所有权上几乎所有的风险和报酬的，则</w:t>
      </w:r>
      <w:r>
        <w:rPr>
          <w:spacing w:val="-55"/>
        </w:rPr>
        <w:t> </w:t>
      </w:r>
      <w:r>
        <w:rPr>
          <w:spacing w:val="-55"/>
        </w:rPr>
      </w:r>
      <w:r>
        <w:rPr/>
        <w:t>继续判断企业是否对该资产保留了控制，并根据前面各段所述的原则进行会计处理。</w:t>
      </w:r>
    </w:p>
    <w:p>
      <w:pPr>
        <w:pStyle w:val="BodyText"/>
        <w:spacing w:line="314" w:lineRule="auto"/>
        <w:ind w:left="558" w:right="99" w:hanging="60"/>
        <w:jc w:val="left"/>
      </w:pPr>
      <w:r>
        <w:rPr/>
        <w:t>（</w:t>
      </w:r>
      <w:r>
        <w:rPr>
          <w:rFonts w:ascii="宋体" w:hAnsi="宋体" w:cs="宋体" w:eastAsia="宋体" w:hint="default"/>
        </w:rPr>
        <w:t>4</w:t>
      </w:r>
      <w:r>
        <w:rPr/>
        <w:t>）</w:t>
      </w:r>
      <w:r>
        <w:rPr>
          <w:spacing w:val="-33"/>
        </w:rPr>
        <w:t> </w:t>
      </w:r>
      <w:r>
        <w:rPr/>
        <w:t>金融负债的终止确认：</w:t>
      </w:r>
      <w:r>
        <w:rPr>
          <w:spacing w:val="-102"/>
        </w:rPr>
        <w:t> </w:t>
      </w:r>
      <w:r>
        <w:rPr>
          <w:spacing w:val="-102"/>
        </w:rPr>
      </w:r>
      <w:r>
        <w:rPr>
          <w:spacing w:val="-2"/>
        </w:rPr>
        <w:t>金融负债的现时义务全部或部分已经解除的，才能终止确认该金融负债或其一部分。本公司</w:t>
      </w:r>
    </w:p>
    <w:p>
      <w:pPr>
        <w:pStyle w:val="BodyText"/>
        <w:spacing w:line="314" w:lineRule="auto"/>
        <w:ind w:right="217"/>
        <w:jc w:val="both"/>
      </w:pPr>
      <w:r>
        <w:rPr>
          <w:spacing w:val="-2"/>
        </w:rPr>
        <w:t>（债务人）与债权人之间签订协议，以承担新金融负债方式替换现存金融负债，且新金融负债与</w:t>
      </w:r>
      <w:r>
        <w:rPr>
          <w:spacing w:val="-25"/>
        </w:rPr>
        <w:t> </w:t>
      </w:r>
      <w:r>
        <w:rPr>
          <w:spacing w:val="-25"/>
        </w:rPr>
      </w:r>
      <w:r>
        <w:rPr/>
        <w:t>现存金融负债的合同条款实质上不同的，终止确认现存金融负债，并同时确认新金融负债。</w:t>
      </w:r>
    </w:p>
    <w:p>
      <w:pPr>
        <w:pStyle w:val="BodyText"/>
        <w:spacing w:line="314" w:lineRule="auto"/>
        <w:ind w:right="210" w:firstLine="419"/>
        <w:jc w:val="both"/>
      </w:pPr>
      <w:r>
        <w:rPr>
          <w:spacing w:val="-2"/>
        </w:rPr>
        <w:t>金融负债全部或部分终止确认的，将终止确认部分的账面价值与支付的对价（包括转出的非</w:t>
      </w:r>
      <w:r>
        <w:rPr>
          <w:w w:val="100"/>
        </w:rPr>
        <w:t> </w:t>
      </w:r>
      <w:r>
        <w:rPr/>
        <w:t>现金资产或承担的新金融负债）之间的差额，计入当期损益。</w:t>
      </w:r>
    </w:p>
    <w:p>
      <w:pPr>
        <w:pStyle w:val="BodyText"/>
        <w:spacing w:line="314" w:lineRule="auto"/>
        <w:ind w:left="558" w:right="99" w:hanging="60"/>
        <w:jc w:val="left"/>
      </w:pPr>
      <w:r>
        <w:rPr/>
        <w:t>（</w:t>
      </w:r>
      <w:r>
        <w:rPr>
          <w:rFonts w:ascii="宋体" w:hAnsi="宋体" w:cs="宋体" w:eastAsia="宋体" w:hint="default"/>
        </w:rPr>
        <w:t>5</w:t>
      </w:r>
      <w:r>
        <w:rPr/>
        <w:t>）</w:t>
      </w:r>
      <w:r>
        <w:rPr>
          <w:spacing w:val="-33"/>
        </w:rPr>
        <w:t> </w:t>
      </w:r>
      <w:r>
        <w:rPr/>
        <w:t>金融资产和金融负债的公允价值确定方法：</w:t>
      </w:r>
      <w:r>
        <w:rPr>
          <w:w w:val="100"/>
        </w:rPr>
        <w:t> </w:t>
      </w:r>
      <w:r>
        <w:rPr>
          <w:spacing w:val="-2"/>
        </w:rPr>
        <w:t>公允价值，是指市场参与者在计量日发生的有序交易中，出售一项资产所能收到或者转移一</w:t>
      </w:r>
    </w:p>
    <w:p>
      <w:pPr>
        <w:pStyle w:val="BodyText"/>
        <w:spacing w:line="314" w:lineRule="auto"/>
        <w:ind w:right="208"/>
        <w:jc w:val="both"/>
      </w:pPr>
      <w:r>
        <w:rPr>
          <w:spacing w:val="-1"/>
        </w:rPr>
        <w:t>项负债所需支付的价格。金融工具存在活跃市场的，本公司采用活跃市场中的报价确定其公允价</w:t>
      </w:r>
      <w:r>
        <w:rPr>
          <w:spacing w:val="-55"/>
        </w:rPr>
        <w:t> </w:t>
      </w:r>
      <w:r>
        <w:rPr>
          <w:spacing w:val="-55"/>
        </w:rPr>
      </w:r>
      <w:r>
        <w:rPr>
          <w:spacing w:val="-6"/>
        </w:rPr>
        <w:t>值。活跃市场中的报价是指易于定期从交易所、经纪商、行业协会、定价服务机构等获得的价格，</w:t>
      </w:r>
      <w:r>
        <w:rPr>
          <w:spacing w:val="-54"/>
        </w:rPr>
        <w:t> </w:t>
      </w:r>
      <w:r>
        <w:rPr>
          <w:spacing w:val="-54"/>
        </w:rPr>
      </w:r>
      <w:r>
        <w:rPr>
          <w:spacing w:val="-1"/>
        </w:rPr>
        <w:t>且代表了在有序交易中实际发生的市场交易的价格。金融工具不存在活跃市场的，本公司采用估</w:t>
      </w:r>
      <w:r>
        <w:rPr>
          <w:spacing w:val="-56"/>
        </w:rPr>
        <w:t> </w:t>
      </w:r>
      <w:r>
        <w:rPr>
          <w:spacing w:val="-56"/>
        </w:rPr>
      </w:r>
      <w:r>
        <w:rPr>
          <w:spacing w:val="-1"/>
        </w:rPr>
        <w:t>值技术确定其公允价值。估值技术包括参考熟悉情况并自愿交易的各方最近进行的市场交易中使</w:t>
      </w:r>
      <w:r>
        <w:rPr>
          <w:spacing w:val="-55"/>
        </w:rPr>
        <w:t> </w:t>
      </w:r>
      <w:r>
        <w:rPr>
          <w:spacing w:val="-55"/>
        </w:rPr>
      </w:r>
      <w:r>
        <w:rPr>
          <w:spacing w:val="-6"/>
          <w:w w:val="100"/>
        </w:rPr>
        <w:t>用的价格、参照实质上相同的其他金融工具当前的公允价值、现金流量折现法和期权定价模型等。</w:t>
      </w:r>
    </w:p>
    <w:p>
      <w:pPr>
        <w:pStyle w:val="BodyText"/>
        <w:spacing w:line="314" w:lineRule="auto"/>
        <w:ind w:left="558" w:right="99" w:hanging="60"/>
        <w:jc w:val="left"/>
      </w:pPr>
      <w:r>
        <w:rPr/>
        <w:t>（</w:t>
      </w:r>
      <w:r>
        <w:rPr>
          <w:rFonts w:ascii="宋体" w:hAnsi="宋体" w:cs="宋体" w:eastAsia="宋体" w:hint="default"/>
        </w:rPr>
        <w:t>6</w:t>
      </w:r>
      <w:r>
        <w:rPr/>
        <w:t>）</w:t>
      </w:r>
      <w:r>
        <w:rPr>
          <w:spacing w:val="-33"/>
        </w:rPr>
        <w:t> </w:t>
      </w:r>
      <w:r>
        <w:rPr/>
        <w:t>金融资产减值</w:t>
      </w:r>
      <w:r>
        <w:rPr>
          <w:spacing w:val="-101"/>
        </w:rPr>
        <w:t> </w:t>
      </w:r>
      <w:r>
        <w:rPr>
          <w:spacing w:val="-101"/>
        </w:rPr>
      </w:r>
      <w:r>
        <w:rPr>
          <w:spacing w:val="-2"/>
        </w:rPr>
        <w:t>除以公允价值计量且其变动计入当期损益的金融资产外，本公司于资产负债表日对其他金融</w:t>
      </w:r>
    </w:p>
    <w:p>
      <w:pPr>
        <w:pStyle w:val="BodyText"/>
        <w:spacing w:line="240" w:lineRule="auto"/>
        <w:ind w:right="0"/>
        <w:jc w:val="both"/>
      </w:pPr>
      <w:r>
        <w:rPr/>
        <w:t>资产的账面价值进行检查，有客观证据表明某项金融资产发生减值的，计提减值准备。表明金融</w:t>
      </w:r>
    </w:p>
    <w:p>
      <w:pPr>
        <w:spacing w:after="0" w:line="240" w:lineRule="auto"/>
        <w:jc w:val="both"/>
        <w:sectPr>
          <w:footerReference w:type="default" r:id="rId45"/>
          <w:pgSz w:w="11910" w:h="16840"/>
          <w:pgMar w:footer="1193" w:header="856" w:top="1280" w:bottom="1380" w:left="1660" w:right="1060"/>
          <w:pgNumType w:start="84"/>
        </w:sectPr>
      </w:pPr>
    </w:p>
    <w:p>
      <w:pPr>
        <w:spacing w:line="240" w:lineRule="auto" w:before="7"/>
        <w:rPr>
          <w:rFonts w:ascii="宋体" w:hAnsi="宋体" w:cs="宋体" w:eastAsia="宋体" w:hint="default"/>
          <w:sz w:val="18"/>
          <w:szCs w:val="18"/>
        </w:rPr>
      </w:pPr>
    </w:p>
    <w:p>
      <w:pPr>
        <w:pStyle w:val="BodyText"/>
        <w:spacing w:line="314" w:lineRule="auto" w:before="36"/>
        <w:ind w:right="208"/>
        <w:jc w:val="both"/>
      </w:pPr>
      <w:r>
        <w:rPr>
          <w:spacing w:val="-1"/>
        </w:rPr>
        <w:t>资产发生减值的客观证据是指金融资产初始确认后实际发生的、对该金融资产的预计未来现金流</w:t>
      </w:r>
      <w:r>
        <w:rPr>
          <w:spacing w:val="-55"/>
        </w:rPr>
        <w:t> </w:t>
      </w:r>
      <w:r>
        <w:rPr>
          <w:spacing w:val="-55"/>
        </w:rPr>
      </w:r>
      <w:r>
        <w:rPr/>
        <w:t>量有影响，且本公司能够对该影响进行可靠计量的事项。</w:t>
      </w:r>
    </w:p>
    <w:p>
      <w:pPr>
        <w:pStyle w:val="BodyText"/>
        <w:spacing w:line="314" w:lineRule="auto"/>
        <w:ind w:left="558" w:right="99"/>
        <w:jc w:val="left"/>
      </w:pPr>
      <w:r>
        <w:rPr/>
        <w:t>金融资产发生减值的客观证据，包括下列可观察到的各项事项：</w:t>
      </w:r>
      <w:r>
        <w:rPr>
          <w:w w:val="100"/>
        </w:rPr>
        <w:t> </w:t>
      </w:r>
      <w:r>
        <w:rPr>
          <w:rFonts w:ascii="宋体" w:hAnsi="宋体" w:cs="宋体" w:eastAsia="宋体" w:hint="default"/>
        </w:rPr>
        <w:t>(1)</w:t>
      </w:r>
      <w:r>
        <w:rPr/>
        <w:t>发行方或债务人发生严重财务困难；</w:t>
      </w:r>
      <w:r>
        <w:rPr>
          <w:w w:val="100"/>
        </w:rPr>
        <w:t> </w:t>
      </w:r>
      <w:r>
        <w:rPr>
          <w:rFonts w:ascii="宋体" w:hAnsi="宋体" w:cs="宋体" w:eastAsia="宋体" w:hint="default"/>
        </w:rPr>
        <w:t>(2)</w:t>
      </w:r>
      <w:r>
        <w:rPr/>
        <w:t>债务人违反了合同条款，如偿付利息或本金发生违约或逾期等；</w:t>
      </w:r>
      <w:r>
        <w:rPr>
          <w:w w:val="100"/>
        </w:rPr>
        <w:t> </w:t>
      </w:r>
      <w:r>
        <w:rPr>
          <w:rFonts w:ascii="宋体" w:hAnsi="宋体" w:cs="宋体" w:eastAsia="宋体" w:hint="default"/>
        </w:rPr>
        <w:t>(3)</w:t>
      </w:r>
      <w:r>
        <w:rPr/>
        <w:t>本公司出于经济或法律等方面因素的考虑，对发生财务困难的债务人作出让步；</w:t>
      </w:r>
      <w:r>
        <w:rPr>
          <w:w w:val="100"/>
        </w:rPr>
        <w:t> </w:t>
      </w:r>
      <w:r>
        <w:rPr>
          <w:rFonts w:ascii="宋体" w:hAnsi="宋体" w:cs="宋体" w:eastAsia="宋体" w:hint="default"/>
        </w:rPr>
        <w:t>(4)</w:t>
      </w:r>
      <w:r>
        <w:rPr/>
        <w:t>债务人很可能倒闭或者进行其他财务重组；</w:t>
      </w:r>
      <w:r>
        <w:rPr>
          <w:w w:val="100"/>
        </w:rPr>
        <w:t> </w:t>
      </w:r>
      <w:r>
        <w:rPr>
          <w:rFonts w:ascii="宋体" w:hAnsi="宋体" w:cs="宋体" w:eastAsia="宋体" w:hint="default"/>
        </w:rPr>
        <w:t>(5)</w:t>
      </w:r>
      <w:r>
        <w:rPr/>
        <w:t>因发行方发生重大财务困难，导致金融资产无法在活跃市场继续交易；</w:t>
      </w:r>
      <w:r>
        <w:rPr>
          <w:w w:val="100"/>
        </w:rPr>
        <w:t> </w:t>
      </w:r>
      <w:r>
        <w:rPr>
          <w:rFonts w:ascii="宋体" w:hAnsi="宋体" w:cs="宋体" w:eastAsia="宋体" w:hint="default"/>
          <w:spacing w:val="-4"/>
          <w:w w:val="100"/>
        </w:rPr>
        <w:t>(6)</w:t>
      </w:r>
      <w:r>
        <w:rPr>
          <w:spacing w:val="-4"/>
          <w:w w:val="100"/>
        </w:rPr>
        <w:t>无法辨认一组金融资产中的某项资产的现金流量是否已经减少，但根据公开的数据对其进</w:t>
      </w:r>
    </w:p>
    <w:p>
      <w:pPr>
        <w:pStyle w:val="BodyText"/>
        <w:spacing w:line="314" w:lineRule="auto"/>
        <w:ind w:right="217"/>
        <w:jc w:val="both"/>
      </w:pPr>
      <w:r>
        <w:rPr>
          <w:spacing w:val="-2"/>
        </w:rPr>
        <w:t>行总体评价后发现，该组金融资产自初始确认以来的预计未来现金流量确已减少且可计量，如该</w:t>
      </w:r>
      <w:r>
        <w:rPr>
          <w:spacing w:val="-25"/>
        </w:rPr>
        <w:t> </w:t>
      </w:r>
      <w:r>
        <w:rPr>
          <w:spacing w:val="-25"/>
        </w:rPr>
      </w:r>
      <w:r>
        <w:rPr>
          <w:spacing w:val="-2"/>
        </w:rPr>
        <w:t>组金融资产的债务人支付能力逐步恶化、或债务人所在国家或地区经济出现了可能导致该组金融</w:t>
      </w:r>
      <w:r>
        <w:rPr>
          <w:spacing w:val="-25"/>
        </w:rPr>
        <w:t> </w:t>
      </w:r>
      <w:r>
        <w:rPr>
          <w:spacing w:val="-25"/>
        </w:rPr>
      </w:r>
      <w:r>
        <w:rPr/>
        <w:t>资产无法支付的状况；</w:t>
      </w:r>
    </w:p>
    <w:p>
      <w:pPr>
        <w:pStyle w:val="BodyText"/>
        <w:spacing w:line="314" w:lineRule="auto"/>
        <w:ind w:right="208" w:firstLine="419"/>
        <w:jc w:val="both"/>
      </w:pPr>
      <w:r>
        <w:rPr>
          <w:rFonts w:ascii="宋体" w:hAnsi="宋体" w:cs="宋体" w:eastAsia="宋体" w:hint="default"/>
          <w:spacing w:val="-4"/>
        </w:rPr>
        <w:t>(7)</w:t>
      </w:r>
      <w:r>
        <w:rPr>
          <w:spacing w:val="-4"/>
        </w:rPr>
        <w:t>权益工具发行方经营所处的技术、市场、经济或法律环境等发生重大不利变化，使权益工</w:t>
      </w:r>
      <w:r>
        <w:rPr>
          <w:w w:val="100"/>
        </w:rPr>
        <w:t> </w:t>
      </w:r>
      <w:r>
        <w:rPr/>
        <w:t>具投资人可能无法收回投资成本；</w:t>
      </w:r>
    </w:p>
    <w:p>
      <w:pPr>
        <w:pStyle w:val="BodyText"/>
        <w:spacing w:line="314" w:lineRule="auto"/>
        <w:ind w:right="208" w:firstLine="419"/>
        <w:jc w:val="both"/>
      </w:pPr>
      <w:r>
        <w:rPr>
          <w:rFonts w:ascii="宋体" w:hAnsi="宋体" w:cs="宋体" w:eastAsia="宋体" w:hint="default"/>
          <w:spacing w:val="-4"/>
        </w:rPr>
        <w:t>(8)</w:t>
      </w:r>
      <w:r>
        <w:rPr>
          <w:spacing w:val="-4"/>
        </w:rPr>
        <w:t>权益工具投资的公允价值发生严重或非暂时性下跌，即于资产负债表日，若一项权益工具</w:t>
      </w:r>
      <w:r>
        <w:rPr>
          <w:w w:val="100"/>
        </w:rPr>
        <w:t> </w:t>
      </w:r>
      <w:r>
        <w:rPr/>
        <w:t>投资的公允价值低于其初始投资成本超过</w:t>
      </w:r>
      <w:r>
        <w:rPr>
          <w:spacing w:val="-55"/>
        </w:rPr>
        <w:t> </w:t>
      </w:r>
      <w:r>
        <w:rPr>
          <w:rFonts w:ascii="宋体" w:hAnsi="宋体" w:cs="宋体" w:eastAsia="宋体" w:hint="default"/>
        </w:rPr>
        <w:t>50%(</w:t>
      </w:r>
      <w:r>
        <w:rPr/>
        <w:t>含</w:t>
      </w:r>
      <w:r>
        <w:rPr>
          <w:spacing w:val="-55"/>
        </w:rPr>
        <w:t> </w:t>
      </w:r>
      <w:r>
        <w:rPr>
          <w:rFonts w:ascii="宋体" w:hAnsi="宋体" w:cs="宋体" w:eastAsia="宋体" w:hint="default"/>
        </w:rPr>
        <w:t>50%)</w:t>
      </w:r>
      <w:r>
        <w:rPr/>
        <w:t>，或低于其初始投资成本持续时间超过</w:t>
      </w:r>
      <w:r>
        <w:rPr>
          <w:spacing w:val="-55"/>
        </w:rPr>
        <w:t> </w:t>
      </w:r>
      <w:r>
        <w:rPr>
          <w:rFonts w:ascii="宋体" w:hAnsi="宋体" w:cs="宋体" w:eastAsia="宋体" w:hint="default"/>
        </w:rPr>
        <w:t>12</w:t>
      </w:r>
      <w:r>
        <w:rPr>
          <w:rFonts w:ascii="宋体" w:hAnsi="宋体" w:cs="宋体" w:eastAsia="宋体" w:hint="default"/>
          <w:w w:val="100"/>
        </w:rPr>
        <w:t> </w:t>
      </w:r>
      <w:r>
        <w:rPr/>
        <w:t>个月</w:t>
      </w:r>
      <w:r>
        <w:rPr>
          <w:rFonts w:ascii="宋体" w:hAnsi="宋体" w:cs="宋体" w:eastAsia="宋体" w:hint="default"/>
        </w:rPr>
        <w:t>(</w:t>
      </w:r>
      <w:r>
        <w:rPr/>
        <w:t>含</w:t>
      </w:r>
      <w:r>
        <w:rPr>
          <w:spacing w:val="-53"/>
        </w:rPr>
        <w:t> </w:t>
      </w:r>
      <w:r>
        <w:rPr>
          <w:rFonts w:ascii="宋体" w:hAnsi="宋体" w:cs="宋体" w:eastAsia="宋体" w:hint="default"/>
        </w:rPr>
        <w:t>12</w:t>
      </w:r>
      <w:r>
        <w:rPr>
          <w:rFonts w:ascii="宋体" w:hAnsi="宋体" w:cs="宋体" w:eastAsia="宋体" w:hint="default"/>
          <w:spacing w:val="-55"/>
        </w:rPr>
        <w:t> </w:t>
      </w:r>
      <w:r>
        <w:rPr/>
        <w:t>个月</w:t>
      </w:r>
      <w:r>
        <w:rPr>
          <w:rFonts w:ascii="宋体" w:hAnsi="宋体" w:cs="宋体" w:eastAsia="宋体" w:hint="default"/>
        </w:rPr>
        <w:t>)</w:t>
      </w:r>
      <w:r>
        <w:rPr>
          <w:rFonts w:ascii="宋体" w:hAnsi="宋体" w:cs="宋体" w:eastAsia="宋体" w:hint="default"/>
          <w:spacing w:val="1"/>
        </w:rPr>
        <w:t> </w:t>
      </w:r>
      <w:r>
        <w:rPr/>
        <w:t>。</w:t>
      </w:r>
    </w:p>
    <w:p>
      <w:pPr>
        <w:pStyle w:val="BodyText"/>
        <w:spacing w:line="314" w:lineRule="auto"/>
        <w:ind w:left="558" w:right="3214"/>
        <w:jc w:val="left"/>
      </w:pPr>
      <w:r>
        <w:rPr>
          <w:rFonts w:ascii="宋体" w:hAnsi="宋体" w:cs="宋体" w:eastAsia="宋体" w:hint="default"/>
          <w:spacing w:val="-2"/>
        </w:rPr>
        <w:t>(9)</w:t>
      </w:r>
      <w:r>
        <w:rPr>
          <w:spacing w:val="-2"/>
        </w:rPr>
        <w:t>其他表明金融资产发生减值的客观证据。</w:t>
      </w:r>
      <w:r>
        <w:rPr>
          <w:spacing w:val="-67"/>
        </w:rPr>
        <w:t> </w:t>
      </w:r>
      <w:r>
        <w:rPr>
          <w:spacing w:val="-67"/>
        </w:rPr>
      </w:r>
      <w:r>
        <w:rPr/>
        <w:t>持有至到期投资、贷款和应收款项减值</w:t>
      </w:r>
    </w:p>
    <w:p>
      <w:pPr>
        <w:pStyle w:val="BodyText"/>
        <w:spacing w:line="314" w:lineRule="auto"/>
        <w:ind w:right="217" w:firstLine="419"/>
        <w:jc w:val="both"/>
      </w:pPr>
      <w:r>
        <w:rPr>
          <w:spacing w:val="-2"/>
        </w:rPr>
        <w:t>持有至到期投资、贷款和应收款项以摊余成本后续计量，其发生减值时，将其账面价值减记</w:t>
      </w:r>
      <w:r>
        <w:rPr>
          <w:w w:val="100"/>
        </w:rPr>
        <w:t> </w:t>
      </w:r>
      <w:r>
        <w:rPr>
          <w:spacing w:val="-2"/>
        </w:rPr>
        <w:t>至按照该金融资产的原实际利率折现确定的预计未来现金流量现值，减记金额确认为减值损失，</w:t>
      </w:r>
      <w:r>
        <w:rPr>
          <w:spacing w:val="-25"/>
        </w:rPr>
        <w:t> </w:t>
      </w:r>
      <w:r>
        <w:rPr>
          <w:spacing w:val="-25"/>
        </w:rPr>
      </w:r>
      <w:r>
        <w:rPr>
          <w:spacing w:val="-2"/>
        </w:rPr>
        <w:t>计入当期损益。金融资产确认减值损失后，如有客观证据表明该金融资产价值已恢复，且客观上</w:t>
      </w:r>
      <w:r>
        <w:rPr>
          <w:spacing w:val="-25"/>
        </w:rPr>
        <w:t> </w:t>
      </w:r>
      <w:r>
        <w:rPr>
          <w:spacing w:val="-25"/>
        </w:rPr>
      </w:r>
      <w:r>
        <w:rPr>
          <w:spacing w:val="-2"/>
        </w:rPr>
        <w:t>与确认该损失后发生的事项有关，原确认的减值损失予以转回，但金融资产转回减值损失后的账</w:t>
      </w:r>
      <w:r>
        <w:rPr>
          <w:spacing w:val="-25"/>
        </w:rPr>
        <w:t> </w:t>
      </w:r>
      <w:r>
        <w:rPr>
          <w:spacing w:val="-25"/>
        </w:rPr>
      </w:r>
      <w:r>
        <w:rPr/>
        <w:t>面价值不超过假定不计提减值准备情况下该金融资产在转回日的摊余成本。</w:t>
      </w:r>
    </w:p>
    <w:p>
      <w:pPr>
        <w:pStyle w:val="BodyText"/>
        <w:spacing w:line="314" w:lineRule="auto"/>
        <w:ind w:right="217" w:firstLine="419"/>
        <w:jc w:val="both"/>
      </w:pPr>
      <w:r>
        <w:rPr>
          <w:spacing w:val="-2"/>
        </w:rPr>
        <w:t>本公司对单项金额重大的金融资产单独进行减值测试；对单项金额不重大的金融资产，单独</w:t>
      </w:r>
      <w:r>
        <w:rPr>
          <w:w w:val="100"/>
        </w:rPr>
        <w:t> </w:t>
      </w:r>
      <w:r>
        <w:rPr>
          <w:spacing w:val="-2"/>
        </w:rPr>
        <w:t>进行减值测试或包括在具有类似信用风险特征的金融资产组合中进行减值测试。单独测试未发生</w:t>
      </w:r>
      <w:r>
        <w:rPr>
          <w:spacing w:val="-25"/>
        </w:rPr>
        <w:t> </w:t>
      </w:r>
      <w:r>
        <w:rPr>
          <w:spacing w:val="-25"/>
        </w:rPr>
      </w:r>
      <w:r>
        <w:rPr>
          <w:spacing w:val="-2"/>
        </w:rPr>
        <w:t>减值的金融资产</w:t>
      </w:r>
      <w:r>
        <w:rPr>
          <w:rFonts w:ascii="宋体" w:hAnsi="宋体" w:cs="宋体" w:eastAsia="宋体" w:hint="default"/>
          <w:spacing w:val="-2"/>
        </w:rPr>
        <w:t>(</w:t>
      </w:r>
      <w:r>
        <w:rPr>
          <w:spacing w:val="-2"/>
        </w:rPr>
        <w:t>包括单项金额重大和不重大的金融资产</w:t>
      </w:r>
      <w:r>
        <w:rPr>
          <w:rFonts w:ascii="宋体" w:hAnsi="宋体" w:cs="宋体" w:eastAsia="宋体" w:hint="default"/>
          <w:spacing w:val="-2"/>
        </w:rPr>
        <w:t>)</w:t>
      </w:r>
      <w:r>
        <w:rPr>
          <w:spacing w:val="-2"/>
        </w:rPr>
        <w:t>，包括在具有类似信用风险特征的金融</w:t>
      </w:r>
      <w:r>
        <w:rPr>
          <w:spacing w:val="-29"/>
        </w:rPr>
        <w:t> </w:t>
      </w:r>
      <w:r>
        <w:rPr>
          <w:spacing w:val="-29"/>
        </w:rPr>
      </w:r>
      <w:r>
        <w:rPr>
          <w:spacing w:val="-2"/>
        </w:rPr>
        <w:t>资产组合中再进行减值测试。已单项确认减值损失的金融资产，不包括在具有类似信用风险特征</w:t>
      </w:r>
      <w:r>
        <w:rPr>
          <w:spacing w:val="-25"/>
        </w:rPr>
        <w:t> </w:t>
      </w:r>
      <w:r>
        <w:rPr>
          <w:spacing w:val="-25"/>
        </w:rPr>
      </w:r>
      <w:r>
        <w:rPr/>
        <w:t>的金融资产组合中进行减值测试。</w:t>
      </w:r>
    </w:p>
    <w:p>
      <w:pPr>
        <w:pStyle w:val="BodyText"/>
        <w:spacing w:line="314" w:lineRule="auto"/>
        <w:ind w:left="558" w:right="99" w:firstLine="2"/>
        <w:jc w:val="left"/>
      </w:pPr>
      <w:r>
        <w:rPr/>
        <w:t>可供出售金融资产减值</w:t>
      </w:r>
      <w:r>
        <w:rPr>
          <w:w w:val="100"/>
        </w:rPr>
        <w:t> </w:t>
      </w:r>
      <w:r>
        <w:rPr>
          <w:spacing w:val="-2"/>
        </w:rPr>
        <w:t>可供出售金融资产发生减值时，将原计入其他综合收益的因公允价值下降形成的累计损失予</w:t>
      </w:r>
    </w:p>
    <w:p>
      <w:pPr>
        <w:pStyle w:val="BodyText"/>
        <w:spacing w:line="314" w:lineRule="auto"/>
        <w:ind w:right="99"/>
        <w:jc w:val="left"/>
      </w:pPr>
      <w:r>
        <w:rPr>
          <w:spacing w:val="-4"/>
          <w:w w:val="100"/>
        </w:rPr>
        <w:t>以转出并计入当期损益，该转出的累计损失为该资产初始取得成本扣除已收回本金和已摊销金额、</w:t>
      </w:r>
      <w:r>
        <w:rPr>
          <w:spacing w:val="-83"/>
          <w:w w:val="100"/>
        </w:rPr>
        <w:t> </w:t>
      </w:r>
      <w:r>
        <w:rPr>
          <w:spacing w:val="-83"/>
          <w:w w:val="100"/>
        </w:rPr>
      </w:r>
      <w:r>
        <w:rPr/>
        <w:t>当前公允价值和原已计入损益的减值损失后的余额。</w:t>
      </w:r>
    </w:p>
    <w:p>
      <w:pPr>
        <w:pStyle w:val="BodyText"/>
        <w:spacing w:line="314" w:lineRule="auto"/>
        <w:ind w:right="99" w:firstLine="419"/>
        <w:jc w:val="left"/>
      </w:pPr>
      <w:r>
        <w:rPr>
          <w:spacing w:val="-2"/>
        </w:rPr>
        <w:t>在确认减值损失后，期后如有客观证据表明该金融资产价值已恢复，且客观上与确认该损失</w:t>
      </w:r>
      <w:r>
        <w:rPr>
          <w:w w:val="100"/>
        </w:rPr>
        <w:t> </w:t>
      </w:r>
      <w:r>
        <w:rPr>
          <w:spacing w:val="-2"/>
        </w:rPr>
        <w:t>后发生的事项有关，原确认的减值损失予以转回，可供出售权益工具投资的减值损失转回确认为</w:t>
      </w:r>
      <w:r>
        <w:rPr>
          <w:spacing w:val="-25"/>
        </w:rPr>
        <w:t> </w:t>
      </w:r>
      <w:r>
        <w:rPr>
          <w:spacing w:val="-25"/>
        </w:rPr>
      </w:r>
      <w:r>
        <w:rPr/>
        <w:t>其他综合收益，可供出售债务工具的减值损失转回计入当期损益。</w:t>
      </w:r>
      <w:r>
        <w:rPr>
          <w:w w:val="100"/>
        </w:rPr>
        <w:t> </w:t>
      </w:r>
      <w:r>
        <w:rPr>
          <w:spacing w:val="-2"/>
        </w:rPr>
        <w:t>在活跃市场中没有报价且其公允价值不能可靠计量的权益工具投资，或与该权益工具挂钩并须通</w:t>
      </w:r>
      <w:r>
        <w:rPr>
          <w:spacing w:val="-25"/>
        </w:rPr>
        <w:t> </w:t>
      </w:r>
      <w:r>
        <w:rPr>
          <w:spacing w:val="-25"/>
        </w:rPr>
      </w:r>
      <w:r>
        <w:rPr>
          <w:spacing w:val="-2"/>
        </w:rPr>
        <w:t>过交付该权益工具结算的衍生金融资产发生减值时，将其账面价值减记至按照类似金融资产当时</w:t>
      </w:r>
    </w:p>
    <w:p>
      <w:pPr>
        <w:spacing w:after="0" w:line="314" w:lineRule="auto"/>
        <w:jc w:val="left"/>
        <w:sectPr>
          <w:footerReference w:type="default" r:id="rId46"/>
          <w:pgSz w:w="11910" w:h="16840"/>
          <w:pgMar w:footer="1193" w:header="856" w:top="1280" w:bottom="1380" w:left="1660" w:right="1060"/>
          <w:pgNumType w:start="85"/>
        </w:sectPr>
      </w:pPr>
    </w:p>
    <w:p>
      <w:pPr>
        <w:spacing w:line="240" w:lineRule="auto" w:before="7"/>
        <w:rPr>
          <w:rFonts w:ascii="宋体" w:hAnsi="宋体" w:cs="宋体" w:eastAsia="宋体" w:hint="default"/>
          <w:sz w:val="18"/>
          <w:szCs w:val="18"/>
        </w:rPr>
      </w:pPr>
    </w:p>
    <w:p>
      <w:pPr>
        <w:pStyle w:val="BodyText"/>
        <w:spacing w:line="314" w:lineRule="auto" w:before="36"/>
        <w:ind w:left="218" w:right="250"/>
        <w:jc w:val="left"/>
      </w:pPr>
      <w:r>
        <w:rPr>
          <w:spacing w:val="-2"/>
        </w:rPr>
        <w:t>市场收益率对未来现金流量折现确定的现值，减记金额确认为减值损失，计入当期损益。该金融</w:t>
      </w:r>
      <w:r>
        <w:rPr>
          <w:spacing w:val="-25"/>
        </w:rPr>
        <w:t> </w:t>
      </w:r>
      <w:r>
        <w:rPr>
          <w:spacing w:val="-25"/>
        </w:rPr>
      </w:r>
      <w:r>
        <w:rPr/>
        <w:t>资产的减值损失一经确认不得转回。</w:t>
      </w:r>
    </w:p>
    <w:p>
      <w:pPr>
        <w:spacing w:line="240" w:lineRule="auto" w:before="2"/>
        <w:rPr>
          <w:rFonts w:ascii="宋体" w:hAnsi="宋体" w:cs="宋体" w:eastAsia="宋体" w:hint="default"/>
          <w:sz w:val="21"/>
          <w:szCs w:val="21"/>
        </w:rPr>
      </w:pPr>
    </w:p>
    <w:p>
      <w:pPr>
        <w:pStyle w:val="Heading2"/>
        <w:spacing w:line="264" w:lineRule="auto" w:before="0"/>
        <w:ind w:right="440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5"/>
        <w:gridCol w:w="4467"/>
      </w:tblGrid>
      <w:tr>
        <w:trPr>
          <w:trHeight w:val="1370"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、本公司将金额为人民币 </w:t>
            </w:r>
            <w:r>
              <w:rPr>
                <w:rFonts w:ascii="宋体" w:hAnsi="宋体" w:cs="宋体" w:eastAsia="宋体" w:hint="default"/>
                <w:sz w:val="21"/>
                <w:szCs w:val="21"/>
              </w:rPr>
              <w:t>2,000</w:t>
            </w:r>
            <w:r>
              <w:rPr>
                <w:rFonts w:ascii="宋体" w:hAnsi="宋体" w:cs="宋体" w:eastAsia="宋体" w:hint="default"/>
                <w:spacing w:val="-81"/>
                <w:sz w:val="21"/>
                <w:szCs w:val="21"/>
              </w:rPr>
              <w:t> </w:t>
            </w:r>
            <w:r>
              <w:rPr>
                <w:rFonts w:ascii="宋体" w:hAnsi="宋体" w:cs="宋体" w:eastAsia="宋体" w:hint="default"/>
                <w:sz w:val="21"/>
                <w:szCs w:val="21"/>
              </w:rPr>
              <w:t>万元以上的应</w:t>
            </w:r>
          </w:p>
          <w:p>
            <w:pPr>
              <w:pStyle w:val="TableParagraph"/>
              <w:spacing w:line="237" w:lineRule="auto"/>
              <w:ind w:left="101" w:right="98"/>
              <w:jc w:val="both"/>
              <w:rPr>
                <w:rFonts w:ascii="宋体" w:hAnsi="宋体" w:cs="宋体" w:eastAsia="宋体" w:hint="default"/>
                <w:sz w:val="21"/>
                <w:szCs w:val="21"/>
              </w:rPr>
            </w:pPr>
            <w:r>
              <w:rPr>
                <w:rFonts w:ascii="宋体" w:hAnsi="宋体" w:cs="宋体" w:eastAsia="宋体" w:hint="default"/>
                <w:sz w:val="21"/>
                <w:szCs w:val="21"/>
              </w:rPr>
              <w:t>收账款确认为单项金额重大的应收款项，将金</w:t>
            </w:r>
            <w:r>
              <w:rPr>
                <w:rFonts w:ascii="宋体" w:hAnsi="宋体" w:cs="宋体" w:eastAsia="宋体" w:hint="default"/>
                <w:w w:val="100"/>
                <w:sz w:val="21"/>
                <w:szCs w:val="21"/>
              </w:rPr>
              <w:t> </w:t>
            </w:r>
            <w:r>
              <w:rPr>
                <w:rFonts w:ascii="宋体" w:hAnsi="宋体" w:cs="宋体" w:eastAsia="宋体" w:hint="default"/>
                <w:sz w:val="21"/>
                <w:szCs w:val="21"/>
              </w:rPr>
              <w:t>额为人民币</w:t>
            </w:r>
            <w:r>
              <w:rPr>
                <w:rFonts w:ascii="宋体" w:hAnsi="宋体" w:cs="宋体" w:eastAsia="宋体" w:hint="default"/>
                <w:spacing w:val="-53"/>
                <w:sz w:val="21"/>
                <w:szCs w:val="21"/>
              </w:rPr>
              <w:t> </w:t>
            </w:r>
            <w:r>
              <w:rPr>
                <w:rFonts w:ascii="宋体" w:hAnsi="宋体" w:cs="宋体" w:eastAsia="宋体" w:hint="default"/>
                <w:sz w:val="21"/>
                <w:szCs w:val="21"/>
              </w:rPr>
              <w:t>300</w:t>
            </w:r>
            <w:r>
              <w:rPr>
                <w:rFonts w:ascii="宋体" w:hAnsi="宋体" w:cs="宋体" w:eastAsia="宋体" w:hint="default"/>
                <w:spacing w:val="-55"/>
                <w:sz w:val="21"/>
                <w:szCs w:val="21"/>
              </w:rPr>
              <w:t> </w:t>
            </w:r>
            <w:r>
              <w:rPr>
                <w:rFonts w:ascii="宋体" w:hAnsi="宋体" w:cs="宋体" w:eastAsia="宋体" w:hint="default"/>
                <w:sz w:val="21"/>
                <w:szCs w:val="21"/>
              </w:rPr>
              <w:t>万元以上的其他应收款确认为</w:t>
            </w:r>
            <w:r>
              <w:rPr>
                <w:rFonts w:ascii="宋体" w:hAnsi="宋体" w:cs="宋体" w:eastAsia="宋体" w:hint="default"/>
                <w:w w:val="100"/>
                <w:sz w:val="21"/>
                <w:szCs w:val="21"/>
              </w:rPr>
              <w:t> </w:t>
            </w:r>
            <w:r>
              <w:rPr>
                <w:rFonts w:ascii="宋体" w:hAnsi="宋体" w:cs="宋体" w:eastAsia="宋体" w:hint="default"/>
                <w:spacing w:val="-4"/>
                <w:sz w:val="21"/>
                <w:szCs w:val="21"/>
              </w:rPr>
              <w:t>单项金额重大的应收款项。</w:t>
            </w:r>
            <w:r>
              <w:rPr>
                <w:rFonts w:ascii="宋体" w:hAnsi="宋体" w:cs="宋体" w:eastAsia="宋体" w:hint="default"/>
                <w:spacing w:val="-4"/>
                <w:sz w:val="21"/>
                <w:szCs w:val="21"/>
              </w:rPr>
              <w:t>2</w:t>
            </w:r>
            <w:r>
              <w:rPr>
                <w:rFonts w:ascii="宋体" w:hAnsi="宋体" w:cs="宋体" w:eastAsia="宋体" w:hint="default"/>
                <w:spacing w:val="-4"/>
                <w:sz w:val="21"/>
                <w:szCs w:val="21"/>
              </w:rPr>
              <w:t>、占应收款项账面</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余额</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1647"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both"/>
              <w:rPr>
                <w:rFonts w:ascii="宋体" w:hAnsi="宋体" w:cs="宋体" w:eastAsia="宋体" w:hint="default"/>
                <w:sz w:val="21"/>
                <w:szCs w:val="21"/>
              </w:rPr>
            </w:pPr>
            <w:r>
              <w:rPr>
                <w:rFonts w:ascii="宋体" w:hAnsi="宋体" w:cs="宋体" w:eastAsia="宋体" w:hint="default"/>
                <w:sz w:val="21"/>
                <w:szCs w:val="21"/>
              </w:rPr>
              <w:t>本公司对单项金额重大的应收款项单独进行减</w:t>
            </w:r>
          </w:p>
          <w:p>
            <w:pPr>
              <w:pStyle w:val="TableParagraph"/>
              <w:spacing w:line="237" w:lineRule="auto" w:before="1"/>
              <w:ind w:left="101" w:right="149"/>
              <w:jc w:val="both"/>
              <w:rPr>
                <w:rFonts w:ascii="宋体" w:hAnsi="宋体" w:cs="宋体" w:eastAsia="宋体" w:hint="default"/>
                <w:sz w:val="21"/>
                <w:szCs w:val="21"/>
              </w:rPr>
            </w:pPr>
            <w:r>
              <w:rPr>
                <w:rFonts w:ascii="宋体" w:hAnsi="宋体" w:cs="宋体" w:eastAsia="宋体" w:hint="default"/>
                <w:spacing w:val="-2"/>
                <w:sz w:val="21"/>
                <w:szCs w:val="21"/>
              </w:rPr>
              <w:t>值测试，单独测试未发生减值的金融资产，包</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括在具有类似信用风险特征的金融资产组合中</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进行减值测试。单项测试已确认减值损失的应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收款项，不再包括在具有类似信用风险特征的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应收款项组合中进行减值测试。</w:t>
            </w:r>
          </w:p>
        </w:tc>
      </w:tr>
    </w:tbl>
    <w:p>
      <w:pPr>
        <w:spacing w:line="240" w:lineRule="auto" w:before="12"/>
        <w:rPr>
          <w:rFonts w:ascii="宋体" w:hAnsi="宋体" w:cs="宋体" w:eastAsia="宋体" w:hint="default"/>
          <w:b/>
          <w:bCs/>
          <w:sz w:val="19"/>
          <w:szCs w:val="19"/>
        </w:rPr>
      </w:pPr>
    </w:p>
    <w:p>
      <w:pPr>
        <w:pStyle w:val="Heading2"/>
        <w:spacing w:line="240" w:lineRule="auto"/>
        <w:ind w:right="2465"/>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85"/>
        <w:gridCol w:w="4467"/>
      </w:tblGrid>
      <w:tr>
        <w:trPr>
          <w:trHeight w:val="281" w:hRule="exact"/>
        </w:trPr>
        <w:tc>
          <w:tcPr>
            <w:tcW w:w="9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年以内的政府部门欠款</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1"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年以上的政府部门欠款</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283"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其他的应收账款</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7"/>
        <w:rPr>
          <w:rFonts w:ascii="宋体" w:hAnsi="宋体" w:cs="宋体" w:eastAsia="宋体" w:hint="default"/>
          <w:b/>
          <w:bCs/>
          <w:sz w:val="15"/>
          <w:szCs w:val="15"/>
        </w:rPr>
      </w:pPr>
    </w:p>
    <w:p>
      <w:pPr>
        <w:pStyle w:val="BodyText"/>
        <w:spacing w:line="273" w:lineRule="exact" w:before="36"/>
        <w:ind w:left="218" w:right="2465"/>
        <w:jc w:val="left"/>
      </w:pPr>
      <w:r>
        <w:rPr/>
        <w:t>组合中，采用账龄分析法计提坏账准备的</w:t>
      </w:r>
    </w:p>
    <w:p>
      <w:pPr>
        <w:pStyle w:val="BodyText"/>
        <w:spacing w:line="273" w:lineRule="exact" w:before="0"/>
        <w:ind w:left="218"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7"/>
      </w:tblGrid>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路桥及房地产行业</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互联网营销行业</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路桥及房地产行业</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互联网营销行业</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340"/>
        <w:gridCol w:w="4712"/>
      </w:tblGrid>
      <w:tr>
        <w:trPr>
          <w:trHeight w:val="1099"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合并报表范围内，除对母子公司之间、各子公司</w:t>
            </w:r>
          </w:p>
          <w:p>
            <w:pPr>
              <w:pStyle w:val="TableParagraph"/>
              <w:spacing w:line="237" w:lineRule="auto"/>
              <w:ind w:left="103" w:right="183"/>
              <w:jc w:val="left"/>
              <w:rPr>
                <w:rFonts w:ascii="宋体" w:hAnsi="宋体" w:cs="宋体" w:eastAsia="宋体" w:hint="default"/>
                <w:sz w:val="21"/>
                <w:szCs w:val="21"/>
              </w:rPr>
            </w:pPr>
            <w:r>
              <w:rPr>
                <w:rFonts w:ascii="宋体" w:hAnsi="宋体" w:cs="宋体" w:eastAsia="宋体" w:hint="default"/>
                <w:spacing w:val="-2"/>
                <w:sz w:val="21"/>
                <w:szCs w:val="21"/>
              </w:rPr>
              <w:t>之间应收款项不计提坏账准备外，本公司对单项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金额虽不重大但存在发生减值的客观证据的款</w:t>
            </w:r>
            <w:r>
              <w:rPr>
                <w:rFonts w:ascii="宋体" w:hAnsi="宋体" w:cs="宋体" w:eastAsia="宋体" w:hint="default"/>
                <w:w w:val="100"/>
                <w:sz w:val="21"/>
                <w:szCs w:val="21"/>
              </w:rPr>
              <w:t> </w:t>
            </w:r>
            <w:r>
              <w:rPr>
                <w:rFonts w:ascii="宋体" w:hAnsi="宋体" w:cs="宋体" w:eastAsia="宋体" w:hint="default"/>
                <w:sz w:val="21"/>
                <w:szCs w:val="21"/>
              </w:rPr>
              <w:t>项，单项计提坏账准备</w:t>
            </w:r>
          </w:p>
        </w:tc>
      </w:tr>
      <w:tr>
        <w:trPr>
          <w:trHeight w:val="828"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单独进行减值测试，有客观证据表明其发生了减</w:t>
            </w:r>
          </w:p>
          <w:p>
            <w:pPr>
              <w:pStyle w:val="TableParagraph"/>
              <w:spacing w:line="240" w:lineRule="auto"/>
              <w:ind w:left="103" w:right="183"/>
              <w:jc w:val="left"/>
              <w:rPr>
                <w:rFonts w:ascii="宋体" w:hAnsi="宋体" w:cs="宋体" w:eastAsia="宋体" w:hint="default"/>
                <w:sz w:val="21"/>
                <w:szCs w:val="21"/>
              </w:rPr>
            </w:pPr>
            <w:r>
              <w:rPr>
                <w:rFonts w:ascii="宋体" w:hAnsi="宋体" w:cs="宋体" w:eastAsia="宋体" w:hint="default"/>
                <w:spacing w:val="-2"/>
                <w:sz w:val="21"/>
                <w:szCs w:val="21"/>
              </w:rPr>
              <w:t>值的，根据其未来现金流量现值低于其账面价值</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的差额，确认减值损失。</w:t>
            </w:r>
          </w:p>
        </w:tc>
      </w:tr>
    </w:tbl>
    <w:p>
      <w:pPr>
        <w:spacing w:after="0" w:line="240" w:lineRule="auto"/>
        <w:jc w:val="left"/>
        <w:rPr>
          <w:rFonts w:ascii="宋体" w:hAnsi="宋体" w:cs="宋体" w:eastAsia="宋体" w:hint="default"/>
          <w:sz w:val="21"/>
          <w:szCs w:val="21"/>
        </w:rPr>
        <w:sectPr>
          <w:pgSz w:w="11910" w:h="16840"/>
          <w:pgMar w:header="856" w:footer="1193" w:top="1280" w:bottom="1380" w:left="1580" w:right="1040"/>
        </w:sectPr>
      </w:pPr>
    </w:p>
    <w:p>
      <w:pPr>
        <w:spacing w:line="240" w:lineRule="auto" w:before="8"/>
        <w:rPr>
          <w:rFonts w:ascii="宋体" w:hAnsi="宋体" w:cs="宋体" w:eastAsia="宋体" w:hint="default"/>
          <w:b/>
          <w:bCs/>
          <w:sz w:val="12"/>
          <w:szCs w:val="12"/>
        </w:rPr>
      </w:pPr>
    </w:p>
    <w:p>
      <w:pPr>
        <w:pStyle w:val="Heading2"/>
        <w:spacing w:line="240" w:lineRule="auto"/>
        <w:ind w:left="138" w:right="0"/>
        <w:jc w:val="both"/>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314" w:lineRule="auto" w:before="108"/>
        <w:ind w:right="148" w:firstLine="419"/>
        <w:jc w:val="both"/>
      </w:pPr>
      <w:r>
        <w:rPr>
          <w:rFonts w:ascii="宋体" w:hAnsi="宋体" w:cs="宋体" w:eastAsia="宋体" w:hint="default"/>
          <w:spacing w:val="-4"/>
        </w:rPr>
        <w:t>(1)</w:t>
      </w:r>
      <w:r>
        <w:rPr>
          <w:spacing w:val="-4"/>
        </w:rPr>
        <w:t>存货的分类：存货主要分为原材料、工程施工、库存商品、发出商品、开发产品、开发成</w:t>
      </w:r>
      <w:r>
        <w:rPr>
          <w:w w:val="100"/>
        </w:rPr>
        <w:t> </w:t>
      </w:r>
      <w:r>
        <w:rPr/>
        <w:t>本、低值易耗品等。</w:t>
      </w:r>
    </w:p>
    <w:p>
      <w:pPr>
        <w:pStyle w:val="BodyText"/>
        <w:spacing w:line="314" w:lineRule="auto"/>
        <w:ind w:left="421" w:right="0" w:firstLine="105"/>
        <w:jc w:val="left"/>
      </w:pPr>
      <w:r>
        <w:rPr>
          <w:rFonts w:ascii="宋体" w:hAnsi="宋体" w:cs="宋体" w:eastAsia="宋体" w:hint="default"/>
          <w:spacing w:val="-3"/>
        </w:rPr>
        <w:t>(2)</w:t>
      </w:r>
      <w:r>
        <w:rPr>
          <w:spacing w:val="-3"/>
        </w:rPr>
        <w:t>存货取得和发出的计价方法：存货在取得时按实际成本计价；存货发出时，采用先进先出</w:t>
      </w:r>
      <w:r>
        <w:rPr>
          <w:w w:val="100"/>
        </w:rPr>
        <w:t> </w:t>
      </w:r>
      <w:r>
        <w:rPr/>
        <w:t>法确定发出存货的实际成本。</w:t>
      </w:r>
    </w:p>
    <w:p>
      <w:pPr>
        <w:pStyle w:val="BodyText"/>
        <w:spacing w:line="314" w:lineRule="auto"/>
        <w:ind w:left="558" w:right="0"/>
        <w:jc w:val="left"/>
      </w:pPr>
      <w:r>
        <w:rPr>
          <w:rFonts w:ascii="宋体" w:hAnsi="宋体" w:cs="宋体" w:eastAsia="宋体" w:hint="default"/>
        </w:rPr>
        <w:t>(3)</w:t>
      </w:r>
      <w:r>
        <w:rPr/>
        <w:t>存货可变现净值的确定依据及存货跌价准备的计提方法</w:t>
      </w:r>
      <w:r>
        <w:rPr>
          <w:w w:val="100"/>
        </w:rPr>
        <w:t> </w:t>
      </w:r>
      <w:r>
        <w:rPr>
          <w:spacing w:val="-2"/>
        </w:rPr>
        <w:t>资产负债表日，存货按照成本与可变现净值孰低计量。当其可变现净值低于成本时，提取存</w:t>
      </w:r>
    </w:p>
    <w:p>
      <w:pPr>
        <w:pStyle w:val="BodyText"/>
        <w:spacing w:line="314" w:lineRule="auto"/>
        <w:ind w:right="148"/>
        <w:jc w:val="both"/>
      </w:pPr>
      <w:r>
        <w:rPr>
          <w:spacing w:val="-6"/>
          <w:w w:val="100"/>
        </w:rPr>
        <w:t>货跌价准备。可变现净值是指在日常活动中，存货的估计售价减去至完工时估计将要发生的成本、</w:t>
      </w:r>
      <w:r>
        <w:rPr>
          <w:w w:val="100"/>
        </w:rPr>
        <w:t> </w:t>
      </w:r>
      <w:r>
        <w:rPr>
          <w:spacing w:val="-6"/>
          <w:w w:val="100"/>
        </w:rPr>
        <w:t>估计的销售费用以及相关税费后的金额。在确定存货的可变现净值时，以取得的确凿证据为基础，</w:t>
      </w:r>
      <w:r>
        <w:rPr>
          <w:w w:val="100"/>
        </w:rPr>
        <w:t> </w:t>
      </w:r>
      <w:r>
        <w:rPr/>
        <w:t>同时考虑持有存货的目的以及资产负债表日后事项的影响。</w:t>
      </w:r>
    </w:p>
    <w:p>
      <w:pPr>
        <w:pStyle w:val="BodyText"/>
        <w:spacing w:line="314" w:lineRule="auto"/>
        <w:ind w:right="157" w:firstLine="419"/>
        <w:jc w:val="both"/>
      </w:pPr>
      <w:r>
        <w:rPr>
          <w:spacing w:val="-2"/>
        </w:rPr>
        <w:t>存货按单个存货项目的成本高于其可变现净值的差额提取存货跌价准备，对于数量繁多、单</w:t>
      </w:r>
      <w:r>
        <w:rPr>
          <w:w w:val="100"/>
        </w:rPr>
        <w:t> </w:t>
      </w:r>
      <w:r>
        <w:rPr>
          <w:spacing w:val="-2"/>
        </w:rPr>
        <w:t>价较低的存货，按存货类别计提存货跌价准备；对与在同一地区生产和销售的产品系列相关、具</w:t>
      </w:r>
      <w:r>
        <w:rPr>
          <w:spacing w:val="-25"/>
        </w:rPr>
        <w:t> </w:t>
      </w:r>
      <w:r>
        <w:rPr>
          <w:spacing w:val="-25"/>
        </w:rPr>
      </w:r>
      <w:r>
        <w:rPr/>
        <w:t>有相同或类似最终用途或目的，且难以与其他项目分开计量的存货，合并计提存货跌价准备。</w:t>
      </w:r>
    </w:p>
    <w:p>
      <w:pPr>
        <w:pStyle w:val="BodyText"/>
        <w:spacing w:line="314" w:lineRule="auto"/>
        <w:ind w:right="157" w:firstLine="419"/>
        <w:jc w:val="both"/>
      </w:pPr>
      <w:r>
        <w:rPr>
          <w:spacing w:val="-2"/>
        </w:rPr>
        <w:t>计提存货跌价准备后，如果以前减记存货价值的影响因素已经消失，导致存货的可变现净值</w:t>
      </w:r>
      <w:r>
        <w:rPr>
          <w:w w:val="100"/>
        </w:rPr>
        <w:t> </w:t>
      </w:r>
      <w:r>
        <w:rPr/>
        <w:t>高于其账面价值的，在原已计提的存货跌价准备金额内予以转回，转回的金额计入当期损益。</w:t>
      </w:r>
    </w:p>
    <w:p>
      <w:pPr>
        <w:pStyle w:val="BodyText"/>
        <w:spacing w:line="240" w:lineRule="auto"/>
        <w:ind w:left="558" w:right="0"/>
        <w:jc w:val="left"/>
      </w:pPr>
      <w:r>
        <w:rPr>
          <w:rFonts w:ascii="宋体" w:hAnsi="宋体" w:cs="宋体" w:eastAsia="宋体" w:hint="default"/>
        </w:rPr>
        <w:t>(4)</w:t>
      </w:r>
      <w:r>
        <w:rPr/>
        <w:t>存货的盘存制度为永续盘存制。</w:t>
      </w:r>
    </w:p>
    <w:p>
      <w:pPr>
        <w:pStyle w:val="BodyText"/>
        <w:spacing w:line="314" w:lineRule="auto" w:before="85"/>
        <w:ind w:right="150" w:firstLine="419"/>
        <w:jc w:val="both"/>
      </w:pPr>
      <w:r>
        <w:rPr>
          <w:rFonts w:ascii="宋体" w:hAnsi="宋体" w:cs="宋体" w:eastAsia="宋体" w:hint="default"/>
          <w:w w:val="100"/>
        </w:rPr>
        <w:t>(5)</w:t>
      </w:r>
      <w:r>
        <w:rPr>
          <w:rFonts w:ascii="宋体" w:hAnsi="宋体" w:cs="宋体" w:eastAsia="宋体" w:hint="default"/>
          <w:spacing w:val="3"/>
          <w:w w:val="100"/>
        </w:rPr>
        <w:t> </w:t>
      </w:r>
      <w:r>
        <w:rPr>
          <w:spacing w:val="-4"/>
          <w:w w:val="100"/>
        </w:rPr>
        <w:t>低值易耗品和包装物的摊销方法：低值易耗品采用一次转销法进行摊销</w:t>
      </w:r>
      <w:r>
        <w:rPr>
          <w:rFonts w:ascii="宋体" w:hAnsi="宋体" w:cs="宋体" w:eastAsia="宋体" w:hint="default"/>
          <w:spacing w:val="-4"/>
          <w:w w:val="100"/>
        </w:rPr>
        <w:t>,</w:t>
      </w:r>
      <w:r>
        <w:rPr>
          <w:spacing w:val="-4"/>
          <w:w w:val="100"/>
        </w:rPr>
        <w:t>周转材料采用分</w:t>
      </w:r>
      <w:r>
        <w:rPr>
          <w:w w:val="100"/>
        </w:rPr>
        <w:t> </w:t>
      </w:r>
      <w:r>
        <w:rPr/>
        <w:t>次摊销法进行摊销。</w:t>
      </w:r>
    </w:p>
    <w:p>
      <w:pPr>
        <w:pStyle w:val="BodyText"/>
        <w:spacing w:line="314" w:lineRule="auto"/>
        <w:ind w:left="558" w:right="0" w:firstLine="2"/>
        <w:jc w:val="left"/>
      </w:pPr>
      <w:r>
        <w:rPr>
          <w:rFonts w:ascii="宋体" w:hAnsi="宋体" w:cs="宋体" w:eastAsia="宋体" w:hint="default"/>
        </w:rPr>
        <w:t>(6)</w:t>
      </w:r>
      <w:r>
        <w:rPr/>
        <w:t>工程施工计量方法</w:t>
      </w:r>
      <w:r>
        <w:rPr>
          <w:w w:val="100"/>
        </w:rPr>
        <w:t> </w:t>
      </w:r>
      <w:r>
        <w:rPr>
          <w:spacing w:val="-7"/>
          <w:w w:val="100"/>
        </w:rPr>
        <w:t>工程施工的计量和报表列示：建造合同工程按累计已发生的成本和累计已确认的毛利（亏损）</w:t>
      </w:r>
    </w:p>
    <w:p>
      <w:pPr>
        <w:pStyle w:val="BodyText"/>
        <w:spacing w:line="314" w:lineRule="auto"/>
        <w:ind w:right="157"/>
        <w:jc w:val="both"/>
      </w:pPr>
      <w:r>
        <w:rPr>
          <w:spacing w:val="-2"/>
        </w:rPr>
        <w:t>减已办理结算的价款金额计价。工程施工以实际成本核算，包括直接材料费、直接人工费、施工</w:t>
      </w:r>
      <w:r>
        <w:rPr>
          <w:spacing w:val="-25"/>
        </w:rPr>
        <w:t> </w:t>
      </w:r>
      <w:r>
        <w:rPr>
          <w:spacing w:val="-25"/>
        </w:rPr>
      </w:r>
      <w:r>
        <w:rPr>
          <w:spacing w:val="-2"/>
        </w:rPr>
        <w:t>机械费、其他直接费及相应的施工间接成本等。工程累计已发生的成本和累计已确认的毛利（亏</w:t>
      </w:r>
      <w:r>
        <w:rPr>
          <w:spacing w:val="-25"/>
        </w:rPr>
        <w:t> </w:t>
      </w:r>
      <w:r>
        <w:rPr>
          <w:spacing w:val="-25"/>
        </w:rPr>
      </w:r>
      <w:r>
        <w:rPr>
          <w:spacing w:val="-2"/>
        </w:rPr>
        <w:t>损）以及应办理结算价款的金额在工程未完工前或工程未经审价前分别在工程施工与工程结算项</w:t>
      </w:r>
      <w:r>
        <w:rPr>
          <w:spacing w:val="-25"/>
        </w:rPr>
        <w:t> </w:t>
      </w:r>
      <w:r>
        <w:rPr>
          <w:spacing w:val="-25"/>
        </w:rPr>
      </w:r>
      <w:r>
        <w:rPr/>
        <w:t>目内核算。</w:t>
      </w:r>
    </w:p>
    <w:p>
      <w:pPr>
        <w:spacing w:line="240" w:lineRule="auto" w:before="13"/>
        <w:rPr>
          <w:rFonts w:ascii="宋体" w:hAnsi="宋体" w:cs="宋体" w:eastAsia="宋体" w:hint="default"/>
          <w:sz w:val="20"/>
          <w:szCs w:val="20"/>
        </w:rPr>
      </w:pPr>
    </w:p>
    <w:p>
      <w:pPr>
        <w:spacing w:line="326" w:lineRule="auto" w:before="0"/>
        <w:ind w:left="558" w:right="1626" w:hanging="420"/>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2"/>
          <w:sz w:val="21"/>
          <w:szCs w:val="21"/>
        </w:rPr>
        <w:t> </w:t>
      </w:r>
      <w:r>
        <w:rPr>
          <w:rFonts w:ascii="宋体" w:hAnsi="宋体" w:cs="宋体" w:eastAsia="宋体" w:hint="default"/>
          <w:b/>
          <w:bCs/>
          <w:sz w:val="21"/>
          <w:szCs w:val="21"/>
        </w:rPr>
        <w:t>长期股权投资</w:t>
      </w:r>
      <w:r>
        <w:rPr>
          <w:rFonts w:ascii="宋体" w:hAnsi="宋体" w:cs="宋体" w:eastAsia="宋体" w:hint="default"/>
          <w:b/>
          <w:bCs/>
          <w:w w:val="100"/>
          <w:sz w:val="21"/>
          <w:szCs w:val="21"/>
        </w:rPr>
        <w:t> </w:t>
      </w:r>
      <w:r>
        <w:rPr>
          <w:rFonts w:ascii="宋体" w:hAnsi="宋体" w:cs="宋体" w:eastAsia="宋体" w:hint="default"/>
          <w:spacing w:val="-2"/>
          <w:sz w:val="21"/>
          <w:szCs w:val="21"/>
        </w:rPr>
        <w:t>长期股权投资包括对子公司、联营企业和合营企业的权益性投资。</w:t>
      </w:r>
    </w:p>
    <w:p>
      <w:pPr>
        <w:pStyle w:val="BodyText"/>
        <w:spacing w:line="314" w:lineRule="auto" w:before="10"/>
        <w:ind w:left="558" w:right="0" w:hanging="106"/>
        <w:jc w:val="left"/>
      </w:pPr>
      <w:r>
        <w:rPr/>
        <w:t>（</w:t>
      </w:r>
      <w:r>
        <w:rPr>
          <w:rFonts w:ascii="宋体" w:hAnsi="宋体" w:cs="宋体" w:eastAsia="宋体" w:hint="default"/>
        </w:rPr>
        <w:t>1</w:t>
      </w:r>
      <w:r>
        <w:rPr/>
        <w:t>）初始投资成本的确定</w:t>
      </w:r>
      <w:r>
        <w:rPr>
          <w:w w:val="100"/>
        </w:rPr>
        <w:t> </w:t>
      </w:r>
      <w:r>
        <w:rPr/>
        <w:t>对于企业合并形成的长期股权投资，按照下列规定确定其初始投资成本：</w:t>
      </w:r>
      <w:r>
        <w:rPr>
          <w:w w:val="100"/>
        </w:rPr>
        <w:t> </w:t>
      </w:r>
      <w:r>
        <w:rPr>
          <w:spacing w:val="-2"/>
        </w:rPr>
        <w:t>同一控制下的企业合并，本公司以支付现金、转让非现金资产或承担债务方式作为合并对价</w:t>
      </w:r>
    </w:p>
    <w:p>
      <w:pPr>
        <w:pStyle w:val="BodyText"/>
        <w:spacing w:line="314" w:lineRule="auto"/>
        <w:ind w:right="157"/>
        <w:jc w:val="right"/>
      </w:pPr>
      <w:r>
        <w:rPr>
          <w:spacing w:val="-2"/>
        </w:rPr>
        <w:t>的，应当在合并日按照被合并方所有者权益在最终控制方合并财务报表中的账面价值的份额作为</w:t>
      </w:r>
      <w:r>
        <w:rPr>
          <w:spacing w:val="-43"/>
        </w:rPr>
        <w:t> </w:t>
      </w:r>
      <w:r>
        <w:rPr>
          <w:spacing w:val="-43"/>
        </w:rPr>
      </w:r>
      <w:r>
        <w:rPr>
          <w:spacing w:val="-2"/>
        </w:rPr>
        <w:t>长期股权投资的初始投资成本。长期股权投资初始投资成本与支付的现金、转让的非现金资产以</w:t>
      </w:r>
      <w:r>
        <w:rPr>
          <w:spacing w:val="-43"/>
        </w:rPr>
        <w:t> </w:t>
      </w:r>
      <w:r>
        <w:rPr>
          <w:spacing w:val="-43"/>
        </w:rPr>
      </w:r>
      <w:r>
        <w:rPr>
          <w:spacing w:val="-2"/>
        </w:rPr>
        <w:t>及所承担债务账面价值之间的差额，应当调整资本公积；资本公积不足冲减的，调整留存收益。</w:t>
      </w:r>
      <w:r>
        <w:rPr>
          <w:spacing w:val="-43"/>
        </w:rPr>
        <w:t> </w:t>
      </w:r>
      <w:r>
        <w:rPr>
          <w:spacing w:val="-43"/>
        </w:rPr>
      </w:r>
      <w:r>
        <w:rPr>
          <w:spacing w:val="-2"/>
        </w:rPr>
        <w:t>本公司以发行权益性证券作为合并对价的，应当在合并日按照被合并方所有者权益在最终控</w:t>
      </w:r>
      <w:r>
        <w:rPr>
          <w:w w:val="100"/>
        </w:rPr>
        <w:t> </w:t>
      </w:r>
      <w:r>
        <w:rPr>
          <w:spacing w:val="-2"/>
        </w:rPr>
        <w:t>制方合并财务报表中的账面价值的份额作为长期股权投资的初始投资成本。按照发行股份的面值</w:t>
      </w:r>
      <w:r>
        <w:rPr>
          <w:spacing w:val="-43"/>
        </w:rPr>
        <w:t> </w:t>
      </w:r>
      <w:r>
        <w:rPr>
          <w:spacing w:val="-43"/>
        </w:rPr>
      </w:r>
      <w:r>
        <w:rPr>
          <w:spacing w:val="-2"/>
        </w:rPr>
        <w:t>总额作为股本，长期股权投资初始投资成本与所发行股份面值总额之间的差额，应当调整资本公</w:t>
      </w:r>
    </w:p>
    <w:p>
      <w:pPr>
        <w:pStyle w:val="BodyText"/>
        <w:spacing w:line="240" w:lineRule="auto"/>
        <w:ind w:right="0"/>
        <w:jc w:val="both"/>
      </w:pPr>
      <w:r>
        <w:rPr/>
        <w:t>积；资本公积不足冲减的，调整留存收益。</w:t>
      </w:r>
    </w:p>
    <w:p>
      <w:pPr>
        <w:spacing w:after="0" w:line="240" w:lineRule="auto"/>
        <w:jc w:val="both"/>
        <w:sectPr>
          <w:pgSz w:w="11910" w:h="16840"/>
          <w:pgMar w:header="856" w:footer="1193" w:top="1280" w:bottom="1380" w:left="1660" w:right="1120"/>
        </w:sectPr>
      </w:pPr>
    </w:p>
    <w:p>
      <w:pPr>
        <w:spacing w:line="240" w:lineRule="auto" w:before="7"/>
        <w:rPr>
          <w:rFonts w:ascii="宋体" w:hAnsi="宋体" w:cs="宋体" w:eastAsia="宋体" w:hint="default"/>
          <w:sz w:val="18"/>
          <w:szCs w:val="18"/>
        </w:rPr>
      </w:pPr>
    </w:p>
    <w:p>
      <w:pPr>
        <w:pStyle w:val="BodyText"/>
        <w:spacing w:line="314" w:lineRule="auto" w:before="36"/>
        <w:ind w:right="205" w:firstLine="419"/>
        <w:jc w:val="both"/>
      </w:pPr>
      <w:r>
        <w:rPr>
          <w:spacing w:val="-2"/>
        </w:rPr>
        <w:t>通过多次交易分步取得同一控制下被合并方的股权，最终形成同一控制下企业合并的，应分</w:t>
      </w:r>
      <w:r>
        <w:rPr>
          <w:w w:val="100"/>
        </w:rPr>
        <w:t> </w:t>
      </w:r>
      <w:r>
        <w:rPr>
          <w:spacing w:val="-2"/>
        </w:rPr>
        <w:t>别是否属于“一揽子交易”进行处理：属于“一揽子交易”的，将各项交易作为一项取得控制权</w:t>
      </w:r>
      <w:r>
        <w:rPr>
          <w:spacing w:val="-25"/>
        </w:rPr>
        <w:t> </w:t>
      </w:r>
      <w:r>
        <w:rPr>
          <w:spacing w:val="-25"/>
        </w:rPr>
      </w:r>
      <w:r>
        <w:rPr>
          <w:spacing w:val="-4"/>
        </w:rPr>
        <w:t>的交易进行会计处理。不属于“一揽子交易”的，在合并日按照应享有被合并方股东权益</w:t>
      </w:r>
      <w:r>
        <w:rPr>
          <w:rFonts w:ascii="宋体" w:hAnsi="宋体" w:cs="宋体" w:eastAsia="宋体" w:hint="default"/>
          <w:spacing w:val="-4"/>
        </w:rPr>
        <w:t>/</w:t>
      </w:r>
      <w:r>
        <w:rPr>
          <w:spacing w:val="-4"/>
        </w:rPr>
        <w:t>所有者</w:t>
      </w:r>
      <w:r>
        <w:rPr>
          <w:spacing w:val="-32"/>
        </w:rPr>
        <w:t> </w:t>
      </w:r>
      <w:r>
        <w:rPr>
          <w:spacing w:val="-32"/>
        </w:rPr>
      </w:r>
      <w:r>
        <w:rPr>
          <w:spacing w:val="-2"/>
        </w:rPr>
        <w:t>权益在最终控制方合并财务报表中的账面价值的份额作为长期股权投资的初始投资成本，长期股</w:t>
      </w:r>
      <w:r>
        <w:rPr>
          <w:spacing w:val="-25"/>
        </w:rPr>
        <w:t> </w:t>
      </w:r>
      <w:r>
        <w:rPr>
          <w:spacing w:val="-25"/>
        </w:rPr>
      </w:r>
      <w:r>
        <w:rPr>
          <w:spacing w:val="-2"/>
        </w:rPr>
        <w:t>权投资初始投资成本与达到合并前的长期股权投资账面价值加上合并日进一步取得股份新支付对</w:t>
      </w:r>
      <w:r>
        <w:rPr>
          <w:spacing w:val="-25"/>
        </w:rPr>
        <w:t> </w:t>
      </w:r>
      <w:r>
        <w:rPr>
          <w:spacing w:val="-25"/>
        </w:rPr>
      </w:r>
      <w:r>
        <w:rPr>
          <w:spacing w:val="-2"/>
        </w:rPr>
        <w:t>价的账面价值之和的差额，调整资本公积；资本公积不足冲减的，调整留存收益。合并日之前持</w:t>
      </w:r>
      <w:r>
        <w:rPr>
          <w:spacing w:val="-25"/>
        </w:rPr>
        <w:t> </w:t>
      </w:r>
      <w:r>
        <w:rPr>
          <w:spacing w:val="-25"/>
        </w:rPr>
      </w:r>
      <w:r>
        <w:rPr>
          <w:spacing w:val="-2"/>
        </w:rPr>
        <w:t>有的股权投资因采用权益法核算或为可供出售金融资产而确认的其他综合收益，暂不进行会计处</w:t>
      </w:r>
      <w:r>
        <w:rPr>
          <w:spacing w:val="-25"/>
        </w:rPr>
        <w:t> </w:t>
      </w:r>
      <w:r>
        <w:rPr>
          <w:spacing w:val="-25"/>
        </w:rPr>
      </w:r>
      <w:r>
        <w:rPr/>
        <w:t>理。</w:t>
      </w:r>
    </w:p>
    <w:p>
      <w:pPr>
        <w:pStyle w:val="BodyText"/>
        <w:spacing w:line="314" w:lineRule="auto"/>
        <w:ind w:right="208" w:firstLine="419"/>
        <w:jc w:val="right"/>
      </w:pPr>
      <w:r>
        <w:rPr>
          <w:spacing w:val="-2"/>
        </w:rPr>
        <w:t>通过非同一控制下的企业合并取得的长期股权投资，按照合并成本作为长期股权投资的初始</w:t>
      </w:r>
      <w:r>
        <w:rPr>
          <w:w w:val="100"/>
        </w:rPr>
        <w:t> </w:t>
      </w:r>
      <w:r>
        <w:rPr>
          <w:spacing w:val="-2"/>
        </w:rPr>
        <w:t>投资成本。通过多次交易分步取得被购买方的股权，最终形成非同一控制下的企业合并的，应分</w:t>
      </w:r>
      <w:r>
        <w:rPr>
          <w:spacing w:val="-52"/>
        </w:rPr>
        <w:t> </w:t>
      </w:r>
      <w:r>
        <w:rPr>
          <w:spacing w:val="-52"/>
        </w:rPr>
      </w:r>
      <w:r>
        <w:rPr>
          <w:spacing w:val="-2"/>
        </w:rPr>
        <w:t>别是否属于“一揽子交易”进行处理：属于“一揽子交易”的，将各项交易作为一项取得控制权</w:t>
      </w:r>
      <w:r>
        <w:rPr>
          <w:spacing w:val="-52"/>
        </w:rPr>
        <w:t> </w:t>
      </w:r>
      <w:r>
        <w:rPr>
          <w:spacing w:val="-52"/>
        </w:rPr>
      </w:r>
      <w:r>
        <w:rPr>
          <w:spacing w:val="-2"/>
        </w:rPr>
        <w:t>的交易进行会计处理。不属于“一揽子交易”的，按照原持有被购买方的股权投资账面价值加上</w:t>
      </w:r>
      <w:r>
        <w:rPr>
          <w:spacing w:val="-52"/>
        </w:rPr>
        <w:t> </w:t>
      </w:r>
      <w:r>
        <w:rPr>
          <w:spacing w:val="-52"/>
        </w:rPr>
      </w:r>
      <w:r>
        <w:rPr>
          <w:spacing w:val="-2"/>
        </w:rPr>
        <w:t>新增投资成本之和，作为改按成本法核算的长期股权投资的初始投资成本。原持有的股权采用权</w:t>
      </w:r>
      <w:r>
        <w:rPr>
          <w:spacing w:val="-52"/>
        </w:rPr>
        <w:t> </w:t>
      </w:r>
      <w:r>
        <w:rPr>
          <w:spacing w:val="-52"/>
        </w:rPr>
      </w:r>
      <w:r>
        <w:rPr>
          <w:spacing w:val="-2"/>
        </w:rPr>
        <w:t>益法核算的，相关其他综合收益暂不进行会计处理。原持有股权投资为可供出售金融资产的，其</w:t>
      </w:r>
      <w:r>
        <w:rPr>
          <w:spacing w:val="-52"/>
        </w:rPr>
        <w:t> </w:t>
      </w:r>
      <w:r>
        <w:rPr>
          <w:spacing w:val="-52"/>
        </w:rPr>
      </w:r>
      <w:r>
        <w:rPr>
          <w:spacing w:val="-2"/>
        </w:rPr>
        <w:t>公允价值与账面价值之间的差额，以及原计入其他综合收益的累计公允价值变动转入当期损益。</w:t>
      </w:r>
      <w:r>
        <w:rPr>
          <w:spacing w:val="-52"/>
        </w:rPr>
        <w:t> </w:t>
      </w:r>
      <w:r>
        <w:rPr>
          <w:spacing w:val="-52"/>
        </w:rPr>
      </w:r>
      <w:r>
        <w:rPr>
          <w:spacing w:val="-7"/>
          <w:w w:val="100"/>
        </w:rPr>
        <w:t>除企业合并形成的长期股权投资以外，其他方式取得的长期股权投资，按成本进行初始计量。</w:t>
      </w:r>
    </w:p>
    <w:p>
      <w:pPr>
        <w:pStyle w:val="BodyText"/>
        <w:spacing w:line="314" w:lineRule="auto"/>
        <w:ind w:left="678" w:right="3214" w:hanging="15"/>
        <w:jc w:val="left"/>
      </w:pPr>
      <w:r>
        <w:rPr>
          <w:rFonts w:ascii="宋体" w:hAnsi="宋体" w:cs="宋体" w:eastAsia="宋体" w:hint="default"/>
        </w:rPr>
        <w:t>(2)</w:t>
      </w:r>
      <w:r>
        <w:rPr/>
        <w:t>后续计量及损益确认方法</w:t>
      </w:r>
      <w:r>
        <w:rPr>
          <w:w w:val="100"/>
        </w:rPr>
        <w:t> </w:t>
      </w:r>
      <w:r>
        <w:rPr>
          <w:spacing w:val="-2"/>
        </w:rPr>
        <w:t>成本法核算的长期股权投资：</w:t>
      </w:r>
    </w:p>
    <w:p>
      <w:pPr>
        <w:pStyle w:val="BodyText"/>
        <w:spacing w:line="314" w:lineRule="auto"/>
        <w:ind w:left="258" w:right="99" w:firstLine="419"/>
        <w:jc w:val="left"/>
      </w:pPr>
      <w:r>
        <w:rPr/>
        <w:t>本公司对子公司的长期股权投资，采用成本法进行核算；子公司是指本公司能够对其实施</w:t>
      </w:r>
      <w:r>
        <w:rPr>
          <w:w w:val="100"/>
        </w:rPr>
        <w:t> </w:t>
      </w:r>
      <w:r>
        <w:rPr/>
        <w:t>控制的被投资单位。</w:t>
      </w:r>
    </w:p>
    <w:p>
      <w:pPr>
        <w:pStyle w:val="BodyText"/>
        <w:spacing w:line="314" w:lineRule="auto"/>
        <w:ind w:right="217" w:firstLine="419"/>
        <w:jc w:val="both"/>
      </w:pPr>
      <w:r>
        <w:rPr>
          <w:spacing w:val="-2"/>
        </w:rPr>
        <w:t>采用成本法核算时，长期股权投资按初始投资成本计价，除取得投资时实际支付的价款或者</w:t>
      </w:r>
      <w:r>
        <w:rPr>
          <w:w w:val="100"/>
        </w:rPr>
        <w:t> </w:t>
      </w:r>
      <w:r>
        <w:rPr>
          <w:spacing w:val="-2"/>
        </w:rPr>
        <w:t>对价中包含的已宣告但尚未发放的现金股利或者利润外，当期投资收益按照享有被投资单位宣告</w:t>
      </w:r>
      <w:r>
        <w:rPr>
          <w:spacing w:val="-25"/>
        </w:rPr>
        <w:t> </w:t>
      </w:r>
      <w:r>
        <w:rPr>
          <w:spacing w:val="-25"/>
        </w:rPr>
      </w:r>
      <w:r>
        <w:rPr/>
        <w:t>发放的现金股利或利润确认。追加或收回投资时调整长期股权投资的成本。</w:t>
      </w:r>
    </w:p>
    <w:p>
      <w:pPr>
        <w:pStyle w:val="BodyText"/>
        <w:spacing w:line="314" w:lineRule="auto"/>
        <w:ind w:left="558" w:right="99" w:firstLine="120"/>
        <w:jc w:val="left"/>
      </w:pPr>
      <w:r>
        <w:rPr/>
        <w:t>权益法核算的长期股权投资：</w:t>
      </w:r>
      <w:r>
        <w:rPr>
          <w:w w:val="100"/>
        </w:rPr>
        <w:t> </w:t>
      </w:r>
      <w:r>
        <w:rPr>
          <w:spacing w:val="-2"/>
        </w:rPr>
        <w:t>本公司对联营企业和合营企业的投资采用权益法核算。联营企业是指本公司能够对其施加重</w:t>
      </w:r>
    </w:p>
    <w:p>
      <w:pPr>
        <w:pStyle w:val="BodyText"/>
        <w:spacing w:line="314" w:lineRule="auto"/>
        <w:ind w:left="558" w:right="99" w:hanging="420"/>
        <w:jc w:val="left"/>
      </w:pPr>
      <w:r>
        <w:rPr/>
        <w:t>大影响的被投资单位，合营企业是指本公司与其他投资方对其实施共同控制的被投资单位。</w:t>
      </w:r>
      <w:r>
        <w:rPr>
          <w:w w:val="100"/>
        </w:rPr>
        <w:t> </w:t>
      </w:r>
      <w:r>
        <w:rPr>
          <w:spacing w:val="-2"/>
        </w:rPr>
        <w:t>采用权益法核算时，长期股权投资的初始投资成本大于投资时应享有被投资单位可辨认净资</w:t>
      </w:r>
    </w:p>
    <w:p>
      <w:pPr>
        <w:pStyle w:val="BodyText"/>
        <w:spacing w:line="314" w:lineRule="auto"/>
        <w:ind w:right="99"/>
        <w:jc w:val="left"/>
      </w:pPr>
      <w:r>
        <w:rPr>
          <w:spacing w:val="-2"/>
        </w:rPr>
        <w:t>产公允价值份额的，不调整长期股权投资的初始投资成本；初始投资成本小于投资时应享有被投</w:t>
      </w:r>
      <w:r>
        <w:rPr>
          <w:spacing w:val="-25"/>
        </w:rPr>
        <w:t> </w:t>
      </w:r>
      <w:r>
        <w:rPr>
          <w:spacing w:val="-25"/>
        </w:rPr>
      </w:r>
      <w:r>
        <w:rPr/>
        <w:t>资单位可辨认净资产公允价值份额的，其差额计入当期损益，同时调整长期股权投资的成本。</w:t>
      </w:r>
    </w:p>
    <w:p>
      <w:pPr>
        <w:pStyle w:val="BodyText"/>
        <w:spacing w:line="314" w:lineRule="auto"/>
        <w:ind w:right="99" w:firstLine="419"/>
        <w:jc w:val="left"/>
      </w:pPr>
      <w:r>
        <w:rPr>
          <w:spacing w:val="-4"/>
          <w:w w:val="100"/>
        </w:rPr>
        <w:t>采用权益法核算时，当期投资损益为应享有或应分担的被投资单位当年实现的净损益的份额。</w:t>
      </w:r>
      <w:r>
        <w:rPr>
          <w:w w:val="100"/>
        </w:rPr>
        <w:t> </w:t>
      </w:r>
      <w:r>
        <w:rPr/>
        <w:t>在确认应享有被投资单位净损益的份额时，以取得投资时被投资单位各项可辨认资产等的公允价</w:t>
      </w:r>
      <w:r>
        <w:rPr>
          <w:w w:val="100"/>
        </w:rPr>
        <w:t> </w:t>
      </w:r>
      <w:r>
        <w:rPr/>
        <w:t>值为基础，并按照本公司的会计政策及会计期间，对被投资单位的净利润进行调整后确认。对于</w:t>
      </w:r>
      <w:r>
        <w:rPr>
          <w:w w:val="100"/>
        </w:rPr>
        <w:t> </w:t>
      </w:r>
      <w:r>
        <w:rPr/>
        <w:t>本公司与联营企业及合营企业之间发生的未实现内部交易损益按照持股比例计算属于本公司的部</w:t>
      </w:r>
      <w:r>
        <w:rPr>
          <w:w w:val="100"/>
        </w:rPr>
        <w:t> </w:t>
      </w:r>
      <w:r>
        <w:rPr/>
        <w:t>分予以抵销，在此基础上确认投资损益。但本公司与被投资单位发生的未实现内部交易损失，属</w:t>
      </w:r>
      <w:r>
        <w:rPr>
          <w:w w:val="100"/>
        </w:rPr>
        <w:t> </w:t>
      </w:r>
      <w:r>
        <w:rPr/>
        <w:t>于所转让资产减值损失的，不予以抵销。</w:t>
      </w:r>
    </w:p>
    <w:p>
      <w:pPr>
        <w:pStyle w:val="BodyText"/>
        <w:spacing w:line="314" w:lineRule="auto"/>
        <w:ind w:right="217" w:firstLine="419"/>
        <w:jc w:val="both"/>
      </w:pPr>
      <w:r>
        <w:rPr>
          <w:spacing w:val="-2"/>
        </w:rPr>
        <w:t>本公司对取得长期股权投资后应享有的被投资单位其他综合收益的份额，确认为其他综合收</w:t>
      </w:r>
      <w:r>
        <w:rPr>
          <w:w w:val="100"/>
        </w:rPr>
        <w:t> </w:t>
      </w:r>
      <w:r>
        <w:rPr>
          <w:spacing w:val="-2"/>
        </w:rPr>
        <w:t>益，同时调整长期股权投资的账面价值；本公司按照被投资单位宣告分派的利润或现金股利计算</w:t>
      </w:r>
    </w:p>
    <w:p>
      <w:pPr>
        <w:spacing w:after="0" w:line="314" w:lineRule="auto"/>
        <w:jc w:val="both"/>
        <w:sectPr>
          <w:pgSz w:w="11910" w:h="16840"/>
          <w:pgMar w:header="856" w:footer="1193" w:top="1280" w:bottom="1380" w:left="1660" w:right="1060"/>
        </w:sectPr>
      </w:pPr>
    </w:p>
    <w:p>
      <w:pPr>
        <w:spacing w:line="240" w:lineRule="auto" w:before="7"/>
        <w:rPr>
          <w:rFonts w:ascii="宋体" w:hAnsi="宋体" w:cs="宋体" w:eastAsia="宋体" w:hint="default"/>
          <w:sz w:val="18"/>
          <w:szCs w:val="18"/>
        </w:rPr>
      </w:pPr>
    </w:p>
    <w:p>
      <w:pPr>
        <w:pStyle w:val="BodyText"/>
        <w:spacing w:line="314" w:lineRule="auto" w:before="36"/>
        <w:ind w:right="99"/>
        <w:jc w:val="left"/>
      </w:pPr>
      <w:r>
        <w:rPr/>
        <w:t>应享有的部分，相应减少长期股权投资的账面价值；本公司对被投资单位除净损益、其他综合收</w:t>
      </w:r>
      <w:r>
        <w:rPr>
          <w:w w:val="100"/>
        </w:rPr>
        <w:t> </w:t>
      </w:r>
      <w:r>
        <w:rPr>
          <w:spacing w:val="-4"/>
          <w:w w:val="100"/>
        </w:rPr>
        <w:t>益和利润分配以外所有者权益的其他变动，相应调整长期股权投资的账面价值并计入所有者权益。</w:t>
      </w:r>
    </w:p>
    <w:p>
      <w:pPr>
        <w:pStyle w:val="BodyText"/>
        <w:spacing w:line="314" w:lineRule="auto"/>
        <w:ind w:right="208" w:firstLine="419"/>
        <w:jc w:val="both"/>
      </w:pPr>
      <w:r>
        <w:rPr>
          <w:spacing w:val="-1"/>
        </w:rPr>
        <w:t>在确认应分担被投资单位发生的净亏损时，以长期股权投资的账面价值和其他实质上构成对</w:t>
      </w:r>
      <w:r>
        <w:rPr>
          <w:w w:val="100"/>
        </w:rPr>
        <w:t> </w:t>
      </w:r>
      <w:r>
        <w:rPr>
          <w:spacing w:val="-1"/>
        </w:rPr>
        <w:t>被投资单位净投资的长期权益减记至零为限。此外，如本公司对被投资单位负有承担额外损失的</w:t>
      </w:r>
      <w:r>
        <w:rPr>
          <w:spacing w:val="-55"/>
        </w:rPr>
        <w:t> </w:t>
      </w:r>
      <w:r>
        <w:rPr>
          <w:spacing w:val="-55"/>
        </w:rPr>
      </w:r>
      <w:r>
        <w:rPr>
          <w:spacing w:val="-1"/>
        </w:rPr>
        <w:t>义务，则按预计承担的义务确认预计负债，计入当期投资损失。被投资单位以后期间实现净利润</w:t>
      </w:r>
      <w:r>
        <w:rPr>
          <w:spacing w:val="-55"/>
        </w:rPr>
        <w:t> </w:t>
      </w:r>
      <w:r>
        <w:rPr>
          <w:spacing w:val="-55"/>
        </w:rPr>
      </w:r>
      <w:r>
        <w:rPr/>
        <w:t>的，本公司在收益分享额弥补未确认的亏损分担额后，恢复确认收益分享额。</w:t>
      </w:r>
    </w:p>
    <w:p>
      <w:pPr>
        <w:pStyle w:val="BodyText"/>
        <w:spacing w:line="314" w:lineRule="auto"/>
        <w:ind w:left="558" w:right="99"/>
        <w:jc w:val="left"/>
      </w:pPr>
      <w:r>
        <w:rPr/>
        <w:t>（</w:t>
      </w:r>
      <w:r>
        <w:rPr>
          <w:rFonts w:ascii="宋体" w:hAnsi="宋体" w:cs="宋体" w:eastAsia="宋体" w:hint="default"/>
        </w:rPr>
        <w:t>3</w:t>
      </w:r>
      <w:r>
        <w:rPr/>
        <w:t>）确定对被投资单位具有控制、共同控制、重大影响的判断标准</w:t>
      </w:r>
      <w:r>
        <w:rPr>
          <w:w w:val="100"/>
        </w:rPr>
        <w:t> </w:t>
      </w:r>
      <w:r>
        <w:rPr>
          <w:spacing w:val="-2"/>
        </w:rPr>
        <w:t>控制是指本公司拥有对被投资方的权力，通过参与被投资方的相关活动而享有可变回报，并</w:t>
      </w:r>
    </w:p>
    <w:p>
      <w:pPr>
        <w:pStyle w:val="BodyText"/>
        <w:spacing w:line="314" w:lineRule="auto"/>
        <w:ind w:right="217"/>
        <w:jc w:val="both"/>
      </w:pPr>
      <w:r>
        <w:rPr>
          <w:spacing w:val="-2"/>
        </w:rPr>
        <w:t>且有能力运用对被投资方的权力影响其回报金额。共同控制，是指按照相关约定对某项安排所共</w:t>
      </w:r>
      <w:r>
        <w:rPr>
          <w:spacing w:val="-25"/>
        </w:rPr>
        <w:t> </w:t>
      </w:r>
      <w:r>
        <w:rPr>
          <w:spacing w:val="-25"/>
        </w:rPr>
      </w:r>
      <w:r>
        <w:rPr>
          <w:spacing w:val="-2"/>
        </w:rPr>
        <w:t>有的控制，并且该安排的相关活动必须经过分享控制权的参与方一致同意后才能决策。重大影响</w:t>
      </w:r>
      <w:r>
        <w:rPr>
          <w:spacing w:val="-26"/>
        </w:rPr>
        <w:t> </w:t>
      </w:r>
      <w:r>
        <w:rPr>
          <w:spacing w:val="-26"/>
        </w:rPr>
      </w:r>
      <w:r>
        <w:rPr>
          <w:spacing w:val="-2"/>
        </w:rPr>
        <w:t>是指本公司对被投资单位的财务和经营政策有参与决策的权力，但并不能够控制或者与其他方一</w:t>
      </w:r>
      <w:r>
        <w:rPr>
          <w:spacing w:val="-25"/>
        </w:rPr>
        <w:t> </w:t>
      </w:r>
      <w:r>
        <w:rPr>
          <w:spacing w:val="-25"/>
        </w:rPr>
      </w:r>
      <w:r>
        <w:rPr>
          <w:spacing w:val="-2"/>
        </w:rPr>
        <w:t>起共同控制这些政策的制定。在确定能否对被投资单位实施控制或施加重大影响时，已考虑本公</w:t>
      </w:r>
      <w:r>
        <w:rPr>
          <w:spacing w:val="-25"/>
        </w:rPr>
        <w:t> </w:t>
      </w:r>
      <w:r>
        <w:rPr>
          <w:spacing w:val="-25"/>
        </w:rPr>
      </w:r>
      <w:r>
        <w:rPr/>
        <w:t>司和其他方持有的被投资单位当期可转换公司债券、当期可执行认股权证等潜在表决权因素。</w:t>
      </w:r>
    </w:p>
    <w:p>
      <w:pPr>
        <w:spacing w:line="240" w:lineRule="auto" w:before="2"/>
        <w:rPr>
          <w:rFonts w:ascii="宋体" w:hAnsi="宋体" w:cs="宋体" w:eastAsia="宋体" w:hint="default"/>
          <w:sz w:val="21"/>
          <w:szCs w:val="21"/>
        </w:rPr>
      </w:pPr>
    </w:p>
    <w:p>
      <w:pPr>
        <w:pStyle w:val="Heading2"/>
        <w:spacing w:line="278" w:lineRule="auto" w:before="0"/>
        <w:ind w:left="138" w:right="6075"/>
        <w:jc w:val="left"/>
        <w:rPr>
          <w:rFonts w:ascii="宋体" w:hAnsi="宋体" w:cs="宋体" w:eastAsia="宋体" w:hint="default"/>
          <w:b w:val="0"/>
          <w:bCs w:val="0"/>
        </w:rPr>
      </w:pPr>
      <w:r>
        <w:rPr>
          <w:rFonts w:ascii="Calibri" w:hAnsi="Calibri" w:cs="Calibri" w:eastAsia="Calibri" w:hint="default"/>
        </w:rPr>
        <w:t>14.</w:t>
      </w:r>
      <w:r>
        <w:rPr>
          <w:rFonts w:ascii="Calibri" w:hAnsi="Calibri" w:cs="Calibri" w:eastAsia="Calibri" w:hint="default"/>
          <w:spacing w:val="1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314" w:lineRule="auto" w:before="39"/>
        <w:ind w:right="210" w:firstLine="419"/>
        <w:jc w:val="both"/>
      </w:pPr>
      <w:r>
        <w:rPr>
          <w:spacing w:val="-2"/>
        </w:rPr>
        <w:t>投资性房地产是指为赚取租金或资本增值，或两者兼有而持有的房地产。包括已出租的土地</w:t>
      </w:r>
      <w:r>
        <w:rPr>
          <w:w w:val="100"/>
        </w:rPr>
        <w:t> </w:t>
      </w:r>
      <w:r>
        <w:rPr/>
        <w:t>使用权、持有并准备增值后转让的土地使用权、已出租的建筑物等。</w:t>
      </w:r>
    </w:p>
    <w:p>
      <w:pPr>
        <w:pStyle w:val="BodyText"/>
        <w:spacing w:line="314" w:lineRule="auto"/>
        <w:ind w:right="217" w:firstLine="419"/>
        <w:jc w:val="both"/>
      </w:pPr>
      <w:r>
        <w:rPr>
          <w:spacing w:val="-2"/>
        </w:rPr>
        <w:t>投资性房地产按成本进行初始计量。与投资性房地产有关的后续支出，如果与该资产有关的</w:t>
      </w:r>
      <w:r>
        <w:rPr>
          <w:w w:val="100"/>
        </w:rPr>
        <w:t> </w:t>
      </w:r>
      <w:r>
        <w:rPr>
          <w:spacing w:val="-2"/>
        </w:rPr>
        <w:t>经济利益很可能流入且其成本能可靠地计量，则计入投资性房地产成本。其他后续支出，在发生</w:t>
      </w:r>
      <w:r>
        <w:rPr>
          <w:spacing w:val="-25"/>
        </w:rPr>
        <w:t> </w:t>
      </w:r>
      <w:r>
        <w:rPr>
          <w:spacing w:val="-25"/>
        </w:rPr>
      </w:r>
      <w:r>
        <w:rPr/>
        <w:t>时计入当期损益。</w:t>
      </w:r>
    </w:p>
    <w:p>
      <w:pPr>
        <w:pStyle w:val="BodyText"/>
        <w:spacing w:line="314" w:lineRule="auto"/>
        <w:ind w:right="217" w:firstLine="419"/>
        <w:jc w:val="both"/>
      </w:pPr>
      <w:r>
        <w:rPr>
          <w:spacing w:val="-2"/>
        </w:rPr>
        <w:t>本公司采用成本模式对投资性房地产进行后续计量，并按照与房屋建筑物或土地使用权一致</w:t>
      </w:r>
      <w:r>
        <w:rPr>
          <w:w w:val="100"/>
        </w:rPr>
        <w:t> </w:t>
      </w:r>
      <w:r>
        <w:rPr/>
        <w:t>的政策进行折旧或摊销。</w:t>
      </w:r>
    </w:p>
    <w:p>
      <w:pPr>
        <w:pStyle w:val="BodyText"/>
        <w:spacing w:line="314" w:lineRule="auto"/>
        <w:ind w:right="217" w:firstLine="419"/>
        <w:jc w:val="both"/>
      </w:pPr>
      <w:r>
        <w:rPr>
          <w:spacing w:val="-2"/>
        </w:rPr>
        <w:t>自用房地产或存货转换为投资性房地产或投资性房地产转换为自用房地产时，按转换前的账</w:t>
      </w:r>
      <w:r>
        <w:rPr>
          <w:w w:val="100"/>
        </w:rPr>
        <w:t> </w:t>
      </w:r>
      <w:r>
        <w:rPr/>
        <w:t>面价值作为转换后的入账价值。</w:t>
      </w:r>
    </w:p>
    <w:p>
      <w:pPr>
        <w:pStyle w:val="BodyText"/>
        <w:spacing w:line="314" w:lineRule="auto"/>
        <w:ind w:right="217" w:firstLine="419"/>
        <w:jc w:val="both"/>
      </w:pPr>
      <w:r>
        <w:rPr>
          <w:spacing w:val="-2"/>
        </w:rPr>
        <w:t>投资性房地产出售、转让、报废或毁损的处置收入扣除其账面价值和相关税费后的差额计入</w:t>
      </w:r>
      <w:r>
        <w:rPr>
          <w:w w:val="100"/>
        </w:rPr>
        <w:t> </w:t>
      </w:r>
      <w:r>
        <w:rPr/>
        <w:t>当期损益。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66" w:lineRule="auto" w:before="0"/>
        <w:ind w:left="138" w:right="7761"/>
        <w:jc w:val="left"/>
        <w:rPr>
          <w:b w:val="0"/>
          <w:bCs w:val="0"/>
        </w:rPr>
      </w:pPr>
      <w:r>
        <w:rPr>
          <w:rFonts w:ascii="Calibri" w:hAnsi="Calibri" w:cs="Calibri" w:eastAsia="Calibri" w:hint="default"/>
        </w:rPr>
        <w:t>15.</w:t>
      </w:r>
      <w:r>
        <w:rPr>
          <w:rFonts w:ascii="Calibri" w:hAnsi="Calibri" w:cs="Calibri" w:eastAsia="Calibri" w:hint="default"/>
          <w:spacing w:val="13"/>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314" w:lineRule="auto" w:before="110"/>
        <w:ind w:right="208" w:firstLine="419"/>
        <w:jc w:val="both"/>
      </w:pPr>
      <w:r>
        <w:rPr>
          <w:spacing w:val="-2"/>
        </w:rPr>
        <w:t>固定资产是指为生产商品、提供劳务、出租或经营管理持有的，使用寿命超过一个会计年度</w:t>
      </w:r>
      <w:r>
        <w:rPr>
          <w:w w:val="100"/>
        </w:rPr>
        <w:t> </w:t>
      </w:r>
      <w:r>
        <w:rPr>
          <w:spacing w:val="-1"/>
        </w:rPr>
        <w:t>的有形资产。固定资产仅在与其有关的经济利益很可能流入本公司，且其成本能够可靠地计量时</w:t>
      </w:r>
      <w:r>
        <w:rPr>
          <w:spacing w:val="-55"/>
        </w:rPr>
        <w:t> </w:t>
      </w:r>
      <w:r>
        <w:rPr>
          <w:spacing w:val="-55"/>
        </w:rPr>
      </w:r>
      <w:r>
        <w:rPr/>
        <w:t>才予以确认。固定资产按成本并考虑预计弃置费用因素的影响进行初始计量。</w:t>
      </w:r>
    </w:p>
    <w:p>
      <w:pPr>
        <w:pStyle w:val="BodyText"/>
        <w:spacing w:line="314" w:lineRule="auto"/>
        <w:ind w:right="217" w:firstLine="419"/>
        <w:jc w:val="both"/>
      </w:pPr>
      <w:r>
        <w:rPr>
          <w:spacing w:val="-2"/>
        </w:rPr>
        <w:t>与固定资产有关的后续支出，如果与该固定资产有关的经济利益很可能流入且其成本能可靠</w:t>
      </w:r>
      <w:r>
        <w:rPr>
          <w:w w:val="100"/>
        </w:rPr>
        <w:t> </w:t>
      </w:r>
      <w:r>
        <w:rPr>
          <w:spacing w:val="-2"/>
        </w:rPr>
        <w:t>地计量，则计入固定资产成本，并终止确认被替换部分的账面价值。除此以外的其他后续支出，</w:t>
      </w:r>
      <w:r>
        <w:rPr>
          <w:spacing w:val="-25"/>
        </w:rPr>
        <w:t> </w:t>
      </w:r>
      <w:r>
        <w:rPr>
          <w:spacing w:val="-25"/>
        </w:rPr>
      </w:r>
      <w:r>
        <w:rPr/>
        <w:t>在发生时计入当期损益。</w:t>
      </w:r>
    </w:p>
    <w:p>
      <w:pPr>
        <w:spacing w:after="0" w:line="314" w:lineRule="auto"/>
        <w:jc w:val="both"/>
        <w:sectPr>
          <w:pgSz w:w="11910" w:h="16840"/>
          <w:pgMar w:header="856" w:footer="1193" w:top="1280" w:bottom="1380" w:left="1660" w:right="1060"/>
        </w:sectPr>
      </w:pPr>
    </w:p>
    <w:p>
      <w:pPr>
        <w:spacing w:line="240" w:lineRule="auto" w:before="8"/>
        <w:rPr>
          <w:rFonts w:ascii="宋体" w:hAnsi="宋体" w:cs="宋体" w:eastAsia="宋体" w:hint="default"/>
          <w:sz w:val="12"/>
          <w:szCs w:val="12"/>
        </w:rPr>
      </w:pPr>
    </w:p>
    <w:p>
      <w:pPr>
        <w:pStyle w:val="Heading2"/>
        <w:spacing w:line="240" w:lineRule="auto"/>
        <w:ind w:right="2465"/>
        <w:jc w:val="left"/>
        <w:rPr>
          <w:b w:val="0"/>
          <w:bCs w:val="0"/>
        </w:rPr>
      </w:pPr>
      <w:r>
        <w:rPr>
          <w:rFonts w:ascii="宋体" w:hAnsi="宋体" w:cs="宋体" w:eastAsia="宋体" w:hint="default"/>
        </w:rPr>
        <w:t>(2).</w:t>
      </w:r>
      <w:r>
        <w:rPr/>
        <w:t>折旧方法</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716"/>
        <w:gridCol w:w="1832"/>
        <w:gridCol w:w="1836"/>
        <w:gridCol w:w="1834"/>
        <w:gridCol w:w="1834"/>
      </w:tblGrid>
      <w:tr>
        <w:trPr>
          <w:trHeight w:val="28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10-30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3.17-10.00</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9.50-10.00</w:t>
            </w:r>
          </w:p>
        </w:tc>
      </w:tr>
      <w:tr>
        <w:trPr>
          <w:trHeight w:val="281"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9.50-25.00</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0-5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11.88-33.33</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line="357" w:lineRule="auto" w:before="36"/>
        <w:ind w:left="638" w:right="250"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融资租赁为实质上转移了与资产所有权有关的全部风险和报酬的租赁，其所有权最终可能转</w:t>
      </w:r>
    </w:p>
    <w:p>
      <w:pPr>
        <w:pStyle w:val="BodyText"/>
        <w:spacing w:line="257" w:lineRule="exact" w:before="0"/>
        <w:ind w:left="218" w:right="119"/>
        <w:jc w:val="left"/>
      </w:pPr>
      <w:r>
        <w:rPr/>
        <w:t>移，也可能不转移。在租赁期开始日，本公司将租赁开始日租赁资产公允价值与最低租赁付款额</w:t>
      </w:r>
    </w:p>
    <w:p>
      <w:pPr>
        <w:pStyle w:val="BodyText"/>
        <w:spacing w:line="314" w:lineRule="auto" w:before="85"/>
        <w:ind w:left="218" w:right="237"/>
        <w:jc w:val="both"/>
      </w:pPr>
      <w:r>
        <w:rPr>
          <w:spacing w:val="-2"/>
        </w:rPr>
        <w:t>现值两者中较低者作为租入资产的入账价值。以融资租赁方式租入的固定资产采用与自有固定资</w:t>
      </w:r>
      <w:r>
        <w:rPr>
          <w:spacing w:val="-25"/>
        </w:rPr>
        <w:t> </w:t>
      </w:r>
      <w:r>
        <w:rPr>
          <w:spacing w:val="-25"/>
        </w:rPr>
      </w:r>
      <w:r>
        <w:rPr>
          <w:spacing w:val="-2"/>
        </w:rPr>
        <w:t>产一致的政策计提租赁资产折旧。能够合理确定租赁期届满时取得租赁资产所有权的在租赁资产</w:t>
      </w:r>
      <w:r>
        <w:rPr>
          <w:spacing w:val="-25"/>
        </w:rPr>
        <w:t> </w:t>
      </w:r>
      <w:r>
        <w:rPr>
          <w:spacing w:val="-25"/>
        </w:rPr>
      </w:r>
      <w:r>
        <w:rPr>
          <w:spacing w:val="-2"/>
        </w:rPr>
        <w:t>使用寿命内计提折旧，无法合理确定租赁期届满能够取得租赁资产所有权的，在租赁期与租赁资</w:t>
      </w:r>
      <w:r>
        <w:rPr>
          <w:spacing w:val="-25"/>
        </w:rPr>
        <w:t> </w:t>
      </w:r>
      <w:r>
        <w:rPr>
          <w:spacing w:val="-25"/>
        </w:rPr>
      </w:r>
      <w:r>
        <w:rPr/>
        <w:t>产使用寿命两者中较短的期间内计提折旧。</w:t>
      </w:r>
    </w:p>
    <w:p>
      <w:pPr>
        <w:spacing w:line="240" w:lineRule="auto" w:before="13"/>
        <w:rPr>
          <w:rFonts w:ascii="宋体" w:hAnsi="宋体" w:cs="宋体" w:eastAsia="宋体" w:hint="default"/>
          <w:sz w:val="20"/>
          <w:szCs w:val="20"/>
        </w:rPr>
      </w:pPr>
    </w:p>
    <w:p>
      <w:pPr>
        <w:pStyle w:val="Heading2"/>
        <w:spacing w:line="240" w:lineRule="auto" w:before="0"/>
        <w:ind w:right="2465"/>
        <w:jc w:val="left"/>
        <w:rPr>
          <w:b w:val="0"/>
          <w:bCs w:val="0"/>
        </w:rPr>
      </w:pPr>
      <w:r>
        <w:rPr>
          <w:rFonts w:ascii="Calibri" w:hAnsi="Calibri" w:cs="Calibri" w:eastAsia="Calibri" w:hint="default"/>
        </w:rPr>
        <w:t>16.  </w:t>
      </w:r>
      <w:r>
        <w:rPr>
          <w:rFonts w:ascii="Calibri" w:hAnsi="Calibri" w:cs="Calibri" w:eastAsia="Calibri" w:hint="default"/>
          <w:spacing w:val="13"/>
        </w:rPr>
        <w:t> </w:t>
      </w:r>
      <w:r>
        <w:rPr/>
        <w:t>在建工程</w:t>
      </w:r>
      <w:r>
        <w:rPr>
          <w:b w:val="0"/>
          <w:bCs w:val="0"/>
        </w:rPr>
      </w:r>
    </w:p>
    <w:p>
      <w:pPr>
        <w:pStyle w:val="BodyText"/>
        <w:spacing w:line="314" w:lineRule="auto" w:before="108"/>
        <w:ind w:left="218" w:right="237" w:firstLine="419"/>
        <w:jc w:val="both"/>
      </w:pPr>
      <w:r>
        <w:rPr>
          <w:spacing w:val="-2"/>
        </w:rPr>
        <w:t>在建工程按实际成本计量﹐实际成本包括在建期间发生的各项工程支出、工程达到预定可使</w:t>
      </w:r>
      <w:r>
        <w:rPr>
          <w:w w:val="100"/>
        </w:rPr>
        <w:t> </w:t>
      </w:r>
      <w:r>
        <w:rPr>
          <w:spacing w:val="-2"/>
        </w:rPr>
        <w:t>用状态前的资本化的借款费用以及其他相关费用等。在建工程在达到预定可使用状态时结转为固</w:t>
      </w:r>
      <w:r>
        <w:rPr>
          <w:spacing w:val="-25"/>
        </w:rPr>
        <w:t> </w:t>
      </w:r>
      <w:r>
        <w:rPr>
          <w:spacing w:val="-25"/>
        </w:rPr>
      </w:r>
      <w:r>
        <w:rPr/>
        <w:t>定资产。</w:t>
      </w:r>
    </w:p>
    <w:p>
      <w:pPr>
        <w:pStyle w:val="Heading2"/>
        <w:spacing w:line="240" w:lineRule="auto" w:before="3"/>
        <w:ind w:right="2465"/>
        <w:jc w:val="left"/>
        <w:rPr>
          <w:b w:val="0"/>
          <w:bCs w:val="0"/>
        </w:rPr>
      </w:pPr>
      <w:r>
        <w:rPr>
          <w:rFonts w:ascii="Calibri" w:hAnsi="Calibri" w:cs="Calibri" w:eastAsia="Calibri" w:hint="default"/>
        </w:rPr>
        <w:t>17.  </w:t>
      </w:r>
      <w:r>
        <w:rPr>
          <w:rFonts w:ascii="Calibri" w:hAnsi="Calibri" w:cs="Calibri" w:eastAsia="Calibri" w:hint="default"/>
          <w:spacing w:val="13"/>
        </w:rPr>
        <w:t> </w:t>
      </w:r>
      <w:r>
        <w:rPr/>
        <w:t>借款费用</w:t>
      </w:r>
      <w:r>
        <w:rPr>
          <w:b w:val="0"/>
          <w:bCs w:val="0"/>
        </w:rPr>
      </w:r>
    </w:p>
    <w:p>
      <w:pPr>
        <w:pStyle w:val="BodyText"/>
        <w:spacing w:line="314" w:lineRule="auto" w:before="106"/>
        <w:ind w:left="218" w:right="237" w:firstLine="419"/>
        <w:jc w:val="both"/>
      </w:pPr>
      <w:r>
        <w:rPr>
          <w:spacing w:val="-2"/>
        </w:rPr>
        <w:t>可直接归属于符合资本化条件的资产的购建或者生产的借款费用，在资产支出已经发生、借</w:t>
      </w:r>
      <w:r>
        <w:rPr>
          <w:w w:val="100"/>
        </w:rPr>
        <w:t> </w:t>
      </w:r>
      <w:r>
        <w:rPr>
          <w:spacing w:val="-2"/>
        </w:rPr>
        <w:t>款费用已经发生、为使资产达到预定可使用或可销售状态所必要的购建或生产活动已经开始时，</w:t>
      </w:r>
      <w:r>
        <w:rPr>
          <w:spacing w:val="-25"/>
        </w:rPr>
        <w:t> </w:t>
      </w:r>
      <w:r>
        <w:rPr>
          <w:spacing w:val="-25"/>
        </w:rPr>
      </w:r>
      <w:r>
        <w:rPr>
          <w:spacing w:val="-2"/>
        </w:rPr>
        <w:t>开始资本化；当构建或者生产的符合资本化条件的资产达到预定可使用状态或者可销售状态时，</w:t>
      </w:r>
      <w:r>
        <w:rPr>
          <w:spacing w:val="-25"/>
        </w:rPr>
        <w:t> </w:t>
      </w:r>
      <w:r>
        <w:rPr>
          <w:spacing w:val="-25"/>
        </w:rPr>
      </w:r>
      <w:r>
        <w:rPr>
          <w:spacing w:val="-2"/>
        </w:rPr>
        <w:t>停止资本化。如果符合资本化条件的资产在购建或生产过程中发生非正常中断、并且中断时间连</w:t>
      </w:r>
      <w:r>
        <w:rPr>
          <w:spacing w:val="-25"/>
        </w:rPr>
        <w:t> </w:t>
      </w:r>
      <w:r>
        <w:rPr>
          <w:spacing w:val="-25"/>
        </w:rPr>
      </w:r>
      <w:r>
        <w:rPr/>
        <w:t>续超过</w:t>
      </w:r>
      <w:r>
        <w:rPr>
          <w:spacing w:val="-55"/>
        </w:rPr>
        <w:t> </w:t>
      </w:r>
      <w:r>
        <w:rPr>
          <w:rFonts w:ascii="宋体" w:hAnsi="宋体" w:cs="宋体" w:eastAsia="宋体" w:hint="default"/>
        </w:rPr>
        <w:t>3</w:t>
      </w:r>
      <w:r>
        <w:rPr>
          <w:rFonts w:ascii="宋体" w:hAnsi="宋体" w:cs="宋体" w:eastAsia="宋体" w:hint="default"/>
          <w:spacing w:val="-55"/>
        </w:rPr>
        <w:t> </w:t>
      </w:r>
      <w:r>
        <w:rPr/>
        <w:t>个月的，暂停借款费用的资本化，直至资产的购建或生产活动重新开始。其余借款费用</w:t>
      </w:r>
      <w:r>
        <w:rPr>
          <w:w w:val="100"/>
        </w:rPr>
        <w:t> </w:t>
      </w:r>
      <w:r>
        <w:rPr/>
        <w:t>在发生当期确认为费用。</w:t>
      </w:r>
    </w:p>
    <w:p>
      <w:pPr>
        <w:pStyle w:val="BodyText"/>
        <w:spacing w:line="314" w:lineRule="auto"/>
        <w:ind w:left="218" w:right="237" w:firstLine="419"/>
        <w:jc w:val="both"/>
      </w:pPr>
      <w:r>
        <w:rPr>
          <w:spacing w:val="-2"/>
        </w:rPr>
        <w:t>专门借款当期实际发生的利息费用，减去尚未动用的借款资金存入银行取得的利息收入或进</w:t>
      </w:r>
      <w:r>
        <w:rPr>
          <w:w w:val="100"/>
        </w:rPr>
        <w:t> </w:t>
      </w:r>
      <w:r>
        <w:rPr>
          <w:spacing w:val="-2"/>
        </w:rPr>
        <w:t>行暂时性投资取得的投资收益后的金额予以资本化；一般借款根据累计资产支出超过专门借款部</w:t>
      </w:r>
      <w:r>
        <w:rPr>
          <w:spacing w:val="-25"/>
        </w:rPr>
        <w:t> </w:t>
      </w:r>
      <w:r>
        <w:rPr>
          <w:spacing w:val="-25"/>
        </w:rPr>
      </w:r>
      <w:r>
        <w:rPr>
          <w:spacing w:val="-2"/>
        </w:rPr>
        <w:t>分的资产支出加权平均数乘以所占用一般借款的资本化率，确定资本化金额。资本化率根据一般</w:t>
      </w:r>
      <w:r>
        <w:rPr>
          <w:spacing w:val="-25"/>
        </w:rPr>
        <w:t> </w:t>
      </w:r>
      <w:r>
        <w:rPr>
          <w:spacing w:val="-25"/>
        </w:rPr>
      </w:r>
      <w:r>
        <w:rPr/>
        <w:t>借款的加权平均利率计算确定。</w:t>
      </w:r>
    </w:p>
    <w:p>
      <w:pPr>
        <w:pStyle w:val="BodyText"/>
        <w:spacing w:line="314" w:lineRule="auto"/>
        <w:ind w:left="218" w:right="250" w:firstLine="199"/>
        <w:jc w:val="left"/>
      </w:pPr>
      <w:r>
        <w:rPr>
          <w:spacing w:val="-2"/>
        </w:rPr>
        <w:t>资本化期间内，外币专门借款的汇兑差额全部予以资本化；外币一般借款的汇兑差额计入当期</w:t>
      </w:r>
      <w:r>
        <w:rPr>
          <w:w w:val="100"/>
        </w:rPr>
        <w:t> </w:t>
      </w:r>
      <w:r>
        <w:rPr/>
        <w:t>损益。</w:t>
      </w:r>
    </w:p>
    <w:p>
      <w:pPr>
        <w:spacing w:line="240" w:lineRule="auto" w:before="2"/>
        <w:rPr>
          <w:rFonts w:ascii="宋体" w:hAnsi="宋体" w:cs="宋体" w:eastAsia="宋体" w:hint="default"/>
          <w:sz w:val="21"/>
          <w:szCs w:val="21"/>
        </w:rPr>
      </w:pPr>
    </w:p>
    <w:p>
      <w:pPr>
        <w:pStyle w:val="Heading2"/>
        <w:spacing w:line="240" w:lineRule="auto" w:before="0"/>
        <w:ind w:right="2465"/>
        <w:jc w:val="left"/>
        <w:rPr>
          <w:b w:val="0"/>
          <w:bCs w:val="0"/>
        </w:rPr>
      </w:pPr>
      <w:r>
        <w:rPr>
          <w:rFonts w:ascii="Calibri" w:hAnsi="Calibri" w:cs="Calibri" w:eastAsia="Calibri" w:hint="default"/>
        </w:rPr>
        <w:t>18.  </w:t>
      </w:r>
      <w:r>
        <w:rPr>
          <w:rFonts w:ascii="Calibri" w:hAnsi="Calibri" w:cs="Calibri" w:eastAsia="Calibri" w:hint="default"/>
          <w:spacing w:val="13"/>
        </w:rPr>
        <w:t> </w:t>
      </w:r>
      <w:r>
        <w:rPr/>
        <w:t>无形资产</w:t>
      </w:r>
      <w:r>
        <w:rPr>
          <w:b w:val="0"/>
          <w:bCs w:val="0"/>
        </w:rPr>
      </w:r>
    </w:p>
    <w:p>
      <w:pPr>
        <w:spacing w:line="357" w:lineRule="auto" w:before="29"/>
        <w:ind w:left="638" w:right="250"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0"/>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无形资产是指本公司拥有或者控制的没有实物形态的可辨认非货币性资产。包括专利权、非</w:t>
      </w:r>
    </w:p>
    <w:p>
      <w:pPr>
        <w:pStyle w:val="BodyText"/>
        <w:spacing w:line="257" w:lineRule="exact" w:before="0"/>
        <w:ind w:left="218" w:right="2465"/>
        <w:jc w:val="left"/>
      </w:pPr>
      <w:r>
        <w:rPr/>
        <w:t>专利技术、商标权、著作权、土地使用权、特许权、计算机软件等。</w:t>
      </w:r>
    </w:p>
    <w:p>
      <w:pPr>
        <w:pStyle w:val="BodyText"/>
        <w:spacing w:line="314" w:lineRule="auto" w:before="85"/>
        <w:ind w:left="218" w:right="237" w:firstLine="419"/>
        <w:jc w:val="both"/>
      </w:pPr>
      <w:r>
        <w:rPr>
          <w:spacing w:val="-2"/>
        </w:rPr>
        <w:t>无形资产按成本进行初始计量。公司确定无形资产的使用寿命时，对于源自合同性权利或其</w:t>
      </w:r>
      <w:r>
        <w:rPr>
          <w:w w:val="100"/>
        </w:rPr>
        <w:t> </w:t>
      </w:r>
      <w:r>
        <w:rPr>
          <w:spacing w:val="-2"/>
        </w:rPr>
        <w:t>他法定权利取得的无形资产，其使用寿命不超过合同性权利或其他法定权利的期限；对于没有明</w:t>
      </w:r>
    </w:p>
    <w:p>
      <w:pPr>
        <w:spacing w:after="0" w:line="314" w:lineRule="auto"/>
        <w:jc w:val="both"/>
        <w:sectPr>
          <w:footerReference w:type="default" r:id="rId47"/>
          <w:pgSz w:w="11910" w:h="16840"/>
          <w:pgMar w:footer="1193" w:header="856" w:top="1280" w:bottom="1380" w:left="1580" w:right="1040"/>
        </w:sectPr>
      </w:pPr>
    </w:p>
    <w:p>
      <w:pPr>
        <w:spacing w:line="240" w:lineRule="auto" w:before="7"/>
        <w:rPr>
          <w:rFonts w:ascii="宋体" w:hAnsi="宋体" w:cs="宋体" w:eastAsia="宋体" w:hint="default"/>
          <w:sz w:val="18"/>
          <w:szCs w:val="18"/>
        </w:rPr>
      </w:pPr>
    </w:p>
    <w:p>
      <w:pPr>
        <w:pStyle w:val="BodyText"/>
        <w:spacing w:line="314" w:lineRule="auto" w:before="36"/>
        <w:ind w:right="157"/>
        <w:jc w:val="both"/>
      </w:pPr>
      <w:r>
        <w:rPr>
          <w:spacing w:val="-2"/>
        </w:rPr>
        <w:t>确的合同或法律规定的无形资产，公司综合各方面情况，如聘请相关专家进行论证或与同行业的</w:t>
      </w:r>
      <w:r>
        <w:rPr>
          <w:spacing w:val="-25"/>
        </w:rPr>
        <w:t> </w:t>
      </w:r>
      <w:r>
        <w:rPr>
          <w:spacing w:val="-25"/>
        </w:rPr>
      </w:r>
      <w:r>
        <w:rPr>
          <w:spacing w:val="-2"/>
        </w:rPr>
        <w:t>情况进行比较以及公司的历史经验等，来确定无形资产为公司带来未来经济利益的期限，如果经</w:t>
      </w:r>
      <w:r>
        <w:rPr>
          <w:spacing w:val="-27"/>
        </w:rPr>
        <w:t> </w:t>
      </w:r>
      <w:r>
        <w:rPr>
          <w:spacing w:val="-27"/>
        </w:rPr>
      </w:r>
      <w:r>
        <w:rPr>
          <w:spacing w:val="-2"/>
        </w:rPr>
        <w:t>过这些努力确实无法合理确定无形资产为公司带来经济利益期限，再将其作为使用寿命不确定的</w:t>
      </w:r>
      <w:r>
        <w:rPr>
          <w:spacing w:val="-25"/>
        </w:rPr>
        <w:t> </w:t>
      </w:r>
      <w:r>
        <w:rPr>
          <w:spacing w:val="-25"/>
        </w:rPr>
      </w:r>
      <w:r>
        <w:rPr>
          <w:spacing w:val="-2"/>
        </w:rPr>
        <w:t>无形资产。使用寿命有限的无形资产自可供使用时起，对其原值减去预计净残值和已计提的减值</w:t>
      </w:r>
      <w:r>
        <w:rPr>
          <w:spacing w:val="-25"/>
        </w:rPr>
        <w:t> </w:t>
      </w:r>
      <w:r>
        <w:rPr>
          <w:spacing w:val="-25"/>
        </w:rPr>
      </w:r>
      <w:r>
        <w:rPr>
          <w:spacing w:val="-2"/>
        </w:rPr>
        <w:t>准备累计金额在其预计使用寿命内采用直线法分期平均摊销。使用寿命不确定的无形资产不予摊</w:t>
      </w:r>
      <w:r>
        <w:rPr>
          <w:spacing w:val="-25"/>
        </w:rPr>
        <w:t> </w:t>
      </w:r>
      <w:r>
        <w:rPr>
          <w:spacing w:val="-25"/>
        </w:rPr>
      </w:r>
      <w:r>
        <w:rPr/>
        <w:t>销。</w:t>
      </w:r>
    </w:p>
    <w:p>
      <w:pPr>
        <w:pStyle w:val="BodyText"/>
        <w:spacing w:line="314" w:lineRule="auto"/>
        <w:ind w:right="157" w:firstLine="199"/>
        <w:jc w:val="both"/>
      </w:pPr>
      <w:r>
        <w:rPr>
          <w:spacing w:val="-2"/>
        </w:rPr>
        <w:t>期末，对使用寿命有限的无形资产的使用寿命和摊销方法进行复核，必要时进行调整。本公司</w:t>
      </w:r>
      <w:r>
        <w:rPr>
          <w:w w:val="100"/>
        </w:rPr>
        <w:t> </w:t>
      </w:r>
      <w:r>
        <w:rPr>
          <w:spacing w:val="-2"/>
        </w:rPr>
        <w:t>根据可获得的情况判断，有确凿证据表明无法合理估计其使用寿命的无形资产，才作为使用寿命</w:t>
      </w:r>
      <w:r>
        <w:rPr>
          <w:spacing w:val="-25"/>
        </w:rPr>
        <w:t> </w:t>
      </w:r>
      <w:r>
        <w:rPr>
          <w:spacing w:val="-25"/>
        </w:rPr>
      </w:r>
      <w:r>
        <w:rPr>
          <w:spacing w:val="-2"/>
        </w:rPr>
        <w:t>不确定的无形资产。期末对使用寿命不确定的无形资产的使用寿命进行重新复核，如果有证据表</w:t>
      </w:r>
      <w:r>
        <w:rPr>
          <w:spacing w:val="-24"/>
        </w:rPr>
        <w:t> </w:t>
      </w:r>
      <w:r>
        <w:rPr>
          <w:spacing w:val="-24"/>
        </w:rPr>
      </w:r>
      <w:r>
        <w:rPr>
          <w:spacing w:val="-2"/>
        </w:rPr>
        <w:t>明该无形资产为企业带来经济利益的期限是可预见的，则估计其使用寿命并按照使用寿命有限的</w:t>
      </w:r>
      <w:r>
        <w:rPr>
          <w:spacing w:val="-25"/>
        </w:rPr>
        <w:t> </w:t>
      </w:r>
      <w:r>
        <w:rPr>
          <w:spacing w:val="-25"/>
        </w:rPr>
      </w:r>
      <w:r>
        <w:rPr/>
        <w:t>无形资产的摊销政策进行摊销。</w:t>
      </w:r>
    </w:p>
    <w:p>
      <w:pPr>
        <w:spacing w:line="240" w:lineRule="auto" w:before="2"/>
        <w:rPr>
          <w:rFonts w:ascii="宋体" w:hAnsi="宋体" w:cs="宋体" w:eastAsia="宋体" w:hint="default"/>
          <w:sz w:val="21"/>
          <w:szCs w:val="21"/>
        </w:rPr>
      </w:pPr>
    </w:p>
    <w:p>
      <w:pPr>
        <w:spacing w:line="336"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0"/>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z w:val="21"/>
          <w:szCs w:val="21"/>
        </w:rPr>
        <w:t>本公司内部研究开发项目的支出分为研究阶段支出与开发阶段支出。</w:t>
      </w:r>
      <w:r>
        <w:rPr>
          <w:rFonts w:ascii="宋体" w:hAnsi="宋体" w:cs="宋体" w:eastAsia="宋体" w:hint="default"/>
          <w:w w:val="100"/>
          <w:sz w:val="21"/>
          <w:szCs w:val="21"/>
        </w:rPr>
        <w:t> </w:t>
      </w:r>
      <w:r>
        <w:rPr>
          <w:rFonts w:ascii="宋体" w:hAnsi="宋体" w:cs="宋体" w:eastAsia="宋体" w:hint="default"/>
          <w:sz w:val="21"/>
          <w:szCs w:val="21"/>
        </w:rPr>
        <w:t>本公司研究阶段的支出全部费用化，于发生时计入当期损益。</w:t>
      </w:r>
    </w:p>
    <w:p>
      <w:pPr>
        <w:pStyle w:val="BodyText"/>
        <w:spacing w:line="314" w:lineRule="auto" w:before="1"/>
        <w:ind w:right="157" w:firstLine="419"/>
        <w:jc w:val="both"/>
      </w:pPr>
      <w:r>
        <w:rPr>
          <w:spacing w:val="-2"/>
        </w:rPr>
        <w:t>开发阶段的支出同时满足下列条件的，确认为无形资产，不能满足下述条件的开发阶段的支</w:t>
      </w:r>
      <w:r>
        <w:rPr>
          <w:w w:val="100"/>
        </w:rPr>
        <w:t> </w:t>
      </w:r>
      <w:r>
        <w:rPr/>
        <w:t>出计入当期损益：</w:t>
      </w:r>
    </w:p>
    <w:p>
      <w:pPr>
        <w:pStyle w:val="BodyText"/>
        <w:spacing w:line="240" w:lineRule="auto"/>
        <w:ind w:left="973" w:right="0"/>
        <w:jc w:val="left"/>
      </w:pPr>
      <w:r>
        <w:rPr>
          <w:rFonts w:ascii="宋体" w:hAnsi="宋体" w:cs="宋体" w:eastAsia="宋体" w:hint="default"/>
        </w:rPr>
        <w:t>1</w:t>
      </w:r>
      <w:r>
        <w:rPr/>
        <w:t>）</w:t>
      </w:r>
      <w:r>
        <w:rPr>
          <w:spacing w:val="4"/>
        </w:rPr>
        <w:t> </w:t>
      </w:r>
      <w:r>
        <w:rPr/>
        <w:t>完成该无形资产以使其能够使用或出售在技术上具有可行性；</w:t>
      </w:r>
    </w:p>
    <w:p>
      <w:pPr>
        <w:pStyle w:val="BodyText"/>
        <w:spacing w:line="240" w:lineRule="auto" w:before="85"/>
        <w:ind w:left="973" w:right="0"/>
        <w:jc w:val="left"/>
      </w:pPr>
      <w:r>
        <w:rPr>
          <w:rFonts w:ascii="宋体" w:hAnsi="宋体" w:cs="宋体" w:eastAsia="宋体" w:hint="default"/>
        </w:rPr>
        <w:t>2</w:t>
      </w:r>
      <w:r>
        <w:rPr/>
        <w:t>）</w:t>
      </w:r>
      <w:r>
        <w:rPr>
          <w:spacing w:val="3"/>
        </w:rPr>
        <w:t> </w:t>
      </w:r>
      <w:r>
        <w:rPr/>
        <w:t>具有完成该无形资产并使用或出售的意图；</w:t>
      </w:r>
    </w:p>
    <w:p>
      <w:pPr>
        <w:pStyle w:val="BodyText"/>
        <w:spacing w:line="240" w:lineRule="auto" w:before="85"/>
        <w:ind w:left="973" w:right="0"/>
        <w:jc w:val="left"/>
      </w:pPr>
      <w:r>
        <w:rPr>
          <w:rFonts w:ascii="宋体" w:hAnsi="宋体" w:cs="宋体" w:eastAsia="宋体" w:hint="default"/>
        </w:rPr>
        <w:t>3</w:t>
      </w:r>
      <w:r>
        <w:rPr/>
        <w:t>）</w:t>
      </w:r>
      <w:r>
        <w:rPr>
          <w:spacing w:val="2"/>
        </w:rPr>
        <w:t> </w:t>
      </w:r>
      <w:r>
        <w:rPr/>
        <w:t>运用该无形资产生产的产品存在市场或无形资产自身存在市场；</w:t>
      </w:r>
    </w:p>
    <w:p>
      <w:pPr>
        <w:pStyle w:val="BodyText"/>
        <w:spacing w:line="314" w:lineRule="auto" w:before="85"/>
        <w:ind w:left="562" w:right="143" w:firstLine="410"/>
        <w:jc w:val="left"/>
      </w:pPr>
      <w:r>
        <w:rPr>
          <w:rFonts w:ascii="宋体" w:hAnsi="宋体" w:cs="宋体" w:eastAsia="宋体" w:hint="default"/>
        </w:rPr>
        <w:t>4</w:t>
      </w:r>
      <w:r>
        <w:rPr/>
        <w:t>）</w:t>
      </w:r>
      <w:r>
        <w:rPr>
          <w:spacing w:val="11"/>
        </w:rPr>
        <w:t> </w:t>
      </w:r>
      <w:r>
        <w:rPr/>
        <w:t>有足够的技术、财务资源和其他资源支持，以完成该无形资产的开发，并有能力使</w:t>
      </w:r>
      <w:r>
        <w:rPr>
          <w:w w:val="100"/>
        </w:rPr>
        <w:t> </w:t>
      </w:r>
      <w:r>
        <w:rPr/>
        <w:t>用或出售该无形资产；</w:t>
      </w:r>
    </w:p>
    <w:p>
      <w:pPr>
        <w:pStyle w:val="BodyText"/>
        <w:spacing w:line="314" w:lineRule="auto"/>
        <w:ind w:left="337" w:right="0" w:firstLine="635"/>
        <w:jc w:val="left"/>
      </w:pPr>
      <w:r>
        <w:rPr>
          <w:rFonts w:ascii="宋体" w:hAnsi="宋体" w:cs="宋体" w:eastAsia="宋体" w:hint="default"/>
        </w:rPr>
        <w:t>5</w:t>
      </w:r>
      <w:r>
        <w:rPr/>
        <w:t>）</w:t>
      </w:r>
      <w:r>
        <w:rPr>
          <w:spacing w:val="2"/>
        </w:rPr>
        <w:t> </w:t>
      </w:r>
      <w:r>
        <w:rPr/>
        <w:t>归属于该无形资产开发阶段的支出能够可靠地计量。</w:t>
      </w:r>
      <w:r>
        <w:rPr>
          <w:w w:val="100"/>
        </w:rPr>
        <w:t> </w:t>
      </w:r>
      <w:r>
        <w:rPr>
          <w:spacing w:val="-2"/>
        </w:rPr>
        <w:t>无法区分研究阶段支出和开发阶段支出的，将发生的研发支出全部费用化，计入当期损益。</w:t>
      </w:r>
    </w:p>
    <w:p>
      <w:pPr>
        <w:spacing w:line="240" w:lineRule="auto" w:before="2"/>
        <w:rPr>
          <w:rFonts w:ascii="宋体" w:hAnsi="宋体" w:cs="宋体" w:eastAsia="宋体" w:hint="default"/>
          <w:sz w:val="21"/>
          <w:szCs w:val="21"/>
        </w:rPr>
      </w:pPr>
    </w:p>
    <w:p>
      <w:pPr>
        <w:spacing w:line="324" w:lineRule="auto" w:before="0"/>
        <w:ind w:left="558" w:right="0" w:hanging="420"/>
        <w:jc w:val="left"/>
        <w:rPr>
          <w:rFonts w:ascii="宋体" w:hAnsi="宋体" w:cs="宋体" w:eastAsia="宋体" w:hint="default"/>
          <w:sz w:val="21"/>
          <w:szCs w:val="21"/>
        </w:rPr>
      </w:pPr>
      <w:r>
        <w:rPr>
          <w:rFonts w:ascii="Calibri" w:hAnsi="Calibri" w:cs="Calibri" w:eastAsia="Calibri" w:hint="default"/>
          <w:b/>
          <w:bCs/>
          <w:sz w:val="21"/>
          <w:szCs w:val="21"/>
        </w:rPr>
        <w:t>19.</w:t>
      </w:r>
      <w:r>
        <w:rPr>
          <w:rFonts w:ascii="Calibri" w:hAnsi="Calibri" w:cs="Calibri" w:eastAsia="Calibri" w:hint="default"/>
          <w:b/>
          <w:bCs/>
          <w:spacing w:val="12"/>
          <w:sz w:val="21"/>
          <w:szCs w:val="21"/>
        </w:rPr>
        <w:t> </w:t>
      </w:r>
      <w:r>
        <w:rPr>
          <w:rFonts w:ascii="宋体" w:hAnsi="宋体" w:cs="宋体" w:eastAsia="宋体" w:hint="default"/>
          <w:b/>
          <w:bCs/>
          <w:sz w:val="21"/>
          <w:szCs w:val="21"/>
        </w:rPr>
        <w:t>长期资产减值</w:t>
      </w:r>
      <w:r>
        <w:rPr>
          <w:rFonts w:ascii="宋体" w:hAnsi="宋体" w:cs="宋体" w:eastAsia="宋体" w:hint="default"/>
          <w:b/>
          <w:bCs/>
          <w:w w:val="100"/>
          <w:sz w:val="21"/>
          <w:szCs w:val="21"/>
        </w:rPr>
        <w:t> </w:t>
      </w:r>
      <w:r>
        <w:rPr>
          <w:rFonts w:ascii="宋体" w:hAnsi="宋体" w:cs="宋体" w:eastAsia="宋体" w:hint="default"/>
          <w:spacing w:val="-2"/>
          <w:sz w:val="21"/>
          <w:szCs w:val="21"/>
        </w:rPr>
        <w:t>对于固定资产、在建工程、使用寿命有限的无形资产、采用成本模式计量的投资性房地产及</w:t>
      </w:r>
    </w:p>
    <w:p>
      <w:pPr>
        <w:pStyle w:val="BodyText"/>
        <w:spacing w:line="314" w:lineRule="auto" w:before="12"/>
        <w:ind w:right="148"/>
        <w:jc w:val="both"/>
      </w:pPr>
      <w:r>
        <w:rPr>
          <w:spacing w:val="-1"/>
        </w:rPr>
        <w:t>对子公司、合营企业、联营企业的长期股权投资等非流动非金融资产，本公司于资产负债表日判</w:t>
      </w:r>
      <w:r>
        <w:rPr>
          <w:spacing w:val="-55"/>
        </w:rPr>
        <w:t> </w:t>
      </w:r>
      <w:r>
        <w:rPr>
          <w:spacing w:val="-55"/>
        </w:rPr>
      </w:r>
      <w:r>
        <w:rPr>
          <w:spacing w:val="-1"/>
        </w:rPr>
        <w:t>断是否存在减值迹象。如存在减值迹象的，则估计其可收回金额，进行减值测试。商誉、使用寿</w:t>
      </w:r>
      <w:r>
        <w:rPr>
          <w:spacing w:val="-56"/>
        </w:rPr>
        <w:t> </w:t>
      </w:r>
      <w:r>
        <w:rPr>
          <w:spacing w:val="-56"/>
        </w:rPr>
      </w:r>
      <w:r>
        <w:rPr>
          <w:spacing w:val="-1"/>
        </w:rPr>
        <w:t>命不确定的无形资产和尚未达到可使用状态的无形资产，无论是否存在减值迹象，每年均进行减</w:t>
      </w:r>
      <w:r>
        <w:rPr>
          <w:spacing w:val="-55"/>
        </w:rPr>
        <w:t> </w:t>
      </w:r>
      <w:r>
        <w:rPr>
          <w:spacing w:val="-55"/>
        </w:rPr>
      </w:r>
      <w:r>
        <w:rPr/>
        <w:t>值测试。</w:t>
      </w:r>
    </w:p>
    <w:p>
      <w:pPr>
        <w:pStyle w:val="BodyText"/>
        <w:spacing w:line="314" w:lineRule="auto"/>
        <w:ind w:right="148" w:firstLine="419"/>
        <w:jc w:val="both"/>
      </w:pPr>
      <w:r>
        <w:rPr>
          <w:spacing w:val="-2"/>
        </w:rPr>
        <w:t>减值测试结果表明资产的可收回金额低于其账面价值的，按其差额计提减值准备并计入减值</w:t>
      </w:r>
      <w:r>
        <w:rPr>
          <w:w w:val="100"/>
        </w:rPr>
        <w:t> </w:t>
      </w:r>
      <w:r>
        <w:rPr>
          <w:spacing w:val="-1"/>
        </w:rPr>
        <w:t>损失。可收回金额为资产的公允价值减去处置费用后的净额与资产预计未来现金流量的现值两者</w:t>
      </w:r>
      <w:r>
        <w:rPr>
          <w:spacing w:val="-55"/>
        </w:rPr>
        <w:t> </w:t>
      </w:r>
      <w:r>
        <w:rPr>
          <w:spacing w:val="-55"/>
        </w:rPr>
      </w:r>
      <w:r>
        <w:rPr>
          <w:spacing w:val="-1"/>
        </w:rPr>
        <w:t>之间的较高者。资产的公允价值根据公平交易中销售协议价格确定；不存在销售协议但存在资产</w:t>
      </w:r>
      <w:r>
        <w:rPr>
          <w:spacing w:val="-55"/>
        </w:rPr>
        <w:t> </w:t>
      </w:r>
      <w:r>
        <w:rPr>
          <w:spacing w:val="-55"/>
        </w:rPr>
      </w:r>
      <w:r>
        <w:rPr>
          <w:spacing w:val="-1"/>
        </w:rPr>
        <w:t>活跃市场的，公允价值按照该资产的买方出价确定；不存在销售协议和资产活跃市场的，则以可</w:t>
      </w:r>
      <w:r>
        <w:rPr>
          <w:spacing w:val="-55"/>
        </w:rPr>
        <w:t> </w:t>
      </w:r>
      <w:r>
        <w:rPr>
          <w:spacing w:val="-55"/>
        </w:rPr>
      </w:r>
      <w:r>
        <w:rPr>
          <w:spacing w:val="-1"/>
        </w:rPr>
        <w:t>获取的最佳信息为基础估计资产的公允价值。处置费用包括与资产处置有关的法律费用、相关税</w:t>
      </w:r>
      <w:r>
        <w:rPr>
          <w:spacing w:val="-56"/>
        </w:rPr>
        <w:t> </w:t>
      </w:r>
      <w:r>
        <w:rPr>
          <w:spacing w:val="-56"/>
        </w:rPr>
      </w:r>
      <w:r>
        <w:rPr>
          <w:spacing w:val="-1"/>
        </w:rPr>
        <w:t>费、搬运费以及为使资产达到可销售状态所发生的直接费用。资产预计未来现金流量的现值，按</w:t>
      </w:r>
      <w:r>
        <w:rPr>
          <w:spacing w:val="-55"/>
        </w:rPr>
        <w:t> </w:t>
      </w:r>
      <w:r>
        <w:rPr>
          <w:spacing w:val="-55"/>
        </w:rPr>
      </w:r>
      <w:r>
        <w:rPr>
          <w:spacing w:val="-1"/>
        </w:rPr>
        <w:t>照资产在持续使用过程中和最终处置时所产生的预计未来现金流量，选择恰当的折现率对其进行</w:t>
      </w:r>
    </w:p>
    <w:p>
      <w:pPr>
        <w:spacing w:after="0" w:line="314" w:lineRule="auto"/>
        <w:jc w:val="both"/>
        <w:sectPr>
          <w:footerReference w:type="default" r:id="rId48"/>
          <w:pgSz w:w="11910" w:h="16840"/>
          <w:pgMar w:footer="1193" w:header="856" w:top="1280" w:bottom="1380" w:left="1660" w:right="1120"/>
          <w:pgNumType w:start="91"/>
        </w:sectPr>
      </w:pPr>
    </w:p>
    <w:p>
      <w:pPr>
        <w:spacing w:line="240" w:lineRule="auto" w:before="7"/>
        <w:rPr>
          <w:rFonts w:ascii="宋体" w:hAnsi="宋体" w:cs="宋体" w:eastAsia="宋体" w:hint="default"/>
          <w:sz w:val="18"/>
          <w:szCs w:val="18"/>
        </w:rPr>
      </w:pPr>
    </w:p>
    <w:p>
      <w:pPr>
        <w:pStyle w:val="BodyText"/>
        <w:spacing w:line="314" w:lineRule="auto" w:before="36"/>
        <w:ind w:right="148"/>
        <w:jc w:val="both"/>
      </w:pPr>
      <w:r>
        <w:rPr>
          <w:spacing w:val="-1"/>
        </w:rPr>
        <w:t>折现后的金额加以确定。资产减值准备按单项资产为基础计算并确认，如果难以对单项资产的可</w:t>
      </w:r>
      <w:r>
        <w:rPr>
          <w:spacing w:val="-55"/>
        </w:rPr>
        <w:t> </w:t>
      </w:r>
      <w:r>
        <w:rPr>
          <w:spacing w:val="-55"/>
        </w:rPr>
      </w:r>
      <w:r>
        <w:rPr>
          <w:spacing w:val="-1"/>
        </w:rPr>
        <w:t>收回金额进行估计的，以该资产所属的资产组确定资产组的可收回金额。资产组是能够独立产生</w:t>
      </w:r>
      <w:r>
        <w:rPr>
          <w:spacing w:val="-55"/>
        </w:rPr>
        <w:t> </w:t>
      </w:r>
      <w:r>
        <w:rPr>
          <w:spacing w:val="-55"/>
        </w:rPr>
      </w:r>
      <w:r>
        <w:rPr/>
        <w:t>现金流入的最小资产组合。</w:t>
      </w:r>
    </w:p>
    <w:p>
      <w:pPr>
        <w:pStyle w:val="BodyText"/>
        <w:spacing w:line="314" w:lineRule="auto"/>
        <w:ind w:right="148" w:firstLine="419"/>
        <w:jc w:val="both"/>
      </w:pPr>
      <w:r>
        <w:rPr>
          <w:spacing w:val="-2"/>
        </w:rPr>
        <w:t>在财务报表中单独列示的商誉，在进行减值测试时，将商誉的账面价值分摊至预期从企业合</w:t>
      </w:r>
      <w:r>
        <w:rPr>
          <w:w w:val="100"/>
        </w:rPr>
        <w:t> </w:t>
      </w:r>
      <w:r>
        <w:rPr>
          <w:spacing w:val="-1"/>
        </w:rPr>
        <w:t>并的协同效应中受益的资产组或资产组组合。测试结果表明包含分摊的商誉的资产组或资产组组</w:t>
      </w:r>
      <w:r>
        <w:rPr>
          <w:spacing w:val="-55"/>
        </w:rPr>
        <w:t> </w:t>
      </w:r>
      <w:r>
        <w:rPr>
          <w:spacing w:val="-55"/>
        </w:rPr>
      </w:r>
      <w:r>
        <w:rPr>
          <w:spacing w:val="-1"/>
        </w:rPr>
        <w:t>合的可收回金额低于其账面价值的，确认相应的减值损失。减值损失金额先抵减分摊至该资产组</w:t>
      </w:r>
      <w:r>
        <w:rPr>
          <w:spacing w:val="-55"/>
        </w:rPr>
        <w:t> </w:t>
      </w:r>
      <w:r>
        <w:rPr>
          <w:spacing w:val="-55"/>
        </w:rPr>
      </w:r>
      <w:r>
        <w:rPr>
          <w:spacing w:val="-1"/>
        </w:rPr>
        <w:t>或资产组组合的商誉的账面价值，再根据资产组或资产组组合中除商誉以外的其他各项资产的账</w:t>
      </w:r>
      <w:r>
        <w:rPr>
          <w:spacing w:val="-55"/>
        </w:rPr>
        <w:t> </w:t>
      </w:r>
      <w:r>
        <w:rPr>
          <w:spacing w:val="-55"/>
        </w:rPr>
      </w:r>
      <w:r>
        <w:rPr/>
        <w:t>面价值所占比重，按比例抵减其他各项资产的账面价值。</w:t>
      </w:r>
    </w:p>
    <w:p>
      <w:pPr>
        <w:pStyle w:val="BodyText"/>
        <w:spacing w:line="240" w:lineRule="auto"/>
        <w:ind w:left="558" w:right="0"/>
        <w:jc w:val="left"/>
      </w:pPr>
      <w:r>
        <w:rPr/>
        <w:t>上述资产减值损失一经确认，以后期间不予转回价值得以恢复的部分。</w:t>
      </w:r>
    </w:p>
    <w:p>
      <w:pPr>
        <w:spacing w:line="240" w:lineRule="auto" w:before="2"/>
        <w:rPr>
          <w:rFonts w:ascii="宋体" w:hAnsi="宋体" w:cs="宋体" w:eastAsia="宋体" w:hint="default"/>
          <w:sz w:val="26"/>
          <w:szCs w:val="26"/>
        </w:rPr>
      </w:pPr>
    </w:p>
    <w:p>
      <w:pPr>
        <w:pStyle w:val="Heading2"/>
        <w:spacing w:line="240" w:lineRule="auto" w:before="0"/>
        <w:ind w:left="138" w:right="0"/>
        <w:jc w:val="both"/>
        <w:rPr>
          <w:b w:val="0"/>
          <w:bCs w:val="0"/>
        </w:rPr>
      </w:pPr>
      <w:r>
        <w:rPr>
          <w:rFonts w:ascii="Calibri" w:hAnsi="Calibri" w:cs="Calibri" w:eastAsia="Calibri" w:hint="default"/>
        </w:rPr>
        <w:t>20.  </w:t>
      </w:r>
      <w:r>
        <w:rPr>
          <w:rFonts w:ascii="Calibri" w:hAnsi="Calibri" w:cs="Calibri" w:eastAsia="Calibri" w:hint="default"/>
          <w:spacing w:val="13"/>
        </w:rPr>
        <w:t> </w:t>
      </w:r>
      <w:r>
        <w:rPr/>
        <w:t>长期待摊费用</w:t>
      </w:r>
      <w:r>
        <w:rPr>
          <w:b w:val="0"/>
          <w:bCs w:val="0"/>
        </w:rPr>
      </w:r>
    </w:p>
    <w:p>
      <w:pPr>
        <w:pStyle w:val="BodyText"/>
        <w:spacing w:line="314" w:lineRule="auto" w:before="106"/>
        <w:ind w:right="145" w:firstLine="419"/>
        <w:jc w:val="both"/>
      </w:pPr>
      <w:r>
        <w:rPr/>
        <w:t>长期待摊费用是指公司已经支出，但应由本期和以后各期分别负担的分摊期限在</w:t>
      </w:r>
      <w:r>
        <w:rPr>
          <w:spacing w:val="-49"/>
        </w:rPr>
        <w:t> </w:t>
      </w:r>
      <w:r>
        <w:rPr>
          <w:rFonts w:ascii="宋体" w:hAnsi="宋体" w:cs="宋体" w:eastAsia="宋体" w:hint="default"/>
        </w:rPr>
        <w:t>1</w:t>
      </w:r>
      <w:r>
        <w:rPr>
          <w:rFonts w:ascii="宋体" w:hAnsi="宋体" w:cs="宋体" w:eastAsia="宋体" w:hint="default"/>
          <w:spacing w:val="-47"/>
        </w:rPr>
        <w:t> </w:t>
      </w:r>
      <w:r>
        <w:rPr/>
        <w:t>年以上的</w:t>
      </w:r>
      <w:r>
        <w:rPr>
          <w:w w:val="100"/>
        </w:rPr>
        <w:t> </w:t>
      </w:r>
      <w:r>
        <w:rPr/>
        <w:t>各项费用。按实际支出入账，在项目受益期内平均摊销。</w:t>
      </w:r>
    </w:p>
    <w:p>
      <w:pPr>
        <w:pStyle w:val="BodyText"/>
        <w:spacing w:line="314" w:lineRule="auto"/>
        <w:ind w:right="157" w:firstLine="419"/>
        <w:jc w:val="both"/>
      </w:pPr>
      <w:r>
        <w:rPr>
          <w:spacing w:val="-2"/>
        </w:rPr>
        <w:t>如果长期待摊费用项目不能使公司在以后会计期间受益的，将尚未摊销的该项目的摊余价值</w:t>
      </w:r>
      <w:r>
        <w:rPr>
          <w:w w:val="100"/>
        </w:rPr>
        <w:t> </w:t>
      </w:r>
      <w:r>
        <w:rPr/>
        <w:t>全部转入当期损益。</w:t>
      </w:r>
    </w:p>
    <w:p>
      <w:pPr>
        <w:spacing w:line="240" w:lineRule="auto" w:before="2"/>
        <w:rPr>
          <w:rFonts w:ascii="宋体" w:hAnsi="宋体" w:cs="宋体" w:eastAsia="宋体" w:hint="default"/>
          <w:sz w:val="21"/>
          <w:szCs w:val="21"/>
        </w:rPr>
      </w:pPr>
    </w:p>
    <w:p>
      <w:pPr>
        <w:pStyle w:val="Heading2"/>
        <w:spacing w:line="264" w:lineRule="auto" w:before="0"/>
        <w:ind w:left="138" w:right="6121"/>
        <w:jc w:val="left"/>
        <w:rPr>
          <w:b w:val="0"/>
          <w:bCs w:val="0"/>
        </w:rPr>
      </w:pPr>
      <w:r>
        <w:rPr>
          <w:rFonts w:ascii="Calibri" w:hAnsi="Calibri" w:cs="Calibri" w:eastAsia="Calibri" w:hint="default"/>
        </w:rPr>
        <w:t>21.</w:t>
      </w:r>
      <w:r>
        <w:rPr>
          <w:rFonts w:ascii="Calibri" w:hAnsi="Calibri" w:cs="Calibri" w:eastAsia="Calibri" w:hint="default"/>
          <w:spacing w:val="1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314" w:lineRule="auto" w:before="115"/>
        <w:ind w:right="157" w:firstLine="419"/>
        <w:jc w:val="both"/>
      </w:pPr>
      <w:r>
        <w:rPr>
          <w:spacing w:val="-2"/>
        </w:rPr>
        <w:t>短期薪酬，是指本公司在职工提供相关服务的年度报告期间结束后十二个月内需要全部予以</w:t>
      </w:r>
      <w:r>
        <w:rPr>
          <w:w w:val="100"/>
        </w:rPr>
        <w:t> </w:t>
      </w:r>
      <w:r>
        <w:rPr>
          <w:spacing w:val="-2"/>
        </w:rPr>
        <w:t>支付的职工薪酬，因解除与职工的劳动关系给予的补偿除外。短期薪酬具体包括：职工工资、奖</w:t>
      </w:r>
      <w:r>
        <w:rPr>
          <w:spacing w:val="-25"/>
        </w:rPr>
        <w:t> </w:t>
      </w:r>
      <w:r>
        <w:rPr>
          <w:spacing w:val="-25"/>
        </w:rPr>
      </w:r>
      <w:r>
        <w:rPr>
          <w:spacing w:val="-2"/>
        </w:rPr>
        <w:t>金、津贴和补贴，职工福利费，医疗保险费、工伤保险费和生育保险费等社会保险费，住房公积</w:t>
      </w:r>
      <w:r>
        <w:rPr>
          <w:spacing w:val="-25"/>
        </w:rPr>
        <w:t> </w:t>
      </w:r>
      <w:r>
        <w:rPr>
          <w:spacing w:val="-25"/>
        </w:rPr>
      </w:r>
      <w:r>
        <w:rPr>
          <w:spacing w:val="-2"/>
        </w:rPr>
        <w:t>金，工会经费和职工教育经费，短期带薪缺勤，短期利润分享计划，非货币性福利以及其他短期</w:t>
      </w:r>
      <w:r>
        <w:rPr>
          <w:spacing w:val="-25"/>
        </w:rPr>
        <w:t> </w:t>
      </w:r>
      <w:r>
        <w:rPr>
          <w:spacing w:val="-25"/>
        </w:rPr>
      </w:r>
      <w:r>
        <w:rPr/>
        <w:t>薪酬。</w:t>
      </w:r>
    </w:p>
    <w:p>
      <w:pPr>
        <w:pStyle w:val="BodyText"/>
        <w:spacing w:line="314" w:lineRule="auto"/>
        <w:ind w:right="157" w:firstLine="419"/>
        <w:jc w:val="both"/>
      </w:pPr>
      <w:r>
        <w:rPr>
          <w:spacing w:val="-2"/>
        </w:rPr>
        <w:t>本公司在职工为其提供服务的会计期间，将实际发生的短期薪酬确认为负债，并计入当期损</w:t>
      </w:r>
      <w:r>
        <w:rPr>
          <w:w w:val="100"/>
        </w:rPr>
        <w:t> </w:t>
      </w:r>
      <w:r>
        <w:rPr/>
        <w:t>益或相关资产成本。</w:t>
      </w:r>
    </w:p>
    <w:p>
      <w:pPr>
        <w:spacing w:line="355" w:lineRule="auto" w:before="3"/>
        <w:ind w:left="558" w:right="3487"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本公司离职后福利主要包括设定提存计划。</w:t>
      </w:r>
    </w:p>
    <w:p>
      <w:pPr>
        <w:pStyle w:val="BodyText"/>
        <w:spacing w:line="260" w:lineRule="exact" w:before="0"/>
        <w:ind w:right="0" w:firstLine="419"/>
        <w:jc w:val="both"/>
      </w:pPr>
      <w:r>
        <w:rPr/>
        <w:t>离职后福利计划，是指本公司与职工就离职后福利达成的协议，或者本公司为向职工提供离</w:t>
      </w:r>
    </w:p>
    <w:p>
      <w:pPr>
        <w:pStyle w:val="BodyText"/>
        <w:spacing w:line="314" w:lineRule="auto" w:before="85"/>
        <w:ind w:right="157"/>
        <w:jc w:val="both"/>
      </w:pPr>
      <w:r>
        <w:rPr>
          <w:spacing w:val="-2"/>
        </w:rPr>
        <w:t>职后福利制定的规章或办法等。其中，设定提存计划，是指向独立的基金缴存固定费用后，本公</w:t>
      </w:r>
      <w:r>
        <w:rPr>
          <w:spacing w:val="-25"/>
        </w:rPr>
        <w:t> </w:t>
      </w:r>
      <w:r>
        <w:rPr>
          <w:spacing w:val="-25"/>
        </w:rPr>
      </w:r>
      <w:r>
        <w:rPr/>
        <w:t>司不再承担进一步支付义务的离职后福利计划。</w:t>
      </w:r>
    </w:p>
    <w:p>
      <w:pPr>
        <w:pStyle w:val="BodyText"/>
        <w:spacing w:line="307" w:lineRule="auto"/>
        <w:ind w:right="0" w:firstLine="419"/>
        <w:jc w:val="left"/>
        <w:rPr>
          <w:rFonts w:ascii="宋体" w:hAnsi="宋体" w:cs="宋体" w:eastAsia="宋体" w:hint="default"/>
        </w:rPr>
      </w:pPr>
      <w:r>
        <w:rPr>
          <w:spacing w:val="-2"/>
        </w:rPr>
        <w:t>本公司的职工参加由政府机构设立的养老保险，本公司在职工为其提供服务的会计期间，将</w:t>
      </w:r>
      <w:r>
        <w:rPr>
          <w:w w:val="100"/>
        </w:rPr>
        <w:t> </w:t>
      </w:r>
      <w:r>
        <w:rPr/>
        <w:t>根据设定提存计划计算的应缴存金额确认为负债，并计入当期损益或相关资产成本。</w:t>
      </w:r>
      <w:r>
        <w:rPr>
          <w:w w:val="100"/>
        </w:rPr>
        <w:t> </w:t>
      </w:r>
      <w:r>
        <w:rPr>
          <w:rFonts w:ascii="宋体" w:hAnsi="宋体" w:cs="宋体" w:eastAsia="宋体" w:hint="default"/>
          <w:b/>
          <w:bCs/>
        </w:rPr>
        <w:t>(3)</w:t>
      </w:r>
      <w:r>
        <w:rPr>
          <w:rFonts w:ascii="宋体" w:hAnsi="宋体" w:cs="宋体" w:eastAsia="宋体" w:hint="default"/>
          <w:b/>
          <w:bCs/>
        </w:rPr>
        <w:t>、辞退福利的会计处理方法</w:t>
      </w:r>
      <w:r>
        <w:rPr>
          <w:rFonts w:ascii="宋体" w:hAnsi="宋体" w:cs="宋体" w:eastAsia="宋体" w:hint="default"/>
        </w:rPr>
      </w:r>
    </w:p>
    <w:p>
      <w:pPr>
        <w:pStyle w:val="BodyText"/>
        <w:spacing w:line="314" w:lineRule="auto" w:before="76"/>
        <w:ind w:right="157" w:firstLine="419"/>
        <w:jc w:val="both"/>
      </w:pPr>
      <w:r>
        <w:rPr>
          <w:spacing w:val="-2"/>
        </w:rPr>
        <w:t>辞退福利，是指本公司在职工劳动合同到期之前解除与职工的劳动关系，或者为鼓励职工自</w:t>
      </w:r>
      <w:r>
        <w:rPr>
          <w:w w:val="100"/>
        </w:rPr>
        <w:t> </w:t>
      </w:r>
      <w:r>
        <w:rPr/>
        <w:t>愿接受裁减而给予职工的补偿。</w:t>
      </w:r>
    </w:p>
    <w:p>
      <w:pPr>
        <w:pStyle w:val="BodyText"/>
        <w:spacing w:line="314" w:lineRule="auto"/>
        <w:ind w:right="145" w:firstLine="419"/>
        <w:jc w:val="both"/>
      </w:pPr>
      <w:r>
        <w:rPr>
          <w:spacing w:val="-2"/>
        </w:rPr>
        <w:t>本公司向职工提供辞退福利的，在下列两者孰早日确认辞退福利产生的职工薪酬负债，并计</w:t>
      </w:r>
      <w:r>
        <w:rPr>
          <w:w w:val="100"/>
        </w:rPr>
        <w:t> </w:t>
      </w:r>
      <w:r>
        <w:rPr>
          <w:spacing w:val="-6"/>
        </w:rPr>
        <w:t>入当期损益：</w:t>
      </w:r>
      <w:r>
        <w:rPr>
          <w:rFonts w:ascii="宋体" w:hAnsi="宋体" w:cs="宋体" w:eastAsia="宋体" w:hint="default"/>
          <w:spacing w:val="-6"/>
        </w:rPr>
        <w:t>1</w:t>
      </w:r>
      <w:r>
        <w:rPr>
          <w:spacing w:val="-6"/>
        </w:rPr>
        <w:t>）本公司不能单方面撤回因解除劳动关系计划或裁减建议所提供的辞退福利时；</w:t>
      </w:r>
      <w:r>
        <w:rPr>
          <w:rFonts w:ascii="宋体" w:hAnsi="宋体" w:cs="宋体" w:eastAsia="宋体" w:hint="default"/>
          <w:spacing w:val="-6"/>
        </w:rPr>
        <w:t>2</w:t>
      </w:r>
      <w:r>
        <w:rPr>
          <w:spacing w:val="-6"/>
        </w:rPr>
        <w:t>）</w:t>
      </w:r>
      <w:r>
        <w:rPr>
          <w:spacing w:val="-46"/>
        </w:rPr>
        <w:t> </w:t>
      </w:r>
      <w:r>
        <w:rPr/>
        <w:t>本公司确认与涉及支付辞退福利的重组相关的成本或费用时。</w:t>
      </w:r>
    </w:p>
    <w:p>
      <w:pPr>
        <w:spacing w:after="0" w:line="314" w:lineRule="auto"/>
        <w:jc w:val="both"/>
        <w:sectPr>
          <w:footerReference w:type="default" r:id="rId49"/>
          <w:pgSz w:w="11910" w:h="16840"/>
          <w:pgMar w:footer="1193" w:header="856" w:top="1280" w:bottom="1380" w:left="1660" w:right="1120"/>
          <w:pgNumType w:start="92"/>
        </w:sectPr>
      </w:pPr>
    </w:p>
    <w:p>
      <w:pPr>
        <w:spacing w:line="240" w:lineRule="auto" w:before="8"/>
        <w:rPr>
          <w:rFonts w:ascii="宋体" w:hAnsi="宋体" w:cs="宋体" w:eastAsia="宋体" w:hint="default"/>
          <w:sz w:val="12"/>
          <w:szCs w:val="12"/>
        </w:rPr>
      </w:pPr>
    </w:p>
    <w:p>
      <w:pPr>
        <w:spacing w:line="357" w:lineRule="auto" w:before="36"/>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其他长期职工福利，是指除短期薪酬、离职后福利、辞退福利之外所有的职工薪酬，包括长</w:t>
      </w:r>
    </w:p>
    <w:p>
      <w:pPr>
        <w:pStyle w:val="BodyText"/>
        <w:spacing w:line="257" w:lineRule="exact" w:before="0"/>
        <w:ind w:right="0"/>
        <w:jc w:val="left"/>
      </w:pPr>
      <w:r>
        <w:rPr/>
        <w:t>期带薪缺勤、长期残疾福利、长期利润分享计划等。</w:t>
      </w:r>
    </w:p>
    <w:p>
      <w:pPr>
        <w:pStyle w:val="BodyText"/>
        <w:spacing w:line="314" w:lineRule="auto" w:before="85"/>
        <w:ind w:right="157" w:firstLine="419"/>
        <w:jc w:val="both"/>
      </w:pPr>
      <w:r>
        <w:rPr>
          <w:spacing w:val="-2"/>
        </w:rPr>
        <w:t>本公司向职工提供的其他长期职工福利，符合设定提存计划条件的，按照上述关于设定提存</w:t>
      </w:r>
      <w:r>
        <w:rPr>
          <w:w w:val="100"/>
        </w:rPr>
        <w:t> </w:t>
      </w:r>
      <w:r>
        <w:rPr>
          <w:spacing w:val="-2"/>
        </w:rPr>
        <w:t>计划的有关规定进行处理。除此之外，本公司按照关于设定受益计划的有关规定，确认和计量其</w:t>
      </w:r>
      <w:r>
        <w:rPr>
          <w:spacing w:val="-25"/>
        </w:rPr>
        <w:t> </w:t>
      </w:r>
      <w:r>
        <w:rPr>
          <w:spacing w:val="-25"/>
        </w:rPr>
      </w:r>
      <w:r>
        <w:rPr>
          <w:spacing w:val="-2"/>
        </w:rPr>
        <w:t>他长期职工福利净负债或净资产。在报告期末，本公司将其他长期职工福利产生的职工薪酬成本</w:t>
      </w:r>
      <w:r>
        <w:rPr>
          <w:spacing w:val="-25"/>
        </w:rPr>
        <w:t> </w:t>
      </w:r>
      <w:r>
        <w:rPr>
          <w:spacing w:val="-25"/>
        </w:rPr>
      </w:r>
      <w:r>
        <w:rPr/>
        <w:t>确认为下列组成部分：</w:t>
      </w:r>
    </w:p>
    <w:p>
      <w:pPr>
        <w:pStyle w:val="BodyText"/>
        <w:spacing w:line="240" w:lineRule="auto"/>
        <w:ind w:left="558" w:right="0"/>
        <w:jc w:val="left"/>
      </w:pPr>
      <w:r>
        <w:rPr>
          <w:rFonts w:ascii="宋体" w:hAnsi="宋体" w:cs="宋体" w:eastAsia="宋体" w:hint="default"/>
        </w:rPr>
        <w:t>1</w:t>
      </w:r>
      <w:r>
        <w:rPr/>
        <w:t>）服务成本。</w:t>
      </w:r>
    </w:p>
    <w:p>
      <w:pPr>
        <w:pStyle w:val="BodyText"/>
        <w:spacing w:line="240" w:lineRule="auto" w:before="85"/>
        <w:ind w:left="558" w:right="0"/>
        <w:jc w:val="left"/>
      </w:pPr>
      <w:r>
        <w:rPr>
          <w:rFonts w:ascii="宋体" w:hAnsi="宋体" w:cs="宋体" w:eastAsia="宋体" w:hint="default"/>
        </w:rPr>
        <w:t>2</w:t>
      </w:r>
      <w:r>
        <w:rPr/>
        <w:t>）其他长期职工福利净负债或净资产的利息净额。</w:t>
      </w:r>
    </w:p>
    <w:p>
      <w:pPr>
        <w:pStyle w:val="BodyText"/>
        <w:spacing w:line="314" w:lineRule="auto" w:before="85"/>
        <w:ind w:left="558" w:right="0"/>
        <w:jc w:val="left"/>
      </w:pPr>
      <w:r>
        <w:rPr>
          <w:rFonts w:ascii="宋体" w:hAnsi="宋体" w:cs="宋体" w:eastAsia="宋体" w:hint="default"/>
          <w:spacing w:val="-2"/>
        </w:rPr>
        <w:t>3</w:t>
      </w:r>
      <w:r>
        <w:rPr>
          <w:spacing w:val="-2"/>
        </w:rPr>
        <w:t>）重新计量其他长期职工福利净负债或净资产所产生的变动。</w:t>
      </w:r>
      <w:r>
        <w:rPr>
          <w:spacing w:val="-52"/>
        </w:rPr>
        <w:t> </w:t>
      </w:r>
      <w:r>
        <w:rPr>
          <w:spacing w:val="-52"/>
        </w:rPr>
      </w:r>
      <w:r>
        <w:rPr/>
        <w:t>上述项目的总净额计入当期损益或相关资产成本。</w:t>
      </w:r>
    </w:p>
    <w:p>
      <w:pPr>
        <w:spacing w:line="240" w:lineRule="auto" w:before="13"/>
        <w:rPr>
          <w:rFonts w:ascii="宋体" w:hAnsi="宋体" w:cs="宋体" w:eastAsia="宋体" w:hint="default"/>
          <w:sz w:val="20"/>
          <w:szCs w:val="20"/>
        </w:rPr>
      </w:pPr>
    </w:p>
    <w:p>
      <w:pPr>
        <w:pStyle w:val="Heading2"/>
        <w:spacing w:line="240" w:lineRule="auto" w:before="0"/>
        <w:ind w:left="138" w:right="0"/>
        <w:jc w:val="left"/>
        <w:rPr>
          <w:b w:val="0"/>
          <w:bCs w:val="0"/>
        </w:rPr>
      </w:pPr>
      <w:r>
        <w:rPr>
          <w:rFonts w:ascii="Calibri" w:hAnsi="Calibri" w:cs="Calibri" w:eastAsia="Calibri" w:hint="default"/>
        </w:rPr>
        <w:t>22.  </w:t>
      </w:r>
      <w:r>
        <w:rPr>
          <w:rFonts w:ascii="Calibri" w:hAnsi="Calibri" w:cs="Calibri" w:eastAsia="Calibri" w:hint="default"/>
          <w:spacing w:val="13"/>
        </w:rPr>
        <w:t> </w:t>
      </w:r>
      <w:r>
        <w:rPr/>
        <w:t>预计负债</w:t>
      </w:r>
      <w:r>
        <w:rPr>
          <w:b w:val="0"/>
          <w:bCs w:val="0"/>
        </w:rPr>
      </w:r>
    </w:p>
    <w:p>
      <w:pPr>
        <w:pStyle w:val="BodyText"/>
        <w:spacing w:line="314" w:lineRule="auto" w:before="108"/>
        <w:ind w:right="157" w:firstLine="419"/>
        <w:jc w:val="right"/>
      </w:pPr>
      <w:r>
        <w:rPr>
          <w:spacing w:val="-2"/>
        </w:rPr>
        <w:t>当与产品质量保证</w:t>
      </w:r>
      <w:r>
        <w:rPr>
          <w:rFonts w:ascii="宋体" w:hAnsi="宋体" w:cs="宋体" w:eastAsia="宋体" w:hint="default"/>
          <w:spacing w:val="-2"/>
        </w:rPr>
        <w:t>/</w:t>
      </w:r>
      <w:r>
        <w:rPr>
          <w:spacing w:val="-2"/>
        </w:rPr>
        <w:t>亏损合同</w:t>
      </w:r>
      <w:r>
        <w:rPr>
          <w:rFonts w:ascii="宋体" w:hAnsi="宋体" w:cs="宋体" w:eastAsia="宋体" w:hint="default"/>
          <w:spacing w:val="-2"/>
        </w:rPr>
        <w:t>/</w:t>
      </w:r>
      <w:r>
        <w:rPr>
          <w:spacing w:val="-2"/>
        </w:rPr>
        <w:t>重组义务等或有事项相关的义务是本公司承担的现时义务，且</w:t>
      </w:r>
      <w:r>
        <w:rPr>
          <w:w w:val="100"/>
        </w:rPr>
        <w:t> </w:t>
      </w:r>
      <w:r>
        <w:rPr>
          <w:spacing w:val="-2"/>
        </w:rPr>
        <w:t>履行该义务很可能导致经济利益流出，以及该义务的金额能够可靠地计量，则确认为预计负债。</w:t>
      </w:r>
      <w:r>
        <w:rPr>
          <w:spacing w:val="-43"/>
        </w:rPr>
        <w:t> </w:t>
      </w:r>
      <w:r>
        <w:rPr>
          <w:spacing w:val="-43"/>
        </w:rPr>
      </w:r>
      <w:r>
        <w:rPr>
          <w:spacing w:val="-2"/>
        </w:rPr>
        <w:t>在资产负债表日，考虑与或有事项有关的风险、不确定性和货币时间价值等因素，按照履行</w:t>
      </w:r>
      <w:r>
        <w:rPr>
          <w:w w:val="100"/>
        </w:rPr>
        <w:t> </w:t>
      </w:r>
      <w:r>
        <w:rPr>
          <w:spacing w:val="-2"/>
        </w:rPr>
        <w:t>相关现时义务所需支出的最佳估计数对预计负债进行计量。如果货币时间价值影响重大，则以预</w:t>
      </w:r>
    </w:p>
    <w:p>
      <w:pPr>
        <w:pStyle w:val="BodyText"/>
        <w:spacing w:line="314" w:lineRule="auto"/>
        <w:ind w:left="558" w:right="0" w:hanging="420"/>
        <w:jc w:val="left"/>
      </w:pPr>
      <w:r>
        <w:rPr/>
        <w:t>计未来现金流出折现后的金额确定最佳估计数。</w:t>
      </w:r>
      <w:r>
        <w:rPr>
          <w:w w:val="100"/>
        </w:rPr>
        <w:t> </w:t>
      </w:r>
      <w:r>
        <w:rPr>
          <w:spacing w:val="-2"/>
        </w:rPr>
        <w:t>如果清偿预计负债所需支出全部或部分预期由第三方补偿的，补偿金额在基本确定能够收到</w:t>
      </w:r>
    </w:p>
    <w:p>
      <w:pPr>
        <w:pStyle w:val="BodyText"/>
        <w:spacing w:line="240" w:lineRule="auto"/>
        <w:ind w:right="0"/>
        <w:jc w:val="left"/>
      </w:pPr>
      <w:r>
        <w:rPr/>
        <w:t>时，作为资产单独确认，且确认的补偿金额不超过预计负债的账面价值。</w:t>
      </w:r>
    </w:p>
    <w:p>
      <w:pPr>
        <w:pStyle w:val="BodyText"/>
        <w:spacing w:line="314" w:lineRule="auto" w:before="85"/>
        <w:ind w:left="558" w:right="0"/>
        <w:jc w:val="left"/>
      </w:pPr>
      <w:r>
        <w:rPr/>
        <w:t>（</w:t>
      </w:r>
      <w:r>
        <w:rPr>
          <w:rFonts w:ascii="宋体" w:hAnsi="宋体" w:cs="宋体" w:eastAsia="宋体" w:hint="default"/>
        </w:rPr>
        <w:t>1</w:t>
      </w:r>
      <w:r>
        <w:rPr/>
        <w:t>）亏损合同</w:t>
      </w:r>
      <w:r>
        <w:rPr>
          <w:w w:val="100"/>
        </w:rPr>
        <w:t> </w:t>
      </w:r>
      <w:r>
        <w:rPr>
          <w:spacing w:val="-2"/>
        </w:rPr>
        <w:t>亏损合同是履行合同义务不可避免会发生的成本超过预期经济利益的合同。待执行合同变成</w:t>
      </w:r>
    </w:p>
    <w:p>
      <w:pPr>
        <w:pStyle w:val="BodyText"/>
        <w:spacing w:line="314" w:lineRule="auto"/>
        <w:ind w:right="0"/>
        <w:jc w:val="left"/>
      </w:pPr>
      <w:r>
        <w:rPr>
          <w:spacing w:val="-2"/>
        </w:rPr>
        <w:t>亏损合同，且该亏损合同产生的义务满足上述预计负债的确认条件的，将合同预计损失超过合同</w:t>
      </w:r>
      <w:r>
        <w:rPr>
          <w:spacing w:val="-25"/>
        </w:rPr>
        <w:t> </w:t>
      </w:r>
      <w:r>
        <w:rPr>
          <w:spacing w:val="-25"/>
        </w:rPr>
      </w:r>
      <w:r>
        <w:rPr/>
        <w:t>标的资产已确认的减值损失（如有）的部分，确认为预计负债。</w:t>
      </w:r>
    </w:p>
    <w:p>
      <w:pPr>
        <w:pStyle w:val="BodyText"/>
        <w:spacing w:line="314" w:lineRule="auto"/>
        <w:ind w:left="337" w:right="0" w:firstLine="220"/>
        <w:jc w:val="left"/>
      </w:pPr>
      <w:r>
        <w:rPr/>
        <w:t>（</w:t>
      </w:r>
      <w:r>
        <w:rPr>
          <w:rFonts w:ascii="宋体" w:hAnsi="宋体" w:cs="宋体" w:eastAsia="宋体" w:hint="default"/>
        </w:rPr>
        <w:t>2</w:t>
      </w:r>
      <w:r>
        <w:rPr/>
        <w:t>）重组义务</w:t>
      </w:r>
      <w:r>
        <w:rPr>
          <w:w w:val="100"/>
        </w:rPr>
        <w:t> </w:t>
      </w:r>
      <w:r>
        <w:rPr>
          <w:spacing w:val="-2"/>
        </w:rPr>
        <w:t>对于有详细、正式并且已经对外公告的重组计划，在满足前述预计负债的确认条件的情况下，</w:t>
      </w:r>
    </w:p>
    <w:p>
      <w:pPr>
        <w:pStyle w:val="BodyText"/>
        <w:spacing w:line="314" w:lineRule="auto"/>
        <w:ind w:right="0"/>
        <w:jc w:val="left"/>
      </w:pPr>
      <w:r>
        <w:rPr>
          <w:spacing w:val="-2"/>
        </w:rPr>
        <w:t>按照与重组有关的直接支出确定预计负债金额。对于出售部分业务的重组义务，只有在本公司承</w:t>
      </w:r>
      <w:r>
        <w:rPr>
          <w:spacing w:val="-25"/>
        </w:rPr>
        <w:t> </w:t>
      </w:r>
      <w:r>
        <w:rPr>
          <w:spacing w:val="-25"/>
        </w:rPr>
      </w:r>
      <w:r>
        <w:rPr/>
        <w:t>诺出售部分业务（即签订了约束性出售协议时），才确认与重组相关的义务。</w:t>
      </w:r>
    </w:p>
    <w:p>
      <w:pPr>
        <w:spacing w:line="240" w:lineRule="auto" w:before="13"/>
        <w:rPr>
          <w:rFonts w:ascii="宋体" w:hAnsi="宋体" w:cs="宋体" w:eastAsia="宋体" w:hint="default"/>
          <w:sz w:val="20"/>
          <w:szCs w:val="20"/>
        </w:rPr>
      </w:pPr>
    </w:p>
    <w:p>
      <w:pPr>
        <w:pStyle w:val="Heading2"/>
        <w:spacing w:line="240" w:lineRule="auto" w:before="0"/>
        <w:ind w:left="138" w:right="0"/>
        <w:jc w:val="left"/>
        <w:rPr>
          <w:b w:val="0"/>
          <w:bCs w:val="0"/>
        </w:rPr>
      </w:pPr>
      <w:r>
        <w:rPr>
          <w:rFonts w:ascii="Calibri" w:hAnsi="Calibri" w:cs="Calibri" w:eastAsia="Calibri" w:hint="default"/>
        </w:rPr>
        <w:t>23.  </w:t>
      </w:r>
      <w:r>
        <w:rPr>
          <w:rFonts w:ascii="Calibri" w:hAnsi="Calibri" w:cs="Calibri" w:eastAsia="Calibri" w:hint="default"/>
          <w:spacing w:val="12"/>
        </w:rPr>
        <w:t> </w:t>
      </w:r>
      <w:r>
        <w:rPr/>
        <w:t>收入</w:t>
      </w:r>
      <w:r>
        <w:rPr>
          <w:b w:val="0"/>
          <w:bCs w:val="0"/>
        </w:rPr>
      </w:r>
    </w:p>
    <w:p>
      <w:pPr>
        <w:pStyle w:val="BodyText"/>
        <w:tabs>
          <w:tab w:pos="1131" w:val="left" w:leader="none"/>
          <w:tab w:pos="1817" w:val="left" w:leader="none"/>
        </w:tabs>
        <w:spacing w:line="314" w:lineRule="auto" w:before="108"/>
        <w:ind w:left="704" w:right="2527" w:firstLine="199"/>
        <w:jc w:val="left"/>
      </w:pPr>
      <w:r>
        <w:rPr/>
        <w:t>（</w:t>
      </w:r>
      <w:r>
        <w:rPr>
          <w:rFonts w:ascii="宋体" w:hAnsi="宋体" w:cs="宋体" w:eastAsia="宋体" w:hint="default"/>
        </w:rPr>
        <w:t>1</w:t>
      </w:r>
      <w:r>
        <w:rPr/>
        <w:t>）</w:t>
        <w:tab/>
        <w:t>销售商品收入，在下列条件均能满足时予以确认：</w:t>
      </w:r>
      <w:r>
        <w:rPr>
          <w:w w:val="100"/>
        </w:rPr>
        <w:t> </w:t>
      </w:r>
      <w:r>
        <w:rPr>
          <w:rFonts w:ascii="宋体" w:hAnsi="宋体" w:cs="宋体" w:eastAsia="宋体" w:hint="default"/>
        </w:rPr>
        <w:t>1)</w:t>
        <w:tab/>
      </w:r>
      <w:r>
        <w:rPr>
          <w:spacing w:val="-2"/>
        </w:rPr>
        <w:t>本公司已将商品所有权上的主要风险和报酬转移给购货方；</w:t>
      </w:r>
    </w:p>
    <w:p>
      <w:pPr>
        <w:pStyle w:val="BodyText"/>
        <w:tabs>
          <w:tab w:pos="1131" w:val="left" w:leader="none"/>
        </w:tabs>
        <w:spacing w:line="314" w:lineRule="auto"/>
        <w:ind w:left="1131" w:right="158" w:hanging="428"/>
        <w:jc w:val="left"/>
      </w:pPr>
      <w:r>
        <w:rPr>
          <w:rFonts w:ascii="宋体" w:hAnsi="宋体" w:cs="宋体" w:eastAsia="宋体" w:hint="default"/>
        </w:rPr>
        <w:t>2)</w:t>
        <w:tab/>
      </w:r>
      <w:r>
        <w:rPr/>
        <w:t>本公司既没有保留通常与所有权相联系的继续管理权，也没有对已售出的商品实施有</w:t>
      </w:r>
      <w:r>
        <w:rPr>
          <w:spacing w:val="-35"/>
        </w:rPr>
        <w:t> </w:t>
      </w:r>
      <w:r>
        <w:rPr>
          <w:spacing w:val="-35"/>
        </w:rPr>
      </w:r>
      <w:r>
        <w:rPr/>
        <w:t>效控制；</w:t>
      </w:r>
    </w:p>
    <w:p>
      <w:pPr>
        <w:pStyle w:val="BodyText"/>
        <w:tabs>
          <w:tab w:pos="1131" w:val="left" w:leader="none"/>
        </w:tabs>
        <w:spacing w:line="240" w:lineRule="auto"/>
        <w:ind w:left="704" w:right="0"/>
        <w:jc w:val="left"/>
      </w:pPr>
      <w:r>
        <w:rPr>
          <w:rFonts w:ascii="宋体" w:hAnsi="宋体" w:cs="宋体" w:eastAsia="宋体" w:hint="default"/>
        </w:rPr>
        <w:t>3)</w:t>
        <w:tab/>
      </w:r>
      <w:r>
        <w:rPr/>
        <w:t>收入的金额能够可靠计量；</w:t>
      </w:r>
    </w:p>
    <w:p>
      <w:pPr>
        <w:pStyle w:val="BodyText"/>
        <w:tabs>
          <w:tab w:pos="1131" w:val="left" w:leader="none"/>
        </w:tabs>
        <w:spacing w:line="240" w:lineRule="auto" w:before="85"/>
        <w:ind w:left="704" w:right="0"/>
        <w:jc w:val="left"/>
      </w:pPr>
      <w:r>
        <w:rPr>
          <w:rFonts w:ascii="宋体" w:hAnsi="宋体" w:cs="宋体" w:eastAsia="宋体" w:hint="default"/>
        </w:rPr>
        <w:t>4)</w:t>
        <w:tab/>
      </w:r>
      <w:r>
        <w:rPr/>
        <w:t>相关经济利益很可能流入本公司；</w:t>
      </w:r>
    </w:p>
    <w:p>
      <w:pPr>
        <w:pStyle w:val="BodyText"/>
        <w:tabs>
          <w:tab w:pos="1131" w:val="left" w:leader="none"/>
        </w:tabs>
        <w:spacing w:line="240" w:lineRule="auto" w:before="85"/>
        <w:ind w:left="704" w:right="0"/>
        <w:jc w:val="left"/>
      </w:pPr>
      <w:r>
        <w:rPr>
          <w:rFonts w:ascii="宋体" w:hAnsi="宋体" w:cs="宋体" w:eastAsia="宋体" w:hint="default"/>
        </w:rPr>
        <w:t>5)</w:t>
        <w:tab/>
      </w:r>
      <w:r>
        <w:rPr/>
        <w:t>相关的已发生的或将发生的成本能够可靠计量。</w:t>
      </w:r>
    </w:p>
    <w:p>
      <w:pPr>
        <w:pStyle w:val="BodyText"/>
        <w:tabs>
          <w:tab w:pos="1817" w:val="left" w:leader="none"/>
        </w:tabs>
        <w:spacing w:line="240" w:lineRule="auto" w:before="85"/>
        <w:ind w:left="903" w:right="0"/>
        <w:jc w:val="left"/>
      </w:pPr>
      <w:r>
        <w:rPr/>
        <w:t>（</w:t>
      </w:r>
      <w:r>
        <w:rPr>
          <w:rFonts w:ascii="宋体" w:hAnsi="宋体" w:cs="宋体" w:eastAsia="宋体" w:hint="default"/>
        </w:rPr>
        <w:t>2</w:t>
      </w:r>
      <w:r>
        <w:rPr/>
        <w:t>）</w:t>
        <w:tab/>
        <w:t>提供劳务收入</w:t>
      </w:r>
    </w:p>
    <w:p>
      <w:pPr>
        <w:spacing w:after="0" w:line="240" w:lineRule="auto"/>
        <w:jc w:val="left"/>
        <w:sectPr>
          <w:pgSz w:w="11910" w:h="16840"/>
          <w:pgMar w:header="856" w:footer="1193" w:top="1280" w:bottom="1380" w:left="1660" w:right="1120"/>
        </w:sectPr>
      </w:pPr>
    </w:p>
    <w:p>
      <w:pPr>
        <w:spacing w:line="240" w:lineRule="auto" w:before="7"/>
        <w:rPr>
          <w:rFonts w:ascii="宋体" w:hAnsi="宋体" w:cs="宋体" w:eastAsia="宋体" w:hint="default"/>
          <w:sz w:val="18"/>
          <w:szCs w:val="18"/>
        </w:rPr>
      </w:pPr>
    </w:p>
    <w:p>
      <w:pPr>
        <w:pStyle w:val="BodyText"/>
        <w:spacing w:line="314" w:lineRule="auto" w:before="36"/>
        <w:ind w:right="0" w:firstLine="419"/>
        <w:jc w:val="left"/>
      </w:pPr>
      <w:r>
        <w:rPr>
          <w:spacing w:val="-1"/>
        </w:rPr>
        <w:t>在资产负债表日提供劳务交易的结果能够可靠估计的，按照完工百分比法确认提供劳务收入。</w:t>
      </w:r>
      <w:r>
        <w:rPr>
          <w:w w:val="100"/>
        </w:rPr>
        <w:t> </w:t>
      </w:r>
      <w:r>
        <w:rPr/>
        <w:t>提供劳务交易的结果能够可靠估计，是指同时具备以下条件：</w:t>
      </w:r>
    </w:p>
    <w:p>
      <w:pPr>
        <w:pStyle w:val="BodyText"/>
        <w:tabs>
          <w:tab w:pos="1143" w:val="left" w:leader="none"/>
        </w:tabs>
        <w:spacing w:line="240" w:lineRule="auto"/>
        <w:ind w:left="618" w:right="0"/>
        <w:jc w:val="left"/>
      </w:pPr>
      <w:r>
        <w:rPr>
          <w:rFonts w:ascii="宋体" w:hAnsi="宋体" w:cs="宋体" w:eastAsia="宋体" w:hint="default"/>
        </w:rPr>
        <w:t>1)</w:t>
        <w:tab/>
      </w:r>
      <w:r>
        <w:rPr/>
        <w:t>收入的金额能够可靠计量；</w:t>
      </w:r>
    </w:p>
    <w:p>
      <w:pPr>
        <w:pStyle w:val="BodyText"/>
        <w:tabs>
          <w:tab w:pos="1037" w:val="left" w:leader="none"/>
        </w:tabs>
        <w:spacing w:line="240" w:lineRule="auto" w:before="85"/>
        <w:ind w:left="618" w:right="0"/>
        <w:jc w:val="left"/>
      </w:pPr>
      <w:r>
        <w:rPr>
          <w:rFonts w:ascii="宋体" w:hAnsi="宋体" w:cs="宋体" w:eastAsia="宋体" w:hint="default"/>
        </w:rPr>
        <w:t>2)</w:t>
        <w:tab/>
      </w:r>
      <w:r>
        <w:rPr/>
        <w:t>相关的经济利益很可能流入本公司；</w:t>
      </w:r>
    </w:p>
    <w:p>
      <w:pPr>
        <w:pStyle w:val="BodyText"/>
        <w:tabs>
          <w:tab w:pos="1037" w:val="left" w:leader="none"/>
        </w:tabs>
        <w:spacing w:line="240" w:lineRule="auto" w:before="85"/>
        <w:ind w:left="618" w:right="0"/>
        <w:jc w:val="left"/>
      </w:pPr>
      <w:r>
        <w:rPr>
          <w:rFonts w:ascii="宋体" w:hAnsi="宋体" w:cs="宋体" w:eastAsia="宋体" w:hint="default"/>
        </w:rPr>
        <w:t>3)</w:t>
        <w:tab/>
      </w:r>
      <w:r>
        <w:rPr/>
        <w:t>交易的完工进度能够可靠确定；</w:t>
      </w:r>
    </w:p>
    <w:p>
      <w:pPr>
        <w:pStyle w:val="BodyText"/>
        <w:tabs>
          <w:tab w:pos="1037" w:val="left" w:leader="none"/>
        </w:tabs>
        <w:spacing w:line="314" w:lineRule="auto" w:before="85"/>
        <w:ind w:left="558" w:right="1809" w:firstLine="60"/>
        <w:jc w:val="left"/>
      </w:pPr>
      <w:r>
        <w:rPr>
          <w:rFonts w:ascii="宋体" w:hAnsi="宋体" w:cs="宋体" w:eastAsia="宋体" w:hint="default"/>
        </w:rPr>
        <w:t>4)</w:t>
        <w:tab/>
      </w:r>
      <w:r>
        <w:rPr/>
        <w:t>交易中已发生的和将发生的成本能够可靠计量。</w:t>
      </w:r>
      <w:r>
        <w:rPr>
          <w:w w:val="100"/>
        </w:rPr>
        <w:t> </w:t>
      </w:r>
      <w:r>
        <w:rPr>
          <w:spacing w:val="-2"/>
        </w:rPr>
        <w:t>在资产负债表日提供劳务交易结果不能够可靠估计的，分别下列情况处理：</w:t>
      </w:r>
    </w:p>
    <w:p>
      <w:pPr>
        <w:pStyle w:val="BodyText"/>
        <w:tabs>
          <w:tab w:pos="1037" w:val="left" w:leader="none"/>
        </w:tabs>
        <w:spacing w:line="314" w:lineRule="auto"/>
        <w:ind w:left="1038" w:right="329" w:hanging="420"/>
        <w:jc w:val="left"/>
      </w:pPr>
      <w:r>
        <w:rPr>
          <w:rFonts w:ascii="宋体" w:hAnsi="宋体" w:cs="宋体" w:eastAsia="宋体" w:hint="default"/>
        </w:rPr>
        <w:t>1)</w:t>
        <w:tab/>
      </w:r>
      <w:r>
        <w:rPr>
          <w:spacing w:val="-3"/>
        </w:rPr>
        <w:t>已发生的劳务成本预计能够得到补偿，应按已经发生的劳务成本金额确认收入；并按相</w:t>
      </w:r>
      <w:r>
        <w:rPr>
          <w:spacing w:val="-44"/>
        </w:rPr>
        <w:t> </w:t>
      </w:r>
      <w:r>
        <w:rPr>
          <w:spacing w:val="-44"/>
        </w:rPr>
      </w:r>
      <w:r>
        <w:rPr/>
        <w:t>同金额结转成本；</w:t>
      </w:r>
    </w:p>
    <w:p>
      <w:pPr>
        <w:pStyle w:val="BodyText"/>
        <w:tabs>
          <w:tab w:pos="1037" w:val="left" w:leader="none"/>
        </w:tabs>
        <w:spacing w:line="314" w:lineRule="auto"/>
        <w:ind w:left="1038" w:right="329" w:hanging="420"/>
        <w:jc w:val="left"/>
      </w:pPr>
      <w:r>
        <w:rPr>
          <w:rFonts w:ascii="宋体" w:hAnsi="宋体" w:cs="宋体" w:eastAsia="宋体" w:hint="default"/>
        </w:rPr>
        <w:t>2)</w:t>
        <w:tab/>
      </w:r>
      <w:r>
        <w:rPr/>
        <w:t>已发生的劳务成本预计不能够得到补偿的，</w:t>
      </w:r>
      <w:r>
        <w:rPr>
          <w:spacing w:val="60"/>
        </w:rPr>
        <w:t> </w:t>
      </w:r>
      <w:r>
        <w:rPr/>
        <w:t>将已经发生的劳务成本计入当期损益，不</w:t>
      </w:r>
      <w:r>
        <w:rPr>
          <w:w w:val="100"/>
        </w:rPr>
        <w:t> </w:t>
      </w:r>
      <w:r>
        <w:rPr/>
        <w:t>确认提供劳务收入。</w:t>
      </w:r>
    </w:p>
    <w:p>
      <w:pPr>
        <w:pStyle w:val="BodyText"/>
        <w:tabs>
          <w:tab w:pos="1817" w:val="left" w:leader="none"/>
        </w:tabs>
        <w:spacing w:line="314" w:lineRule="auto"/>
        <w:ind w:left="510" w:right="337" w:firstLine="393"/>
        <w:jc w:val="left"/>
      </w:pPr>
      <w:r>
        <w:rPr/>
        <w:t>（</w:t>
      </w:r>
      <w:r>
        <w:rPr>
          <w:rFonts w:ascii="宋体" w:hAnsi="宋体" w:cs="宋体" w:eastAsia="宋体" w:hint="default"/>
        </w:rPr>
        <w:t>3</w:t>
      </w:r>
      <w:r>
        <w:rPr/>
        <w:t>）</w:t>
        <w:tab/>
        <w:t>既销售商品又提供劳务的收入：</w:t>
      </w:r>
      <w:r>
        <w:rPr>
          <w:w w:val="100"/>
        </w:rPr>
        <w:t> </w:t>
      </w:r>
      <w:r>
        <w:rPr/>
        <w:t>本公司与其他企业签订的合同或协议包括销售商品和提供劳务时，销售商品部分和提供劳务</w:t>
      </w:r>
    </w:p>
    <w:p>
      <w:pPr>
        <w:pStyle w:val="BodyText"/>
        <w:spacing w:line="314" w:lineRule="auto"/>
        <w:ind w:right="328"/>
        <w:jc w:val="both"/>
      </w:pPr>
      <w:r>
        <w:rPr>
          <w:spacing w:val="-1"/>
        </w:rPr>
        <w:t>部分能够区分且能够单独计量的，将提供劳务的部分作为提供劳务处理。销售商品部分和提供劳</w:t>
      </w:r>
      <w:r>
        <w:rPr>
          <w:spacing w:val="-55"/>
        </w:rPr>
        <w:t> </w:t>
      </w:r>
      <w:r>
        <w:rPr>
          <w:spacing w:val="-55"/>
        </w:rPr>
      </w:r>
      <w:r>
        <w:rPr>
          <w:spacing w:val="-1"/>
        </w:rPr>
        <w:t>务不能够区分的，或虽能区分但不能够单独计量的，应当将销售商品部分和提供劳务部分全部作</w:t>
      </w:r>
      <w:r>
        <w:rPr>
          <w:spacing w:val="-55"/>
        </w:rPr>
        <w:t> </w:t>
      </w:r>
      <w:r>
        <w:rPr>
          <w:spacing w:val="-55"/>
        </w:rPr>
      </w:r>
      <w:r>
        <w:rPr/>
        <w:t>为销售商品处理。</w:t>
      </w:r>
    </w:p>
    <w:p>
      <w:pPr>
        <w:pStyle w:val="BodyText"/>
        <w:tabs>
          <w:tab w:pos="1817" w:val="left" w:leader="none"/>
        </w:tabs>
        <w:spacing w:line="314" w:lineRule="auto"/>
        <w:ind w:left="543" w:right="337" w:firstLine="360"/>
        <w:jc w:val="left"/>
      </w:pPr>
      <w:r>
        <w:rPr/>
        <w:t>（</w:t>
      </w:r>
      <w:r>
        <w:rPr>
          <w:rFonts w:ascii="宋体" w:hAnsi="宋体" w:cs="宋体" w:eastAsia="宋体" w:hint="default"/>
        </w:rPr>
        <w:t>4</w:t>
      </w:r>
      <w:r>
        <w:rPr/>
        <w:t>）</w:t>
        <w:tab/>
        <w:t>让渡资产使用权收入：</w:t>
      </w:r>
      <w:r>
        <w:rPr>
          <w:w w:val="100"/>
        </w:rPr>
        <w:t> </w:t>
      </w:r>
      <w:r>
        <w:rPr>
          <w:spacing w:val="-1"/>
        </w:rPr>
        <w:t>让渡资产使用权收入包括利息收入、使用费收入等。同时满足下列条件的，才能予以确认：</w:t>
      </w:r>
    </w:p>
    <w:p>
      <w:pPr>
        <w:pStyle w:val="BodyText"/>
        <w:spacing w:line="240" w:lineRule="auto"/>
        <w:ind w:right="0"/>
        <w:jc w:val="both"/>
      </w:pPr>
      <w:r>
        <w:rPr/>
        <w:t>相关的经济利益很可能流入本公司；收入的金额能够可靠计量。</w:t>
      </w:r>
    </w:p>
    <w:p>
      <w:pPr>
        <w:pStyle w:val="BodyText"/>
        <w:tabs>
          <w:tab w:pos="1817" w:val="left" w:leader="none"/>
        </w:tabs>
        <w:spacing w:line="314" w:lineRule="auto" w:before="85"/>
        <w:ind w:left="558" w:right="337" w:firstLine="345"/>
        <w:jc w:val="left"/>
      </w:pPr>
      <w:r>
        <w:rPr/>
        <w:t>（</w:t>
      </w:r>
      <w:r>
        <w:rPr>
          <w:rFonts w:ascii="宋体" w:hAnsi="宋体" w:cs="宋体" w:eastAsia="宋体" w:hint="default"/>
        </w:rPr>
        <w:t>5</w:t>
      </w:r>
      <w:r>
        <w:rPr/>
        <w:t>）</w:t>
        <w:tab/>
        <w:t>建造合同收入</w:t>
      </w:r>
      <w:r>
        <w:rPr>
          <w:w w:val="100"/>
        </w:rPr>
        <w:t> </w:t>
      </w:r>
      <w:r>
        <w:rPr>
          <w:spacing w:val="-2"/>
        </w:rPr>
        <w:t>在资产负债表日，建造合同的结果能够可靠估计的，根据完工百分比法确认合同收入和合同</w:t>
      </w:r>
    </w:p>
    <w:p>
      <w:pPr>
        <w:pStyle w:val="BodyText"/>
        <w:spacing w:line="240" w:lineRule="auto"/>
        <w:ind w:right="0"/>
        <w:jc w:val="both"/>
      </w:pPr>
      <w:r>
        <w:rPr/>
        <w:t>费用。</w:t>
      </w:r>
    </w:p>
    <w:p>
      <w:pPr>
        <w:pStyle w:val="BodyText"/>
        <w:tabs>
          <w:tab w:pos="1131" w:val="left" w:leader="none"/>
        </w:tabs>
        <w:spacing w:line="314" w:lineRule="auto" w:before="85"/>
        <w:ind w:left="704" w:right="3086" w:hanging="147"/>
        <w:jc w:val="left"/>
      </w:pPr>
      <w:r>
        <w:rPr>
          <w:spacing w:val="-2"/>
        </w:rPr>
        <w:t>固定造价合同的结果能够可靠估计，是指同时满足下列条件：</w:t>
      </w:r>
      <w:r>
        <w:rPr>
          <w:spacing w:val="-52"/>
        </w:rPr>
        <w:t> </w:t>
      </w:r>
      <w:r>
        <w:rPr>
          <w:spacing w:val="-52"/>
        </w:rPr>
      </w:r>
      <w:r>
        <w:rPr>
          <w:rFonts w:ascii="宋体" w:hAnsi="宋体" w:cs="宋体" w:eastAsia="宋体" w:hint="default"/>
        </w:rPr>
        <w:t>1)</w:t>
        <w:tab/>
      </w:r>
      <w:r>
        <w:rPr/>
        <w:t>合同总收入能够可靠地计量；</w:t>
      </w:r>
    </w:p>
    <w:p>
      <w:pPr>
        <w:pStyle w:val="BodyText"/>
        <w:tabs>
          <w:tab w:pos="1131" w:val="left" w:leader="none"/>
        </w:tabs>
        <w:spacing w:line="240" w:lineRule="auto"/>
        <w:ind w:left="704" w:right="0"/>
        <w:jc w:val="left"/>
      </w:pPr>
      <w:r>
        <w:rPr>
          <w:rFonts w:ascii="宋体" w:hAnsi="宋体" w:cs="宋体" w:eastAsia="宋体" w:hint="default"/>
        </w:rPr>
        <w:t>2)</w:t>
        <w:tab/>
      </w:r>
      <w:r>
        <w:rPr/>
        <w:t>与合同相关的经济利益很可能流入本公司；</w:t>
      </w:r>
    </w:p>
    <w:p>
      <w:pPr>
        <w:pStyle w:val="BodyText"/>
        <w:tabs>
          <w:tab w:pos="1131" w:val="left" w:leader="none"/>
        </w:tabs>
        <w:spacing w:line="240" w:lineRule="auto" w:before="85"/>
        <w:ind w:left="704" w:right="0"/>
        <w:jc w:val="left"/>
      </w:pPr>
      <w:r>
        <w:rPr>
          <w:rFonts w:ascii="宋体" w:hAnsi="宋体" w:cs="宋体" w:eastAsia="宋体" w:hint="default"/>
        </w:rPr>
        <w:t>3)</w:t>
        <w:tab/>
      </w:r>
      <w:r>
        <w:rPr/>
        <w:t>实际发生的合同成本能够清楚地区分和可靠地计量；</w:t>
      </w:r>
    </w:p>
    <w:p>
      <w:pPr>
        <w:pStyle w:val="BodyText"/>
        <w:tabs>
          <w:tab w:pos="1131" w:val="left" w:leader="none"/>
        </w:tabs>
        <w:spacing w:line="314" w:lineRule="auto" w:before="85"/>
        <w:ind w:left="558" w:right="2495" w:firstLine="146"/>
        <w:jc w:val="left"/>
      </w:pPr>
      <w:r>
        <w:rPr>
          <w:rFonts w:ascii="宋体" w:hAnsi="宋体" w:cs="宋体" w:eastAsia="宋体" w:hint="default"/>
        </w:rPr>
        <w:t>4)</w:t>
        <w:tab/>
      </w:r>
      <w:r>
        <w:rPr>
          <w:spacing w:val="-2"/>
        </w:rPr>
        <w:t>合同完工进度和为完成合同尚需发生的成本能够可靠地确定。</w:t>
      </w:r>
      <w:r>
        <w:rPr>
          <w:w w:val="100"/>
        </w:rPr>
        <w:t> </w:t>
      </w:r>
      <w:r>
        <w:rPr/>
        <w:t>成本加成合同的结果能够可靠估计，是指同时满足下列条件：</w:t>
      </w:r>
    </w:p>
    <w:p>
      <w:pPr>
        <w:pStyle w:val="BodyText"/>
        <w:tabs>
          <w:tab w:pos="1131" w:val="left" w:leader="none"/>
        </w:tabs>
        <w:spacing w:line="240" w:lineRule="auto"/>
        <w:ind w:left="704" w:right="0"/>
        <w:jc w:val="left"/>
      </w:pPr>
      <w:r>
        <w:rPr>
          <w:rFonts w:ascii="宋体" w:hAnsi="宋体" w:cs="宋体" w:eastAsia="宋体" w:hint="default"/>
        </w:rPr>
        <w:t>1)</w:t>
        <w:tab/>
      </w:r>
      <w:r>
        <w:rPr/>
        <w:t>与合同相关的经济利益很可能流入本公司；</w:t>
      </w:r>
    </w:p>
    <w:p>
      <w:pPr>
        <w:pStyle w:val="BodyText"/>
        <w:tabs>
          <w:tab w:pos="1131" w:val="left" w:leader="none"/>
        </w:tabs>
        <w:spacing w:line="314" w:lineRule="auto" w:before="85"/>
        <w:ind w:left="558" w:right="337" w:firstLine="146"/>
        <w:jc w:val="left"/>
      </w:pPr>
      <w:r>
        <w:rPr>
          <w:rFonts w:ascii="宋体" w:hAnsi="宋体" w:cs="宋体" w:eastAsia="宋体" w:hint="default"/>
        </w:rPr>
        <w:t>2)</w:t>
        <w:tab/>
      </w:r>
      <w:r>
        <w:rPr/>
        <w:t>实际发生的合同成本能够清楚地区分和可靠地计量。</w:t>
      </w:r>
      <w:r>
        <w:rPr>
          <w:w w:val="100"/>
        </w:rPr>
        <w:t> </w:t>
      </w:r>
      <w:r>
        <w:rPr/>
        <w:t>公司采用累计实际发生的合同成本占合同预计总成本的比例确定合同完工进度。</w:t>
      </w:r>
      <w:r>
        <w:rPr>
          <w:w w:val="100"/>
        </w:rPr>
        <w:t> </w:t>
      </w:r>
      <w:r>
        <w:rPr>
          <w:spacing w:val="-2"/>
        </w:rPr>
        <w:t>建造合同的结果不能可靠估计的，合同成本能够收回的，合同收入根据能够收回的实际合同</w:t>
      </w:r>
    </w:p>
    <w:p>
      <w:pPr>
        <w:pStyle w:val="BodyText"/>
        <w:spacing w:line="314" w:lineRule="auto"/>
        <w:ind w:right="337"/>
        <w:jc w:val="both"/>
      </w:pPr>
      <w:r>
        <w:rPr>
          <w:spacing w:val="-2"/>
        </w:rPr>
        <w:t>成本予以确认，合同成本在其发生的当期确认为合同费用；合同成本不可能收回的，在发生时立</w:t>
      </w:r>
      <w:r>
        <w:rPr>
          <w:spacing w:val="-25"/>
        </w:rPr>
        <w:t> </w:t>
      </w:r>
      <w:r>
        <w:rPr>
          <w:spacing w:val="-25"/>
        </w:rPr>
      </w:r>
      <w:r>
        <w:rPr/>
        <w:t>即确认为合同费用，不确认合同收入。</w:t>
      </w:r>
    </w:p>
    <w:p>
      <w:pPr>
        <w:pStyle w:val="BodyText"/>
        <w:spacing w:line="314" w:lineRule="auto"/>
        <w:ind w:right="0" w:firstLine="419"/>
        <w:jc w:val="left"/>
      </w:pPr>
      <w:r>
        <w:rPr/>
        <w:t>预计合同损失：年末，公司对预计合同总成本超出预计合同总收入的工程项目，按照预计合</w:t>
      </w:r>
      <w:r>
        <w:rPr>
          <w:w w:val="100"/>
        </w:rPr>
        <w:t> </w:t>
      </w:r>
      <w:r>
        <w:rPr>
          <w:spacing w:val="-2"/>
        </w:rPr>
        <w:t>同总成本超出预计合同总收入的部分与该工程项目已确认损失之间的差额计提预计合同损失准备。</w:t>
      </w:r>
    </w:p>
    <w:p>
      <w:pPr>
        <w:pStyle w:val="BodyText"/>
        <w:spacing w:line="240" w:lineRule="auto"/>
        <w:ind w:left="558" w:right="0"/>
        <w:jc w:val="left"/>
      </w:pPr>
      <w:r>
        <w:rPr/>
        <w:t>（</w:t>
      </w:r>
      <w:r>
        <w:rPr>
          <w:rFonts w:ascii="宋体" w:hAnsi="宋体" w:cs="宋体" w:eastAsia="宋体" w:hint="default"/>
        </w:rPr>
        <w:t>6</w:t>
      </w:r>
      <w:r>
        <w:rPr/>
        <w:t>）</w:t>
      </w:r>
      <w:r>
        <w:rPr>
          <w:rFonts w:ascii="宋体" w:hAnsi="宋体" w:cs="宋体" w:eastAsia="宋体" w:hint="default"/>
        </w:rPr>
        <w:t>BT </w:t>
      </w:r>
      <w:r>
        <w:rPr/>
        <w:t>项目收入的确认</w:t>
      </w:r>
    </w:p>
    <w:p>
      <w:pPr>
        <w:pStyle w:val="BodyText"/>
        <w:spacing w:line="240" w:lineRule="auto" w:before="85"/>
        <w:ind w:left="558" w:right="0"/>
        <w:jc w:val="left"/>
      </w:pPr>
      <w:r>
        <w:rPr>
          <w:rFonts w:ascii="宋体" w:hAnsi="宋体" w:cs="宋体" w:eastAsia="宋体" w:hint="default"/>
        </w:rPr>
        <w:t>1</w:t>
      </w:r>
      <w:r>
        <w:rPr/>
        <w:t>）涉及的 </w:t>
      </w:r>
      <w:r>
        <w:rPr>
          <w:rFonts w:ascii="宋体" w:hAnsi="宋体" w:cs="宋体" w:eastAsia="宋体" w:hint="default"/>
        </w:rPr>
        <w:t>BT</w:t>
      </w:r>
      <w:r>
        <w:rPr>
          <w:rFonts w:ascii="宋体" w:hAnsi="宋体" w:cs="宋体" w:eastAsia="宋体" w:hint="default"/>
          <w:spacing w:val="-3"/>
        </w:rPr>
        <w:t> </w:t>
      </w:r>
      <w:r>
        <w:rPr/>
        <w:t>业务同时满足以下条件：</w:t>
      </w:r>
    </w:p>
    <w:p>
      <w:pPr>
        <w:spacing w:after="0" w:line="240" w:lineRule="auto"/>
        <w:jc w:val="left"/>
        <w:sectPr>
          <w:pgSz w:w="11910" w:h="16840"/>
          <w:pgMar w:header="856" w:footer="1193" w:top="1280" w:bottom="1380" w:left="1660" w:right="940"/>
        </w:sectPr>
      </w:pPr>
    </w:p>
    <w:p>
      <w:pPr>
        <w:spacing w:line="240" w:lineRule="auto" w:before="7"/>
        <w:rPr>
          <w:rFonts w:ascii="宋体" w:hAnsi="宋体" w:cs="宋体" w:eastAsia="宋体" w:hint="default"/>
          <w:sz w:val="18"/>
          <w:szCs w:val="18"/>
        </w:rPr>
      </w:pPr>
    </w:p>
    <w:p>
      <w:pPr>
        <w:pStyle w:val="BodyText"/>
        <w:spacing w:line="240" w:lineRule="auto" w:before="36"/>
        <w:ind w:left="558" w:right="99"/>
        <w:jc w:val="left"/>
      </w:pPr>
      <w:r>
        <w:rPr/>
        <w:t>①</w:t>
      </w:r>
      <w:r>
        <w:rPr>
          <w:spacing w:val="-6"/>
        </w:rPr>
        <w:t> </w:t>
      </w:r>
      <w:r>
        <w:rPr/>
        <w:t>合同授予方为政府及其有关部门或政府授权进行招标的企业。</w:t>
      </w:r>
    </w:p>
    <w:p>
      <w:pPr>
        <w:pStyle w:val="BodyText"/>
        <w:spacing w:line="314" w:lineRule="auto" w:before="85"/>
        <w:ind w:right="99" w:firstLine="419"/>
        <w:jc w:val="left"/>
      </w:pPr>
      <w:r>
        <w:rPr>
          <w:spacing w:val="-2"/>
        </w:rPr>
        <w:t>②合同投资方为按照有关程序取得合同的企业（以下简称合同投资方）。合同投资方按照规</w:t>
      </w:r>
      <w:r>
        <w:rPr>
          <w:w w:val="100"/>
        </w:rPr>
        <w:t> </w:t>
      </w:r>
      <w:r>
        <w:rPr/>
        <w:t>定设立项目公司（以下简称项目公司）进行项目建设和运营。</w:t>
      </w:r>
    </w:p>
    <w:p>
      <w:pPr>
        <w:pStyle w:val="BodyText"/>
        <w:spacing w:line="314" w:lineRule="auto"/>
        <w:ind w:right="208" w:firstLine="419"/>
        <w:jc w:val="both"/>
      </w:pPr>
      <w:r>
        <w:rPr/>
        <w:t>③</w:t>
      </w:r>
      <w:r>
        <w:rPr>
          <w:spacing w:val="46"/>
        </w:rPr>
        <w:t> </w:t>
      </w:r>
      <w:r>
        <w:rPr>
          <w:spacing w:val="-4"/>
        </w:rPr>
        <w:t>合同中对所建造公共基础设施的质量标准、工期、移交的对象、合同总价款及其分期偿还</w:t>
      </w:r>
      <w:r>
        <w:rPr>
          <w:w w:val="100"/>
        </w:rPr>
        <w:t> </w:t>
      </w:r>
      <w:r>
        <w:rPr>
          <w:spacing w:val="-2"/>
        </w:rPr>
        <w:t>等作出约定，同时在合同期满，合同投资方负有将有关公共基础设施移交给合同授予方或其指定</w:t>
      </w:r>
      <w:r>
        <w:rPr>
          <w:spacing w:val="-25"/>
        </w:rPr>
        <w:t> </w:t>
      </w:r>
      <w:r>
        <w:rPr>
          <w:spacing w:val="-25"/>
        </w:rPr>
      </w:r>
      <w:r>
        <w:rPr/>
        <w:t>的单位，并对基础设施在移交时的性能、状态等作出明确规定。</w:t>
      </w:r>
    </w:p>
    <w:p>
      <w:pPr>
        <w:pStyle w:val="BodyText"/>
        <w:spacing w:line="240" w:lineRule="auto"/>
        <w:ind w:left="558" w:right="99"/>
        <w:jc w:val="left"/>
      </w:pPr>
      <w:r>
        <w:rPr>
          <w:rFonts w:ascii="宋体" w:hAnsi="宋体" w:cs="宋体" w:eastAsia="宋体" w:hint="default"/>
        </w:rPr>
        <w:t>2</w:t>
      </w:r>
      <w:r>
        <w:rPr/>
        <w:t>） 与 </w:t>
      </w:r>
      <w:r>
        <w:rPr>
          <w:rFonts w:ascii="宋体" w:hAnsi="宋体" w:cs="宋体" w:eastAsia="宋体" w:hint="default"/>
        </w:rPr>
        <w:t>BT</w:t>
      </w:r>
      <w:r>
        <w:rPr>
          <w:rFonts w:ascii="宋体" w:hAnsi="宋体" w:cs="宋体" w:eastAsia="宋体" w:hint="default"/>
          <w:spacing w:val="2"/>
        </w:rPr>
        <w:t> </w:t>
      </w:r>
      <w:r>
        <w:rPr/>
        <w:t>业务相关收入的确认</w:t>
      </w:r>
    </w:p>
    <w:p>
      <w:pPr>
        <w:pStyle w:val="BodyText"/>
        <w:spacing w:line="314" w:lineRule="auto" w:before="85"/>
        <w:ind w:right="207" w:firstLine="419"/>
        <w:jc w:val="both"/>
      </w:pPr>
      <w:r>
        <w:rPr/>
        <w:t>① 建造期间，项目公司对于所提供的建造服务按照《企业会计准则第</w:t>
      </w:r>
      <w:r>
        <w:rPr>
          <w:rFonts w:ascii="宋体" w:hAnsi="宋体" w:cs="宋体" w:eastAsia="宋体" w:hint="default"/>
        </w:rPr>
        <w:t>15</w:t>
      </w:r>
      <w:r>
        <w:rPr>
          <w:rFonts w:ascii="宋体" w:hAnsi="宋体" w:cs="宋体" w:eastAsia="宋体" w:hint="default"/>
          <w:spacing w:val="-9"/>
        </w:rPr>
        <w:t> </w:t>
      </w:r>
      <w:r>
        <w:rPr/>
        <w:t>号——建造合同》</w:t>
      </w:r>
      <w:r>
        <w:rPr>
          <w:w w:val="100"/>
        </w:rPr>
        <w:t> </w:t>
      </w:r>
      <w:r>
        <w:rPr>
          <w:spacing w:val="-4"/>
        </w:rPr>
        <w:t>确认相关的收入和费用。基础设施建成后，项目公司按照《企业会计准则第</w:t>
      </w:r>
      <w:r>
        <w:rPr>
          <w:rFonts w:ascii="宋体" w:hAnsi="宋体" w:cs="宋体" w:eastAsia="宋体" w:hint="default"/>
          <w:spacing w:val="-4"/>
        </w:rPr>
        <w:t>14</w:t>
      </w:r>
      <w:r>
        <w:rPr>
          <w:rFonts w:ascii="宋体" w:hAnsi="宋体" w:cs="宋体" w:eastAsia="宋体" w:hint="default"/>
          <w:spacing w:val="64"/>
        </w:rPr>
        <w:t> </w:t>
      </w:r>
      <w:r>
        <w:rPr>
          <w:spacing w:val="-5"/>
        </w:rPr>
        <w:t>号——收入》确认</w:t>
      </w:r>
      <w:r>
        <w:rPr>
          <w:spacing w:val="-92"/>
        </w:rPr>
        <w:t> </w:t>
      </w:r>
      <w:r>
        <w:rPr>
          <w:spacing w:val="-92"/>
        </w:rPr>
      </w:r>
      <w:r>
        <w:rPr/>
        <w:t>与后续经营服务相关的收入。</w:t>
      </w:r>
    </w:p>
    <w:p>
      <w:pPr>
        <w:pStyle w:val="BodyText"/>
        <w:spacing w:line="314" w:lineRule="auto"/>
        <w:ind w:right="204" w:firstLine="419"/>
        <w:jc w:val="left"/>
      </w:pPr>
      <w:r>
        <w:rPr>
          <w:spacing w:val="-2"/>
        </w:rPr>
        <w:t>②合同规定基础设施建成后的一定期间内，项目公司可以无条件地自合同授予方收取确定金</w:t>
      </w:r>
      <w:r>
        <w:rPr>
          <w:w w:val="100"/>
        </w:rPr>
        <w:t> </w:t>
      </w:r>
      <w:r>
        <w:rPr>
          <w:spacing w:val="-9"/>
          <w:w w:val="100"/>
        </w:rPr>
        <w:t>额的货币资金或其他金融资产的，在确认收入的同时确认金融资产，并按照《企业会计准则第</w:t>
      </w:r>
      <w:r>
        <w:rPr>
          <w:rFonts w:ascii="宋体" w:hAnsi="宋体" w:cs="宋体" w:eastAsia="宋体" w:hint="default"/>
          <w:spacing w:val="-9"/>
          <w:w w:val="100"/>
        </w:rPr>
        <w:t>22</w:t>
      </w:r>
      <w:r>
        <w:rPr>
          <w:rFonts w:ascii="宋体" w:hAnsi="宋体" w:cs="宋体" w:eastAsia="宋体" w:hint="default"/>
          <w:spacing w:val="24"/>
          <w:w w:val="100"/>
        </w:rPr>
        <w:t> </w:t>
      </w:r>
      <w:r>
        <w:rPr>
          <w:w w:val="100"/>
        </w:rPr>
        <w:t>号</w:t>
      </w:r>
    </w:p>
    <w:p>
      <w:pPr>
        <w:pStyle w:val="BodyText"/>
        <w:spacing w:line="240" w:lineRule="auto"/>
        <w:ind w:right="0"/>
        <w:jc w:val="both"/>
      </w:pPr>
      <w:r>
        <w:rPr>
          <w:spacing w:val="-7"/>
        </w:rPr>
        <w:t>——金融工具确认和计量》的规定处理。建造过程如发生借款利息，按照《企业会计准则第 </w:t>
      </w:r>
      <w:r>
        <w:rPr>
          <w:rFonts w:ascii="宋体" w:hAnsi="宋体" w:cs="宋体" w:eastAsia="宋体" w:hint="default"/>
        </w:rPr>
        <w:t>17</w:t>
      </w:r>
      <w:r>
        <w:rPr>
          <w:rFonts w:ascii="宋体" w:hAnsi="宋体" w:cs="宋体" w:eastAsia="宋体" w:hint="default"/>
          <w:spacing w:val="80"/>
        </w:rPr>
        <w:t> </w:t>
      </w:r>
      <w:r>
        <w:rPr/>
        <w:t>号</w:t>
      </w:r>
    </w:p>
    <w:p>
      <w:pPr>
        <w:pStyle w:val="BodyText"/>
        <w:spacing w:line="240" w:lineRule="auto" w:before="85"/>
        <w:ind w:right="0"/>
        <w:jc w:val="both"/>
      </w:pPr>
      <w:r>
        <w:rPr/>
        <w:t>——借款费用》的规定处理。</w:t>
      </w:r>
    </w:p>
    <w:p>
      <w:pPr>
        <w:pStyle w:val="BodyText"/>
        <w:spacing w:line="314" w:lineRule="auto" w:before="85"/>
        <w:ind w:right="99" w:firstLine="419"/>
        <w:jc w:val="left"/>
      </w:pPr>
      <w:r>
        <w:rPr>
          <w:w w:val="100"/>
        </w:rPr>
        <w:t>③</w:t>
      </w:r>
      <w:r>
        <w:rPr>
          <w:rFonts w:ascii="宋体" w:hAnsi="宋体" w:cs="宋体" w:eastAsia="宋体" w:hint="default"/>
          <w:w w:val="100"/>
        </w:rPr>
        <w:t>BT</w:t>
      </w:r>
      <w:r>
        <w:rPr>
          <w:rFonts w:ascii="宋体" w:hAnsi="宋体" w:cs="宋体" w:eastAsia="宋体" w:hint="default"/>
          <w:spacing w:val="13"/>
          <w:w w:val="100"/>
        </w:rPr>
        <w:t> </w:t>
      </w:r>
      <w:r>
        <w:rPr>
          <w:spacing w:val="-7"/>
          <w:w w:val="100"/>
        </w:rPr>
        <w:t>项目公司未提供实际建造服务，将基础设施建造发包给其他方的，不确认建造服务收入，</w:t>
      </w:r>
      <w:r>
        <w:rPr>
          <w:w w:val="100"/>
        </w:rPr>
        <w:t> </w:t>
      </w:r>
      <w:r>
        <w:rPr/>
        <w:t>按照建造过程中支付的工程价款等考虑合同规定确认为金融资产。</w:t>
      </w:r>
    </w:p>
    <w:p>
      <w:pPr>
        <w:pStyle w:val="BodyText"/>
        <w:spacing w:line="240" w:lineRule="auto"/>
        <w:ind w:left="558" w:right="99"/>
        <w:jc w:val="left"/>
      </w:pPr>
      <w:r>
        <w:rPr/>
        <w:t>④ </w:t>
      </w:r>
      <w:r>
        <w:rPr>
          <w:rFonts w:ascii="宋体" w:hAnsi="宋体" w:cs="宋体" w:eastAsia="宋体" w:hint="default"/>
        </w:rPr>
        <w:t>BT</w:t>
      </w:r>
      <w:r>
        <w:rPr>
          <w:rFonts w:ascii="宋体" w:hAnsi="宋体" w:cs="宋体" w:eastAsia="宋体" w:hint="default"/>
          <w:spacing w:val="-1"/>
        </w:rPr>
        <w:t> </w:t>
      </w:r>
      <w:r>
        <w:rPr/>
        <w:t>业务所建造基础设施不作为项目公司的固定资产。</w:t>
      </w:r>
    </w:p>
    <w:p>
      <w:pPr>
        <w:pStyle w:val="BodyText"/>
        <w:spacing w:line="314" w:lineRule="auto" w:before="85"/>
        <w:ind w:right="206" w:firstLine="419"/>
        <w:jc w:val="both"/>
      </w:pPr>
      <w:r>
        <w:rPr>
          <w:rFonts w:ascii="宋体" w:hAnsi="宋体" w:cs="宋体" w:eastAsia="宋体" w:hint="default"/>
          <w:spacing w:val="-11"/>
        </w:rPr>
        <w:t>3</w:t>
      </w:r>
      <w:r>
        <w:rPr>
          <w:spacing w:val="-11"/>
        </w:rPr>
        <w:t>）在 </w:t>
      </w:r>
      <w:r>
        <w:rPr>
          <w:rFonts w:ascii="宋体" w:hAnsi="宋体" w:cs="宋体" w:eastAsia="宋体" w:hint="default"/>
        </w:rPr>
        <w:t>BT</w:t>
      </w:r>
      <w:r>
        <w:rPr>
          <w:rFonts w:ascii="宋体" w:hAnsi="宋体" w:cs="宋体" w:eastAsia="宋体" w:hint="default"/>
          <w:spacing w:val="-11"/>
        </w:rPr>
        <w:t> </w:t>
      </w:r>
      <w:r>
        <w:rPr>
          <w:spacing w:val="-4"/>
        </w:rPr>
        <w:t>业务中，授予方可能向项目公司提供除基础设施以外其他的资产，如果该资产构成</w:t>
      </w:r>
      <w:r>
        <w:rPr>
          <w:w w:val="100"/>
        </w:rPr>
        <w:t> </w:t>
      </w:r>
      <w:r>
        <w:rPr>
          <w:spacing w:val="-2"/>
        </w:rPr>
        <w:t>授予方应付合同价款的一部分，不作为政府补助处理。项目公司自授予方取得资产时，以其公允</w:t>
      </w:r>
      <w:r>
        <w:rPr>
          <w:spacing w:val="-25"/>
        </w:rPr>
        <w:t> </w:t>
      </w:r>
      <w:r>
        <w:rPr>
          <w:spacing w:val="-25"/>
        </w:rPr>
      </w:r>
      <w:r>
        <w:rPr/>
        <w:t>价值确认，未移交基础设施前确认为一项负债。</w:t>
      </w:r>
    </w:p>
    <w:p>
      <w:pPr>
        <w:pStyle w:val="BodyText"/>
        <w:spacing w:line="314" w:lineRule="auto"/>
        <w:ind w:left="558" w:right="99"/>
        <w:jc w:val="left"/>
      </w:pPr>
      <w:r>
        <w:rPr>
          <w:spacing w:val="-2"/>
        </w:rPr>
        <w:t>（</w:t>
      </w:r>
      <w:r>
        <w:rPr>
          <w:rFonts w:ascii="宋体" w:hAnsi="宋体" w:cs="宋体" w:eastAsia="宋体" w:hint="default"/>
          <w:spacing w:val="-2"/>
        </w:rPr>
        <w:t>7</w:t>
      </w:r>
      <w:r>
        <w:rPr>
          <w:spacing w:val="-2"/>
        </w:rPr>
        <w:t>）房地产销售在同时满足以下条件时确认收入：</w:t>
      </w:r>
      <w:r>
        <w:rPr>
          <w:spacing w:val="-62"/>
        </w:rPr>
        <w:t> </w:t>
      </w:r>
      <w:r>
        <w:rPr>
          <w:spacing w:val="-62"/>
        </w:rPr>
      </w:r>
      <w:r>
        <w:rPr>
          <w:rFonts w:ascii="宋体" w:hAnsi="宋体" w:cs="宋体" w:eastAsia="宋体" w:hint="default"/>
        </w:rPr>
        <w:t>1</w:t>
      </w:r>
      <w:r>
        <w:rPr/>
        <w:t>）工程已经竣工且经有关部门验收合格；</w:t>
      </w:r>
    </w:p>
    <w:p>
      <w:pPr>
        <w:pStyle w:val="BodyText"/>
        <w:spacing w:line="240" w:lineRule="auto"/>
        <w:ind w:left="558" w:right="99"/>
        <w:jc w:val="left"/>
      </w:pPr>
      <w:r>
        <w:rPr>
          <w:rFonts w:ascii="宋体" w:hAnsi="宋体" w:cs="宋体" w:eastAsia="宋体" w:hint="default"/>
        </w:rPr>
        <w:t>2</w:t>
      </w:r>
      <w:r>
        <w:rPr/>
        <w:t>）房地产开发成本能够可靠计量；</w:t>
      </w:r>
    </w:p>
    <w:p>
      <w:pPr>
        <w:pStyle w:val="BodyText"/>
        <w:spacing w:line="240" w:lineRule="auto" w:before="85"/>
        <w:ind w:left="558" w:right="99"/>
        <w:jc w:val="left"/>
      </w:pPr>
      <w:r>
        <w:rPr>
          <w:rFonts w:ascii="宋体" w:hAnsi="宋体" w:cs="宋体" w:eastAsia="宋体" w:hint="default"/>
        </w:rPr>
        <w:t>3</w:t>
      </w:r>
      <w:r>
        <w:rPr/>
        <w:t>）与用户签订了销售合同；</w:t>
      </w:r>
    </w:p>
    <w:p>
      <w:pPr>
        <w:pStyle w:val="BodyText"/>
        <w:spacing w:line="240" w:lineRule="auto" w:before="85"/>
        <w:ind w:left="558" w:right="99"/>
        <w:jc w:val="left"/>
      </w:pPr>
      <w:r>
        <w:rPr>
          <w:rFonts w:ascii="宋体" w:hAnsi="宋体" w:cs="宋体" w:eastAsia="宋体" w:hint="default"/>
        </w:rPr>
        <w:t>4</w:t>
      </w:r>
      <w:r>
        <w:rPr/>
        <w:t>）按照合同要求已向客户移交房屋钥匙或通知客户领取钥匙。</w:t>
      </w:r>
    </w:p>
    <w:p>
      <w:pPr>
        <w:pStyle w:val="BodyText"/>
        <w:spacing w:line="314" w:lineRule="auto" w:before="85"/>
        <w:ind w:left="558" w:right="99"/>
        <w:jc w:val="left"/>
      </w:pPr>
      <w:r>
        <w:rPr/>
        <w:t>（</w:t>
      </w:r>
      <w:r>
        <w:rPr>
          <w:rFonts w:ascii="宋体" w:hAnsi="宋体" w:cs="宋体" w:eastAsia="宋体" w:hint="default"/>
        </w:rPr>
        <w:t>8</w:t>
      </w:r>
      <w:r>
        <w:rPr/>
        <w:t>）互联网广告投放收入确认</w:t>
      </w:r>
      <w:r>
        <w:rPr>
          <w:w w:val="100"/>
        </w:rPr>
        <w:t> </w:t>
      </w:r>
      <w:r>
        <w:rPr>
          <w:spacing w:val="-2"/>
        </w:rPr>
        <w:t>公司承接业务后，按照客户要求选择媒体并与其签订广告投放合同，与客户沟通确定投放方</w:t>
      </w:r>
    </w:p>
    <w:p>
      <w:pPr>
        <w:pStyle w:val="BodyText"/>
        <w:spacing w:line="314" w:lineRule="auto"/>
        <w:ind w:right="217"/>
        <w:jc w:val="both"/>
      </w:pPr>
      <w:r>
        <w:rPr>
          <w:spacing w:val="-2"/>
        </w:rPr>
        <w:t>案或与媒体沟通编制媒介排期表，公司根据经客户确认的投放方案或媒介排期表执行广告发布，</w:t>
      </w:r>
      <w:r>
        <w:rPr>
          <w:spacing w:val="-25"/>
        </w:rPr>
        <w:t> </w:t>
      </w:r>
      <w:r>
        <w:rPr>
          <w:spacing w:val="-25"/>
        </w:rPr>
      </w:r>
      <w:r>
        <w:rPr/>
        <w:t>按照广告投放方案或广告排期的执行进度确认收入。</w:t>
      </w:r>
    </w:p>
    <w:p>
      <w:pPr>
        <w:pStyle w:val="BodyText"/>
        <w:spacing w:line="314" w:lineRule="auto"/>
        <w:ind w:left="558" w:right="99"/>
        <w:jc w:val="left"/>
      </w:pPr>
      <w:r>
        <w:rPr/>
        <w:t>（</w:t>
      </w:r>
      <w:r>
        <w:rPr>
          <w:rFonts w:ascii="宋体" w:hAnsi="宋体" w:cs="宋体" w:eastAsia="宋体" w:hint="default"/>
        </w:rPr>
        <w:t>9</w:t>
      </w:r>
      <w:r>
        <w:rPr/>
        <w:t>）营销策划及执行服务收入确认</w:t>
      </w:r>
      <w:r>
        <w:rPr>
          <w:w w:val="100"/>
        </w:rPr>
        <w:t> </w:t>
      </w:r>
      <w:r>
        <w:rPr>
          <w:spacing w:val="-2"/>
        </w:rPr>
        <w:t>公司与客户协商确定营销推广内容并签署合同，公司已根据合同约定为客户提供相关服务，</w:t>
      </w:r>
    </w:p>
    <w:p>
      <w:pPr>
        <w:pStyle w:val="BodyText"/>
        <w:spacing w:line="314" w:lineRule="auto"/>
        <w:ind w:right="217"/>
        <w:jc w:val="both"/>
      </w:pPr>
      <w:r>
        <w:rPr>
          <w:spacing w:val="-2"/>
        </w:rPr>
        <w:t>同时满足收入的金额能够可靠地计量、相关经济利益很可能流入、交易的完工进度能够可靠地确</w:t>
      </w:r>
      <w:r>
        <w:rPr>
          <w:spacing w:val="-25"/>
        </w:rPr>
        <w:t> </w:t>
      </w:r>
      <w:r>
        <w:rPr>
          <w:spacing w:val="-25"/>
        </w:rPr>
      </w:r>
      <w:r>
        <w:rPr>
          <w:spacing w:val="-2"/>
        </w:rPr>
        <w:t>定、交易中已发生和将发生的成本能够可靠地计量时，确认服务收入。公司根据合同服务期分阶</w:t>
      </w:r>
      <w:r>
        <w:rPr>
          <w:spacing w:val="-25"/>
        </w:rPr>
        <w:t> </w:t>
      </w:r>
      <w:r>
        <w:rPr>
          <w:spacing w:val="-25"/>
        </w:rPr>
      </w:r>
      <w:r>
        <w:rPr/>
        <w:t>段确认收入，资产负债表日采用完工百分比法确认服务收入。</w:t>
      </w:r>
    </w:p>
    <w:p>
      <w:pPr>
        <w:pStyle w:val="BodyText"/>
        <w:spacing w:line="314" w:lineRule="auto"/>
        <w:ind w:right="99" w:firstLine="419"/>
        <w:jc w:val="left"/>
      </w:pPr>
      <w:r>
        <w:rPr/>
        <w:t>（</w:t>
      </w:r>
      <w:r>
        <w:rPr>
          <w:rFonts w:ascii="宋体" w:hAnsi="宋体" w:cs="宋体" w:eastAsia="宋体" w:hint="default"/>
        </w:rPr>
        <w:t>10</w:t>
      </w:r>
      <w:r>
        <w:rPr/>
        <w:t>）搜索导航服务收入确认</w:t>
      </w:r>
      <w:r>
        <w:rPr>
          <w:w w:val="100"/>
        </w:rPr>
        <w:t> </w:t>
      </w:r>
      <w:r>
        <w:rPr>
          <w:spacing w:val="-2"/>
        </w:rPr>
        <w:t>公司与客户协商确定网址导航服务内容，根据双方约定的结算方式，在服务完成并经双方确认、</w:t>
      </w:r>
      <w:r>
        <w:rPr>
          <w:spacing w:val="-25"/>
        </w:rPr>
        <w:t> </w:t>
      </w:r>
      <w:r>
        <w:rPr>
          <w:spacing w:val="-25"/>
        </w:rPr>
      </w:r>
      <w:r>
        <w:rPr/>
        <w:t>相关经济利益很可能流入时确认收入。</w:t>
      </w:r>
    </w:p>
    <w:p>
      <w:pPr>
        <w:spacing w:after="0" w:line="314" w:lineRule="auto"/>
        <w:jc w:val="left"/>
        <w:sectPr>
          <w:pgSz w:w="11910" w:h="16840"/>
          <w:pgMar w:header="856" w:footer="1193" w:top="1280" w:bottom="1380" w:left="1660" w:right="1060"/>
        </w:sectPr>
      </w:pPr>
    </w:p>
    <w:p>
      <w:pPr>
        <w:spacing w:line="240" w:lineRule="auto" w:before="8"/>
        <w:rPr>
          <w:rFonts w:ascii="宋体" w:hAnsi="宋体" w:cs="宋体" w:eastAsia="宋体" w:hint="default"/>
          <w:sz w:val="12"/>
          <w:szCs w:val="12"/>
        </w:rPr>
      </w:pPr>
    </w:p>
    <w:p>
      <w:pPr>
        <w:pStyle w:val="Heading2"/>
        <w:spacing w:line="266" w:lineRule="auto"/>
        <w:ind w:left="138" w:right="3086"/>
        <w:jc w:val="left"/>
        <w:rPr>
          <w:b w:val="0"/>
          <w:bCs w:val="0"/>
        </w:rPr>
      </w:pPr>
      <w:r>
        <w:rPr>
          <w:rFonts w:ascii="Calibri" w:hAnsi="Calibri" w:cs="Calibri" w:eastAsia="Calibri" w:hint="default"/>
        </w:rPr>
        <w:t>24.</w:t>
      </w:r>
      <w:r>
        <w:rPr>
          <w:rFonts w:ascii="Calibri" w:hAnsi="Calibri" w:cs="Calibri" w:eastAsia="Calibri" w:hint="default"/>
          <w:spacing w:val="1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312" w:lineRule="auto" w:before="110"/>
        <w:ind w:right="0" w:firstLine="419"/>
        <w:jc w:val="left"/>
        <w:rPr>
          <w:rFonts w:ascii="宋体" w:hAnsi="宋体" w:cs="宋体" w:eastAsia="宋体" w:hint="default"/>
        </w:rPr>
      </w:pPr>
      <w:r>
        <w:rPr>
          <w:spacing w:val="-2"/>
        </w:rPr>
        <w:t>本公司将所取得的用于购建或以其他方式形成长期资产的政府补助界定为与资产相关的政府</w:t>
      </w:r>
      <w:r>
        <w:rPr>
          <w:w w:val="100"/>
        </w:rPr>
        <w:t> </w:t>
      </w:r>
      <w:r>
        <w:rPr>
          <w:spacing w:val="-2"/>
        </w:rPr>
        <w:t>补助；若政府文件未明确规定补助对象，则采用以下方式将补助款划分为与收益相关的政府补助</w:t>
      </w:r>
      <w:r>
        <w:rPr>
          <w:spacing w:val="-25"/>
        </w:rPr>
        <w:t> </w:t>
      </w:r>
      <w:r>
        <w:rPr>
          <w:spacing w:val="-25"/>
        </w:rPr>
      </w:r>
      <w:r>
        <w:rPr>
          <w:spacing w:val="-2"/>
        </w:rPr>
        <w:t>和与资产相关的政府补助：政府文件明确了补助所针对的特定项目的，根据该特定项目的预算中</w:t>
      </w:r>
      <w:r>
        <w:rPr>
          <w:spacing w:val="-25"/>
        </w:rPr>
        <w:t> </w:t>
      </w:r>
      <w:r>
        <w:rPr>
          <w:spacing w:val="-25"/>
        </w:rPr>
      </w:r>
      <w:r>
        <w:rPr>
          <w:spacing w:val="-2"/>
        </w:rPr>
        <w:t>将形成资产的支出金额和计入费用的支出金额的相对比例进行划分，对该划分比例需在每个资产</w:t>
      </w:r>
      <w:r>
        <w:rPr>
          <w:spacing w:val="-25"/>
        </w:rPr>
        <w:t> </w:t>
      </w:r>
      <w:r>
        <w:rPr>
          <w:spacing w:val="-25"/>
        </w:rPr>
      </w:r>
      <w:r>
        <w:rPr>
          <w:spacing w:val="-2"/>
        </w:rPr>
        <w:t>负债表日进行复核，必要时进行变更。本公司将与资产相关的政府补助，确认为递延收益，并在</w:t>
      </w:r>
      <w:r>
        <w:rPr>
          <w:spacing w:val="-25"/>
        </w:rPr>
        <w:t> </w:t>
      </w:r>
      <w:r>
        <w:rPr>
          <w:spacing w:val="-25"/>
        </w:rPr>
      </w:r>
      <w:r>
        <w:rPr/>
        <w:t>相关资产的使用寿命内平均分配计入当期损益。</w:t>
      </w:r>
      <w:r>
        <w:rPr>
          <w:w w:val="100"/>
        </w:rPr>
        <w:t> </w:t>
      </w:r>
      <w:r>
        <w:rPr>
          <w:rFonts w:ascii="宋体" w:hAnsi="宋体" w:cs="宋体" w:eastAsia="宋体" w:hint="default"/>
          <w:b/>
          <w:bCs/>
        </w:rPr>
        <w:t>(2)</w:t>
      </w:r>
      <w:r>
        <w:rPr>
          <w:rFonts w:ascii="宋体" w:hAnsi="宋体" w:cs="宋体" w:eastAsia="宋体" w:hint="default"/>
          <w:b/>
          <w:bCs/>
        </w:rPr>
        <w:t>、与收益相关的政府补助判断依据及会计处理方法</w:t>
      </w:r>
      <w:r>
        <w:rPr>
          <w:rFonts w:ascii="宋体" w:hAnsi="宋体" w:cs="宋体" w:eastAsia="宋体" w:hint="default"/>
        </w:rPr>
      </w:r>
    </w:p>
    <w:p>
      <w:pPr>
        <w:pStyle w:val="BodyText"/>
        <w:spacing w:line="314" w:lineRule="auto" w:before="73"/>
        <w:ind w:right="328" w:firstLine="419"/>
        <w:jc w:val="both"/>
      </w:pPr>
      <w:r>
        <w:rPr>
          <w:spacing w:val="-2"/>
        </w:rPr>
        <w:t>本公司将所取得的用于购建或以其他方式形成长期资产的以外的政府补助界定为与收益相关</w:t>
      </w:r>
      <w:r>
        <w:rPr>
          <w:w w:val="100"/>
        </w:rPr>
        <w:t> </w:t>
      </w:r>
      <w:r>
        <w:rPr>
          <w:spacing w:val="-2"/>
        </w:rPr>
        <w:t>的政府补助；若政府文件未明确规定补助对象，则采用以下方式将补助款划分为与收益相关的政</w:t>
      </w:r>
      <w:r>
        <w:rPr>
          <w:spacing w:val="-25"/>
        </w:rPr>
        <w:t> </w:t>
      </w:r>
      <w:r>
        <w:rPr>
          <w:spacing w:val="-25"/>
        </w:rPr>
      </w:r>
      <w:r>
        <w:rPr>
          <w:spacing w:val="-2"/>
        </w:rPr>
        <w:t>府补助和与资产相关的政府补助：政府文件中对用途仅作一般性表述，没有指明特定项目的，作</w:t>
      </w:r>
      <w:r>
        <w:rPr>
          <w:spacing w:val="-25"/>
        </w:rPr>
        <w:t> </w:t>
      </w:r>
      <w:r>
        <w:rPr>
          <w:spacing w:val="-25"/>
        </w:rPr>
      </w:r>
      <w:r>
        <w:rPr>
          <w:spacing w:val="-2"/>
        </w:rPr>
        <w:t>为与收益相关的政府补助。与收益相关的政府补助，用于补偿以后期间的相关费用和损失的，确</w:t>
      </w:r>
      <w:r>
        <w:rPr>
          <w:spacing w:val="-25"/>
        </w:rPr>
        <w:t> </w:t>
      </w:r>
      <w:r>
        <w:rPr>
          <w:spacing w:val="-25"/>
        </w:rPr>
      </w:r>
      <w:r>
        <w:rPr>
          <w:spacing w:val="-6"/>
          <w:w w:val="100"/>
        </w:rPr>
        <w:t>认为递延收益，并在确认相关费用的期间计入当期损益；用于补偿已经发生的相关费用和损失的，</w:t>
      </w:r>
      <w:r>
        <w:rPr>
          <w:w w:val="100"/>
        </w:rPr>
        <w:t> </w:t>
      </w:r>
      <w:r>
        <w:rPr/>
        <w:t>直接计入当期损益。</w:t>
      </w:r>
    </w:p>
    <w:p>
      <w:pPr>
        <w:spacing w:line="240" w:lineRule="auto" w:before="13"/>
        <w:rPr>
          <w:rFonts w:ascii="宋体" w:hAnsi="宋体" w:cs="宋体" w:eastAsia="宋体" w:hint="default"/>
          <w:sz w:val="20"/>
          <w:szCs w:val="20"/>
        </w:rPr>
      </w:pPr>
    </w:p>
    <w:p>
      <w:pPr>
        <w:spacing w:line="326" w:lineRule="auto" w:before="0"/>
        <w:ind w:left="558" w:right="3086" w:hanging="420"/>
        <w:jc w:val="left"/>
        <w:rPr>
          <w:rFonts w:ascii="宋体" w:hAnsi="宋体" w:cs="宋体" w:eastAsia="宋体" w:hint="default"/>
          <w:sz w:val="21"/>
          <w:szCs w:val="21"/>
        </w:rPr>
      </w:pPr>
      <w:r>
        <w:rPr>
          <w:rFonts w:ascii="Calibri" w:hAnsi="Calibri" w:cs="Calibri" w:eastAsia="Calibri" w:hint="default"/>
          <w:b/>
          <w:bCs/>
          <w:sz w:val="21"/>
          <w:szCs w:val="21"/>
        </w:rPr>
        <w:t>25.</w:t>
      </w:r>
      <w:r>
        <w:rPr>
          <w:rFonts w:ascii="Calibri" w:hAnsi="Calibri" w:cs="Calibri" w:eastAsia="Calibri" w:hint="default"/>
          <w:b/>
          <w:bCs/>
          <w:spacing w:val="12"/>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所得税费用包括当期所得税和递延所得税。</w:t>
      </w:r>
    </w:p>
    <w:p>
      <w:pPr>
        <w:pStyle w:val="BodyText"/>
        <w:spacing w:line="314" w:lineRule="auto" w:before="10"/>
        <w:ind w:left="558" w:right="0" w:firstLine="201"/>
        <w:jc w:val="left"/>
      </w:pPr>
      <w:r>
        <w:rPr/>
        <w:t>（</w:t>
      </w:r>
      <w:r>
        <w:rPr>
          <w:rFonts w:ascii="宋体" w:hAnsi="宋体" w:cs="宋体" w:eastAsia="宋体" w:hint="default"/>
        </w:rPr>
        <w:t>1</w:t>
      </w:r>
      <w:r>
        <w:rPr/>
        <w:t>）当期所得税</w:t>
      </w:r>
      <w:r>
        <w:rPr>
          <w:w w:val="100"/>
        </w:rPr>
        <w:t> </w:t>
      </w:r>
      <w:r>
        <w:rPr>
          <w:spacing w:val="-2"/>
        </w:rPr>
        <w:t>资产负债表日，对于当期和以前期间形成的当期所得税负债</w:t>
      </w:r>
      <w:r>
        <w:rPr>
          <w:rFonts w:ascii="宋体" w:hAnsi="宋体" w:cs="宋体" w:eastAsia="宋体" w:hint="default"/>
          <w:spacing w:val="-2"/>
        </w:rPr>
        <w:t>(</w:t>
      </w:r>
      <w:r>
        <w:rPr>
          <w:spacing w:val="-2"/>
        </w:rPr>
        <w:t>或资产</w:t>
      </w:r>
      <w:r>
        <w:rPr>
          <w:rFonts w:ascii="宋体" w:hAnsi="宋体" w:cs="宋体" w:eastAsia="宋体" w:hint="default"/>
          <w:spacing w:val="-2"/>
        </w:rPr>
        <w:t>)</w:t>
      </w:r>
      <w:r>
        <w:rPr>
          <w:spacing w:val="-2"/>
        </w:rPr>
        <w:t>，以按照税法规定计算</w:t>
      </w:r>
    </w:p>
    <w:p>
      <w:pPr>
        <w:pStyle w:val="BodyText"/>
        <w:spacing w:line="240" w:lineRule="auto"/>
        <w:ind w:right="0"/>
        <w:jc w:val="left"/>
      </w:pPr>
      <w:r>
        <w:rPr/>
        <w:t>的预期应交纳</w:t>
      </w:r>
      <w:r>
        <w:rPr>
          <w:rFonts w:ascii="宋体" w:hAnsi="宋体" w:cs="宋体" w:eastAsia="宋体" w:hint="default"/>
        </w:rPr>
        <w:t>(</w:t>
      </w:r>
      <w:r>
        <w:rPr/>
        <w:t>或返还</w:t>
      </w:r>
      <w:r>
        <w:rPr>
          <w:rFonts w:ascii="宋体" w:hAnsi="宋体" w:cs="宋体" w:eastAsia="宋体" w:hint="default"/>
        </w:rPr>
        <w:t>)</w:t>
      </w:r>
      <w:r>
        <w:rPr/>
        <w:t>的所得税金额计量。</w:t>
      </w:r>
    </w:p>
    <w:p>
      <w:pPr>
        <w:pStyle w:val="BodyText"/>
        <w:spacing w:line="314" w:lineRule="auto" w:before="85"/>
        <w:ind w:left="558" w:right="0" w:firstLine="201"/>
        <w:jc w:val="left"/>
      </w:pPr>
      <w:r>
        <w:rPr/>
        <w:t>（</w:t>
      </w:r>
      <w:r>
        <w:rPr>
          <w:rFonts w:ascii="宋体" w:hAnsi="宋体" w:cs="宋体" w:eastAsia="宋体" w:hint="default"/>
        </w:rPr>
        <w:t>2</w:t>
      </w:r>
      <w:r>
        <w:rPr/>
        <w:t>）递延所得税资产及递延所得税负债</w:t>
      </w:r>
      <w:r>
        <w:rPr>
          <w:w w:val="100"/>
        </w:rPr>
        <w:t> </w:t>
      </w:r>
      <w:r>
        <w:rPr>
          <w:spacing w:val="-2"/>
        </w:rPr>
        <w:t>对于某些资产、负债项目的账面价值与其计税基础之间的差额，以及未作为资产和负债确认</w:t>
      </w:r>
    </w:p>
    <w:p>
      <w:pPr>
        <w:pStyle w:val="BodyText"/>
        <w:spacing w:line="314" w:lineRule="auto"/>
        <w:ind w:right="0"/>
        <w:jc w:val="left"/>
      </w:pPr>
      <w:r>
        <w:rPr>
          <w:spacing w:val="-1"/>
        </w:rPr>
        <w:t>但按照税法规定可以确定其计税基础的项目的账面价值与计税基础之间的差额产生的暂时性差异，</w:t>
      </w:r>
      <w:r>
        <w:rPr>
          <w:spacing w:val="-53"/>
        </w:rPr>
        <w:t> </w:t>
      </w:r>
      <w:r>
        <w:rPr>
          <w:spacing w:val="-53"/>
        </w:rPr>
      </w:r>
      <w:r>
        <w:rPr/>
        <w:t>采用资产负债表债务法确认递延所得税资产及递延所得税负债。</w:t>
      </w:r>
    </w:p>
    <w:p>
      <w:pPr>
        <w:pStyle w:val="BodyText"/>
        <w:spacing w:line="314" w:lineRule="auto"/>
        <w:ind w:right="325" w:firstLine="419"/>
        <w:jc w:val="both"/>
      </w:pPr>
      <w:r>
        <w:rPr>
          <w:spacing w:val="-2"/>
        </w:rPr>
        <w:t>一般情况下所有暂时性差异均确认相关的递延所得税。但对于可抵扣暂时性差异，本公司以</w:t>
      </w:r>
      <w:r>
        <w:rPr>
          <w:w w:val="100"/>
        </w:rPr>
        <w:t> </w:t>
      </w:r>
      <w:r>
        <w:rPr>
          <w:spacing w:val="-6"/>
          <w:w w:val="100"/>
        </w:rPr>
        <w:t>很可能取得用来抵扣可抵扣暂时性差异的应纳税所得额为限，确认相关的递延所得税资产。此外，</w:t>
      </w:r>
      <w:r>
        <w:rPr>
          <w:spacing w:val="-103"/>
          <w:w w:val="100"/>
        </w:rPr>
        <w:t> </w:t>
      </w:r>
      <w:r>
        <w:rPr>
          <w:spacing w:val="-103"/>
          <w:w w:val="100"/>
        </w:rPr>
      </w:r>
      <w:r>
        <w:rPr>
          <w:spacing w:val="-4"/>
        </w:rPr>
        <w:t>与商誉的初始确认相关的，以及与既不是企业合并、发生时也不影响会计利润和应纳税所得额</w:t>
      </w:r>
      <w:r>
        <w:rPr>
          <w:rFonts w:ascii="宋体" w:hAnsi="宋体" w:cs="宋体" w:eastAsia="宋体" w:hint="default"/>
          <w:spacing w:val="-4"/>
        </w:rPr>
        <w:t>(</w:t>
      </w:r>
      <w:r>
        <w:rPr>
          <w:spacing w:val="-4"/>
        </w:rPr>
        <w:t>或</w:t>
      </w:r>
      <w:r>
        <w:rPr>
          <w:spacing w:val="-30"/>
        </w:rPr>
        <w:t> </w:t>
      </w:r>
      <w:r>
        <w:rPr>
          <w:spacing w:val="-4"/>
          <w:w w:val="100"/>
        </w:rPr>
        <w:t>可抵扣亏损</w:t>
      </w:r>
      <w:r>
        <w:rPr>
          <w:rFonts w:ascii="宋体" w:hAnsi="宋体" w:cs="宋体" w:eastAsia="宋体" w:hint="default"/>
          <w:spacing w:val="-4"/>
          <w:w w:val="100"/>
        </w:rPr>
        <w:t>)</w:t>
      </w:r>
      <w:r>
        <w:rPr>
          <w:spacing w:val="-4"/>
          <w:w w:val="100"/>
        </w:rPr>
        <w:t>的交易中产生的资产或负债的初始确认有关的暂时性差异，不予确认有关的递延所得</w:t>
      </w:r>
      <w:r>
        <w:rPr>
          <w:spacing w:val="-85"/>
          <w:w w:val="100"/>
        </w:rPr>
        <w:t> </w:t>
      </w:r>
      <w:r>
        <w:rPr>
          <w:spacing w:val="-85"/>
          <w:w w:val="100"/>
        </w:rPr>
      </w:r>
      <w:r>
        <w:rPr/>
        <w:t>税资产或负债。</w:t>
      </w:r>
    </w:p>
    <w:p>
      <w:pPr>
        <w:pStyle w:val="BodyText"/>
        <w:spacing w:line="314" w:lineRule="auto"/>
        <w:ind w:right="337" w:firstLine="419"/>
        <w:jc w:val="both"/>
      </w:pPr>
      <w:r>
        <w:rPr>
          <w:spacing w:val="-2"/>
        </w:rPr>
        <w:t>对于能够结转以后年度的可抵扣亏损及税款抵减，以很可能获得用来抵扣可抵扣亏损和税款</w:t>
      </w:r>
      <w:r>
        <w:rPr>
          <w:w w:val="100"/>
        </w:rPr>
        <w:t> </w:t>
      </w:r>
      <w:r>
        <w:rPr/>
        <w:t>抵减的未来应纳税所得额为限，确认相应的递延所得税资产。</w:t>
      </w:r>
    </w:p>
    <w:p>
      <w:pPr>
        <w:pStyle w:val="BodyText"/>
        <w:spacing w:line="314" w:lineRule="auto"/>
        <w:ind w:right="337" w:firstLine="419"/>
        <w:jc w:val="both"/>
      </w:pPr>
      <w:r>
        <w:rPr>
          <w:spacing w:val="-2"/>
        </w:rPr>
        <w:t>本公司确认与子公司、联营企业及合营企业投资相关的应纳税暂时性差异产生的递延所得税</w:t>
      </w:r>
      <w:r>
        <w:rPr>
          <w:w w:val="100"/>
        </w:rPr>
        <w:t> </w:t>
      </w:r>
      <w:r>
        <w:rPr>
          <w:spacing w:val="-2"/>
        </w:rPr>
        <w:t>负债，除非本公司能够控制暂时性差异转回的时间，而且该暂时性差异在可预见的未来很可能不</w:t>
      </w:r>
      <w:r>
        <w:rPr>
          <w:spacing w:val="-25"/>
        </w:rPr>
        <w:t> </w:t>
      </w:r>
      <w:r>
        <w:rPr>
          <w:spacing w:val="-25"/>
        </w:rPr>
      </w:r>
      <w:r>
        <w:rPr>
          <w:spacing w:val="-2"/>
        </w:rPr>
        <w:t>会转回。对于与子公司、联营企业及合营企业投资相关的可抵扣暂时性差异，只有当暂时性差异</w:t>
      </w:r>
      <w:r>
        <w:rPr>
          <w:spacing w:val="-25"/>
        </w:rPr>
        <w:t> </w:t>
      </w:r>
      <w:r>
        <w:rPr>
          <w:spacing w:val="-25"/>
        </w:rPr>
      </w:r>
      <w:r>
        <w:rPr>
          <w:spacing w:val="-2"/>
        </w:rPr>
        <w:t>在可预见的未来很可能转回，且未来很可能获得用来抵扣可抵扣暂时性差异的应纳税所得额时，</w:t>
      </w:r>
      <w:r>
        <w:rPr>
          <w:spacing w:val="-25"/>
        </w:rPr>
        <w:t> </w:t>
      </w:r>
      <w:r>
        <w:rPr>
          <w:spacing w:val="-25"/>
        </w:rPr>
      </w:r>
      <w:r>
        <w:rPr/>
        <w:t>本公司才确认递延所得税资产。</w:t>
      </w:r>
    </w:p>
    <w:p>
      <w:pPr>
        <w:spacing w:after="0" w:line="314" w:lineRule="auto"/>
        <w:jc w:val="both"/>
        <w:sectPr>
          <w:pgSz w:w="11910" w:h="16840"/>
          <w:pgMar w:header="856" w:footer="1193" w:top="1280" w:bottom="1380" w:left="1660" w:right="940"/>
        </w:sectPr>
      </w:pPr>
    </w:p>
    <w:p>
      <w:pPr>
        <w:spacing w:line="240" w:lineRule="auto" w:before="7"/>
        <w:rPr>
          <w:rFonts w:ascii="宋体" w:hAnsi="宋体" w:cs="宋体" w:eastAsia="宋体" w:hint="default"/>
          <w:sz w:val="18"/>
          <w:szCs w:val="18"/>
        </w:rPr>
      </w:pPr>
    </w:p>
    <w:p>
      <w:pPr>
        <w:pStyle w:val="BodyText"/>
        <w:spacing w:line="314" w:lineRule="auto" w:before="36"/>
        <w:ind w:right="157" w:firstLine="419"/>
        <w:jc w:val="both"/>
      </w:pPr>
      <w:r>
        <w:rPr>
          <w:spacing w:val="-2"/>
        </w:rPr>
        <w:t>资产负债表日，对于递延所得税资产和递延所得税负债，根据税法规定，按照预期收回相关</w:t>
      </w:r>
      <w:r>
        <w:rPr>
          <w:w w:val="100"/>
        </w:rPr>
        <w:t> </w:t>
      </w:r>
      <w:r>
        <w:rPr/>
        <w:t>资产或清偿相关负债期间的适用税率计量。</w:t>
      </w:r>
    </w:p>
    <w:p>
      <w:pPr>
        <w:pStyle w:val="BodyText"/>
        <w:spacing w:line="314" w:lineRule="auto"/>
        <w:ind w:right="0" w:firstLine="419"/>
        <w:jc w:val="left"/>
      </w:pPr>
      <w:r>
        <w:rPr/>
        <w:t>除与直接计入其他综合收益或股东权益</w:t>
      </w:r>
      <w:r>
        <w:rPr>
          <w:rFonts w:ascii="宋体" w:hAnsi="宋体" w:cs="宋体" w:eastAsia="宋体" w:hint="default"/>
        </w:rPr>
        <w:t>/</w:t>
      </w:r>
      <w:r>
        <w:rPr/>
        <w:t>所有者权益的交易和事项相关的当期所得税和递延</w:t>
      </w:r>
      <w:r>
        <w:rPr>
          <w:w w:val="100"/>
        </w:rPr>
        <w:t> </w:t>
      </w:r>
      <w:r>
        <w:rPr>
          <w:spacing w:val="-4"/>
          <w:w w:val="100"/>
        </w:rPr>
        <w:t>所得税计入其他综合收益或股东权益</w:t>
      </w:r>
      <w:r>
        <w:rPr>
          <w:rFonts w:ascii="宋体" w:hAnsi="宋体" w:cs="宋体" w:eastAsia="宋体" w:hint="default"/>
          <w:spacing w:val="-4"/>
          <w:w w:val="100"/>
        </w:rPr>
        <w:t>/</w:t>
      </w:r>
      <w:r>
        <w:rPr>
          <w:spacing w:val="-4"/>
          <w:w w:val="100"/>
        </w:rPr>
        <w:t>所有者权益，以及企业合并产生的递延所得税调整商誉的账</w:t>
      </w:r>
      <w:r>
        <w:rPr>
          <w:spacing w:val="-82"/>
          <w:w w:val="100"/>
        </w:rPr>
        <w:t> </w:t>
      </w:r>
      <w:r>
        <w:rPr>
          <w:spacing w:val="-82"/>
          <w:w w:val="100"/>
        </w:rPr>
      </w:r>
      <w:r>
        <w:rPr/>
        <w:t>面价值外，其余当期所得税和递延所得税费用或收益计入当期损益。</w:t>
      </w:r>
    </w:p>
    <w:p>
      <w:pPr>
        <w:pStyle w:val="BodyText"/>
        <w:spacing w:line="314" w:lineRule="auto"/>
        <w:ind w:right="157" w:firstLine="419"/>
        <w:jc w:val="both"/>
      </w:pPr>
      <w:r>
        <w:rPr>
          <w:spacing w:val="-2"/>
        </w:rPr>
        <w:t>资产负债表日，对递延所得税资产的账面价值进行复核，如果未来很可能无法获得足够的应</w:t>
      </w:r>
      <w:r>
        <w:rPr>
          <w:w w:val="100"/>
        </w:rPr>
        <w:t> </w:t>
      </w:r>
      <w:r>
        <w:rPr>
          <w:spacing w:val="-2"/>
        </w:rPr>
        <w:t>纳税所得额用以抵扣递延所得税资产的利益，则减记递延所得税资产的账面价值。在很可能获得</w:t>
      </w:r>
      <w:r>
        <w:rPr>
          <w:spacing w:val="-25"/>
        </w:rPr>
        <w:t> </w:t>
      </w:r>
      <w:r>
        <w:rPr>
          <w:spacing w:val="-25"/>
        </w:rPr>
      </w:r>
      <w:r>
        <w:rPr/>
        <w:t>足够的应纳税所得额时，减记的金额予以转回。</w:t>
      </w:r>
    </w:p>
    <w:p>
      <w:pPr>
        <w:pStyle w:val="BodyText"/>
        <w:spacing w:line="314" w:lineRule="auto"/>
        <w:ind w:left="558" w:right="0"/>
        <w:jc w:val="left"/>
      </w:pPr>
      <w:r>
        <w:rPr/>
        <w:t>（</w:t>
      </w:r>
      <w:r>
        <w:rPr>
          <w:rFonts w:ascii="宋体" w:hAnsi="宋体" w:cs="宋体" w:eastAsia="宋体" w:hint="default"/>
        </w:rPr>
        <w:t>3</w:t>
      </w:r>
      <w:r>
        <w:rPr/>
        <w:t>）所得税的抵销</w:t>
      </w:r>
      <w:r>
        <w:rPr>
          <w:w w:val="100"/>
        </w:rPr>
        <w:t> </w:t>
      </w:r>
      <w:r>
        <w:rPr>
          <w:spacing w:val="-7"/>
          <w:w w:val="100"/>
        </w:rPr>
        <w:t>当本公司拥有以净额结算的法定权利，且意图以净额结算或取得资产、清偿负债同时进行时，</w:t>
      </w:r>
    </w:p>
    <w:p>
      <w:pPr>
        <w:pStyle w:val="BodyText"/>
        <w:spacing w:line="314" w:lineRule="auto"/>
        <w:ind w:left="558" w:right="0" w:hanging="420"/>
        <w:jc w:val="left"/>
      </w:pPr>
      <w:r>
        <w:rPr/>
        <w:t>本公司当期所得税资产及当期所得税负债以抵销后的净额列报。</w:t>
      </w:r>
      <w:r>
        <w:rPr>
          <w:w w:val="100"/>
        </w:rPr>
        <w:t> </w:t>
      </w:r>
      <w:r>
        <w:rPr>
          <w:spacing w:val="-2"/>
        </w:rPr>
        <w:t>当拥有以净额结算当期所得税资产及当期所得税负债的法定权利，且递延所得税资产及递延</w:t>
      </w:r>
    </w:p>
    <w:p>
      <w:pPr>
        <w:pStyle w:val="BodyText"/>
        <w:spacing w:line="314" w:lineRule="auto"/>
        <w:ind w:right="157"/>
        <w:jc w:val="both"/>
      </w:pP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r>
        <w:rPr>
          <w:spacing w:val="-25"/>
        </w:rPr>
        <w:t> </w:t>
      </w:r>
      <w:r>
        <w:rPr>
          <w:spacing w:val="-25"/>
        </w:rPr>
      </w:r>
      <w:r>
        <w:rPr>
          <w:spacing w:val="-2"/>
        </w:rPr>
        <w:t>额结算当期所得税资产和负债或是同时取得资产、清偿负债时，本公司递延所得税资产及递延所</w:t>
      </w:r>
      <w:r>
        <w:rPr>
          <w:spacing w:val="-25"/>
        </w:rPr>
        <w:t> </w:t>
      </w:r>
      <w:r>
        <w:rPr>
          <w:spacing w:val="-25"/>
        </w:rPr>
      </w:r>
      <w:r>
        <w:rPr/>
        <w:t>得税负债以抵销后的净额列报。</w:t>
      </w:r>
    </w:p>
    <w:p>
      <w:pPr>
        <w:spacing w:line="240" w:lineRule="auto" w:before="2"/>
        <w:rPr>
          <w:rFonts w:ascii="宋体" w:hAnsi="宋体" w:cs="宋体" w:eastAsia="宋体" w:hint="default"/>
          <w:sz w:val="21"/>
          <w:szCs w:val="21"/>
        </w:rPr>
      </w:pPr>
    </w:p>
    <w:p>
      <w:pPr>
        <w:pStyle w:val="Heading2"/>
        <w:spacing w:line="264" w:lineRule="auto" w:before="0"/>
        <w:ind w:left="138" w:right="6121"/>
        <w:jc w:val="left"/>
        <w:rPr>
          <w:b w:val="0"/>
          <w:bCs w:val="0"/>
        </w:rPr>
      </w:pPr>
      <w:r>
        <w:rPr>
          <w:rFonts w:ascii="Calibri" w:hAnsi="Calibri" w:cs="Calibri" w:eastAsia="Calibri" w:hint="default"/>
        </w:rPr>
        <w:t>26.</w:t>
      </w:r>
      <w:r>
        <w:rPr>
          <w:rFonts w:ascii="Calibri" w:hAnsi="Calibri" w:cs="Calibri" w:eastAsia="Calibri" w:hint="default"/>
          <w:spacing w:val="1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314" w:lineRule="auto" w:before="114"/>
        <w:ind w:left="558" w:right="0"/>
        <w:jc w:val="left"/>
      </w:pPr>
      <w:r>
        <w:rPr/>
        <w:t>（</w:t>
      </w:r>
      <w:r>
        <w:rPr>
          <w:rFonts w:ascii="宋体" w:hAnsi="宋体" w:cs="宋体" w:eastAsia="宋体" w:hint="default"/>
        </w:rPr>
        <w:t>1</w:t>
      </w:r>
      <w:r>
        <w:rPr/>
        <w:t>）本公司作为承租人记录经营租赁业务</w:t>
      </w:r>
      <w:r>
        <w:rPr>
          <w:w w:val="100"/>
        </w:rPr>
        <w:t> </w:t>
      </w:r>
      <w:r>
        <w:rPr>
          <w:spacing w:val="-2"/>
        </w:rPr>
        <w:t>经营租赁的租金支出在租赁期内的各个期间按直线法计入相关资产成本或当期损益。初始直</w:t>
      </w:r>
    </w:p>
    <w:p>
      <w:pPr>
        <w:pStyle w:val="BodyText"/>
        <w:spacing w:line="240" w:lineRule="auto"/>
        <w:ind w:right="0"/>
        <w:jc w:val="both"/>
      </w:pPr>
      <w:r>
        <w:rPr/>
        <w:t>接费用计入当期损益。或有租金于实际发生时计入当期损益。</w:t>
      </w:r>
    </w:p>
    <w:p>
      <w:pPr>
        <w:pStyle w:val="BodyText"/>
        <w:spacing w:line="314" w:lineRule="auto" w:before="85"/>
        <w:ind w:left="558" w:right="0"/>
        <w:jc w:val="left"/>
      </w:pPr>
      <w:r>
        <w:rPr/>
        <w:t>（</w:t>
      </w:r>
      <w:r>
        <w:rPr>
          <w:rFonts w:ascii="宋体" w:hAnsi="宋体" w:cs="宋体" w:eastAsia="宋体" w:hint="default"/>
        </w:rPr>
        <w:t>2</w:t>
      </w:r>
      <w:r>
        <w:rPr/>
        <w:t>）本公司作为出租人记录经营租赁业务</w:t>
      </w:r>
      <w:r>
        <w:rPr>
          <w:w w:val="100"/>
        </w:rPr>
        <w:t> </w:t>
      </w:r>
      <w:r>
        <w:rPr>
          <w:spacing w:val="-2"/>
        </w:rPr>
        <w:t>经营租赁的租金收入在租赁期内的各个期间按直线法确认为当期损益。对金额较大的初始直</w:t>
      </w:r>
    </w:p>
    <w:p>
      <w:pPr>
        <w:pStyle w:val="BodyText"/>
        <w:spacing w:line="307" w:lineRule="auto"/>
        <w:ind w:right="148"/>
        <w:jc w:val="both"/>
        <w:rPr>
          <w:rFonts w:ascii="宋体" w:hAnsi="宋体" w:cs="宋体" w:eastAsia="宋体" w:hint="default"/>
        </w:rPr>
      </w:pPr>
      <w:r>
        <w:rPr>
          <w:spacing w:val="-2"/>
        </w:rPr>
        <w:t>接费用于发生时予以资本化，在整个租赁期间内按照与确认租金收入相同的基础分期计入当期损</w:t>
      </w:r>
      <w:r>
        <w:rPr>
          <w:spacing w:val="-25"/>
        </w:rPr>
        <w:t> </w:t>
      </w:r>
      <w:r>
        <w:rPr>
          <w:spacing w:val="-25"/>
        </w:rPr>
      </w:r>
      <w:r>
        <w:rPr>
          <w:spacing w:val="-6"/>
          <w:w w:val="100"/>
        </w:rPr>
        <w:t>益；其他金额较小的初始直接费用于发生时计入当期损益。或有租金于实际发生时计入当期损益。</w:t>
      </w:r>
      <w:r>
        <w:rPr>
          <w:w w:val="100"/>
        </w:rPr>
        <w:t> </w:t>
      </w:r>
      <w:r>
        <w:rPr>
          <w:rFonts w:ascii="宋体" w:hAnsi="宋体" w:cs="宋体" w:eastAsia="宋体" w:hint="default"/>
          <w:b/>
          <w:bCs/>
        </w:rPr>
        <w:t>(2)</w:t>
      </w:r>
      <w:r>
        <w:rPr>
          <w:rFonts w:ascii="宋体" w:hAnsi="宋体" w:cs="宋体" w:eastAsia="宋体" w:hint="default"/>
          <w:b/>
          <w:bCs/>
        </w:rPr>
        <w:t>、融资租赁的会计处理方法</w:t>
      </w:r>
      <w:r>
        <w:rPr>
          <w:rFonts w:ascii="宋体" w:hAnsi="宋体" w:cs="宋体" w:eastAsia="宋体" w:hint="default"/>
        </w:rPr>
      </w:r>
    </w:p>
    <w:p>
      <w:pPr>
        <w:pStyle w:val="BodyText"/>
        <w:spacing w:line="314" w:lineRule="auto" w:before="75"/>
        <w:ind w:left="558" w:right="0"/>
        <w:jc w:val="left"/>
      </w:pPr>
      <w:r>
        <w:rPr/>
        <w:t>（</w:t>
      </w:r>
      <w:r>
        <w:rPr>
          <w:rFonts w:ascii="宋体" w:hAnsi="宋体" w:cs="宋体" w:eastAsia="宋体" w:hint="default"/>
        </w:rPr>
        <w:t>1</w:t>
      </w:r>
      <w:r>
        <w:rPr/>
        <w:t>）本公司作为承租人记录融资租赁业务</w:t>
      </w:r>
      <w:r>
        <w:rPr>
          <w:w w:val="100"/>
        </w:rPr>
        <w:t> </w:t>
      </w:r>
      <w:r>
        <w:rPr>
          <w:spacing w:val="-2"/>
        </w:rPr>
        <w:t>于租赁期开始日，将租赁开始日租赁资产的公允价值与最低租赁付款额现值两者中较低者作</w:t>
      </w:r>
    </w:p>
    <w:p>
      <w:pPr>
        <w:pStyle w:val="BodyText"/>
        <w:spacing w:line="314" w:lineRule="auto"/>
        <w:ind w:right="157"/>
        <w:jc w:val="both"/>
      </w:pPr>
      <w:r>
        <w:rPr>
          <w:spacing w:val="-2"/>
        </w:rPr>
        <w:t>为租入资产的入账价值，将最低租赁付款额作为长期应付款的入账价值，其差额作为未确认融资</w:t>
      </w:r>
      <w:r>
        <w:rPr>
          <w:spacing w:val="-25"/>
        </w:rPr>
        <w:t> </w:t>
      </w:r>
      <w:r>
        <w:rPr>
          <w:spacing w:val="-25"/>
        </w:rPr>
      </w:r>
      <w:r>
        <w:rPr>
          <w:spacing w:val="-2"/>
        </w:rPr>
        <w:t>费用。此外，在租赁谈判和签订租赁合同过程中发生的，可归属于租赁项目的初始直接费用也计</w:t>
      </w:r>
      <w:r>
        <w:rPr>
          <w:spacing w:val="-25"/>
        </w:rPr>
        <w:t> </w:t>
      </w:r>
      <w:r>
        <w:rPr>
          <w:spacing w:val="-25"/>
        </w:rPr>
      </w:r>
      <w:r>
        <w:rPr/>
        <w:t>入租入资产价值。</w:t>
      </w:r>
    </w:p>
    <w:p>
      <w:pPr>
        <w:pStyle w:val="BodyText"/>
        <w:spacing w:line="314" w:lineRule="auto"/>
        <w:ind w:right="157" w:firstLine="419"/>
        <w:jc w:val="both"/>
      </w:pPr>
      <w:r>
        <w:rPr>
          <w:spacing w:val="-2"/>
        </w:rPr>
        <w:t>未确认融资费用在租赁期内采用实际利率法计算确认当期的融资费用。或有租金于实际发生</w:t>
      </w:r>
      <w:r>
        <w:rPr>
          <w:w w:val="100"/>
        </w:rPr>
        <w:t> </w:t>
      </w:r>
      <w:r>
        <w:rPr>
          <w:spacing w:val="-2"/>
        </w:rPr>
        <w:t>时计入当期损益。最低租赁付款额扣除未确认融资费用后的余额分别作为长期负债和一年内到期</w:t>
      </w:r>
      <w:r>
        <w:rPr>
          <w:spacing w:val="-25"/>
        </w:rPr>
        <w:t> </w:t>
      </w:r>
      <w:r>
        <w:rPr>
          <w:spacing w:val="-25"/>
        </w:rPr>
      </w:r>
      <w:r>
        <w:rPr/>
        <w:t>的长期负债列示。</w:t>
      </w:r>
    </w:p>
    <w:p>
      <w:pPr>
        <w:pStyle w:val="BodyText"/>
        <w:spacing w:line="240" w:lineRule="auto"/>
        <w:ind w:left="558" w:right="0"/>
        <w:jc w:val="left"/>
      </w:pPr>
      <w:r>
        <w:rPr/>
        <w:t>（</w:t>
      </w:r>
      <w:r>
        <w:rPr>
          <w:rFonts w:ascii="宋体" w:hAnsi="宋体" w:cs="宋体" w:eastAsia="宋体" w:hint="default"/>
        </w:rPr>
        <w:t>2</w:t>
      </w:r>
      <w:r>
        <w:rPr/>
        <w:t>）本公司作为出租人记录融资租赁业务</w:t>
      </w:r>
    </w:p>
    <w:p>
      <w:pPr>
        <w:spacing w:after="0" w:line="240" w:lineRule="auto"/>
        <w:jc w:val="left"/>
        <w:sectPr>
          <w:pgSz w:w="11910" w:h="16840"/>
          <w:pgMar w:header="856" w:footer="1193" w:top="1280" w:bottom="1380" w:left="1660" w:right="1120"/>
        </w:sectPr>
      </w:pPr>
    </w:p>
    <w:p>
      <w:pPr>
        <w:spacing w:line="240" w:lineRule="auto" w:before="7"/>
        <w:rPr>
          <w:rFonts w:ascii="宋体" w:hAnsi="宋体" w:cs="宋体" w:eastAsia="宋体" w:hint="default"/>
          <w:sz w:val="18"/>
          <w:szCs w:val="18"/>
        </w:rPr>
      </w:pPr>
    </w:p>
    <w:p>
      <w:pPr>
        <w:pStyle w:val="BodyText"/>
        <w:spacing w:line="314" w:lineRule="auto" w:before="36"/>
        <w:ind w:left="218" w:right="237" w:firstLine="419"/>
        <w:jc w:val="both"/>
      </w:pPr>
      <w:r>
        <w:rPr>
          <w:spacing w:val="-2"/>
        </w:rPr>
        <w:t>于租赁期开始日，将租赁开始日最低租赁收款额与初始直接费用之和作为应收融资租赁款的</w:t>
      </w:r>
      <w:r>
        <w:rPr>
          <w:w w:val="100"/>
        </w:rPr>
        <w:t> </w:t>
      </w:r>
      <w:r>
        <w:rPr>
          <w:spacing w:val="-2"/>
        </w:rPr>
        <w:t>入账价值，同时记录未担保余值；将最低租赁收款额、初始直接费用及未担保余值之和与其现值</w:t>
      </w:r>
      <w:r>
        <w:rPr>
          <w:spacing w:val="-25"/>
        </w:rPr>
        <w:t> </w:t>
      </w:r>
      <w:r>
        <w:rPr>
          <w:spacing w:val="-25"/>
        </w:rPr>
      </w:r>
      <w:r>
        <w:rPr/>
        <w:t>之和的差额确认为未实现融资收益。</w:t>
      </w:r>
    </w:p>
    <w:p>
      <w:pPr>
        <w:pStyle w:val="BodyText"/>
        <w:spacing w:line="314" w:lineRule="auto"/>
        <w:ind w:left="218" w:right="237" w:firstLine="419"/>
        <w:jc w:val="both"/>
      </w:pPr>
      <w:r>
        <w:rPr>
          <w:spacing w:val="-2"/>
        </w:rPr>
        <w:t>未实现融资收益在租赁期内采用实际利率法计算确认当期的融资收入。或有租金于实际发生</w:t>
      </w:r>
      <w:r>
        <w:rPr>
          <w:w w:val="100"/>
        </w:rPr>
        <w:t> </w:t>
      </w:r>
      <w:r>
        <w:rPr/>
        <w:t>时计入当期损益。</w:t>
      </w:r>
    </w:p>
    <w:p>
      <w:pPr>
        <w:pStyle w:val="BodyText"/>
        <w:spacing w:line="314" w:lineRule="auto"/>
        <w:ind w:left="218" w:right="237" w:firstLine="419"/>
        <w:jc w:val="both"/>
      </w:pPr>
      <w:r>
        <w:rPr>
          <w:spacing w:val="-2"/>
        </w:rPr>
        <w:t>应收融资租赁款扣除未实现融资收益后的余额分别作为长期债权和一年内到期的长期债权列</w:t>
      </w:r>
      <w:r>
        <w:rPr>
          <w:w w:val="100"/>
        </w:rPr>
        <w:t> </w:t>
      </w:r>
      <w:r>
        <w:rPr/>
        <w:t>示。</w:t>
      </w:r>
    </w:p>
    <w:p>
      <w:pPr>
        <w:spacing w:line="240" w:lineRule="auto" w:before="2"/>
        <w:rPr>
          <w:rFonts w:ascii="宋体" w:hAnsi="宋体" w:cs="宋体" w:eastAsia="宋体" w:hint="default"/>
          <w:sz w:val="21"/>
          <w:szCs w:val="21"/>
        </w:rPr>
      </w:pPr>
    </w:p>
    <w:p>
      <w:pPr>
        <w:pStyle w:val="Heading2"/>
        <w:spacing w:line="264" w:lineRule="auto" w:before="0"/>
        <w:ind w:right="5600"/>
        <w:jc w:val="left"/>
        <w:rPr>
          <w:rFonts w:ascii="宋体" w:hAnsi="宋体" w:cs="宋体" w:eastAsia="宋体" w:hint="default"/>
          <w:b w:val="0"/>
          <w:bCs w:val="0"/>
        </w:rPr>
      </w:pPr>
      <w:r>
        <w:rPr>
          <w:rFonts w:ascii="Calibri" w:hAnsi="Calibri" w:cs="Calibri" w:eastAsia="Calibri" w:hint="default"/>
        </w:rPr>
        <w:t>27.</w:t>
      </w:r>
      <w:r>
        <w:rPr>
          <w:rFonts w:ascii="Calibri" w:hAnsi="Calibri" w:cs="Calibri" w:eastAsia="Calibri" w:hint="default"/>
          <w:spacing w:val="10"/>
        </w:rPr>
        <w:t> </w:t>
      </w:r>
      <w:r>
        <w:rPr/>
        <w:t>其他重要的会计政策和会计估计</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2"/>
        <w:spacing w:line="266" w:lineRule="auto" w:before="0"/>
        <w:ind w:right="5342"/>
        <w:jc w:val="left"/>
        <w:rPr>
          <w:b w:val="0"/>
          <w:bCs w:val="0"/>
        </w:rPr>
      </w:pPr>
      <w:r>
        <w:rPr>
          <w:rFonts w:ascii="Calibri" w:hAnsi="Calibri" w:cs="Calibri" w:eastAsia="Calibri" w:hint="default"/>
        </w:rPr>
        <w:t>28.</w:t>
      </w:r>
      <w:r>
        <w:rPr>
          <w:rFonts w:ascii="Calibri" w:hAnsi="Calibri" w:cs="Calibri" w:eastAsia="Calibri" w:hint="default"/>
          <w:spacing w:val="10"/>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33"/>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(2)</w:t>
      </w:r>
      <w:r>
        <w:rPr/>
        <w:t>、重要会计估计变更</w:t>
      </w:r>
      <w:r>
        <w:rPr>
          <w:b w:val="0"/>
          <w:bCs w:val="0"/>
        </w:rPr>
      </w:r>
    </w:p>
    <w:p>
      <w:pPr>
        <w:spacing w:line="290" w:lineRule="auto" w:before="58"/>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六、税项</w:t>
      </w:r>
      <w:r>
        <w:rPr>
          <w:rFonts w:ascii="宋体" w:hAnsi="宋体" w:cs="宋体" w:eastAsia="宋体" w:hint="default"/>
          <w:sz w:val="21"/>
          <w:szCs w:val="21"/>
        </w:rPr>
      </w:r>
    </w:p>
    <w:p>
      <w:pPr>
        <w:pStyle w:val="Heading2"/>
        <w:tabs>
          <w:tab w:pos="642" w:val="left" w:leader="none"/>
        </w:tabs>
        <w:spacing w:line="240" w:lineRule="auto" w:before="14"/>
        <w:ind w:right="2465"/>
        <w:jc w:val="left"/>
        <w:rPr>
          <w:b w:val="0"/>
          <w:bCs w:val="0"/>
        </w:rPr>
      </w:pPr>
      <w:r>
        <w:rPr>
          <w:rFonts w:ascii="Calibri" w:hAnsi="Calibri" w:cs="Calibri" w:eastAsia="Calibri" w:hint="default"/>
        </w:rPr>
        <w:t>1.</w:t>
        <w:tab/>
      </w:r>
      <w:r>
        <w:rPr/>
        <w:t>主要税种及税率</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3"/>
      </w:tblGrid>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6%</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w:t>
            </w:r>
          </w:p>
        </w:tc>
      </w:tr>
    </w:tbl>
    <w:p>
      <w:pPr>
        <w:spacing w:line="240" w:lineRule="auto" w:before="12"/>
        <w:rPr>
          <w:rFonts w:ascii="宋体" w:hAnsi="宋体" w:cs="宋体" w:eastAsia="宋体" w:hint="default"/>
          <w:b/>
          <w:bCs/>
          <w:sz w:val="19"/>
          <w:szCs w:val="19"/>
        </w:rPr>
      </w:pPr>
    </w:p>
    <w:p>
      <w:pPr>
        <w:pStyle w:val="Heading2"/>
        <w:tabs>
          <w:tab w:pos="642" w:val="left" w:leader="none"/>
        </w:tabs>
        <w:spacing w:line="240" w:lineRule="auto"/>
        <w:ind w:right="2465"/>
        <w:jc w:val="left"/>
        <w:rPr>
          <w:b w:val="0"/>
          <w:bCs w:val="0"/>
        </w:rPr>
      </w:pPr>
      <w:r>
        <w:rPr>
          <w:rFonts w:ascii="Calibri" w:hAnsi="Calibri" w:cs="Calibri" w:eastAsia="Calibri" w:hint="default"/>
        </w:rPr>
        <w:t>2.</w:t>
        <w:tab/>
      </w:r>
      <w:r>
        <w:rPr/>
        <w:t>税收优惠</w:t>
      </w:r>
      <w:r>
        <w:rPr>
          <w:b w:val="0"/>
          <w:bCs w:val="0"/>
        </w:rPr>
      </w:r>
    </w:p>
    <w:p>
      <w:pPr>
        <w:pStyle w:val="BodyText"/>
        <w:spacing w:line="314" w:lineRule="auto" w:before="108"/>
        <w:ind w:left="218" w:right="119" w:firstLine="419"/>
        <w:jc w:val="left"/>
      </w:pPr>
      <w:r>
        <w:rPr>
          <w:rFonts w:ascii="宋体" w:hAnsi="宋体" w:cs="宋体" w:eastAsia="宋体" w:hint="default"/>
        </w:rPr>
        <w:t>2013</w:t>
      </w:r>
      <w:r>
        <w:rPr>
          <w:rFonts w:ascii="宋体" w:hAnsi="宋体" w:cs="宋体" w:eastAsia="宋体" w:hint="default"/>
          <w:spacing w:val="-45"/>
        </w:rPr>
        <w:t> </w:t>
      </w:r>
      <w:r>
        <w:rPr/>
        <w:t>年</w:t>
      </w:r>
      <w:r>
        <w:rPr>
          <w:spacing w:val="-42"/>
        </w:rPr>
        <w:t> </w:t>
      </w:r>
      <w:r>
        <w:rPr>
          <w:rFonts w:ascii="宋体" w:hAnsi="宋体" w:cs="宋体" w:eastAsia="宋体" w:hint="default"/>
        </w:rPr>
        <w:t>10</w:t>
      </w:r>
      <w:r>
        <w:rPr>
          <w:rFonts w:ascii="宋体" w:hAnsi="宋体" w:cs="宋体" w:eastAsia="宋体" w:hint="default"/>
          <w:spacing w:val="-45"/>
        </w:rPr>
        <w:t> </w:t>
      </w:r>
      <w:r>
        <w:rPr/>
        <w:t>月</w:t>
      </w:r>
      <w:r>
        <w:rPr>
          <w:spacing w:val="-42"/>
        </w:rPr>
        <w:t> </w:t>
      </w:r>
      <w:r>
        <w:rPr>
          <w:rFonts w:ascii="宋体" w:hAnsi="宋体" w:cs="宋体" w:eastAsia="宋体" w:hint="default"/>
        </w:rPr>
        <w:t>16</w:t>
      </w:r>
      <w:r>
        <w:rPr>
          <w:rFonts w:ascii="宋体" w:hAnsi="宋体" w:cs="宋体" w:eastAsia="宋体" w:hint="default"/>
          <w:spacing w:val="-42"/>
        </w:rPr>
        <w:t> </w:t>
      </w:r>
      <w:r>
        <w:rPr>
          <w:spacing w:val="-3"/>
        </w:rPr>
        <w:t>日，广东雨林木风计算机科技有限公司取得广东省科学技术厅、广东省财政</w:t>
      </w:r>
      <w:r>
        <w:rPr>
          <w:w w:val="100"/>
        </w:rPr>
        <w:t> </w:t>
      </w:r>
      <w:r>
        <w:rPr/>
        <w:t>厅、广东省国家税务局、广东省地方税务局联合核发的《高新技术企业证书》（证书编号：</w:t>
      </w:r>
      <w:r>
        <w:rPr>
          <w:w w:val="100"/>
        </w:rPr>
        <w:t> </w:t>
      </w:r>
      <w:r>
        <w:rPr>
          <w:rFonts w:ascii="宋体" w:hAnsi="宋体" w:cs="宋体" w:eastAsia="宋体" w:hint="default"/>
        </w:rPr>
        <w:t>GF201344000203</w:t>
      </w:r>
      <w:r>
        <w:rPr/>
        <w:t>），有效期为</w:t>
      </w:r>
      <w:r>
        <w:rPr>
          <w:spacing w:val="-53"/>
        </w:rPr>
        <w:t> </w:t>
      </w:r>
      <w:r>
        <w:rPr>
          <w:rFonts w:ascii="宋体" w:hAnsi="宋体" w:cs="宋体" w:eastAsia="宋体" w:hint="default"/>
        </w:rPr>
        <w:t>3</w:t>
      </w:r>
      <w:r>
        <w:rPr>
          <w:rFonts w:ascii="宋体" w:hAnsi="宋体" w:cs="宋体" w:eastAsia="宋体" w:hint="default"/>
          <w:spacing w:val="-56"/>
        </w:rPr>
        <w:t> </w:t>
      </w:r>
      <w:r>
        <w:rPr/>
        <w:t>年，本期按</w:t>
      </w:r>
      <w:r>
        <w:rPr>
          <w:spacing w:val="-54"/>
        </w:rPr>
        <w:t> </w:t>
      </w:r>
      <w:r>
        <w:rPr>
          <w:rFonts w:ascii="宋体" w:hAnsi="宋体" w:cs="宋体" w:eastAsia="宋体" w:hint="default"/>
        </w:rPr>
        <w:t>15%</w:t>
      </w:r>
      <w:r>
        <w:rPr/>
        <w:t>的税率计缴企业所得税。</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6" w:footer="1193" w:top="1280" w:bottom="1380" w:left="1580" w:right="1040"/>
        </w:sectPr>
      </w:pPr>
    </w:p>
    <w:p>
      <w:pPr>
        <w:pStyle w:val="Heading2"/>
        <w:spacing w:line="290" w:lineRule="auto"/>
        <w:ind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2753" w:space="3771"/>
            <w:col w:w="2766"/>
          </w:cols>
        </w:sectPr>
      </w:pPr>
    </w:p>
    <w:p>
      <w:pPr>
        <w:spacing w:line="240" w:lineRule="auto" w:before="7"/>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2223"/>
        <w:gridCol w:w="3300"/>
        <w:gridCol w:w="3327"/>
      </w:tblGrid>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398,773.48</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92,984.84</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1,229,574,154.12</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176,157,631.15</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439,592,893.62</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256,009,223.76</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1,669,565,821.22</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432,259,839.75</w:t>
            </w:r>
          </w:p>
        </w:tc>
      </w:tr>
    </w:tbl>
    <w:p>
      <w:pPr>
        <w:pStyle w:val="BodyText"/>
        <w:spacing w:line="241" w:lineRule="exact" w:before="0"/>
        <w:ind w:left="218" w:right="2465"/>
        <w:jc w:val="left"/>
      </w:pPr>
      <w:r>
        <w:rPr/>
        <w:t>其他说明</w:t>
      </w:r>
    </w:p>
    <w:p>
      <w:pPr>
        <w:pStyle w:val="BodyText"/>
        <w:spacing w:line="314" w:lineRule="auto" w:before="73"/>
        <w:ind w:left="218" w:right="119" w:firstLine="419"/>
        <w:jc w:val="left"/>
      </w:pPr>
      <w:r>
        <w:rPr>
          <w:spacing w:val="-1"/>
        </w:rPr>
        <w:t>公司期末其他货币资金主要为应付票据保证金、按揭房款保证金和农民工工资保证金等，其</w:t>
      </w:r>
      <w:r>
        <w:rPr>
          <w:w w:val="100"/>
        </w:rPr>
        <w:t> </w:t>
      </w:r>
      <w:r>
        <w:rPr/>
        <w:t>中资产负债表日后</w:t>
      </w:r>
      <w:r>
        <w:rPr>
          <w:spacing w:val="-56"/>
        </w:rPr>
        <w:t> </w:t>
      </w:r>
      <w:r>
        <w:rPr>
          <w:rFonts w:ascii="宋体" w:hAnsi="宋体" w:cs="宋体" w:eastAsia="宋体" w:hint="default"/>
        </w:rPr>
        <w:t>3</w:t>
      </w:r>
      <w:r>
        <w:rPr>
          <w:rFonts w:ascii="宋体" w:hAnsi="宋体" w:cs="宋体" w:eastAsia="宋体" w:hint="default"/>
          <w:spacing w:val="-57"/>
        </w:rPr>
        <w:t> </w:t>
      </w:r>
      <w:r>
        <w:rPr/>
        <w:t>个月后到期的金额为</w:t>
      </w:r>
      <w:r>
        <w:rPr>
          <w:spacing w:val="-55"/>
        </w:rPr>
        <w:t> </w:t>
      </w:r>
      <w:r>
        <w:rPr>
          <w:rFonts w:ascii="宋体" w:hAnsi="宋体" w:cs="宋体" w:eastAsia="宋体" w:hint="default"/>
        </w:rPr>
        <w:t>249,566,781.52</w:t>
      </w:r>
      <w:r>
        <w:rPr>
          <w:rFonts w:ascii="宋体" w:hAnsi="宋体" w:cs="宋体" w:eastAsia="宋体" w:hint="default"/>
          <w:spacing w:val="-56"/>
        </w:rPr>
        <w:t> </w:t>
      </w:r>
      <w:r>
        <w:rPr/>
        <w:t>元，公司未作为现金及现金等价物。</w:t>
      </w:r>
    </w:p>
    <w:p>
      <w:pPr>
        <w:spacing w:after="0" w:line="314" w:lineRule="auto"/>
        <w:jc w:val="left"/>
        <w:sectPr>
          <w:type w:val="continuous"/>
          <w:pgSz w:w="11910" w:h="16840"/>
          <w:pgMar w:top="1280" w:bottom="1380" w:left="1580" w:right="1040"/>
        </w:sectPr>
      </w:pPr>
    </w:p>
    <w:p>
      <w:pPr>
        <w:spacing w:line="240" w:lineRule="auto" w:before="7"/>
        <w:rPr>
          <w:rFonts w:ascii="宋体" w:hAnsi="宋体" w:cs="宋体" w:eastAsia="宋体" w:hint="default"/>
          <w:sz w:val="18"/>
          <w:szCs w:val="18"/>
        </w:rPr>
      </w:pPr>
    </w:p>
    <w:p>
      <w:pPr>
        <w:pStyle w:val="BodyText"/>
        <w:spacing w:line="240" w:lineRule="auto" w:before="36"/>
        <w:ind w:left="457" w:right="0"/>
        <w:jc w:val="left"/>
      </w:pPr>
      <w:r>
        <w:rPr/>
        <w:t>银行存款中有 </w:t>
      </w:r>
      <w:r>
        <w:rPr>
          <w:rFonts w:ascii="宋体" w:hAnsi="宋体" w:cs="宋体" w:eastAsia="宋体" w:hint="default"/>
        </w:rPr>
        <w:t>202,236,464.10</w:t>
      </w:r>
      <w:r>
        <w:rPr>
          <w:rFonts w:ascii="宋体" w:hAnsi="宋体" w:cs="宋体" w:eastAsia="宋体" w:hint="default"/>
          <w:spacing w:val="-55"/>
        </w:rPr>
        <w:t> </w:t>
      </w:r>
      <w:r>
        <w:rPr>
          <w:spacing w:val="-5"/>
        </w:rPr>
        <w:t>元为应付股权对价款的定期存单，公司未作为现金及现金等价物。</w:t>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0"/>
          <w:pgSz w:w="11910" w:h="16840"/>
          <w:pgMar w:footer="1193" w:header="856" w:top="1280" w:bottom="1380" w:left="1540" w:right="960"/>
        </w:sectPr>
      </w:pPr>
    </w:p>
    <w:p>
      <w:pPr>
        <w:pStyle w:val="Heading2"/>
        <w:spacing w:line="240" w:lineRule="auto"/>
        <w:ind w:left="258" w:right="-20"/>
        <w:jc w:val="left"/>
        <w:rPr>
          <w:b w:val="0"/>
          <w:bCs w:val="0"/>
        </w:rPr>
      </w:pPr>
      <w:r>
        <w:rPr>
          <w:rFonts w:ascii="宋体" w:hAnsi="宋体" w:cs="宋体" w:eastAsia="宋体" w:hint="default"/>
        </w:rPr>
        <w:t>2</w:t>
      </w:r>
      <w:r>
        <w:rPr/>
        <w:t>、</w:t>
      </w:r>
      <w:r>
        <w:rPr>
          <w:spacing w:val="-2"/>
        </w:rPr>
        <w:t> </w:t>
      </w:r>
      <w:r>
        <w:rPr/>
        <w:t>应收票据</w:t>
      </w:r>
      <w:r>
        <w:rPr>
          <w:b w:val="0"/>
          <w:bCs w:val="0"/>
        </w:rPr>
      </w:r>
    </w:p>
    <w:p>
      <w:pPr>
        <w:pStyle w:val="Heading2"/>
        <w:spacing w:line="240" w:lineRule="auto" w:before="56"/>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9" w:val="left" w:leader="none"/>
        </w:tabs>
        <w:spacing w:line="240" w:lineRule="auto" w:before="0"/>
        <w:ind w:left="258" w:right="0"/>
        <w:jc w:val="left"/>
      </w:pPr>
      <w:r>
        <w:rPr>
          <w:spacing w:val="-1"/>
        </w:rPr>
        <w:t>单位：元</w:t>
        <w:tab/>
      </w:r>
      <w:r>
        <w:rPr>
          <w:spacing w:val="-2"/>
        </w:rPr>
        <w:t>币种：人民币</w:t>
      </w:r>
    </w:p>
    <w:p>
      <w:pPr>
        <w:spacing w:after="0" w:line="240" w:lineRule="auto"/>
        <w:jc w:val="left"/>
        <w:sectPr>
          <w:type w:val="continuous"/>
          <w:pgSz w:w="11910" w:h="16840"/>
          <w:pgMar w:top="1280" w:bottom="1380" w:left="1540" w:right="960"/>
          <w:cols w:num="2" w:equalWidth="0">
            <w:col w:w="2476" w:space="4048"/>
            <w:col w:w="2886"/>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7"/>
        <w:gridCol w:w="2895"/>
      </w:tblGrid>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4,534,580.00</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370,000.00</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4,534,580.00</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370,000.00</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280" w:bottom="1380" w:left="1540" w:right="960"/>
        </w:sectPr>
      </w:pPr>
    </w:p>
    <w:p>
      <w:pPr>
        <w:pStyle w:val="Heading2"/>
        <w:spacing w:line="240" w:lineRule="auto"/>
        <w:ind w:left="258" w:right="-1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left="258" w:right="-16"/>
        <w:jc w:val="left"/>
      </w:pPr>
      <w:r>
        <w:rPr/>
        <w:t>□适用</w:t>
      </w:r>
      <w:r>
        <w:rPr>
          <w:spacing w:val="-1"/>
        </w:rPr>
        <w:t> </w:t>
      </w:r>
      <w:r>
        <w:rPr/>
        <w:t>√不适用</w:t>
      </w:r>
    </w:p>
    <w:p>
      <w:pPr>
        <w:pStyle w:val="Heading2"/>
        <w:spacing w:line="240" w:lineRule="auto" w:before="56"/>
        <w:ind w:left="258"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2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03" w:val="left" w:leader="none"/>
        </w:tabs>
        <w:spacing w:line="240" w:lineRule="auto" w:before="0"/>
        <w:ind w:left="51" w:right="0"/>
        <w:jc w:val="left"/>
      </w:pPr>
      <w:r>
        <w:rPr>
          <w:spacing w:val="-1"/>
        </w:rPr>
        <w:t>单位：元</w:t>
        <w:tab/>
      </w:r>
      <w:r>
        <w:rPr>
          <w:spacing w:val="-2"/>
        </w:rPr>
        <w:t>币种：人民币</w:t>
      </w:r>
    </w:p>
    <w:p>
      <w:pPr>
        <w:spacing w:after="0" w:line="240" w:lineRule="auto"/>
        <w:jc w:val="left"/>
        <w:sectPr>
          <w:type w:val="continuous"/>
          <w:pgSz w:w="11910" w:h="16840"/>
          <w:pgMar w:top="1280" w:bottom="1380" w:left="1540" w:right="960"/>
          <w:cols w:num="2" w:equalWidth="0">
            <w:col w:w="6691" w:space="40"/>
            <w:col w:w="2679"/>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8"/>
        <w:gridCol w:w="3051"/>
        <w:gridCol w:w="3123"/>
      </w:tblGrid>
      <w:tr>
        <w:trPr>
          <w:trHeight w:val="283"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3"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770,800,000.00</w:t>
            </w: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770,800,000.00</w:t>
            </w:r>
          </w:p>
        </w:tc>
        <w:tc>
          <w:tcPr>
            <w:tcW w:w="3123"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Heading2"/>
        <w:spacing w:line="240" w:lineRule="auto"/>
        <w:ind w:left="25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8"/>
        <w:ind w:left="2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280" w:bottom="1380" w:left="1540" w:right="960"/>
        </w:sectPr>
      </w:pPr>
    </w:p>
    <w:p>
      <w:pPr>
        <w:pStyle w:val="Heading2"/>
        <w:spacing w:line="240" w:lineRule="auto"/>
        <w:ind w:left="258" w:right="-20"/>
        <w:jc w:val="left"/>
        <w:rPr>
          <w:b w:val="0"/>
          <w:bCs w:val="0"/>
        </w:rPr>
      </w:pPr>
      <w:r>
        <w:rPr>
          <w:rFonts w:ascii="宋体" w:hAnsi="宋体" w:cs="宋体" w:eastAsia="宋体" w:hint="default"/>
        </w:rPr>
        <w:t>3</w:t>
      </w:r>
      <w:r>
        <w:rPr/>
        <w:t>、</w:t>
      </w:r>
      <w:r>
        <w:rPr>
          <w:spacing w:val="-2"/>
        </w:rPr>
        <w:t> </w:t>
      </w:r>
      <w:r>
        <w:rPr/>
        <w:t>应收账款</w:t>
      </w:r>
      <w:r>
        <w:rPr>
          <w:b w:val="0"/>
          <w:bCs w:val="0"/>
        </w:rPr>
      </w:r>
    </w:p>
    <w:p>
      <w:pPr>
        <w:pStyle w:val="Heading2"/>
        <w:spacing w:line="240" w:lineRule="auto" w:before="56"/>
        <w:ind w:left="25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9" w:val="left" w:leader="none"/>
        </w:tabs>
        <w:spacing w:line="240" w:lineRule="auto" w:before="177"/>
        <w:ind w:left="258" w:right="0"/>
        <w:jc w:val="left"/>
      </w:pPr>
      <w:r>
        <w:rPr>
          <w:spacing w:val="-1"/>
        </w:rPr>
        <w:t>单位：元</w:t>
        <w:tab/>
      </w:r>
      <w:r>
        <w:rPr>
          <w:spacing w:val="-2"/>
        </w:rPr>
        <w:t>币种：人民币</w:t>
      </w:r>
    </w:p>
    <w:p>
      <w:pPr>
        <w:spacing w:after="0" w:line="240" w:lineRule="auto"/>
        <w:jc w:val="left"/>
        <w:sectPr>
          <w:type w:val="continuous"/>
          <w:pgSz w:w="11910" w:h="16840"/>
          <w:pgMar w:top="1280" w:bottom="1380" w:left="1540" w:right="960"/>
          <w:cols w:num="2" w:equalWidth="0">
            <w:col w:w="2522" w:space="3897"/>
            <w:col w:w="2991"/>
          </w:cols>
        </w:sectPr>
      </w:pPr>
    </w:p>
    <w:p>
      <w:pPr>
        <w:spacing w:line="240" w:lineRule="auto" w:before="4"/>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1382"/>
        <w:gridCol w:w="747"/>
        <w:gridCol w:w="739"/>
        <w:gridCol w:w="734"/>
        <w:gridCol w:w="756"/>
        <w:gridCol w:w="735"/>
        <w:gridCol w:w="778"/>
        <w:gridCol w:w="756"/>
        <w:gridCol w:w="769"/>
        <w:gridCol w:w="770"/>
        <w:gridCol w:w="732"/>
      </w:tblGrid>
      <w:tr>
        <w:trPr>
          <w:trHeight w:val="269"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7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382" w:type="dxa"/>
            <w:vMerge/>
            <w:tcBorders>
              <w:left w:val="single" w:sz="4" w:space="0" w:color="000000"/>
              <w:right w:val="single" w:sz="4" w:space="0" w:color="000000"/>
            </w:tcBorders>
          </w:tcPr>
          <w:p>
            <w:pP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35" w:type="dxa"/>
            <w:vMerge w:val="restart"/>
            <w:tcBorders>
              <w:top w:val="single" w:sz="4" w:space="0" w:color="000000"/>
              <w:left w:val="single" w:sz="4" w:space="0" w:color="000000"/>
              <w:right w:val="single" w:sz="4" w:space="0" w:color="000000"/>
            </w:tcBorders>
          </w:tcPr>
          <w:p>
            <w:pPr>
              <w:pStyle w:val="TableParagraph"/>
              <w:spacing w:line="232" w:lineRule="exact" w:before="116"/>
              <w:ind w:left="182" w:right="180"/>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5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32" w:type="dxa"/>
            <w:vMerge w:val="restart"/>
            <w:tcBorders>
              <w:top w:val="single" w:sz="4" w:space="0" w:color="000000"/>
              <w:left w:val="single" w:sz="4" w:space="0" w:color="000000"/>
              <w:right w:val="single" w:sz="4" w:space="0" w:color="000000"/>
            </w:tcBorders>
          </w:tcPr>
          <w:p>
            <w:pPr>
              <w:pStyle w:val="TableParagraph"/>
              <w:spacing w:line="232" w:lineRule="exact" w:before="116"/>
              <w:ind w:left="180" w:right="180"/>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475" w:hRule="exact"/>
        </w:trPr>
        <w:tc>
          <w:tcPr>
            <w:tcW w:w="1382" w:type="dxa"/>
            <w:vMerge/>
            <w:tcBorders>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7"/>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735" w:type="dxa"/>
            <w:vMerge/>
            <w:tcBorders>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732" w:type="dxa"/>
            <w:vMerge/>
            <w:tcBorders>
              <w:left w:val="single" w:sz="4" w:space="0" w:color="000000"/>
              <w:bottom w:val="single" w:sz="4" w:space="0" w:color="000000"/>
              <w:right w:val="single" w:sz="4" w:space="0" w:color="000000"/>
            </w:tcBorders>
          </w:tcPr>
          <w:p>
            <w:pPr/>
          </w:p>
        </w:tc>
      </w:tr>
      <w:tr>
        <w:trPr>
          <w:trHeight w:val="711"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pacing w:val="9"/>
                <w:sz w:val="18"/>
                <w:szCs w:val="18"/>
              </w:rPr>
              <w:t>单项金额重大并</w:t>
            </w:r>
            <w:r>
              <w:rPr>
                <w:rFonts w:ascii="宋体" w:hAnsi="宋体" w:cs="宋体" w:eastAsia="宋体" w:hint="default"/>
                <w:sz w:val="18"/>
                <w:szCs w:val="18"/>
              </w:rPr>
            </w:r>
          </w:p>
          <w:p>
            <w:pPr>
              <w:pStyle w:val="TableParagraph"/>
              <w:spacing w:line="234" w:lineRule="exact" w:before="21"/>
              <w:ind w:left="26" w:right="17"/>
              <w:jc w:val="left"/>
              <w:rPr>
                <w:rFonts w:ascii="宋体" w:hAnsi="宋体" w:cs="宋体" w:eastAsia="宋体" w:hint="default"/>
                <w:sz w:val="18"/>
                <w:szCs w:val="18"/>
              </w:rPr>
            </w:pPr>
            <w:r>
              <w:rPr>
                <w:rFonts w:ascii="宋体" w:hAnsi="宋体" w:cs="宋体" w:eastAsia="宋体" w:hint="default"/>
                <w:spacing w:val="9"/>
                <w:sz w:val="18"/>
                <w:szCs w:val="18"/>
              </w:rPr>
              <w:t>单独计提坏账准 </w:t>
            </w:r>
            <w:r>
              <w:rPr>
                <w:rFonts w:ascii="宋体" w:hAnsi="宋体" w:cs="宋体" w:eastAsia="宋体" w:hint="default"/>
                <w:sz w:val="18"/>
                <w:szCs w:val="18"/>
              </w:rPr>
              <w:t>备的应收账款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9" w:right="0"/>
              <w:jc w:val="left"/>
              <w:rPr>
                <w:rFonts w:ascii="宋体" w:hAnsi="宋体" w:cs="宋体" w:eastAsia="宋体" w:hint="default"/>
                <w:sz w:val="18"/>
                <w:szCs w:val="18"/>
              </w:rPr>
            </w:pPr>
            <w:r>
              <w:rPr>
                <w:rFonts w:ascii="宋体"/>
                <w:sz w:val="18"/>
              </w:rPr>
              <w:t>137,268</w:t>
            </w:r>
          </w:p>
          <w:p>
            <w:pPr>
              <w:pStyle w:val="TableParagraph"/>
              <w:spacing w:line="234" w:lineRule="exact"/>
              <w:ind w:left="79" w:right="0"/>
              <w:jc w:val="left"/>
              <w:rPr>
                <w:rFonts w:ascii="宋体" w:hAnsi="宋体" w:cs="宋体" w:eastAsia="宋体" w:hint="default"/>
                <w:sz w:val="18"/>
                <w:szCs w:val="18"/>
              </w:rPr>
            </w:pPr>
            <w:r>
              <w:rPr>
                <w:rFonts w:ascii="宋体"/>
                <w:sz w:val="18"/>
              </w:rPr>
              <w:t>,245.73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9.68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6" w:right="0"/>
              <w:jc w:val="center"/>
              <w:rPr>
                <w:rFonts w:ascii="宋体" w:hAnsi="宋体" w:cs="宋体" w:eastAsia="宋体" w:hint="default"/>
                <w:sz w:val="18"/>
                <w:szCs w:val="18"/>
              </w:rPr>
            </w:pPr>
            <w:r>
              <w:rPr>
                <w:rFonts w:ascii="宋体"/>
                <w:sz w:val="18"/>
              </w:rPr>
              <w:t>3,510,4</w:t>
            </w:r>
          </w:p>
          <w:p>
            <w:pPr>
              <w:pStyle w:val="TableParagraph"/>
              <w:spacing w:line="234" w:lineRule="exact"/>
              <w:ind w:left="216" w:right="0"/>
              <w:jc w:val="center"/>
              <w:rPr>
                <w:rFonts w:ascii="宋体" w:hAnsi="宋体" w:cs="宋体" w:eastAsia="宋体" w:hint="default"/>
                <w:sz w:val="18"/>
                <w:szCs w:val="18"/>
              </w:rPr>
            </w:pPr>
            <w:r>
              <w:rPr>
                <w:rFonts w:ascii="宋体"/>
                <w:sz w:val="18"/>
              </w:rPr>
              <w:t>17.28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60" w:right="0"/>
              <w:jc w:val="left"/>
              <w:rPr>
                <w:rFonts w:ascii="宋体" w:hAnsi="宋体" w:cs="宋体" w:eastAsia="宋体" w:hint="default"/>
                <w:sz w:val="18"/>
                <w:szCs w:val="18"/>
              </w:rPr>
            </w:pPr>
            <w:r>
              <w:rPr>
                <w:rFonts w:ascii="宋体"/>
                <w:sz w:val="18"/>
              </w:rPr>
              <w:t>2.56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7" w:right="0"/>
              <w:jc w:val="left"/>
              <w:rPr>
                <w:rFonts w:ascii="宋体" w:hAnsi="宋体" w:cs="宋体" w:eastAsia="宋体" w:hint="default"/>
                <w:sz w:val="18"/>
                <w:szCs w:val="18"/>
              </w:rPr>
            </w:pPr>
            <w:r>
              <w:rPr>
                <w:rFonts w:ascii="宋体"/>
                <w:sz w:val="18"/>
              </w:rPr>
              <w:t>133,757</w:t>
            </w:r>
          </w:p>
          <w:p>
            <w:pPr>
              <w:pStyle w:val="TableParagraph"/>
              <w:spacing w:line="234" w:lineRule="exact"/>
              <w:ind w:left="67" w:right="0"/>
              <w:jc w:val="left"/>
              <w:rPr>
                <w:rFonts w:ascii="宋体" w:hAnsi="宋体" w:cs="宋体" w:eastAsia="宋体" w:hint="default"/>
                <w:sz w:val="18"/>
                <w:szCs w:val="18"/>
              </w:rPr>
            </w:pPr>
            <w:r>
              <w:rPr>
                <w:rFonts w:ascii="宋体"/>
                <w:sz w:val="18"/>
              </w:rPr>
              <w:t>,828.45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sz w:val="18"/>
              </w:rPr>
              <w:t>312,086</w:t>
            </w:r>
          </w:p>
          <w:p>
            <w:pPr>
              <w:pStyle w:val="TableParagraph"/>
              <w:spacing w:line="234" w:lineRule="exact"/>
              <w:ind w:left="107" w:right="0"/>
              <w:jc w:val="left"/>
              <w:rPr>
                <w:rFonts w:ascii="宋体" w:hAnsi="宋体" w:cs="宋体" w:eastAsia="宋体" w:hint="default"/>
                <w:sz w:val="18"/>
                <w:szCs w:val="18"/>
              </w:rPr>
            </w:pPr>
            <w:r>
              <w:rPr>
                <w:rFonts w:ascii="宋体"/>
                <w:sz w:val="18"/>
              </w:rPr>
              <w:t>,605.64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z w:val="18"/>
              </w:rPr>
              <w:t>42.90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4" w:right="0"/>
              <w:jc w:val="center"/>
              <w:rPr>
                <w:rFonts w:ascii="宋体" w:hAnsi="宋体" w:cs="宋体" w:eastAsia="宋体" w:hint="default"/>
                <w:sz w:val="18"/>
                <w:szCs w:val="18"/>
              </w:rPr>
            </w:pPr>
            <w:r>
              <w:rPr>
                <w:rFonts w:ascii="宋体"/>
                <w:sz w:val="18"/>
              </w:rPr>
              <w:t>7,900,5</w:t>
            </w:r>
          </w:p>
          <w:p>
            <w:pPr>
              <w:pStyle w:val="TableParagraph"/>
              <w:spacing w:line="234" w:lineRule="exact"/>
              <w:ind w:left="254" w:right="0"/>
              <w:jc w:val="center"/>
              <w:rPr>
                <w:rFonts w:ascii="宋体" w:hAnsi="宋体" w:cs="宋体" w:eastAsia="宋体" w:hint="default"/>
                <w:sz w:val="18"/>
                <w:szCs w:val="18"/>
              </w:rPr>
            </w:pPr>
            <w:r>
              <w:rPr>
                <w:rFonts w:ascii="宋体"/>
                <w:sz w:val="18"/>
              </w:rPr>
              <w:t>71.80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2.53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 w:right="0"/>
              <w:jc w:val="left"/>
              <w:rPr>
                <w:rFonts w:ascii="宋体" w:hAnsi="宋体" w:cs="宋体" w:eastAsia="宋体" w:hint="default"/>
                <w:sz w:val="18"/>
                <w:szCs w:val="18"/>
              </w:rPr>
            </w:pPr>
            <w:r>
              <w:rPr>
                <w:rFonts w:ascii="宋体"/>
                <w:sz w:val="18"/>
              </w:rPr>
              <w:t>304,186</w:t>
            </w:r>
          </w:p>
          <w:p>
            <w:pPr>
              <w:pStyle w:val="TableParagraph"/>
              <w:spacing w:line="234" w:lineRule="exact"/>
              <w:ind w:left="64" w:right="0"/>
              <w:jc w:val="left"/>
              <w:rPr>
                <w:rFonts w:ascii="宋体" w:hAnsi="宋体" w:cs="宋体" w:eastAsia="宋体" w:hint="default"/>
                <w:sz w:val="18"/>
                <w:szCs w:val="18"/>
              </w:rPr>
            </w:pPr>
            <w:r>
              <w:rPr>
                <w:rFonts w:ascii="宋体"/>
                <w:sz w:val="18"/>
              </w:rPr>
              <w:t>,033.84</w:t>
            </w:r>
          </w:p>
        </w:tc>
      </w:tr>
      <w:tr>
        <w:trPr>
          <w:trHeight w:val="710"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pacing w:val="9"/>
                <w:sz w:val="18"/>
                <w:szCs w:val="18"/>
              </w:rPr>
              <w:t>按信用风险特征</w:t>
            </w:r>
            <w:r>
              <w:rPr>
                <w:rFonts w:ascii="宋体" w:hAnsi="宋体" w:cs="宋体" w:eastAsia="宋体" w:hint="default"/>
                <w:sz w:val="18"/>
                <w:szCs w:val="18"/>
              </w:rPr>
            </w:r>
          </w:p>
          <w:p>
            <w:pPr>
              <w:pStyle w:val="TableParagraph"/>
              <w:spacing w:line="232" w:lineRule="exact" w:before="23"/>
              <w:ind w:left="26" w:right="17"/>
              <w:jc w:val="left"/>
              <w:rPr>
                <w:rFonts w:ascii="宋体" w:hAnsi="宋体" w:cs="宋体" w:eastAsia="宋体" w:hint="default"/>
                <w:sz w:val="18"/>
                <w:szCs w:val="18"/>
              </w:rPr>
            </w:pPr>
            <w:r>
              <w:rPr>
                <w:rFonts w:ascii="宋体" w:hAnsi="宋体" w:cs="宋体" w:eastAsia="宋体" w:hint="default"/>
                <w:spacing w:val="9"/>
                <w:sz w:val="18"/>
                <w:szCs w:val="18"/>
              </w:rPr>
              <w:t>组合计提坏账准 </w:t>
            </w:r>
            <w:r>
              <w:rPr>
                <w:rFonts w:ascii="宋体" w:hAnsi="宋体" w:cs="宋体" w:eastAsia="宋体" w:hint="default"/>
                <w:sz w:val="18"/>
                <w:szCs w:val="18"/>
              </w:rPr>
              <w:t>备的应收账款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1,109,7</w:t>
            </w:r>
          </w:p>
          <w:p>
            <w:pPr>
              <w:pStyle w:val="TableParagraph"/>
              <w:spacing w:line="233" w:lineRule="exact"/>
              <w:ind w:right="24"/>
              <w:jc w:val="right"/>
              <w:rPr>
                <w:rFonts w:ascii="宋体" w:hAnsi="宋体" w:cs="宋体" w:eastAsia="宋体" w:hint="default"/>
                <w:sz w:val="18"/>
                <w:szCs w:val="18"/>
              </w:rPr>
            </w:pPr>
            <w:r>
              <w:rPr>
                <w:rFonts w:ascii="宋体"/>
                <w:sz w:val="18"/>
              </w:rPr>
              <w:t>52,306.</w:t>
            </w:r>
          </w:p>
          <w:p>
            <w:pPr>
              <w:pStyle w:val="TableParagraph"/>
              <w:spacing w:line="234" w:lineRule="exact"/>
              <w:ind w:right="22"/>
              <w:jc w:val="right"/>
              <w:rPr>
                <w:rFonts w:ascii="宋体" w:hAnsi="宋体" w:cs="宋体" w:eastAsia="宋体" w:hint="default"/>
                <w:sz w:val="18"/>
                <w:szCs w:val="18"/>
              </w:rPr>
            </w:pPr>
            <w:r>
              <w:rPr>
                <w:rFonts w:ascii="宋体"/>
                <w:sz w:val="18"/>
              </w:rPr>
              <w:t>80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78.27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 w:right="0"/>
              <w:jc w:val="left"/>
              <w:rPr>
                <w:rFonts w:ascii="宋体" w:hAnsi="宋体" w:cs="宋体" w:eastAsia="宋体" w:hint="default"/>
                <w:sz w:val="18"/>
                <w:szCs w:val="18"/>
              </w:rPr>
            </w:pPr>
            <w:r>
              <w:rPr>
                <w:rFonts w:ascii="宋体"/>
                <w:sz w:val="18"/>
              </w:rPr>
              <w:t>44,707,</w:t>
            </w:r>
          </w:p>
          <w:p>
            <w:pPr>
              <w:pStyle w:val="TableParagraph"/>
              <w:spacing w:line="234" w:lineRule="exact"/>
              <w:ind w:left="156" w:right="0"/>
              <w:jc w:val="left"/>
              <w:rPr>
                <w:rFonts w:ascii="宋体" w:hAnsi="宋体" w:cs="宋体" w:eastAsia="宋体" w:hint="default"/>
                <w:sz w:val="18"/>
                <w:szCs w:val="18"/>
              </w:rPr>
            </w:pPr>
            <w:r>
              <w:rPr>
                <w:rFonts w:ascii="宋体"/>
                <w:sz w:val="18"/>
              </w:rPr>
              <w:t>986.96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8" w:right="0"/>
              <w:jc w:val="left"/>
              <w:rPr>
                <w:rFonts w:ascii="宋体" w:hAnsi="宋体" w:cs="宋体" w:eastAsia="宋体" w:hint="default"/>
                <w:sz w:val="18"/>
                <w:szCs w:val="18"/>
              </w:rPr>
            </w:pPr>
            <w:r>
              <w:rPr>
                <w:rFonts w:ascii="宋体"/>
                <w:sz w:val="18"/>
              </w:rPr>
              <w:t>19.20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1,065,0</w:t>
            </w:r>
          </w:p>
          <w:p>
            <w:pPr>
              <w:pStyle w:val="TableParagraph"/>
              <w:spacing w:line="233" w:lineRule="exact"/>
              <w:ind w:right="24"/>
              <w:jc w:val="right"/>
              <w:rPr>
                <w:rFonts w:ascii="宋体" w:hAnsi="宋体" w:cs="宋体" w:eastAsia="宋体" w:hint="default"/>
                <w:sz w:val="18"/>
                <w:szCs w:val="18"/>
              </w:rPr>
            </w:pPr>
            <w:r>
              <w:rPr>
                <w:rFonts w:ascii="宋体"/>
                <w:sz w:val="18"/>
              </w:rPr>
              <w:t>44,319.</w:t>
            </w:r>
          </w:p>
          <w:p>
            <w:pPr>
              <w:pStyle w:val="TableParagraph"/>
              <w:spacing w:line="234" w:lineRule="exact"/>
              <w:ind w:right="23"/>
              <w:jc w:val="right"/>
              <w:rPr>
                <w:rFonts w:ascii="宋体" w:hAnsi="宋体" w:cs="宋体" w:eastAsia="宋体" w:hint="default"/>
                <w:sz w:val="18"/>
                <w:szCs w:val="18"/>
              </w:rPr>
            </w:pPr>
            <w:r>
              <w:rPr>
                <w:rFonts w:ascii="宋体"/>
                <w:sz w:val="18"/>
              </w:rPr>
              <w:t>84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sz w:val="18"/>
              </w:rPr>
              <w:t>229,362</w:t>
            </w:r>
          </w:p>
          <w:p>
            <w:pPr>
              <w:pStyle w:val="TableParagraph"/>
              <w:spacing w:line="234" w:lineRule="exact"/>
              <w:ind w:left="107" w:right="0"/>
              <w:jc w:val="left"/>
              <w:rPr>
                <w:rFonts w:ascii="宋体" w:hAnsi="宋体" w:cs="宋体" w:eastAsia="宋体" w:hint="default"/>
                <w:sz w:val="18"/>
                <w:szCs w:val="18"/>
              </w:rPr>
            </w:pPr>
            <w:r>
              <w:rPr>
                <w:rFonts w:ascii="宋体"/>
                <w:sz w:val="18"/>
              </w:rPr>
              <w:t>,074.02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z w:val="18"/>
              </w:rPr>
              <w:t>31.53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32,576,</w:t>
            </w:r>
          </w:p>
          <w:p>
            <w:pPr>
              <w:pStyle w:val="TableParagraph"/>
              <w:spacing w:line="234" w:lineRule="exact"/>
              <w:ind w:left="192" w:right="0"/>
              <w:jc w:val="left"/>
              <w:rPr>
                <w:rFonts w:ascii="宋体" w:hAnsi="宋体" w:cs="宋体" w:eastAsia="宋体" w:hint="default"/>
                <w:sz w:val="18"/>
                <w:szCs w:val="18"/>
              </w:rPr>
            </w:pPr>
            <w:r>
              <w:rPr>
                <w:rFonts w:ascii="宋体"/>
                <w:sz w:val="18"/>
              </w:rPr>
              <w:t>619.86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14.20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 w:right="0"/>
              <w:jc w:val="left"/>
              <w:rPr>
                <w:rFonts w:ascii="宋体" w:hAnsi="宋体" w:cs="宋体" w:eastAsia="宋体" w:hint="default"/>
                <w:sz w:val="18"/>
                <w:szCs w:val="18"/>
              </w:rPr>
            </w:pPr>
            <w:r>
              <w:rPr>
                <w:rFonts w:ascii="宋体"/>
                <w:sz w:val="18"/>
              </w:rPr>
              <w:t>196,785</w:t>
            </w:r>
          </w:p>
          <w:p>
            <w:pPr>
              <w:pStyle w:val="TableParagraph"/>
              <w:spacing w:line="234" w:lineRule="exact"/>
              <w:ind w:left="64" w:right="0"/>
              <w:jc w:val="left"/>
              <w:rPr>
                <w:rFonts w:ascii="宋体" w:hAnsi="宋体" w:cs="宋体" w:eastAsia="宋体" w:hint="default"/>
                <w:sz w:val="18"/>
                <w:szCs w:val="18"/>
              </w:rPr>
            </w:pPr>
            <w:r>
              <w:rPr>
                <w:rFonts w:ascii="宋体"/>
                <w:sz w:val="18"/>
              </w:rPr>
              <w:t>,454.16</w:t>
            </w:r>
          </w:p>
        </w:tc>
      </w:tr>
      <w:tr>
        <w:trPr>
          <w:trHeight w:val="478"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其中：组合一</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9" w:right="0"/>
              <w:jc w:val="left"/>
              <w:rPr>
                <w:rFonts w:ascii="宋体" w:hAnsi="宋体" w:cs="宋体" w:eastAsia="宋体" w:hint="default"/>
                <w:sz w:val="18"/>
                <w:szCs w:val="18"/>
              </w:rPr>
            </w:pPr>
            <w:r>
              <w:rPr>
                <w:rFonts w:ascii="宋体"/>
                <w:sz w:val="18"/>
              </w:rPr>
              <w:t>180,346</w:t>
            </w:r>
          </w:p>
          <w:p>
            <w:pPr>
              <w:pStyle w:val="TableParagraph"/>
              <w:spacing w:line="234" w:lineRule="exact"/>
              <w:ind w:left="79" w:right="0"/>
              <w:jc w:val="left"/>
              <w:rPr>
                <w:rFonts w:ascii="宋体" w:hAnsi="宋体" w:cs="宋体" w:eastAsia="宋体" w:hint="default"/>
                <w:sz w:val="18"/>
                <w:szCs w:val="18"/>
              </w:rPr>
            </w:pPr>
            <w:r>
              <w:rPr>
                <w:rFonts w:ascii="宋体"/>
                <w:sz w:val="18"/>
              </w:rPr>
              <w:t>,704.42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12.72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 w:right="0"/>
              <w:jc w:val="left"/>
              <w:rPr>
                <w:rFonts w:ascii="宋体" w:hAnsi="宋体" w:cs="宋体" w:eastAsia="宋体" w:hint="default"/>
                <w:sz w:val="18"/>
                <w:szCs w:val="18"/>
              </w:rPr>
            </w:pPr>
            <w:r>
              <w:rPr>
                <w:rFonts w:ascii="宋体"/>
                <w:sz w:val="18"/>
              </w:rPr>
              <w:t>32,183,</w:t>
            </w:r>
          </w:p>
          <w:p>
            <w:pPr>
              <w:pStyle w:val="TableParagraph"/>
              <w:spacing w:line="234" w:lineRule="exact"/>
              <w:ind w:left="156" w:right="0"/>
              <w:jc w:val="left"/>
              <w:rPr>
                <w:rFonts w:ascii="宋体" w:hAnsi="宋体" w:cs="宋体" w:eastAsia="宋体" w:hint="default"/>
                <w:sz w:val="18"/>
                <w:szCs w:val="18"/>
              </w:rPr>
            </w:pPr>
            <w:r>
              <w:rPr>
                <w:rFonts w:ascii="宋体"/>
                <w:sz w:val="18"/>
              </w:rPr>
              <w:t>057.97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8" w:right="0"/>
              <w:jc w:val="left"/>
              <w:rPr>
                <w:rFonts w:ascii="宋体" w:hAnsi="宋体" w:cs="宋体" w:eastAsia="宋体" w:hint="default"/>
                <w:sz w:val="18"/>
                <w:szCs w:val="18"/>
              </w:rPr>
            </w:pPr>
            <w:r>
              <w:rPr>
                <w:rFonts w:ascii="宋体"/>
                <w:sz w:val="18"/>
              </w:rPr>
              <w:t>17.85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7" w:right="0"/>
              <w:jc w:val="left"/>
              <w:rPr>
                <w:rFonts w:ascii="宋体" w:hAnsi="宋体" w:cs="宋体" w:eastAsia="宋体" w:hint="default"/>
                <w:sz w:val="18"/>
                <w:szCs w:val="18"/>
              </w:rPr>
            </w:pPr>
            <w:r>
              <w:rPr>
                <w:rFonts w:ascii="宋体"/>
                <w:sz w:val="18"/>
              </w:rPr>
              <w:t>148,163</w:t>
            </w:r>
          </w:p>
          <w:p>
            <w:pPr>
              <w:pStyle w:val="TableParagraph"/>
              <w:spacing w:line="234" w:lineRule="exact"/>
              <w:ind w:left="67" w:right="0"/>
              <w:jc w:val="left"/>
              <w:rPr>
                <w:rFonts w:ascii="宋体" w:hAnsi="宋体" w:cs="宋体" w:eastAsia="宋体" w:hint="default"/>
                <w:sz w:val="18"/>
                <w:szCs w:val="18"/>
              </w:rPr>
            </w:pPr>
            <w:r>
              <w:rPr>
                <w:rFonts w:ascii="宋体"/>
                <w:sz w:val="18"/>
              </w:rPr>
              <w:t>,646.45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sz w:val="18"/>
              </w:rPr>
              <w:t>229,362</w:t>
            </w:r>
          </w:p>
          <w:p>
            <w:pPr>
              <w:pStyle w:val="TableParagraph"/>
              <w:spacing w:line="234" w:lineRule="exact"/>
              <w:ind w:left="107" w:right="0"/>
              <w:jc w:val="left"/>
              <w:rPr>
                <w:rFonts w:ascii="宋体" w:hAnsi="宋体" w:cs="宋体" w:eastAsia="宋体" w:hint="default"/>
                <w:sz w:val="18"/>
                <w:szCs w:val="18"/>
              </w:rPr>
            </w:pPr>
            <w:r>
              <w:rPr>
                <w:rFonts w:ascii="宋体"/>
                <w:sz w:val="18"/>
              </w:rPr>
              <w:t>,074.02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z w:val="18"/>
              </w:rPr>
              <w:t>31.53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32,576,</w:t>
            </w:r>
          </w:p>
          <w:p>
            <w:pPr>
              <w:pStyle w:val="TableParagraph"/>
              <w:spacing w:line="234" w:lineRule="exact"/>
              <w:ind w:left="192" w:right="0"/>
              <w:jc w:val="left"/>
              <w:rPr>
                <w:rFonts w:ascii="宋体" w:hAnsi="宋体" w:cs="宋体" w:eastAsia="宋体" w:hint="default"/>
                <w:sz w:val="18"/>
                <w:szCs w:val="18"/>
              </w:rPr>
            </w:pPr>
            <w:r>
              <w:rPr>
                <w:rFonts w:ascii="宋体"/>
                <w:sz w:val="18"/>
              </w:rPr>
              <w:t>619.86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14.20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 w:right="0"/>
              <w:jc w:val="left"/>
              <w:rPr>
                <w:rFonts w:ascii="宋体" w:hAnsi="宋体" w:cs="宋体" w:eastAsia="宋体" w:hint="default"/>
                <w:sz w:val="18"/>
                <w:szCs w:val="18"/>
              </w:rPr>
            </w:pPr>
            <w:r>
              <w:rPr>
                <w:rFonts w:ascii="宋体"/>
                <w:sz w:val="18"/>
              </w:rPr>
              <w:t>196,785</w:t>
            </w:r>
          </w:p>
          <w:p>
            <w:pPr>
              <w:pStyle w:val="TableParagraph"/>
              <w:spacing w:line="234" w:lineRule="exact"/>
              <w:ind w:left="64" w:right="0"/>
              <w:jc w:val="left"/>
              <w:rPr>
                <w:rFonts w:ascii="宋体" w:hAnsi="宋体" w:cs="宋体" w:eastAsia="宋体" w:hint="default"/>
                <w:sz w:val="18"/>
                <w:szCs w:val="18"/>
              </w:rPr>
            </w:pPr>
            <w:r>
              <w:rPr>
                <w:rFonts w:ascii="宋体"/>
                <w:sz w:val="18"/>
              </w:rPr>
              <w:t>,454.16</w:t>
            </w:r>
          </w:p>
        </w:tc>
      </w:tr>
      <w:tr>
        <w:trPr>
          <w:trHeight w:val="478"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9" w:right="0"/>
              <w:jc w:val="left"/>
              <w:rPr>
                <w:rFonts w:ascii="宋体" w:hAnsi="宋体" w:cs="宋体" w:eastAsia="宋体" w:hint="default"/>
                <w:sz w:val="18"/>
                <w:szCs w:val="18"/>
              </w:rPr>
            </w:pPr>
            <w:r>
              <w:rPr>
                <w:rFonts w:ascii="宋体"/>
                <w:sz w:val="18"/>
              </w:rPr>
              <w:t>929,405</w:t>
            </w:r>
          </w:p>
          <w:p>
            <w:pPr>
              <w:pStyle w:val="TableParagraph"/>
              <w:spacing w:line="234" w:lineRule="exact"/>
              <w:ind w:left="79" w:right="0"/>
              <w:jc w:val="left"/>
              <w:rPr>
                <w:rFonts w:ascii="宋体" w:hAnsi="宋体" w:cs="宋体" w:eastAsia="宋体" w:hint="default"/>
                <w:sz w:val="18"/>
                <w:szCs w:val="18"/>
              </w:rPr>
            </w:pPr>
            <w:r>
              <w:rPr>
                <w:rFonts w:ascii="宋体"/>
                <w:sz w:val="18"/>
              </w:rPr>
              <w:t>,602.38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65.55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sz w:val="18"/>
              </w:rPr>
              <w:t>12,524,</w:t>
            </w:r>
          </w:p>
          <w:p>
            <w:pPr>
              <w:pStyle w:val="TableParagraph"/>
              <w:spacing w:line="234" w:lineRule="exact"/>
              <w:ind w:left="156" w:right="0"/>
              <w:jc w:val="left"/>
              <w:rPr>
                <w:rFonts w:ascii="宋体" w:hAnsi="宋体" w:cs="宋体" w:eastAsia="宋体" w:hint="default"/>
                <w:sz w:val="18"/>
                <w:szCs w:val="18"/>
              </w:rPr>
            </w:pPr>
            <w:r>
              <w:rPr>
                <w:rFonts w:ascii="宋体"/>
                <w:sz w:val="18"/>
              </w:rPr>
              <w:t>928.99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sz w:val="18"/>
              </w:rPr>
              <w:t>1.35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left"/>
              <w:rPr>
                <w:rFonts w:ascii="宋体" w:hAnsi="宋体" w:cs="宋体" w:eastAsia="宋体" w:hint="default"/>
                <w:sz w:val="18"/>
                <w:szCs w:val="18"/>
              </w:rPr>
            </w:pPr>
            <w:r>
              <w:rPr>
                <w:rFonts w:ascii="宋体"/>
                <w:sz w:val="18"/>
              </w:rPr>
              <w:t>916,880</w:t>
            </w:r>
          </w:p>
          <w:p>
            <w:pPr>
              <w:pStyle w:val="TableParagraph"/>
              <w:spacing w:line="234" w:lineRule="exact"/>
              <w:ind w:left="67" w:right="0"/>
              <w:jc w:val="left"/>
              <w:rPr>
                <w:rFonts w:ascii="宋体" w:hAnsi="宋体" w:cs="宋体" w:eastAsia="宋体" w:hint="default"/>
                <w:sz w:val="18"/>
                <w:szCs w:val="18"/>
              </w:rPr>
            </w:pPr>
            <w:r>
              <w:rPr>
                <w:rFonts w:ascii="宋体"/>
                <w:sz w:val="18"/>
              </w:rPr>
              <w:t>,673.39</w:t>
            </w:r>
          </w:p>
        </w:tc>
        <w:tc>
          <w:tcPr>
            <w:tcW w:w="77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9"/>
                <w:sz w:val="18"/>
                <w:szCs w:val="18"/>
              </w:rPr>
              <w:t>单项金额不重大</w:t>
            </w:r>
            <w:r>
              <w:rPr>
                <w:rFonts w:ascii="宋体" w:hAnsi="宋体" w:cs="宋体" w:eastAsia="宋体" w:hint="default"/>
                <w:sz w:val="18"/>
                <w:szCs w:val="18"/>
              </w:rPr>
            </w:r>
          </w:p>
          <w:p>
            <w:pPr>
              <w:pStyle w:val="TableParagraph"/>
              <w:spacing w:line="232" w:lineRule="exact" w:before="23"/>
              <w:ind w:left="26" w:right="17"/>
              <w:jc w:val="left"/>
              <w:rPr>
                <w:rFonts w:ascii="宋体" w:hAnsi="宋体" w:cs="宋体" w:eastAsia="宋体" w:hint="default"/>
                <w:sz w:val="18"/>
                <w:szCs w:val="18"/>
              </w:rPr>
            </w:pPr>
            <w:r>
              <w:rPr>
                <w:rFonts w:ascii="宋体" w:hAnsi="宋体" w:cs="宋体" w:eastAsia="宋体" w:hint="default"/>
                <w:spacing w:val="9"/>
                <w:sz w:val="18"/>
                <w:szCs w:val="18"/>
              </w:rPr>
              <w:t>但单独计提坏账 </w:t>
            </w:r>
            <w:r>
              <w:rPr>
                <w:rFonts w:ascii="宋体" w:hAnsi="宋体" w:cs="宋体" w:eastAsia="宋体" w:hint="default"/>
                <w:sz w:val="18"/>
                <w:szCs w:val="18"/>
              </w:rPr>
              <w:t>准备的应收账款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9" w:right="0"/>
              <w:jc w:val="left"/>
              <w:rPr>
                <w:rFonts w:ascii="宋体" w:hAnsi="宋体" w:cs="宋体" w:eastAsia="宋体" w:hint="default"/>
                <w:sz w:val="18"/>
                <w:szCs w:val="18"/>
              </w:rPr>
            </w:pPr>
            <w:r>
              <w:rPr>
                <w:rFonts w:ascii="宋体"/>
                <w:sz w:val="18"/>
              </w:rPr>
              <w:t>170,789</w:t>
            </w:r>
          </w:p>
          <w:p>
            <w:pPr>
              <w:pStyle w:val="TableParagraph"/>
              <w:spacing w:line="234" w:lineRule="exact"/>
              <w:ind w:left="79" w:right="0"/>
              <w:jc w:val="left"/>
              <w:rPr>
                <w:rFonts w:ascii="宋体" w:hAnsi="宋体" w:cs="宋体" w:eastAsia="宋体" w:hint="default"/>
                <w:sz w:val="18"/>
                <w:szCs w:val="18"/>
              </w:rPr>
            </w:pPr>
            <w:r>
              <w:rPr>
                <w:rFonts w:ascii="宋体"/>
                <w:sz w:val="18"/>
              </w:rPr>
              <w:t>,934.62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12.05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6" w:right="0"/>
              <w:jc w:val="center"/>
              <w:rPr>
                <w:rFonts w:ascii="宋体" w:hAnsi="宋体" w:cs="宋体" w:eastAsia="宋体" w:hint="default"/>
                <w:sz w:val="18"/>
                <w:szCs w:val="18"/>
              </w:rPr>
            </w:pPr>
            <w:r>
              <w:rPr>
                <w:rFonts w:ascii="宋体"/>
                <w:sz w:val="18"/>
              </w:rPr>
              <w:t>4,095,2</w:t>
            </w:r>
          </w:p>
          <w:p>
            <w:pPr>
              <w:pStyle w:val="TableParagraph"/>
              <w:spacing w:line="234" w:lineRule="exact"/>
              <w:ind w:left="216" w:right="0"/>
              <w:jc w:val="center"/>
              <w:rPr>
                <w:rFonts w:ascii="宋体" w:hAnsi="宋体" w:cs="宋体" w:eastAsia="宋体" w:hint="default"/>
                <w:sz w:val="18"/>
                <w:szCs w:val="18"/>
              </w:rPr>
            </w:pPr>
            <w:r>
              <w:rPr>
                <w:rFonts w:ascii="宋体"/>
                <w:sz w:val="18"/>
              </w:rPr>
              <w:t>52.14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0" w:right="0"/>
              <w:jc w:val="left"/>
              <w:rPr>
                <w:rFonts w:ascii="宋体" w:hAnsi="宋体" w:cs="宋体" w:eastAsia="宋体" w:hint="default"/>
                <w:sz w:val="18"/>
                <w:szCs w:val="18"/>
              </w:rPr>
            </w:pPr>
            <w:r>
              <w:rPr>
                <w:rFonts w:ascii="宋体"/>
                <w:sz w:val="18"/>
              </w:rPr>
              <w:t>2.40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left"/>
              <w:rPr>
                <w:rFonts w:ascii="宋体" w:hAnsi="宋体" w:cs="宋体" w:eastAsia="宋体" w:hint="default"/>
                <w:sz w:val="18"/>
                <w:szCs w:val="18"/>
              </w:rPr>
            </w:pPr>
            <w:r>
              <w:rPr>
                <w:rFonts w:ascii="宋体"/>
                <w:sz w:val="18"/>
              </w:rPr>
              <w:t>166,694</w:t>
            </w:r>
          </w:p>
          <w:p>
            <w:pPr>
              <w:pStyle w:val="TableParagraph"/>
              <w:spacing w:line="234" w:lineRule="exact"/>
              <w:ind w:left="67" w:right="0"/>
              <w:jc w:val="left"/>
              <w:rPr>
                <w:rFonts w:ascii="宋体" w:hAnsi="宋体" w:cs="宋体" w:eastAsia="宋体" w:hint="default"/>
                <w:sz w:val="18"/>
                <w:szCs w:val="18"/>
              </w:rPr>
            </w:pPr>
            <w:r>
              <w:rPr>
                <w:rFonts w:ascii="宋体"/>
                <w:sz w:val="18"/>
              </w:rPr>
              <w:t>,682.48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186,107</w:t>
            </w:r>
          </w:p>
          <w:p>
            <w:pPr>
              <w:pStyle w:val="TableParagraph"/>
              <w:spacing w:line="234" w:lineRule="exact"/>
              <w:ind w:left="107" w:right="0"/>
              <w:jc w:val="left"/>
              <w:rPr>
                <w:rFonts w:ascii="宋体" w:hAnsi="宋体" w:cs="宋体" w:eastAsia="宋体" w:hint="default"/>
                <w:sz w:val="18"/>
                <w:szCs w:val="18"/>
              </w:rPr>
            </w:pPr>
            <w:r>
              <w:rPr>
                <w:rFonts w:ascii="宋体"/>
                <w:sz w:val="18"/>
              </w:rPr>
              <w:t>,385.45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25.57</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4" w:right="0"/>
              <w:jc w:val="center"/>
              <w:rPr>
                <w:rFonts w:ascii="宋体" w:hAnsi="宋体" w:cs="宋体" w:eastAsia="宋体" w:hint="default"/>
                <w:sz w:val="18"/>
                <w:szCs w:val="18"/>
              </w:rPr>
            </w:pPr>
            <w:r>
              <w:rPr>
                <w:rFonts w:ascii="宋体"/>
                <w:sz w:val="18"/>
              </w:rPr>
              <w:t>4,341,8</w:t>
            </w:r>
          </w:p>
          <w:p>
            <w:pPr>
              <w:pStyle w:val="TableParagraph"/>
              <w:spacing w:line="234" w:lineRule="exact"/>
              <w:ind w:left="254" w:right="0"/>
              <w:jc w:val="center"/>
              <w:rPr>
                <w:rFonts w:ascii="宋体" w:hAnsi="宋体" w:cs="宋体" w:eastAsia="宋体" w:hint="default"/>
                <w:sz w:val="18"/>
                <w:szCs w:val="18"/>
              </w:rPr>
            </w:pPr>
            <w:r>
              <w:rPr>
                <w:rFonts w:ascii="宋体"/>
                <w:sz w:val="18"/>
              </w:rPr>
              <w:t>13.79</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2.33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sz w:val="18"/>
              </w:rPr>
              <w:t>181,765</w:t>
            </w:r>
          </w:p>
          <w:p>
            <w:pPr>
              <w:pStyle w:val="TableParagraph"/>
              <w:spacing w:line="234" w:lineRule="exact"/>
              <w:ind w:left="64" w:right="0"/>
              <w:jc w:val="left"/>
              <w:rPr>
                <w:rFonts w:ascii="宋体" w:hAnsi="宋体" w:cs="宋体" w:eastAsia="宋体" w:hint="default"/>
                <w:sz w:val="18"/>
                <w:szCs w:val="18"/>
              </w:rPr>
            </w:pPr>
            <w:r>
              <w:rPr>
                <w:rFonts w:ascii="宋体"/>
                <w:sz w:val="18"/>
              </w:rPr>
              <w:t>,571.66</w:t>
            </w:r>
          </w:p>
        </w:tc>
      </w:tr>
      <w:tr>
        <w:trPr>
          <w:trHeight w:val="710"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z w:val="18"/>
              </w:rPr>
              <w:t>1,417,8</w:t>
            </w:r>
          </w:p>
          <w:p>
            <w:pPr>
              <w:pStyle w:val="TableParagraph"/>
              <w:spacing w:line="233" w:lineRule="exact"/>
              <w:ind w:right="24"/>
              <w:jc w:val="right"/>
              <w:rPr>
                <w:rFonts w:ascii="宋体" w:hAnsi="宋体" w:cs="宋体" w:eastAsia="宋体" w:hint="default"/>
                <w:sz w:val="18"/>
                <w:szCs w:val="18"/>
              </w:rPr>
            </w:pPr>
            <w:r>
              <w:rPr>
                <w:rFonts w:ascii="宋体"/>
                <w:sz w:val="18"/>
              </w:rPr>
              <w:t>10,487.</w:t>
            </w:r>
          </w:p>
          <w:p>
            <w:pPr>
              <w:pStyle w:val="TableParagraph"/>
              <w:spacing w:line="234" w:lineRule="exact"/>
              <w:ind w:right="22"/>
              <w:jc w:val="right"/>
              <w:rPr>
                <w:rFonts w:ascii="宋体" w:hAnsi="宋体" w:cs="宋体" w:eastAsia="宋体" w:hint="default"/>
                <w:sz w:val="18"/>
                <w:szCs w:val="18"/>
              </w:rPr>
            </w:pPr>
            <w:r>
              <w:rPr>
                <w:rFonts w:ascii="宋体"/>
                <w:sz w:val="18"/>
              </w:rPr>
              <w:t>15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sz w:val="18"/>
              </w:rPr>
              <w:t>52,313,</w:t>
            </w:r>
          </w:p>
          <w:p>
            <w:pPr>
              <w:pStyle w:val="TableParagraph"/>
              <w:spacing w:line="234" w:lineRule="exact"/>
              <w:ind w:left="156" w:right="0"/>
              <w:jc w:val="left"/>
              <w:rPr>
                <w:rFonts w:ascii="宋体" w:hAnsi="宋体" w:cs="宋体" w:eastAsia="宋体" w:hint="default"/>
                <w:sz w:val="18"/>
                <w:szCs w:val="18"/>
              </w:rPr>
            </w:pPr>
            <w:r>
              <w:rPr>
                <w:rFonts w:ascii="宋体"/>
                <w:sz w:val="18"/>
              </w:rPr>
              <w:t>656.38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sz w:val="18"/>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z w:val="18"/>
              </w:rPr>
              <w:t>1,365,4</w:t>
            </w:r>
          </w:p>
          <w:p>
            <w:pPr>
              <w:pStyle w:val="TableParagraph"/>
              <w:spacing w:line="233" w:lineRule="exact"/>
              <w:ind w:right="24"/>
              <w:jc w:val="right"/>
              <w:rPr>
                <w:rFonts w:ascii="宋体" w:hAnsi="宋体" w:cs="宋体" w:eastAsia="宋体" w:hint="default"/>
                <w:sz w:val="18"/>
                <w:szCs w:val="18"/>
              </w:rPr>
            </w:pPr>
            <w:r>
              <w:rPr>
                <w:rFonts w:ascii="宋体"/>
                <w:sz w:val="18"/>
              </w:rPr>
              <w:t>96,830.</w:t>
            </w:r>
          </w:p>
          <w:p>
            <w:pPr>
              <w:pStyle w:val="TableParagraph"/>
              <w:spacing w:line="234" w:lineRule="exact"/>
              <w:ind w:right="23"/>
              <w:jc w:val="right"/>
              <w:rPr>
                <w:rFonts w:ascii="宋体" w:hAnsi="宋体" w:cs="宋体" w:eastAsia="宋体" w:hint="default"/>
                <w:sz w:val="18"/>
                <w:szCs w:val="18"/>
              </w:rPr>
            </w:pPr>
            <w:r>
              <w:rPr>
                <w:rFonts w:ascii="宋体"/>
                <w:sz w:val="18"/>
              </w:rPr>
              <w:t>77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727,556</w:t>
            </w:r>
          </w:p>
          <w:p>
            <w:pPr>
              <w:pStyle w:val="TableParagraph"/>
              <w:spacing w:line="234" w:lineRule="exact"/>
              <w:ind w:left="107" w:right="0"/>
              <w:jc w:val="left"/>
              <w:rPr>
                <w:rFonts w:ascii="宋体" w:hAnsi="宋体" w:cs="宋体" w:eastAsia="宋体" w:hint="default"/>
                <w:sz w:val="18"/>
                <w:szCs w:val="18"/>
              </w:rPr>
            </w:pPr>
            <w:r>
              <w:rPr>
                <w:rFonts w:ascii="宋体"/>
                <w:sz w:val="18"/>
              </w:rPr>
              <w:t>,065.11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center"/>
              <w:rPr>
                <w:rFonts w:ascii="宋体" w:hAnsi="宋体" w:cs="宋体" w:eastAsia="宋体" w:hint="default"/>
                <w:sz w:val="18"/>
                <w:szCs w:val="18"/>
              </w:rPr>
            </w:pPr>
            <w:r>
              <w:rPr>
                <w:rFonts w:ascii="宋体"/>
                <w:sz w:val="18"/>
              </w:rPr>
              <w:t>/</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44,819,</w:t>
            </w:r>
          </w:p>
          <w:p>
            <w:pPr>
              <w:pStyle w:val="TableParagraph"/>
              <w:spacing w:line="234" w:lineRule="exact"/>
              <w:ind w:left="192" w:right="0"/>
              <w:jc w:val="left"/>
              <w:rPr>
                <w:rFonts w:ascii="宋体" w:hAnsi="宋体" w:cs="宋体" w:eastAsia="宋体" w:hint="default"/>
                <w:sz w:val="18"/>
                <w:szCs w:val="18"/>
              </w:rPr>
            </w:pPr>
            <w:r>
              <w:rPr>
                <w:rFonts w:ascii="宋体"/>
                <w:sz w:val="18"/>
              </w:rPr>
              <w:t>005.45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sz w:val="18"/>
              </w:rPr>
              <w:t>682,737</w:t>
            </w:r>
          </w:p>
          <w:p>
            <w:pPr>
              <w:pStyle w:val="TableParagraph"/>
              <w:spacing w:line="234" w:lineRule="exact"/>
              <w:ind w:left="64" w:right="0"/>
              <w:jc w:val="left"/>
              <w:rPr>
                <w:rFonts w:ascii="宋体" w:hAnsi="宋体" w:cs="宋体" w:eastAsia="宋体" w:hint="default"/>
                <w:sz w:val="18"/>
                <w:szCs w:val="18"/>
              </w:rPr>
            </w:pPr>
            <w:r>
              <w:rPr>
                <w:rFonts w:ascii="宋体"/>
                <w:sz w:val="18"/>
              </w:rPr>
              <w:t>,059.66</w:t>
            </w:r>
          </w:p>
        </w:tc>
      </w:tr>
    </w:tbl>
    <w:p>
      <w:pPr>
        <w:spacing w:line="240" w:lineRule="auto" w:before="5"/>
        <w:rPr>
          <w:rFonts w:ascii="宋体" w:hAnsi="宋体" w:cs="宋体" w:eastAsia="宋体" w:hint="default"/>
          <w:sz w:val="15"/>
          <w:szCs w:val="15"/>
        </w:rPr>
      </w:pPr>
    </w:p>
    <w:p>
      <w:pPr>
        <w:pStyle w:val="BodyText"/>
        <w:spacing w:line="240" w:lineRule="auto" w:before="36"/>
        <w:ind w:left="258" w:right="0"/>
        <w:jc w:val="left"/>
      </w:pPr>
      <w:r>
        <w:rPr/>
        <w:t>期末单项金额重大并单项计提坏帐准备的应收账款</w:t>
      </w:r>
    </w:p>
    <w:p>
      <w:pPr>
        <w:spacing w:after="0" w:line="240" w:lineRule="auto"/>
        <w:jc w:val="left"/>
        <w:sectPr>
          <w:type w:val="continuous"/>
          <w:pgSz w:w="11910" w:h="16840"/>
          <w:pgMar w:top="1280" w:bottom="1380" w:left="1540" w:right="960"/>
        </w:sectPr>
      </w:pPr>
    </w:p>
    <w:p>
      <w:pPr>
        <w:spacing w:line="240" w:lineRule="auto" w:before="8"/>
        <w:rPr>
          <w:rFonts w:ascii="宋体" w:hAnsi="宋体" w:cs="宋体" w:eastAsia="宋体" w:hint="default"/>
          <w:sz w:val="12"/>
          <w:szCs w:val="12"/>
        </w:rPr>
      </w:pPr>
    </w:p>
    <w:p>
      <w:pPr>
        <w:pStyle w:val="BodyText"/>
        <w:spacing w:line="274" w:lineRule="exact" w:before="36"/>
        <w:ind w:left="218" w:right="2465"/>
        <w:jc w:val="left"/>
      </w:pPr>
      <w:r>
        <w:rPr/>
        <w:t>√适用</w:t>
      </w:r>
      <w:r>
        <w:rPr>
          <w:spacing w:val="-1"/>
        </w:rPr>
        <w:t> </w:t>
      </w:r>
      <w:r>
        <w:rPr/>
        <w:t>□不适用</w:t>
      </w:r>
    </w:p>
    <w:p>
      <w:pPr>
        <w:pStyle w:val="BodyText"/>
        <w:tabs>
          <w:tab w:pos="1051" w:val="left" w:leader="none"/>
        </w:tabs>
        <w:spacing w:line="274" w:lineRule="exact" w:before="0"/>
        <w:ind w:left="0" w:right="227"/>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1934"/>
        <w:gridCol w:w="1685"/>
        <w:gridCol w:w="1863"/>
        <w:gridCol w:w="1717"/>
        <w:gridCol w:w="1680"/>
      </w:tblGrid>
      <w:tr>
        <w:trPr>
          <w:trHeight w:val="283" w:hRule="exact"/>
        </w:trPr>
        <w:tc>
          <w:tcPr>
            <w:tcW w:w="1934" w:type="dxa"/>
            <w:vMerge w:val="restart"/>
            <w:tcBorders>
              <w:top w:val="single" w:sz="4" w:space="0" w:color="000000"/>
              <w:left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69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934"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1"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东营经济技术开发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区城市管理局</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52,763,090.42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1,055,261.81</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281"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东营市城市管理局</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41,341,422.95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900,672.96</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557"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张石高速公路筹建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sz w:val="21"/>
              </w:rPr>
              <w:t>23,040,262.00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1,152,013.10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5.00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年以上政府欠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r>
      <w:tr>
        <w:trPr>
          <w:trHeight w:val="1100"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国家高速新林北至</w:t>
            </w:r>
          </w:p>
          <w:p>
            <w:pPr>
              <w:pStyle w:val="TableParagraph"/>
              <w:spacing w:line="237" w:lineRule="auto"/>
              <w:ind w:left="103" w:right="136"/>
              <w:jc w:val="both"/>
              <w:rPr>
                <w:rFonts w:ascii="宋体" w:hAnsi="宋体" w:cs="宋体" w:eastAsia="宋体" w:hint="default"/>
                <w:sz w:val="21"/>
                <w:szCs w:val="21"/>
              </w:rPr>
            </w:pPr>
            <w:r>
              <w:rPr>
                <w:rFonts w:ascii="宋体" w:hAnsi="宋体" w:cs="宋体" w:eastAsia="宋体" w:hint="default"/>
                <w:sz w:val="21"/>
                <w:szCs w:val="21"/>
              </w:rPr>
              <w:t>扎兰屯段公路工程</w:t>
            </w:r>
            <w:r>
              <w:rPr>
                <w:rFonts w:ascii="宋体" w:hAnsi="宋体" w:cs="宋体" w:eastAsia="宋体" w:hint="default"/>
                <w:w w:val="100"/>
                <w:sz w:val="21"/>
                <w:szCs w:val="21"/>
              </w:rPr>
              <w:t> </w:t>
            </w:r>
            <w:r>
              <w:rPr>
                <w:rFonts w:ascii="宋体" w:hAnsi="宋体" w:cs="宋体" w:eastAsia="宋体" w:hint="default"/>
                <w:sz w:val="21"/>
                <w:szCs w:val="21"/>
              </w:rPr>
              <w:t>项目建设管理办公</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20,123,470.36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402,469.41</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281"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137,268,245.73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3,510,417.28</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51"/>
          <w:pgSz w:w="11910" w:h="16840"/>
          <w:pgMar w:footer="1193" w:header="856" w:top="1280" w:bottom="1380" w:left="1580" w:right="1040"/>
        </w:sectPr>
      </w:pPr>
    </w:p>
    <w:p>
      <w:pPr>
        <w:pStyle w:val="BodyText"/>
        <w:spacing w:line="274" w:lineRule="exact" w:before="36"/>
        <w:ind w:left="218" w:right="0"/>
        <w:jc w:val="left"/>
      </w:pPr>
      <w:r>
        <w:rPr>
          <w:spacing w:val="-2"/>
        </w:rPr>
        <w:t>组合中，按账龄分析法计提坏账准备的应收账款：</w:t>
      </w:r>
    </w:p>
    <w:p>
      <w:pPr>
        <w:pStyle w:val="BodyText"/>
        <w:spacing w:line="272" w:lineRule="exact" w:before="27"/>
        <w:ind w:left="218" w:right="3142"/>
        <w:jc w:val="left"/>
      </w:pPr>
      <w:r>
        <w:rPr>
          <w:spacing w:val="-1"/>
        </w:rPr>
        <w:t>√适用□不适用</w:t>
      </w:r>
      <w:r>
        <w:rPr>
          <w:spacing w:val="-97"/>
        </w:rPr>
        <w:t> </w:t>
      </w:r>
      <w:r>
        <w:rPr>
          <w:spacing w:val="-97"/>
        </w:rPr>
      </w:r>
      <w:r>
        <w:rPr/>
        <w:t>组合一</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4844" w:space="1680"/>
            <w:col w:w="276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9"/>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6"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32,045,540.75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1,602,277.03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5.00</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95,099,004.71</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9,509,900.47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21,635,283.13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4,327,056.62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24,705,086.64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9,882,034.66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40.00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6,861,789.19</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6,861,789.19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180,346,704.42</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32,183,057.97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17.85</w:t>
            </w:r>
          </w:p>
        </w:tc>
      </w:tr>
    </w:tbl>
    <w:p>
      <w:pPr>
        <w:pStyle w:val="BodyText"/>
        <w:spacing w:line="239" w:lineRule="exact" w:before="0"/>
        <w:ind w:left="218" w:right="2465"/>
        <w:jc w:val="left"/>
      </w:pPr>
      <w:r>
        <w:rPr/>
        <w:t>组合二</w:t>
      </w:r>
    </w:p>
    <w:p>
      <w:pPr>
        <w:pStyle w:val="BodyText"/>
        <w:tabs>
          <w:tab w:pos="1051" w:val="left" w:leader="none"/>
        </w:tabs>
        <w:spacing w:line="273" w:lineRule="exact" w:before="0"/>
        <w:ind w:left="0" w:right="227"/>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4"/>
      </w:tblGrid>
      <w:tr>
        <w:trPr>
          <w:trHeight w:val="281"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7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264" w:type="dxa"/>
            <w:vMerge/>
            <w:tcBorders>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912,173,290.09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9,121,732.90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13,163,425.67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1,316,342.57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2,477,541.37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495,508.27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1,591,345.25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1,591,345.25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929,405,602.38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12,524,928.99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1.35</w:t>
            </w:r>
          </w:p>
        </w:tc>
      </w:tr>
    </w:tbl>
    <w:p>
      <w:pPr>
        <w:spacing w:line="240" w:lineRule="auto" w:before="7"/>
        <w:rPr>
          <w:rFonts w:ascii="宋体" w:hAnsi="宋体" w:cs="宋体" w:eastAsia="宋体" w:hint="default"/>
          <w:sz w:val="15"/>
          <w:szCs w:val="15"/>
        </w:rPr>
      </w:pPr>
    </w:p>
    <w:p>
      <w:pPr>
        <w:pStyle w:val="BodyText"/>
        <w:spacing w:line="304" w:lineRule="auto" w:before="36"/>
        <w:ind w:left="638" w:right="250" w:hanging="420"/>
        <w:jc w:val="left"/>
      </w:pPr>
      <w:r>
        <w:rPr/>
        <w:t>确定该组合依据的说明：</w:t>
      </w:r>
      <w:r>
        <w:rPr>
          <w:w w:val="100"/>
        </w:rPr>
        <w:t> </w:t>
      </w:r>
      <w:r>
        <w:rPr>
          <w:spacing w:val="-2"/>
        </w:rPr>
        <w:t>除单独计提减值准备的应收账款外，公司根据以前年度与之相同或相类似的、按账龄段划分</w:t>
      </w:r>
    </w:p>
    <w:p>
      <w:pPr>
        <w:pStyle w:val="BodyText"/>
        <w:spacing w:line="314" w:lineRule="auto" w:before="28"/>
        <w:ind w:left="218" w:right="250"/>
        <w:jc w:val="left"/>
      </w:pPr>
      <w:r>
        <w:rPr>
          <w:spacing w:val="-2"/>
        </w:rPr>
        <w:t>的具有类似信用风险特征的应收账款组合的实际损失率为基础，结合实际情况分析确定坏账准备</w:t>
      </w:r>
      <w:r>
        <w:rPr>
          <w:spacing w:val="-26"/>
        </w:rPr>
        <w:t> </w:t>
      </w:r>
      <w:r>
        <w:rPr>
          <w:spacing w:val="-26"/>
        </w:rPr>
      </w:r>
      <w:r>
        <w:rPr/>
        <w:t>计提的比例。</w:t>
      </w:r>
    </w:p>
    <w:p>
      <w:pPr>
        <w:spacing w:line="240" w:lineRule="auto" w:before="2"/>
        <w:rPr>
          <w:rFonts w:ascii="宋体" w:hAnsi="宋体" w:cs="宋体" w:eastAsia="宋体" w:hint="default"/>
          <w:sz w:val="21"/>
          <w:szCs w:val="21"/>
        </w:rPr>
      </w:pPr>
    </w:p>
    <w:p>
      <w:pPr>
        <w:pStyle w:val="Heading2"/>
        <w:spacing w:line="240" w:lineRule="auto" w:before="0"/>
        <w:ind w:right="2465"/>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6"/>
        <w:ind w:left="218" w:right="250"/>
        <w:jc w:val="left"/>
      </w:pPr>
      <w:r>
        <w:rPr/>
        <w:t>本期计提坏账准备金额</w:t>
      </w:r>
      <w:r>
        <w:rPr>
          <w:spacing w:val="-52"/>
        </w:rPr>
        <w:t> </w:t>
      </w:r>
      <w:r>
        <w:rPr>
          <w:rFonts w:ascii="宋体" w:hAnsi="宋体" w:cs="宋体" w:eastAsia="宋体" w:hint="default"/>
        </w:rPr>
        <w:t>0</w:t>
      </w:r>
      <w:r>
        <w:rPr>
          <w:rFonts w:ascii="宋体" w:hAnsi="宋体" w:cs="宋体" w:eastAsia="宋体" w:hint="default"/>
          <w:spacing w:val="-55"/>
        </w:rPr>
        <w:t> </w:t>
      </w:r>
      <w:r>
        <w:rPr/>
        <w:t>元；本期收回或转回坏账准备金额</w:t>
      </w:r>
      <w:r>
        <w:rPr>
          <w:spacing w:val="-53"/>
        </w:rPr>
        <w:t> </w:t>
      </w:r>
      <w:r>
        <w:rPr>
          <w:rFonts w:ascii="宋体" w:hAnsi="宋体" w:cs="宋体" w:eastAsia="宋体" w:hint="default"/>
        </w:rPr>
        <w:t>3,827,657.85</w:t>
      </w:r>
      <w:r>
        <w:rPr>
          <w:rFonts w:ascii="宋体" w:hAnsi="宋体" w:cs="宋体" w:eastAsia="宋体" w:hint="default"/>
          <w:spacing w:val="-55"/>
        </w:rPr>
        <w:t> </w:t>
      </w:r>
      <w:r>
        <w:rPr>
          <w:spacing w:val="-3"/>
        </w:rPr>
        <w:t>元。</w:t>
      </w:r>
      <w:r>
        <w:rPr/>
      </w:r>
    </w:p>
    <w:p>
      <w:pPr>
        <w:spacing w:after="0" w:line="240" w:lineRule="auto"/>
        <w:jc w:val="left"/>
        <w:sectPr>
          <w:type w:val="continuous"/>
          <w:pgSz w:w="11910" w:h="16840"/>
          <w:pgMar w:top="1280" w:bottom="1380" w:left="1580" w:right="1040"/>
        </w:sectPr>
      </w:pPr>
    </w:p>
    <w:p>
      <w:pPr>
        <w:spacing w:line="240" w:lineRule="auto" w:before="8"/>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52"/>
          <w:pgSz w:w="11910" w:h="16840"/>
          <w:pgMar w:footer="1193" w:header="856" w:top="1280" w:bottom="1380" w:left="780" w:right="240"/>
          <w:pgNumType w:start="101"/>
        </w:sectPr>
      </w:pPr>
    </w:p>
    <w:p>
      <w:pPr>
        <w:pStyle w:val="Heading2"/>
        <w:spacing w:line="240" w:lineRule="auto"/>
        <w:ind w:left="1018"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8"/>
        <w:ind w:left="10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69" w:val="left" w:leader="none"/>
        </w:tabs>
        <w:spacing w:line="240" w:lineRule="auto" w:before="0"/>
        <w:ind w:left="1018" w:right="0"/>
        <w:jc w:val="left"/>
      </w:pPr>
      <w:r>
        <w:rPr>
          <w:spacing w:val="-1"/>
        </w:rPr>
        <w:t>单位：元</w:t>
        <w:tab/>
      </w:r>
      <w:r>
        <w:rPr>
          <w:spacing w:val="-2"/>
        </w:rPr>
        <w:t>币种：人民币</w:t>
      </w:r>
    </w:p>
    <w:p>
      <w:pPr>
        <w:spacing w:after="0" w:line="240" w:lineRule="auto"/>
        <w:jc w:val="left"/>
        <w:sectPr>
          <w:type w:val="continuous"/>
          <w:pgSz w:w="11910" w:h="16840"/>
          <w:pgMar w:top="1280" w:bottom="1380" w:left="780" w:right="240"/>
          <w:cols w:num="2" w:equalWidth="0">
            <w:col w:w="4334" w:space="2191"/>
            <w:col w:w="4365"/>
          </w:cols>
        </w:sectPr>
      </w:pPr>
    </w:p>
    <w:p>
      <w:pPr>
        <w:spacing w:line="240" w:lineRule="auto" w:before="7"/>
        <w:rPr>
          <w:rFonts w:ascii="宋体" w:hAnsi="宋体" w:cs="宋体" w:eastAsia="宋体" w:hint="default"/>
          <w:sz w:val="2"/>
          <w:szCs w:val="2"/>
        </w:rPr>
      </w:pPr>
    </w:p>
    <w:tbl>
      <w:tblPr>
        <w:tblW w:w="0" w:type="auto"/>
        <w:jc w:val="left"/>
        <w:tblInd w:w="905" w:type="dxa"/>
        <w:tblLayout w:type="fixed"/>
        <w:tblCellMar>
          <w:top w:w="0" w:type="dxa"/>
          <w:left w:w="0" w:type="dxa"/>
          <w:bottom w:w="0" w:type="dxa"/>
          <w:right w:w="0" w:type="dxa"/>
        </w:tblCellMar>
        <w:tblLook w:val="01E0"/>
      </w:tblPr>
      <w:tblGrid>
        <w:gridCol w:w="4273"/>
        <w:gridCol w:w="4779"/>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483,513.34</w:t>
            </w:r>
          </w:p>
        </w:tc>
      </w:tr>
    </w:tbl>
    <w:p>
      <w:pPr>
        <w:spacing w:line="240" w:lineRule="auto" w:before="7"/>
        <w:rPr>
          <w:rFonts w:ascii="宋体" w:hAnsi="宋体" w:cs="宋体" w:eastAsia="宋体" w:hint="default"/>
          <w:sz w:val="15"/>
          <w:szCs w:val="15"/>
        </w:rPr>
      </w:pPr>
    </w:p>
    <w:p>
      <w:pPr>
        <w:pStyle w:val="BodyText"/>
        <w:spacing w:line="240" w:lineRule="auto" w:before="36"/>
        <w:ind w:left="1018" w:right="1037"/>
        <w:jc w:val="left"/>
      </w:pPr>
      <w:r>
        <w:rPr/>
        <w:t>应收账款核销说明：期限长，无法收回。</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left="1018" w:right="1037"/>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spacing w:line="314" w:lineRule="auto" w:before="135"/>
        <w:ind w:left="912" w:right="1037" w:firstLine="419"/>
        <w:jc w:val="left"/>
      </w:pPr>
      <w:r>
        <w:rPr/>
        <w:t>本公司按欠款方归集的期末余额前五名应收账款汇总金额</w:t>
      </w:r>
      <w:r>
        <w:rPr>
          <w:spacing w:val="-55"/>
        </w:rPr>
        <w:t> </w:t>
      </w:r>
      <w:r>
        <w:rPr>
          <w:rFonts w:ascii="宋体" w:hAnsi="宋体" w:cs="宋体" w:eastAsia="宋体" w:hint="default"/>
        </w:rPr>
        <w:t>381,479,363.53</w:t>
      </w:r>
      <w:r>
        <w:rPr>
          <w:rFonts w:ascii="宋体" w:hAnsi="宋体" w:cs="宋体" w:eastAsia="宋体" w:hint="default"/>
          <w:spacing w:val="-57"/>
        </w:rPr>
        <w:t> </w:t>
      </w:r>
      <w:r>
        <w:rPr/>
        <w:t>元，占应收账款期</w:t>
      </w:r>
      <w:r>
        <w:rPr>
          <w:w w:val="100"/>
        </w:rPr>
        <w:t> </w:t>
      </w:r>
      <w:r>
        <w:rPr/>
        <w:t>末余额合计数的比例为</w:t>
      </w:r>
      <w:r>
        <w:rPr>
          <w:spacing w:val="-55"/>
        </w:rPr>
        <w:t> </w:t>
      </w:r>
      <w:r>
        <w:rPr>
          <w:rFonts w:ascii="宋体" w:hAnsi="宋体" w:cs="宋体" w:eastAsia="宋体" w:hint="default"/>
        </w:rPr>
        <w:t>26.91%</w:t>
      </w:r>
      <w:r>
        <w:rPr/>
        <w:t>，相应计提的坏账准备期末余额汇总金额</w:t>
      </w:r>
      <w:r>
        <w:rPr>
          <w:spacing w:val="-55"/>
        </w:rPr>
        <w:t> </w:t>
      </w:r>
      <w:r>
        <w:rPr>
          <w:rFonts w:ascii="宋体" w:hAnsi="宋体" w:cs="宋体" w:eastAsia="宋体" w:hint="default"/>
        </w:rPr>
        <w:t>4,454,837.51</w:t>
      </w:r>
      <w:r>
        <w:rPr>
          <w:rFonts w:ascii="宋体" w:hAnsi="宋体" w:cs="宋体" w:eastAsia="宋体" w:hint="default"/>
          <w:spacing w:val="-6"/>
        </w:rPr>
        <w:t> </w:t>
      </w:r>
      <w:r>
        <w:rPr/>
        <w:t>元。</w:t>
      </w:r>
    </w:p>
    <w:p>
      <w:pPr>
        <w:spacing w:line="240" w:lineRule="auto" w:before="13"/>
        <w:rPr>
          <w:rFonts w:ascii="宋体" w:hAnsi="宋体" w:cs="宋体" w:eastAsia="宋体" w:hint="default"/>
          <w:sz w:val="20"/>
          <w:szCs w:val="20"/>
        </w:rPr>
      </w:pPr>
    </w:p>
    <w:p>
      <w:pPr>
        <w:pStyle w:val="Heading2"/>
        <w:spacing w:line="290" w:lineRule="auto" w:before="0"/>
        <w:ind w:left="912" w:right="5481" w:firstLine="105"/>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w w:val="100"/>
        </w:rPr>
        <w:t> </w:t>
      </w:r>
      <w:r>
        <w:rPr>
          <w:rFonts w:ascii="宋体" w:hAnsi="宋体" w:cs="宋体" w:eastAsia="宋体" w:hint="default"/>
          <w:b w:val="0"/>
          <w:bCs w:val="0"/>
        </w:rPr>
        <w:t>无</w:t>
      </w:r>
    </w:p>
    <w:p>
      <w:pPr>
        <w:spacing w:line="240" w:lineRule="auto" w:before="6"/>
        <w:rPr>
          <w:rFonts w:ascii="宋体" w:hAnsi="宋体" w:cs="宋体" w:eastAsia="宋体" w:hint="default"/>
          <w:sz w:val="19"/>
          <w:szCs w:val="19"/>
        </w:rPr>
      </w:pPr>
    </w:p>
    <w:p>
      <w:pPr>
        <w:pStyle w:val="Heading2"/>
        <w:spacing w:line="290" w:lineRule="auto" w:before="0"/>
        <w:ind w:left="912" w:right="4639" w:firstLine="105"/>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w w:val="100"/>
        </w:rPr>
        <w:t> </w:t>
      </w:r>
      <w:r>
        <w:rPr>
          <w:rFonts w:ascii="宋体" w:hAnsi="宋体" w:cs="宋体" w:eastAsia="宋体" w:hint="default"/>
          <w:b w:val="0"/>
          <w:bCs w:val="0"/>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280" w:bottom="1380" w:left="780" w:right="240"/>
        </w:sectPr>
      </w:pPr>
    </w:p>
    <w:p>
      <w:pPr>
        <w:pStyle w:val="Heading2"/>
        <w:spacing w:line="240" w:lineRule="auto"/>
        <w:ind w:left="1018" w:right="-19"/>
        <w:jc w:val="left"/>
        <w:rPr>
          <w:b w:val="0"/>
          <w:bCs w:val="0"/>
        </w:rPr>
      </w:pPr>
      <w:r>
        <w:rPr>
          <w:rFonts w:ascii="宋体" w:hAnsi="宋体" w:cs="宋体" w:eastAsia="宋体" w:hint="default"/>
        </w:rPr>
        <w:t>4</w:t>
      </w:r>
      <w:r>
        <w:rPr/>
        <w:t>、</w:t>
      </w:r>
      <w:r>
        <w:rPr>
          <w:spacing w:val="-2"/>
        </w:rPr>
        <w:t> </w:t>
      </w:r>
      <w:r>
        <w:rPr/>
        <w:t>预付款项</w:t>
      </w:r>
      <w:r>
        <w:rPr>
          <w:b w:val="0"/>
          <w:bCs w:val="0"/>
        </w:rPr>
      </w:r>
    </w:p>
    <w:p>
      <w:pPr>
        <w:pStyle w:val="Heading2"/>
        <w:spacing w:line="240" w:lineRule="auto" w:before="58"/>
        <w:ind w:left="101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069" w:val="left" w:leader="none"/>
        </w:tabs>
        <w:spacing w:line="240" w:lineRule="auto" w:before="178"/>
        <w:ind w:left="1018" w:right="0"/>
        <w:jc w:val="left"/>
      </w:pPr>
      <w:r>
        <w:rPr>
          <w:spacing w:val="-1"/>
        </w:rPr>
        <w:t>单位：元</w:t>
        <w:tab/>
      </w:r>
      <w:r>
        <w:rPr>
          <w:spacing w:val="-2"/>
        </w:rPr>
        <w:t>币种：人民币</w:t>
      </w:r>
    </w:p>
    <w:p>
      <w:pPr>
        <w:spacing w:after="0" w:line="240" w:lineRule="auto"/>
        <w:jc w:val="left"/>
        <w:sectPr>
          <w:type w:val="continuous"/>
          <w:pgSz w:w="11910" w:h="16840"/>
          <w:pgMar w:top="1280" w:bottom="1380" w:left="780" w:right="240"/>
          <w:cols w:num="2" w:equalWidth="0">
            <w:col w:w="3536" w:space="2988"/>
            <w:col w:w="4366"/>
          </w:cols>
        </w:sectPr>
      </w:pPr>
    </w:p>
    <w:p>
      <w:pPr>
        <w:spacing w:line="240" w:lineRule="auto" w:before="7"/>
        <w:rPr>
          <w:rFonts w:ascii="宋体" w:hAnsi="宋体" w:cs="宋体" w:eastAsia="宋体" w:hint="default"/>
          <w:sz w:val="2"/>
          <w:szCs w:val="2"/>
        </w:rPr>
      </w:pPr>
    </w:p>
    <w:tbl>
      <w:tblPr>
        <w:tblW w:w="0" w:type="auto"/>
        <w:jc w:val="left"/>
        <w:tblInd w:w="979" w:type="dxa"/>
        <w:tblLayout w:type="fixed"/>
        <w:tblCellMar>
          <w:top w:w="0" w:type="dxa"/>
          <w:left w:w="0" w:type="dxa"/>
          <w:bottom w:w="0" w:type="dxa"/>
          <w:right w:w="0" w:type="dxa"/>
        </w:tblCellMar>
        <w:tblLook w:val="01E0"/>
      </w:tblPr>
      <w:tblGrid>
        <w:gridCol w:w="1363"/>
        <w:gridCol w:w="1892"/>
        <w:gridCol w:w="1877"/>
        <w:gridCol w:w="1874"/>
        <w:gridCol w:w="1892"/>
      </w:tblGrid>
      <w:tr>
        <w:trPr>
          <w:trHeight w:val="286" w:hRule="exact"/>
        </w:trPr>
        <w:tc>
          <w:tcPr>
            <w:tcW w:w="1363" w:type="dxa"/>
            <w:vMerge w:val="restart"/>
            <w:tcBorders>
              <w:top w:val="single" w:sz="6" w:space="0" w:color="000000"/>
              <w:left w:val="single" w:sz="6" w:space="0" w:color="000000"/>
              <w:right w:val="single" w:sz="6" w:space="0" w:color="000000"/>
            </w:tcBorders>
          </w:tcPr>
          <w:p>
            <w:pPr>
              <w:pStyle w:val="TableParagraph"/>
              <w:spacing w:line="240" w:lineRule="auto" w:before="110"/>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3"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5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pacing w:val="-1"/>
                <w:sz w:val="21"/>
              </w:rPr>
              <w:t>94,940,690.63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98.58</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14,665,753.85</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91.03</w:t>
            </w:r>
          </w:p>
        </w:tc>
      </w:tr>
      <w:tr>
        <w:trPr>
          <w:trHeight w:val="377" w:hRule="exact"/>
        </w:trPr>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7"/>
              <w:jc w:val="right"/>
              <w:rPr>
                <w:rFonts w:ascii="宋体" w:hAnsi="宋体" w:cs="宋体" w:eastAsia="宋体" w:hint="default"/>
                <w:sz w:val="21"/>
                <w:szCs w:val="21"/>
              </w:rPr>
            </w:pPr>
            <w:r>
              <w:rPr>
                <w:rFonts w:ascii="宋体"/>
                <w:spacing w:val="-1"/>
                <w:sz w:val="21"/>
              </w:rPr>
              <w:t>1,368,095.04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6"/>
              <w:jc w:val="right"/>
              <w:rPr>
                <w:rFonts w:ascii="宋体" w:hAnsi="宋体" w:cs="宋体" w:eastAsia="宋体" w:hint="default"/>
                <w:sz w:val="21"/>
                <w:szCs w:val="21"/>
              </w:rPr>
            </w:pPr>
            <w:r>
              <w:rPr>
                <w:rFonts w:ascii="宋体"/>
                <w:sz w:val="21"/>
              </w:rPr>
              <w:t>1.42</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6"/>
              <w:jc w:val="right"/>
              <w:rPr>
                <w:rFonts w:ascii="宋体" w:hAnsi="宋体" w:cs="宋体" w:eastAsia="宋体" w:hint="default"/>
                <w:sz w:val="21"/>
                <w:szCs w:val="21"/>
              </w:rPr>
            </w:pPr>
            <w:r>
              <w:rPr>
                <w:rFonts w:ascii="宋体"/>
                <w:spacing w:val="-1"/>
                <w:sz w:val="21"/>
              </w:rPr>
              <w:t>1,202,307.00</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7.46</w:t>
            </w:r>
          </w:p>
        </w:tc>
      </w:tr>
      <w:tr>
        <w:trPr>
          <w:trHeight w:val="374" w:hRule="exact"/>
        </w:trPr>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210,686.48</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1.31</w:t>
            </w:r>
          </w:p>
        </w:tc>
      </w:tr>
      <w:tr>
        <w:trPr>
          <w:trHeight w:val="374" w:hRule="exact"/>
        </w:trPr>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31,370.00</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0.20</w:t>
            </w:r>
          </w:p>
        </w:tc>
      </w:tr>
      <w:tr>
        <w:trPr>
          <w:trHeight w:val="377" w:hRule="exact"/>
        </w:trPr>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pacing w:val="-1"/>
                <w:sz w:val="21"/>
              </w:rPr>
              <w:t>96,308,785.67</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16,110,117.33</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5"/>
          <w:szCs w:val="15"/>
        </w:rPr>
      </w:pPr>
    </w:p>
    <w:p>
      <w:pPr>
        <w:pStyle w:val="BodyText"/>
        <w:spacing w:line="240" w:lineRule="auto" w:before="36"/>
        <w:ind w:left="1018" w:right="4181"/>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t>无</w:t>
      </w:r>
    </w:p>
    <w:p>
      <w:pPr>
        <w:spacing w:line="240" w:lineRule="auto" w:before="3"/>
        <w:rPr>
          <w:rFonts w:ascii="宋体" w:hAnsi="宋体" w:cs="宋体" w:eastAsia="宋体" w:hint="default"/>
          <w:sz w:val="25"/>
          <w:szCs w:val="25"/>
        </w:rPr>
      </w:pPr>
    </w:p>
    <w:p>
      <w:pPr>
        <w:pStyle w:val="Heading2"/>
        <w:spacing w:line="240" w:lineRule="auto" w:before="0"/>
        <w:ind w:left="1018" w:right="1037"/>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spacing w:line="314" w:lineRule="auto" w:before="133"/>
        <w:ind w:left="1018" w:right="1035" w:firstLine="419"/>
        <w:jc w:val="left"/>
      </w:pPr>
      <w:r>
        <w:rPr/>
        <w:t>本公司按预付对象归集的期末余额前五名的预付账款汇总金额为</w:t>
      </w:r>
      <w:r>
        <w:rPr>
          <w:spacing w:val="-56"/>
        </w:rPr>
        <w:t> </w:t>
      </w:r>
      <w:r>
        <w:rPr>
          <w:rFonts w:ascii="宋体" w:hAnsi="宋体" w:cs="宋体" w:eastAsia="宋体" w:hint="default"/>
        </w:rPr>
        <w:t>36,901,438.91</w:t>
      </w:r>
      <w:r>
        <w:rPr>
          <w:rFonts w:ascii="宋体" w:hAnsi="宋体" w:cs="宋体" w:eastAsia="宋体" w:hint="default"/>
          <w:spacing w:val="-55"/>
        </w:rPr>
        <w:t> </w:t>
      </w:r>
      <w:r>
        <w:rPr/>
        <w:t>元，占预付</w:t>
      </w:r>
      <w:r>
        <w:rPr>
          <w:w w:val="100"/>
        </w:rPr>
        <w:t> </w:t>
      </w:r>
      <w:r>
        <w:rPr/>
        <w:t>账款期末余额合计数的比例为</w:t>
      </w:r>
      <w:r>
        <w:rPr>
          <w:spacing w:val="-55"/>
        </w:rPr>
        <w:t> </w:t>
      </w:r>
      <w:r>
        <w:rPr>
          <w:rFonts w:ascii="宋体" w:hAnsi="宋体" w:cs="宋体" w:eastAsia="宋体" w:hint="default"/>
        </w:rPr>
        <w:t>38.32%</w:t>
      </w:r>
      <w:r>
        <w:rPr/>
        <w:t>。</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280" w:bottom="1380" w:left="780" w:right="240"/>
        </w:sectPr>
      </w:pPr>
    </w:p>
    <w:p>
      <w:pPr>
        <w:pStyle w:val="Heading2"/>
        <w:spacing w:line="240" w:lineRule="auto"/>
        <w:ind w:left="1018" w:right="-19"/>
        <w:jc w:val="left"/>
        <w:rPr>
          <w:b w:val="0"/>
          <w:bCs w:val="0"/>
        </w:rPr>
      </w:pPr>
      <w:r>
        <w:rPr>
          <w:rFonts w:ascii="宋体" w:hAnsi="宋体" w:cs="宋体" w:eastAsia="宋体" w:hint="default"/>
        </w:rPr>
        <w:t>5</w:t>
      </w:r>
      <w:r>
        <w:rPr/>
        <w:t>、</w:t>
      </w:r>
      <w:r>
        <w:rPr>
          <w:spacing w:val="-1"/>
        </w:rPr>
        <w:t> </w:t>
      </w:r>
      <w:r>
        <w:rPr/>
        <w:t>其他应收款</w:t>
      </w:r>
      <w:r>
        <w:rPr>
          <w:b w:val="0"/>
          <w:bCs w:val="0"/>
        </w:rPr>
      </w:r>
    </w:p>
    <w:p>
      <w:pPr>
        <w:pStyle w:val="Heading2"/>
        <w:spacing w:line="240" w:lineRule="auto" w:before="56"/>
        <w:ind w:left="101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069" w:val="left" w:leader="none"/>
        </w:tabs>
        <w:spacing w:line="240" w:lineRule="auto" w:before="175"/>
        <w:ind w:left="1018" w:right="0"/>
        <w:jc w:val="left"/>
      </w:pPr>
      <w:r>
        <w:rPr>
          <w:spacing w:val="-1"/>
        </w:rPr>
        <w:t>单位：元</w:t>
        <w:tab/>
      </w:r>
      <w:r>
        <w:rPr>
          <w:spacing w:val="-2"/>
        </w:rPr>
        <w:t>币种：人民币</w:t>
      </w:r>
    </w:p>
    <w:p>
      <w:pPr>
        <w:spacing w:after="0" w:line="240" w:lineRule="auto"/>
        <w:jc w:val="left"/>
        <w:sectPr>
          <w:type w:val="continuous"/>
          <w:pgSz w:w="11910" w:h="16840"/>
          <w:pgMar w:top="1280" w:bottom="1380" w:left="780" w:right="240"/>
          <w:cols w:num="2" w:equalWidth="0">
            <w:col w:w="3507" w:space="2911"/>
            <w:col w:w="447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40"/>
        <w:gridCol w:w="1836"/>
        <w:gridCol w:w="1745"/>
        <w:gridCol w:w="1323"/>
        <w:gridCol w:w="1836"/>
        <w:gridCol w:w="1748"/>
        <w:gridCol w:w="1323"/>
      </w:tblGrid>
      <w:tr>
        <w:trPr>
          <w:trHeight w:val="293" w:hRule="exact"/>
        </w:trPr>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116"/>
              <w:ind w:left="23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9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840" w:type="dxa"/>
            <w:vMerge/>
            <w:tcBorders>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账面</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账面</w:t>
            </w:r>
          </w:p>
        </w:tc>
      </w:tr>
    </w:tbl>
    <w:p>
      <w:pPr>
        <w:spacing w:after="0" w:line="206" w:lineRule="exact"/>
        <w:jc w:val="center"/>
        <w:rPr>
          <w:rFonts w:ascii="宋体" w:hAnsi="宋体" w:cs="宋体" w:eastAsia="宋体" w:hint="default"/>
          <w:sz w:val="18"/>
          <w:szCs w:val="18"/>
        </w:rPr>
        <w:sectPr>
          <w:type w:val="continuous"/>
          <w:pgSz w:w="11910" w:h="16840"/>
          <w:pgMar w:top="1280" w:bottom="1380" w:left="780" w:right="240"/>
        </w:sectPr>
      </w:pPr>
    </w:p>
    <w:p>
      <w:pPr>
        <w:spacing w:line="240" w:lineRule="auto" w:before="13"/>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840"/>
        <w:gridCol w:w="1322"/>
        <w:gridCol w:w="514"/>
        <w:gridCol w:w="1232"/>
        <w:gridCol w:w="514"/>
        <w:gridCol w:w="1323"/>
        <w:gridCol w:w="1322"/>
        <w:gridCol w:w="514"/>
        <w:gridCol w:w="1234"/>
        <w:gridCol w:w="514"/>
        <w:gridCol w:w="1323"/>
      </w:tblGrid>
      <w:tr>
        <w:trPr>
          <w:trHeight w:val="711" w:hRule="exact"/>
        </w:trPr>
        <w:tc>
          <w:tcPr>
            <w:tcW w:w="8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5" w:right="71"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1"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3"/>
              <w:ind w:left="115" w:right="71"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价值</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5" w:right="71"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9"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3"/>
              <w:ind w:left="112" w:right="72"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价值</w:t>
            </w:r>
          </w:p>
        </w:tc>
      </w:tr>
      <w:tr>
        <w:trPr>
          <w:trHeight w:val="1411"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both"/>
              <w:rPr>
                <w:rFonts w:ascii="宋体" w:hAnsi="宋体" w:cs="宋体" w:eastAsia="宋体" w:hint="default"/>
                <w:sz w:val="18"/>
                <w:szCs w:val="18"/>
              </w:rPr>
            </w:pPr>
            <w:r>
              <w:rPr>
                <w:rFonts w:ascii="宋体" w:hAnsi="宋体" w:cs="宋体" w:eastAsia="宋体" w:hint="default"/>
                <w:sz w:val="18"/>
                <w:szCs w:val="18"/>
              </w:rPr>
              <w:t>单项金额</w:t>
            </w:r>
          </w:p>
          <w:p>
            <w:pPr>
              <w:pStyle w:val="TableParagraph"/>
              <w:spacing w:line="237" w:lineRule="auto"/>
              <w:ind w:left="24" w:right="84"/>
              <w:jc w:val="both"/>
              <w:rPr>
                <w:rFonts w:ascii="宋体" w:hAnsi="宋体" w:cs="宋体" w:eastAsia="宋体" w:hint="default"/>
                <w:sz w:val="18"/>
                <w:szCs w:val="18"/>
              </w:rPr>
            </w:pPr>
            <w:r>
              <w:rPr>
                <w:rFonts w:ascii="宋体" w:hAnsi="宋体" w:cs="宋体" w:eastAsia="宋体" w:hint="default"/>
                <w:sz w:val="18"/>
                <w:szCs w:val="18"/>
              </w:rPr>
              <w:t>重大并单 独计提坏 账准备的 其他应收 款</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34,921,734.00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28.49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834,906.24</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2" w:right="0"/>
              <w:jc w:val="center"/>
              <w:rPr>
                <w:rFonts w:ascii="宋体" w:hAnsi="宋体" w:cs="宋体" w:eastAsia="宋体" w:hint="default"/>
                <w:sz w:val="18"/>
                <w:szCs w:val="18"/>
              </w:rPr>
            </w:pPr>
            <w:r>
              <w:rPr>
                <w:rFonts w:ascii="宋体"/>
                <w:sz w:val="18"/>
              </w:rPr>
              <w:t>2.39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34,086,827.76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54,603,165.07</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42.27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18,838,087.29</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z w:val="18"/>
              </w:rPr>
              <w:t>34.50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35,765,077.78</w:t>
            </w:r>
          </w:p>
        </w:tc>
      </w:tr>
      <w:tr>
        <w:trPr>
          <w:trHeight w:val="1412"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both"/>
              <w:rPr>
                <w:rFonts w:ascii="宋体" w:hAnsi="宋体" w:cs="宋体" w:eastAsia="宋体" w:hint="default"/>
                <w:sz w:val="18"/>
                <w:szCs w:val="18"/>
              </w:rPr>
            </w:pPr>
            <w:r>
              <w:rPr>
                <w:rFonts w:ascii="宋体" w:hAnsi="宋体" w:cs="宋体" w:eastAsia="宋体" w:hint="default"/>
                <w:sz w:val="18"/>
                <w:szCs w:val="18"/>
              </w:rPr>
              <w:t>按信用风</w:t>
            </w:r>
          </w:p>
          <w:p>
            <w:pPr>
              <w:pStyle w:val="TableParagraph"/>
              <w:spacing w:line="237" w:lineRule="auto" w:before="2"/>
              <w:ind w:left="24" w:right="84"/>
              <w:jc w:val="both"/>
              <w:rPr>
                <w:rFonts w:ascii="宋体" w:hAnsi="宋体" w:cs="宋体" w:eastAsia="宋体" w:hint="default"/>
                <w:sz w:val="18"/>
                <w:szCs w:val="18"/>
              </w:rPr>
            </w:pPr>
            <w:r>
              <w:rPr>
                <w:rFonts w:ascii="宋体" w:hAnsi="宋体" w:cs="宋体" w:eastAsia="宋体" w:hint="default"/>
                <w:sz w:val="18"/>
                <w:szCs w:val="18"/>
              </w:rPr>
              <w:t>险特征组 合计提坏 账准备的 其他应收 款</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79,588,768.69</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64.92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9,166,760.47</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26.94</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70,422,008.22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73,001,589.11</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56.51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8,428,971.97</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11.55</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64,572,617.14</w:t>
            </w:r>
          </w:p>
        </w:tc>
      </w:tr>
      <w:tr>
        <w:trPr>
          <w:trHeight w:val="1411"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both"/>
              <w:rPr>
                <w:rFonts w:ascii="宋体" w:hAnsi="宋体" w:cs="宋体" w:eastAsia="宋体" w:hint="default"/>
                <w:sz w:val="18"/>
                <w:szCs w:val="18"/>
              </w:rPr>
            </w:pPr>
            <w:r>
              <w:rPr>
                <w:rFonts w:ascii="宋体" w:hAnsi="宋体" w:cs="宋体" w:eastAsia="宋体" w:hint="default"/>
                <w:sz w:val="18"/>
                <w:szCs w:val="18"/>
              </w:rPr>
              <w:t>单项金额</w:t>
            </w:r>
          </w:p>
          <w:p>
            <w:pPr>
              <w:pStyle w:val="TableParagraph"/>
              <w:spacing w:line="237" w:lineRule="auto"/>
              <w:ind w:left="24" w:right="84"/>
              <w:jc w:val="both"/>
              <w:rPr>
                <w:rFonts w:ascii="宋体" w:hAnsi="宋体" w:cs="宋体" w:eastAsia="宋体" w:hint="default"/>
                <w:sz w:val="18"/>
                <w:szCs w:val="18"/>
              </w:rPr>
            </w:pPr>
            <w:r>
              <w:rPr>
                <w:rFonts w:ascii="宋体" w:hAnsi="宋体" w:cs="宋体" w:eastAsia="宋体" w:hint="default"/>
                <w:sz w:val="18"/>
                <w:szCs w:val="18"/>
              </w:rPr>
              <w:t>不重大但 单独计提 坏账准备 的其他应 收款</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8,084,837.90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sz w:val="18"/>
              </w:rPr>
              <w:t>6.59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627,680.14</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sz w:val="18"/>
              </w:rPr>
              <w:t>7.76</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7,457,157.76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1,577,000.00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1.22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31,540.00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2.00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1,545,460.00</w:t>
            </w:r>
          </w:p>
        </w:tc>
      </w:tr>
      <w:tr>
        <w:trPr>
          <w:trHeight w:val="242"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122,595,340.59</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10,629,346.85</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111,965,993.74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129,181,754.18</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27,298,599.26</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101,883,154.92</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56" w:footer="1193" w:top="1280" w:bottom="1380" w:left="780" w:right="240"/>
        </w:sectPr>
      </w:pPr>
    </w:p>
    <w:p>
      <w:pPr>
        <w:pStyle w:val="BodyText"/>
        <w:spacing w:line="273" w:lineRule="exact" w:before="36"/>
        <w:ind w:left="1018" w:right="0"/>
        <w:jc w:val="left"/>
      </w:pPr>
      <w:r>
        <w:rPr>
          <w:spacing w:val="-2"/>
        </w:rPr>
        <w:t>期末单项金额重大并单项计提坏帐准备的其他应收款</w:t>
      </w:r>
    </w:p>
    <w:p>
      <w:pPr>
        <w:pStyle w:val="BodyText"/>
        <w:spacing w:line="273" w:lineRule="exact" w:before="0"/>
        <w:ind w:left="10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069" w:val="left" w:leader="none"/>
        </w:tabs>
        <w:spacing w:line="240" w:lineRule="auto" w:before="0"/>
        <w:ind w:left="1018" w:right="0"/>
        <w:jc w:val="left"/>
      </w:pPr>
      <w:r>
        <w:rPr>
          <w:spacing w:val="-1"/>
        </w:rPr>
        <w:t>单位：元</w:t>
        <w:tab/>
      </w:r>
      <w:r>
        <w:rPr>
          <w:spacing w:val="-2"/>
        </w:rPr>
        <w:t>币种：人民币</w:t>
      </w:r>
    </w:p>
    <w:p>
      <w:pPr>
        <w:spacing w:after="0" w:line="240" w:lineRule="auto"/>
        <w:jc w:val="left"/>
        <w:sectPr>
          <w:type w:val="continuous"/>
          <w:pgSz w:w="11910" w:h="16840"/>
          <w:pgMar w:top="1280" w:bottom="1380" w:left="780" w:right="240"/>
          <w:cols w:num="2" w:equalWidth="0">
            <w:col w:w="5853" w:space="671"/>
            <w:col w:w="4366"/>
          </w:cols>
        </w:sectPr>
      </w:pPr>
    </w:p>
    <w:p>
      <w:pPr>
        <w:spacing w:line="240" w:lineRule="auto" w:before="4"/>
        <w:rPr>
          <w:rFonts w:ascii="宋体" w:hAnsi="宋体" w:cs="宋体" w:eastAsia="宋体" w:hint="default"/>
          <w:sz w:val="2"/>
          <w:szCs w:val="2"/>
        </w:rPr>
      </w:pPr>
    </w:p>
    <w:tbl>
      <w:tblPr>
        <w:tblW w:w="0" w:type="auto"/>
        <w:jc w:val="left"/>
        <w:tblInd w:w="905" w:type="dxa"/>
        <w:tblLayout w:type="fixed"/>
        <w:tblCellMar>
          <w:top w:w="0" w:type="dxa"/>
          <w:left w:w="0" w:type="dxa"/>
          <w:bottom w:w="0" w:type="dxa"/>
          <w:right w:w="0" w:type="dxa"/>
        </w:tblCellMar>
        <w:tblLook w:val="01E0"/>
      </w:tblPr>
      <w:tblGrid>
        <w:gridCol w:w="1913"/>
        <w:gridCol w:w="1580"/>
        <w:gridCol w:w="1709"/>
        <w:gridCol w:w="1946"/>
        <w:gridCol w:w="1904"/>
      </w:tblGrid>
      <w:tr>
        <w:trPr>
          <w:trHeight w:val="28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71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24"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3" w:lineRule="exact"/>
              <w:ind w:left="424"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44"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23"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青海省公路建设管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理局</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4,549,052.00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227,452.60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年以上政府欠款</w:t>
            </w:r>
          </w:p>
        </w:tc>
      </w:tr>
      <w:tr>
        <w:trPr>
          <w:trHeight w:val="8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山东省济南至东营</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高速公路项目建设</w:t>
            </w:r>
            <w:r>
              <w:rPr>
                <w:rFonts w:ascii="宋体" w:hAnsi="宋体" w:cs="宋体" w:eastAsia="宋体" w:hint="default"/>
                <w:w w:val="100"/>
                <w:sz w:val="21"/>
                <w:szCs w:val="21"/>
              </w:rPr>
              <w:t> </w:t>
            </w:r>
            <w:r>
              <w:rPr>
                <w:rFonts w:ascii="宋体" w:hAnsi="宋体" w:cs="宋体" w:eastAsia="宋体" w:hint="default"/>
                <w:sz w:val="21"/>
                <w:szCs w:val="21"/>
              </w:rPr>
              <w:t>办公室</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12,377,297.00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247,545.94</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55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青岛市黄岛区城市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建设局</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11,267,306.00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225,346.12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8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东营经济技术开发</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区物业质量保修金</w:t>
            </w:r>
            <w:r>
              <w:rPr>
                <w:rFonts w:ascii="宋体" w:hAnsi="宋体" w:cs="宋体" w:eastAsia="宋体" w:hint="default"/>
                <w:w w:val="100"/>
                <w:sz w:val="21"/>
                <w:szCs w:val="21"/>
              </w:rPr>
              <w:t> </w:t>
            </w:r>
            <w:r>
              <w:rPr>
                <w:rFonts w:ascii="宋体" w:hAnsi="宋体" w:cs="宋体" w:eastAsia="宋体" w:hint="default"/>
                <w:sz w:val="21"/>
                <w:szCs w:val="21"/>
              </w:rPr>
              <w:t>管理中心</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6,728,079.00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134,561.58</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28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34,921,734.00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834,906.24</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280" w:bottom="1380" w:left="780" w:right="240"/>
        </w:sectPr>
      </w:pPr>
    </w:p>
    <w:p>
      <w:pPr>
        <w:pStyle w:val="BodyText"/>
        <w:spacing w:line="274" w:lineRule="exact" w:before="36"/>
        <w:ind w:left="1018" w:right="0"/>
        <w:jc w:val="left"/>
      </w:pPr>
      <w:r>
        <w:rPr>
          <w:spacing w:val="-2"/>
        </w:rPr>
        <w:t>组合中，按账龄分析法计提坏账准备的其他应收款：</w:t>
      </w:r>
    </w:p>
    <w:p>
      <w:pPr>
        <w:pStyle w:val="BodyText"/>
        <w:spacing w:line="274" w:lineRule="exact" w:before="0"/>
        <w:ind w:left="101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069" w:val="left" w:leader="none"/>
        </w:tabs>
        <w:spacing w:line="240" w:lineRule="auto" w:before="0"/>
        <w:ind w:left="1018" w:right="0"/>
        <w:jc w:val="left"/>
      </w:pPr>
      <w:r>
        <w:rPr>
          <w:spacing w:val="-1"/>
        </w:rPr>
        <w:t>单位：元</w:t>
        <w:tab/>
      </w:r>
      <w:r>
        <w:rPr>
          <w:spacing w:val="-2"/>
        </w:rPr>
        <w:t>币种：人民币</w:t>
      </w:r>
    </w:p>
    <w:p>
      <w:pPr>
        <w:spacing w:after="0" w:line="240" w:lineRule="auto"/>
        <w:jc w:val="left"/>
        <w:sectPr>
          <w:type w:val="continuous"/>
          <w:pgSz w:w="11910" w:h="16840"/>
          <w:pgMar w:top="1280" w:bottom="1380" w:left="780" w:right="240"/>
          <w:cols w:num="2" w:equalWidth="0">
            <w:col w:w="5853" w:space="671"/>
            <w:col w:w="4366"/>
          </w:cols>
        </w:sectPr>
      </w:pPr>
    </w:p>
    <w:p>
      <w:pPr>
        <w:spacing w:line="240" w:lineRule="auto" w:before="7"/>
        <w:rPr>
          <w:rFonts w:ascii="宋体" w:hAnsi="宋体" w:cs="宋体" w:eastAsia="宋体" w:hint="default"/>
          <w:sz w:val="2"/>
          <w:szCs w:val="2"/>
        </w:rPr>
      </w:pPr>
    </w:p>
    <w:tbl>
      <w:tblPr>
        <w:tblW w:w="0" w:type="auto"/>
        <w:jc w:val="left"/>
        <w:tblInd w:w="982" w:type="dxa"/>
        <w:tblLayout w:type="fixed"/>
        <w:tblCellMar>
          <w:top w:w="0" w:type="dxa"/>
          <w:left w:w="0" w:type="dxa"/>
          <w:bottom w:w="0" w:type="dxa"/>
          <w:right w:w="0" w:type="dxa"/>
        </w:tblCellMar>
        <w:tblLook w:val="01E0"/>
      </w:tblPr>
      <w:tblGrid>
        <w:gridCol w:w="2374"/>
        <w:gridCol w:w="2203"/>
        <w:gridCol w:w="2131"/>
        <w:gridCol w:w="2189"/>
      </w:tblGrid>
      <w:tr>
        <w:trPr>
          <w:trHeight w:val="281"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54,527,077.69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1,249,459.94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2.29%</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13,762,655.13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1,376,265.52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2,112,647.90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422,529.58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5,798,304.64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2,730,422.10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47.09%</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3,388,083.33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3,388,083.33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79,588,768.69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9,166,760.47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11.52%</w:t>
            </w:r>
          </w:p>
        </w:tc>
      </w:tr>
    </w:tbl>
    <w:p>
      <w:pPr>
        <w:spacing w:after="0" w:line="241" w:lineRule="exact"/>
        <w:jc w:val="right"/>
        <w:rPr>
          <w:rFonts w:ascii="宋体" w:hAnsi="宋体" w:cs="宋体" w:eastAsia="宋体" w:hint="default"/>
          <w:sz w:val="21"/>
          <w:szCs w:val="21"/>
        </w:rPr>
        <w:sectPr>
          <w:type w:val="continuous"/>
          <w:pgSz w:w="11910" w:h="16840"/>
          <w:pgMar w:top="1280" w:bottom="1380" w:left="780" w:right="240"/>
        </w:sectPr>
      </w:pPr>
    </w:p>
    <w:p>
      <w:pPr>
        <w:spacing w:line="240" w:lineRule="auto" w:before="8"/>
        <w:rPr>
          <w:rFonts w:ascii="宋体" w:hAnsi="宋体" w:cs="宋体" w:eastAsia="宋体" w:hint="default"/>
          <w:sz w:val="12"/>
          <w:szCs w:val="12"/>
        </w:rPr>
      </w:pPr>
    </w:p>
    <w:p>
      <w:pPr>
        <w:pStyle w:val="BodyText"/>
        <w:spacing w:line="307" w:lineRule="auto" w:before="36"/>
        <w:ind w:left="638" w:right="250" w:hanging="420"/>
        <w:jc w:val="left"/>
      </w:pPr>
      <w:r>
        <w:rPr/>
        <w:t>确定该组合依据的说明：</w:t>
      </w:r>
      <w:r>
        <w:rPr>
          <w:w w:val="100"/>
        </w:rPr>
        <w:t> </w:t>
      </w:r>
      <w:r>
        <w:rPr>
          <w:spacing w:val="-2"/>
        </w:rPr>
        <w:t>除单独计提减值准备的其他应收款外，公司根据以前年度与之相同或相类似的、按账龄段划</w:t>
      </w:r>
    </w:p>
    <w:p>
      <w:pPr>
        <w:pStyle w:val="BodyText"/>
        <w:spacing w:line="314" w:lineRule="auto" w:before="26"/>
        <w:ind w:left="218" w:right="250"/>
        <w:jc w:val="left"/>
      </w:pPr>
      <w:r>
        <w:rPr>
          <w:spacing w:val="-2"/>
        </w:rPr>
        <w:t>分的具有类似信用风险特征的其他应收款组合的实际损失率为基础，结合实际情况分析确定坏账</w:t>
      </w:r>
      <w:r>
        <w:rPr>
          <w:spacing w:val="-26"/>
        </w:rPr>
        <w:t> </w:t>
      </w:r>
      <w:r>
        <w:rPr>
          <w:spacing w:val="-26"/>
        </w:rPr>
      </w:r>
      <w:r>
        <w:rPr/>
        <w:t>准备计提的比例。</w:t>
      </w:r>
    </w:p>
    <w:p>
      <w:pPr>
        <w:spacing w:line="240" w:lineRule="auto" w:before="13"/>
        <w:rPr>
          <w:rFonts w:ascii="宋体" w:hAnsi="宋体" w:cs="宋体" w:eastAsia="宋体" w:hint="default"/>
          <w:sz w:val="20"/>
          <w:szCs w:val="20"/>
        </w:rPr>
      </w:pPr>
    </w:p>
    <w:p>
      <w:pPr>
        <w:pStyle w:val="Heading2"/>
        <w:spacing w:line="240" w:lineRule="auto" w:before="0"/>
        <w:ind w:right="2465"/>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2" w:lineRule="exact" w:before="86"/>
        <w:ind w:left="218" w:right="1814"/>
        <w:jc w:val="left"/>
      </w:pPr>
      <w:r>
        <w:rPr/>
        <w:t>本期计提坏账准备金额</w:t>
      </w:r>
      <w:r>
        <w:rPr>
          <w:spacing w:val="-52"/>
        </w:rPr>
        <w:t> </w:t>
      </w:r>
      <w:r>
        <w:rPr>
          <w:rFonts w:ascii="宋体" w:hAnsi="宋体" w:cs="宋体" w:eastAsia="宋体" w:hint="default"/>
        </w:rPr>
        <w:t>0</w:t>
      </w:r>
      <w:r>
        <w:rPr>
          <w:rFonts w:ascii="宋体" w:hAnsi="宋体" w:cs="宋体" w:eastAsia="宋体" w:hint="default"/>
          <w:spacing w:val="-55"/>
        </w:rPr>
        <w:t> </w:t>
      </w:r>
      <w:r>
        <w:rPr/>
        <w:t>元；本期收回或转回坏账准备金额</w:t>
      </w:r>
      <w:r>
        <w:rPr>
          <w:spacing w:val="-53"/>
        </w:rPr>
        <w:t> </w:t>
      </w:r>
      <w:r>
        <w:rPr>
          <w:rFonts w:ascii="宋体" w:hAnsi="宋体" w:cs="宋体" w:eastAsia="宋体" w:hint="default"/>
        </w:rPr>
        <w:t>2,896,590.44</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BodyText"/>
        <w:spacing w:line="249" w:lineRule="exact" w:before="0"/>
        <w:ind w:left="218" w:right="2465"/>
        <w:jc w:val="left"/>
      </w:pPr>
      <w:r>
        <w:rPr/>
        <w:t>□适用</w:t>
      </w:r>
      <w:r>
        <w:rPr>
          <w:spacing w:val="-1"/>
        </w:rPr>
        <w:t> </w:t>
      </w:r>
      <w:r>
        <w:rPr/>
        <w:t>√不适用</w:t>
      </w:r>
    </w:p>
    <w:p>
      <w:pPr>
        <w:pStyle w:val="Heading2"/>
        <w:spacing w:line="240" w:lineRule="auto" w:before="56"/>
        <w:ind w:right="2465"/>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9"/>
        <w:ind w:left="218" w:right="2465"/>
        <w:jc w:val="left"/>
      </w:pPr>
      <w:r>
        <w:rPr/>
        <w:t>√适用</w:t>
      </w:r>
      <w:r>
        <w:rPr>
          <w:spacing w:val="-1"/>
        </w:rPr>
        <w:t> </w:t>
      </w:r>
      <w:r>
        <w:rPr/>
        <w:t>□不适用</w:t>
      </w:r>
    </w:p>
    <w:p>
      <w:pPr>
        <w:pStyle w:val="BodyText"/>
        <w:tabs>
          <w:tab w:pos="1051" w:val="left" w:leader="none"/>
        </w:tabs>
        <w:spacing w:line="271" w:lineRule="exact" w:before="0"/>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7"/>
      </w:tblGrid>
      <w:tr>
        <w:trPr>
          <w:trHeight w:val="286"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8"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3"/>
              <w:jc w:val="right"/>
              <w:rPr>
                <w:rFonts w:ascii="宋体" w:hAnsi="宋体" w:cs="宋体" w:eastAsia="宋体" w:hint="default"/>
                <w:sz w:val="18"/>
                <w:szCs w:val="18"/>
              </w:rPr>
            </w:pPr>
            <w:r>
              <w:rPr>
                <w:rFonts w:ascii="宋体"/>
                <w:spacing w:val="-1"/>
                <w:sz w:val="18"/>
              </w:rPr>
              <w:t>18,064,022.92</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56" w:footer="1193" w:top="1280" w:bottom="1380" w:left="1580" w:right="1040"/>
        </w:sectPr>
      </w:pPr>
    </w:p>
    <w:p>
      <w:pPr>
        <w:pStyle w:val="BodyText"/>
        <w:spacing w:line="273" w:lineRule="exact" w:before="36"/>
        <w:ind w:left="218" w:right="0"/>
        <w:jc w:val="left"/>
      </w:pPr>
      <w:r>
        <w:rPr>
          <w:spacing w:val="-2"/>
        </w:rPr>
        <w:t>其中重要的其他应收款核销情况：</w:t>
      </w:r>
    </w:p>
    <w:p>
      <w:pPr>
        <w:pStyle w:val="BodyText"/>
        <w:spacing w:line="273" w:lineRule="exact" w:before="0"/>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3373" w:space="3151"/>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79"/>
        <w:gridCol w:w="1426"/>
        <w:gridCol w:w="1582"/>
        <w:gridCol w:w="1313"/>
        <w:gridCol w:w="1441"/>
        <w:gridCol w:w="1711"/>
      </w:tblGrid>
      <w:tr>
        <w:trPr>
          <w:trHeight w:val="554"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履行的核销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程序</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828"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刘树林</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挪用资金款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17,988,653.05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董事会批准</w:t>
            </w:r>
          </w:p>
          <w:p>
            <w:pPr>
              <w:pStyle w:val="TableParagraph"/>
              <w:spacing w:line="240" w:lineRule="auto"/>
              <w:ind w:left="103" w:right="272"/>
              <w:jc w:val="left"/>
              <w:rPr>
                <w:rFonts w:ascii="宋体" w:hAnsi="宋体" w:cs="宋体" w:eastAsia="宋体" w:hint="default"/>
                <w:sz w:val="21"/>
                <w:szCs w:val="21"/>
              </w:rPr>
            </w:pPr>
            <w:r>
              <w:rPr>
                <w:rFonts w:ascii="宋体" w:hAnsi="宋体" w:cs="宋体" w:eastAsia="宋体" w:hint="default"/>
                <w:sz w:val="21"/>
                <w:szCs w:val="21"/>
              </w:rPr>
              <w:t>并报税务部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门审批</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17,988,653.05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280" w:bottom="138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3759" w:space="2753"/>
            <w:col w:w="277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3"/>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5,669,630.25</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5,214,368.80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110,744,676.19</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101,061,159.81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3,485,773.65</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1,203,362.79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839,127.00</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929,024.00</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刘树林挪用资金款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17,988,653.05</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1,856,133.50</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2,785,185.73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122,595,340.59</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129,181,754.18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280" w:bottom="1380" w:left="1580" w:right="1040"/>
        </w:sectPr>
      </w:pPr>
    </w:p>
    <w:p>
      <w:pPr>
        <w:pStyle w:val="Heading2"/>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5655" w:space="869"/>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28"/>
        <w:gridCol w:w="1246"/>
        <w:gridCol w:w="1500"/>
        <w:gridCol w:w="1500"/>
        <w:gridCol w:w="1654"/>
        <w:gridCol w:w="1570"/>
      </w:tblGrid>
      <w:tr>
        <w:trPr>
          <w:trHeight w:val="833"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账龄</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3"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53" w:right="80"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357" w:right="35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bl>
    <w:p>
      <w:pPr>
        <w:spacing w:after="0" w:line="272" w:lineRule="exact"/>
        <w:jc w:val="left"/>
        <w:rPr>
          <w:rFonts w:ascii="宋体" w:hAnsi="宋体" w:cs="宋体" w:eastAsia="宋体" w:hint="default"/>
          <w:sz w:val="21"/>
          <w:szCs w:val="21"/>
        </w:rPr>
        <w:sectPr>
          <w:type w:val="continuous"/>
          <w:pgSz w:w="11910" w:h="16840"/>
          <w:pgMar w:top="1280" w:bottom="1380" w:left="1580" w:right="1040"/>
        </w:sectPr>
      </w:pPr>
    </w:p>
    <w:p>
      <w:pPr>
        <w:spacing w:line="240" w:lineRule="auto" w:before="13"/>
        <w:rPr>
          <w:rFonts w:ascii="宋体" w:hAnsi="宋体" w:cs="宋体" w:eastAsia="宋体" w:hint="default"/>
          <w:sz w:val="17"/>
          <w:szCs w:val="17"/>
        </w:rPr>
      </w:pPr>
    </w:p>
    <w:tbl>
      <w:tblPr>
        <w:tblW w:w="0" w:type="auto"/>
        <w:jc w:val="left"/>
        <w:tblInd w:w="639" w:type="dxa"/>
        <w:tblLayout w:type="fixed"/>
        <w:tblCellMar>
          <w:top w:w="0" w:type="dxa"/>
          <w:left w:w="0" w:type="dxa"/>
          <w:bottom w:w="0" w:type="dxa"/>
          <w:right w:w="0" w:type="dxa"/>
        </w:tblCellMar>
        <w:tblLook w:val="01E0"/>
      </w:tblPr>
      <w:tblGrid>
        <w:gridCol w:w="1428"/>
        <w:gridCol w:w="1246"/>
        <w:gridCol w:w="1500"/>
        <w:gridCol w:w="1500"/>
        <w:gridCol w:w="1654"/>
        <w:gridCol w:w="1570"/>
      </w:tblGrid>
      <w:tr>
        <w:trPr>
          <w:trHeight w:val="1378"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北京奇虎科技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72"/>
              <w:jc w:val="righ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1"/>
              <w:jc w:val="right"/>
              <w:rPr>
                <w:rFonts w:ascii="宋体" w:hAnsi="宋体" w:cs="宋体" w:eastAsia="宋体" w:hint="default"/>
                <w:sz w:val="21"/>
                <w:szCs w:val="21"/>
              </w:rPr>
            </w:pPr>
            <w:r>
              <w:rPr>
                <w:rFonts w:ascii="宋体"/>
                <w:spacing w:val="-1"/>
                <w:sz w:val="21"/>
              </w:rPr>
              <w:t>17,711,333.30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pStyle w:val="TableParagraph"/>
              <w:spacing w:line="272" w:lineRule="exact"/>
              <w:ind w:left="23" w:right="0"/>
              <w:jc w:val="left"/>
              <w:rPr>
                <w:rFonts w:ascii="宋体" w:hAnsi="宋体" w:cs="宋体" w:eastAsia="宋体" w:hint="default"/>
                <w:sz w:val="21"/>
                <w:szCs w:val="21"/>
              </w:rPr>
            </w:pPr>
            <w:r>
              <w:rPr>
                <w:rFonts w:ascii="宋体"/>
                <w:sz w:val="21"/>
              </w:rPr>
              <w:t>16,525,000.00</w:t>
            </w:r>
          </w:p>
          <w:p>
            <w:pPr>
              <w:pStyle w:val="TableParagraph"/>
              <w:spacing w:line="272" w:lineRule="exact" w:before="27"/>
              <w:ind w:left="23" w:right="197"/>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103"/>
                <w:sz w:val="21"/>
                <w:szCs w:val="21"/>
              </w:rPr>
              <w:t> </w:t>
            </w:r>
            <w:r>
              <w:rPr>
                <w:rFonts w:ascii="宋体" w:hAnsi="宋体" w:cs="宋体" w:eastAsia="宋体" w:hint="default"/>
                <w:sz w:val="21"/>
                <w:szCs w:val="21"/>
              </w:rPr>
              <w:t>1,186,333.30</w:t>
            </w:r>
          </w:p>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z w:val="21"/>
              </w:rPr>
              <w:t>14.45</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283,883.33</w:t>
            </w:r>
          </w:p>
        </w:tc>
      </w:tr>
      <w:tr>
        <w:trPr>
          <w:trHeight w:val="1378"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山东省济南至</w:t>
            </w:r>
          </w:p>
          <w:p>
            <w:pPr>
              <w:pStyle w:val="TableParagraph"/>
              <w:spacing w:line="237" w:lineRule="auto" w:before="2"/>
              <w:ind w:left="24" w:right="124"/>
              <w:jc w:val="both"/>
              <w:rPr>
                <w:rFonts w:ascii="宋体" w:hAnsi="宋体" w:cs="宋体" w:eastAsia="宋体" w:hint="default"/>
                <w:sz w:val="21"/>
                <w:szCs w:val="21"/>
              </w:rPr>
            </w:pPr>
            <w:r>
              <w:rPr>
                <w:rFonts w:ascii="宋体" w:hAnsi="宋体" w:cs="宋体" w:eastAsia="宋体" w:hint="default"/>
                <w:sz w:val="21"/>
                <w:szCs w:val="21"/>
              </w:rPr>
              <w:t>东营高速公路</w:t>
            </w:r>
            <w:r>
              <w:rPr>
                <w:rFonts w:ascii="宋体" w:hAnsi="宋体" w:cs="宋体" w:eastAsia="宋体" w:hint="default"/>
                <w:w w:val="100"/>
                <w:sz w:val="21"/>
                <w:szCs w:val="21"/>
              </w:rPr>
              <w:t> </w:t>
            </w:r>
            <w:r>
              <w:rPr>
                <w:rFonts w:ascii="宋体" w:hAnsi="宋体" w:cs="宋体" w:eastAsia="宋体" w:hint="default"/>
                <w:sz w:val="21"/>
                <w:szCs w:val="21"/>
              </w:rPr>
              <w:t>项目建设办公</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72"/>
              <w:jc w:val="righ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12,377,297.00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pStyle w:val="TableParagraph"/>
              <w:spacing w:line="272" w:lineRule="exact"/>
              <w:ind w:left="23" w:right="0"/>
              <w:jc w:val="left"/>
              <w:rPr>
                <w:rFonts w:ascii="宋体" w:hAnsi="宋体" w:cs="宋体" w:eastAsia="宋体" w:hint="default"/>
                <w:sz w:val="21"/>
                <w:szCs w:val="21"/>
              </w:rPr>
            </w:pPr>
            <w:r>
              <w:rPr>
                <w:rFonts w:ascii="宋体"/>
                <w:sz w:val="21"/>
              </w:rPr>
              <w:t>1,476,497.00</w:t>
            </w:r>
          </w:p>
          <w:p>
            <w:pPr>
              <w:pStyle w:val="TableParagraph"/>
              <w:spacing w:line="240" w:lineRule="auto"/>
              <w:ind w:left="23" w:right="91"/>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103"/>
                <w:sz w:val="21"/>
                <w:szCs w:val="21"/>
              </w:rPr>
              <w:t> </w:t>
            </w:r>
            <w:r>
              <w:rPr>
                <w:rFonts w:ascii="宋体" w:hAnsi="宋体" w:cs="宋体" w:eastAsia="宋体" w:hint="default"/>
                <w:sz w:val="21"/>
                <w:szCs w:val="21"/>
              </w:rPr>
              <w:t>10,900,800.00</w:t>
            </w:r>
          </w:p>
          <w:p>
            <w:pPr>
              <w:pStyle w:val="TableParagraph"/>
              <w:spacing w:line="27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10.10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247,545.94</w:t>
            </w:r>
          </w:p>
        </w:tc>
      </w:tr>
      <w:tr>
        <w:trPr>
          <w:trHeight w:val="559"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青岛市黄岛区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城市建设局</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72"/>
              <w:jc w:val="righ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11,267,306.00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9.19</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225,346.12</w:t>
            </w:r>
          </w:p>
        </w:tc>
      </w:tr>
      <w:tr>
        <w:trPr>
          <w:trHeight w:val="1649"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北京搜狗信息</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服务有限公司</w:t>
            </w:r>
          </w:p>
          <w:p>
            <w:pPr>
              <w:pStyle w:val="TableParagraph"/>
              <w:spacing w:line="237" w:lineRule="auto"/>
              <w:ind w:left="24" w:right="124"/>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北京搜狗科</w:t>
            </w:r>
            <w:r>
              <w:rPr>
                <w:rFonts w:ascii="宋体" w:hAnsi="宋体" w:cs="宋体" w:eastAsia="宋体" w:hint="default"/>
                <w:w w:val="100"/>
                <w:sz w:val="21"/>
                <w:szCs w:val="21"/>
              </w:rPr>
              <w:t> </w:t>
            </w:r>
            <w:r>
              <w:rPr>
                <w:rFonts w:ascii="宋体" w:hAnsi="宋体" w:cs="宋体" w:eastAsia="宋体" w:hint="default"/>
                <w:sz w:val="21"/>
                <w:szCs w:val="21"/>
              </w:rPr>
              <w:t>技发展有限公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72"/>
              <w:jc w:val="righ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9,002,874.99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pStyle w:val="TableParagraph"/>
              <w:spacing w:line="272" w:lineRule="exact"/>
              <w:ind w:left="23" w:right="0"/>
              <w:jc w:val="left"/>
              <w:rPr>
                <w:rFonts w:ascii="宋体" w:hAnsi="宋体" w:cs="宋体" w:eastAsia="宋体" w:hint="default"/>
                <w:sz w:val="21"/>
                <w:szCs w:val="21"/>
              </w:rPr>
            </w:pPr>
            <w:r>
              <w:rPr>
                <w:rFonts w:ascii="宋体"/>
                <w:sz w:val="21"/>
              </w:rPr>
              <w:t>8,732,000.00</w:t>
            </w:r>
          </w:p>
          <w:p>
            <w:pPr>
              <w:pStyle w:val="TableParagraph"/>
              <w:spacing w:line="240" w:lineRule="auto"/>
              <w:ind w:left="23" w:right="406"/>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194,124.99</w:t>
            </w:r>
          </w:p>
          <w:p>
            <w:pPr>
              <w:pStyle w:val="TableParagraph"/>
              <w:spacing w:line="274" w:lineRule="exact" w:before="22"/>
              <w:ind w:left="23" w:right="251"/>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76,750.00</w:t>
            </w:r>
            <w:r>
              <w:rPr>
                <w:rFonts w:ascii="宋体" w:hAnsi="宋体" w:cs="宋体" w:eastAsia="宋体" w:hint="default"/>
                <w:spacing w:val="-52"/>
                <w:sz w:val="21"/>
                <w:szCs w:val="21"/>
              </w:rPr>
              <w:t> </w:t>
            </w:r>
            <w:r>
              <w:rPr>
                <w:rFonts w:ascii="宋体" w:hAnsi="宋体" w:cs="宋体" w:eastAsia="宋体" w:hint="default"/>
                <w:sz w:val="21"/>
                <w:szCs w:val="21"/>
              </w:rPr>
              <w:t>元</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7.34</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122,082.50</w:t>
            </w:r>
          </w:p>
        </w:tc>
      </w:tr>
      <w:tr>
        <w:trPr>
          <w:trHeight w:val="1104"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东营经济技术</w:t>
            </w:r>
          </w:p>
          <w:p>
            <w:pPr>
              <w:pStyle w:val="TableParagraph"/>
              <w:spacing w:line="237" w:lineRule="auto" w:before="2"/>
              <w:ind w:left="24" w:right="124"/>
              <w:jc w:val="both"/>
              <w:rPr>
                <w:rFonts w:ascii="宋体" w:hAnsi="宋体" w:cs="宋体" w:eastAsia="宋体" w:hint="default"/>
                <w:sz w:val="21"/>
                <w:szCs w:val="21"/>
              </w:rPr>
            </w:pPr>
            <w:r>
              <w:rPr>
                <w:rFonts w:ascii="宋体" w:hAnsi="宋体" w:cs="宋体" w:eastAsia="宋体" w:hint="default"/>
                <w:sz w:val="21"/>
                <w:szCs w:val="21"/>
              </w:rPr>
              <w:t>开发区物业质</w:t>
            </w:r>
            <w:r>
              <w:rPr>
                <w:rFonts w:ascii="宋体" w:hAnsi="宋体" w:cs="宋体" w:eastAsia="宋体" w:hint="default"/>
                <w:w w:val="100"/>
                <w:sz w:val="21"/>
                <w:szCs w:val="21"/>
              </w:rPr>
              <w:t> </w:t>
            </w:r>
            <w:r>
              <w:rPr>
                <w:rFonts w:ascii="宋体" w:hAnsi="宋体" w:cs="宋体" w:eastAsia="宋体" w:hint="default"/>
                <w:sz w:val="21"/>
                <w:szCs w:val="21"/>
              </w:rPr>
              <w:t>量保修金管理</w:t>
            </w:r>
            <w:r>
              <w:rPr>
                <w:rFonts w:ascii="宋体" w:hAnsi="宋体" w:cs="宋体" w:eastAsia="宋体" w:hint="default"/>
                <w:w w:val="100"/>
                <w:sz w:val="21"/>
                <w:szCs w:val="21"/>
              </w:rPr>
              <w:t> </w:t>
            </w:r>
            <w:r>
              <w:rPr>
                <w:rFonts w:ascii="宋体" w:hAnsi="宋体" w:cs="宋体" w:eastAsia="宋体" w:hint="default"/>
                <w:sz w:val="21"/>
                <w:szCs w:val="21"/>
              </w:rPr>
              <w:t>中心</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72"/>
              <w:jc w:val="righ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6,728,079.00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5.49</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134,561.58</w:t>
            </w:r>
          </w:p>
        </w:tc>
      </w:tr>
      <w:tr>
        <w:trPr>
          <w:trHeight w:val="288"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8"/>
              <w:jc w:val="right"/>
              <w:rPr>
                <w:rFonts w:ascii="宋体" w:hAnsi="宋体" w:cs="宋体" w:eastAsia="宋体" w:hint="default"/>
                <w:sz w:val="21"/>
                <w:szCs w:val="21"/>
              </w:rPr>
            </w:pPr>
            <w:r>
              <w:rPr>
                <w:rFonts w:ascii="宋体"/>
                <w:w w:val="100"/>
                <w:sz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3"/>
              <w:jc w:val="right"/>
              <w:rPr>
                <w:rFonts w:ascii="宋体" w:hAnsi="宋体" w:cs="宋体" w:eastAsia="宋体" w:hint="default"/>
                <w:sz w:val="18"/>
                <w:szCs w:val="18"/>
              </w:rPr>
            </w:pPr>
            <w:r>
              <w:rPr>
                <w:rFonts w:ascii="宋体"/>
                <w:spacing w:val="-1"/>
                <w:sz w:val="18"/>
              </w:rPr>
              <w:t>57,086,890.29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
              <w:jc w:val="center"/>
              <w:rPr>
                <w:rFonts w:ascii="宋体" w:hAnsi="宋体" w:cs="宋体" w:eastAsia="宋体" w:hint="default"/>
                <w:sz w:val="21"/>
                <w:szCs w:val="21"/>
              </w:rPr>
            </w:pPr>
            <w:r>
              <w:rPr>
                <w:rFonts w:ascii="宋体"/>
                <w:w w:val="100"/>
                <w:sz w:val="21"/>
              </w:rPr>
              <w:t>/</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46.57</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1,013,419.47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678" w:right="4374"/>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8"/>
        <w:ind w:left="678" w:right="437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before="0"/>
        <w:ind w:left="678" w:right="4374"/>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90" w:lineRule="auto" w:before="0"/>
        <w:ind w:left="678" w:right="3324"/>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w w:val="100"/>
        </w:rPr>
        <w:t> </w:t>
      </w:r>
      <w:r>
        <w:rPr>
          <w:rFonts w:ascii="宋体" w:hAnsi="宋体" w:cs="宋体" w:eastAsia="宋体" w:hint="default"/>
          <w:b w:val="0"/>
          <w:bCs w:val="0"/>
        </w:rPr>
        <w:t>无</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6" w:footer="1193" w:top="1280" w:bottom="1380" w:left="1120" w:right="1120"/>
        </w:sectPr>
      </w:pPr>
    </w:p>
    <w:p>
      <w:pPr>
        <w:pStyle w:val="Heading2"/>
        <w:spacing w:line="240" w:lineRule="auto"/>
        <w:ind w:left="678" w:right="-19"/>
        <w:jc w:val="left"/>
        <w:rPr>
          <w:b w:val="0"/>
          <w:bCs w:val="0"/>
        </w:rPr>
      </w:pPr>
      <w:r>
        <w:rPr>
          <w:rFonts w:ascii="宋体" w:hAnsi="宋体" w:cs="宋体" w:eastAsia="宋体" w:hint="default"/>
        </w:rPr>
        <w:t>6</w:t>
      </w:r>
      <w:r>
        <w:rPr/>
        <w:t>、</w:t>
      </w:r>
      <w:r>
        <w:rPr>
          <w:spacing w:val="-3"/>
        </w:rPr>
        <w:t> </w:t>
      </w:r>
      <w:r>
        <w:rPr/>
        <w:t>存货</w:t>
      </w:r>
      <w:r>
        <w:rPr>
          <w:b w:val="0"/>
          <w:bCs w:val="0"/>
        </w:rPr>
      </w:r>
    </w:p>
    <w:p>
      <w:pPr>
        <w:pStyle w:val="Heading2"/>
        <w:tabs>
          <w:tab w:pos="1309" w:val="left" w:leader="none"/>
        </w:tabs>
        <w:spacing w:line="240" w:lineRule="auto" w:before="58"/>
        <w:ind w:left="678" w:right="-19"/>
        <w:jc w:val="left"/>
        <w:rPr>
          <w:b w:val="0"/>
          <w:bCs w:val="0"/>
        </w:rPr>
      </w:pP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29" w:val="left" w:leader="none"/>
        </w:tabs>
        <w:spacing w:line="240" w:lineRule="auto" w:before="177"/>
        <w:ind w:left="678" w:right="0"/>
        <w:jc w:val="left"/>
      </w:pPr>
      <w:r>
        <w:rPr>
          <w:spacing w:val="-1"/>
        </w:rPr>
        <w:t>单位：元</w:t>
        <w:tab/>
      </w:r>
      <w:r>
        <w:rPr>
          <w:spacing w:val="-2"/>
        </w:rPr>
        <w:t>币种：人民币</w:t>
      </w:r>
    </w:p>
    <w:p>
      <w:pPr>
        <w:spacing w:after="0" w:line="240" w:lineRule="auto"/>
        <w:jc w:val="left"/>
        <w:sectPr>
          <w:type w:val="continuous"/>
          <w:pgSz w:w="11910" w:h="16840"/>
          <w:pgMar w:top="1280" w:bottom="1380" w:left="1120" w:right="1120"/>
          <w:cols w:num="2" w:equalWidth="0">
            <w:col w:w="2155" w:space="4370"/>
            <w:col w:w="3145"/>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33"/>
        <w:gridCol w:w="1390"/>
        <w:gridCol w:w="1237"/>
        <w:gridCol w:w="1512"/>
        <w:gridCol w:w="1507"/>
        <w:gridCol w:w="1148"/>
        <w:gridCol w:w="1507"/>
      </w:tblGrid>
      <w:tr>
        <w:trPr>
          <w:trHeight w:val="247" w:hRule="exact"/>
        </w:trPr>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1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0" w:hRule="exact"/>
        </w:trPr>
        <w:tc>
          <w:tcPr>
            <w:tcW w:w="1133" w:type="dxa"/>
            <w:vMerge/>
            <w:tcBorders>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8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8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7"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13,310,708.21</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5,385,005.72</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7,925,702.49</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11,977,625.36</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5,955,178.52</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6,022,446.84</w:t>
            </w:r>
          </w:p>
        </w:tc>
      </w:tr>
      <w:tr>
        <w:trPr>
          <w:trHeight w:val="250"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90" w:type="dxa"/>
            <w:tcBorders>
              <w:top w:val="single" w:sz="6" w:space="0" w:color="000000"/>
              <w:left w:val="single" w:sz="6" w:space="0" w:color="000000"/>
              <w:bottom w:val="single" w:sz="6" w:space="0" w:color="000000"/>
              <w:right w:val="single" w:sz="6" w:space="0" w:color="000000"/>
            </w:tcBorders>
          </w:tcPr>
          <w:p>
            <w:pPr/>
          </w:p>
        </w:tc>
        <w:tc>
          <w:tcPr>
            <w:tcW w:w="1237"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
        </w:tc>
        <w:tc>
          <w:tcPr>
            <w:tcW w:w="1148"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16,651,230.76</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869,918.37</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15,781,312.39</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12,277,767.18</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2,428,371.85</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9,849,395.33</w:t>
            </w:r>
          </w:p>
        </w:tc>
      </w:tr>
      <w:tr>
        <w:trPr>
          <w:trHeight w:val="250"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90" w:type="dxa"/>
            <w:tcBorders>
              <w:top w:val="single" w:sz="6" w:space="0" w:color="000000"/>
              <w:left w:val="single" w:sz="6" w:space="0" w:color="000000"/>
              <w:bottom w:val="single" w:sz="6" w:space="0" w:color="000000"/>
              <w:right w:val="single" w:sz="6" w:space="0" w:color="000000"/>
            </w:tcBorders>
          </w:tcPr>
          <w:p>
            <w:pPr/>
          </w:p>
        </w:tc>
        <w:tc>
          <w:tcPr>
            <w:tcW w:w="1237"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
        </w:tc>
        <w:tc>
          <w:tcPr>
            <w:tcW w:w="1148"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消耗性生物</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90" w:type="dxa"/>
            <w:tcBorders>
              <w:top w:val="single" w:sz="6" w:space="0" w:color="000000"/>
              <w:left w:val="single" w:sz="6" w:space="0" w:color="000000"/>
              <w:bottom w:val="single" w:sz="6" w:space="0" w:color="000000"/>
              <w:right w:val="single" w:sz="6" w:space="0" w:color="000000"/>
            </w:tcBorders>
          </w:tcPr>
          <w:p>
            <w:pPr/>
          </w:p>
        </w:tc>
        <w:tc>
          <w:tcPr>
            <w:tcW w:w="1237"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
        </w:tc>
        <w:tc>
          <w:tcPr>
            <w:tcW w:w="1148"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建造合同形</w:t>
            </w:r>
          </w:p>
          <w:p>
            <w:pPr>
              <w:pStyle w:val="TableParagraph"/>
              <w:spacing w:line="234" w:lineRule="exact" w:before="21"/>
              <w:ind w:left="21" w:right="195"/>
              <w:jc w:val="left"/>
              <w:rPr>
                <w:rFonts w:ascii="宋体" w:hAnsi="宋体" w:cs="宋体" w:eastAsia="宋体" w:hint="default"/>
                <w:sz w:val="18"/>
                <w:szCs w:val="18"/>
              </w:rPr>
            </w:pPr>
            <w:r>
              <w:rPr>
                <w:rFonts w:ascii="宋体" w:hAnsi="宋体" w:cs="宋体" w:eastAsia="宋体" w:hint="default"/>
                <w:sz w:val="18"/>
                <w:szCs w:val="18"/>
              </w:rPr>
              <w:t>成的已完工 未结算资产</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113,704,603.73</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1,900,122.25</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111,804,481.48</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147,330,705.45</w:t>
            </w:r>
          </w:p>
        </w:tc>
        <w:tc>
          <w:tcPr>
            <w:tcW w:w="1148"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147,330,705.45</w:t>
            </w:r>
          </w:p>
        </w:tc>
      </w:tr>
      <w:tr>
        <w:trPr>
          <w:trHeight w:val="247"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897.00</w:t>
            </w:r>
          </w:p>
        </w:tc>
        <w:tc>
          <w:tcPr>
            <w:tcW w:w="1237"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897.00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1,051.00</w:t>
            </w:r>
          </w:p>
        </w:tc>
        <w:tc>
          <w:tcPr>
            <w:tcW w:w="1148"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1,051.00</w:t>
            </w:r>
          </w:p>
        </w:tc>
      </w:tr>
    </w:tbl>
    <w:p>
      <w:pPr>
        <w:spacing w:after="0" w:line="205" w:lineRule="exact"/>
        <w:jc w:val="right"/>
        <w:rPr>
          <w:rFonts w:ascii="宋体" w:hAnsi="宋体" w:cs="宋体" w:eastAsia="宋体" w:hint="default"/>
          <w:sz w:val="18"/>
          <w:szCs w:val="18"/>
        </w:rPr>
        <w:sectPr>
          <w:type w:val="continuous"/>
          <w:pgSz w:w="11910" w:h="16840"/>
          <w:pgMar w:top="1280" w:bottom="1380" w:left="1120" w:right="1120"/>
        </w:sectPr>
      </w:pPr>
    </w:p>
    <w:p>
      <w:pPr>
        <w:spacing w:line="240" w:lineRule="auto" w:before="13"/>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1133"/>
        <w:gridCol w:w="1390"/>
        <w:gridCol w:w="1237"/>
        <w:gridCol w:w="1512"/>
        <w:gridCol w:w="1507"/>
        <w:gridCol w:w="1148"/>
        <w:gridCol w:w="1507"/>
      </w:tblGrid>
      <w:tr>
        <w:trPr>
          <w:trHeight w:val="483"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75"/>
              <w:jc w:val="right"/>
              <w:rPr>
                <w:rFonts w:ascii="宋体" w:hAnsi="宋体" w:cs="宋体" w:eastAsia="宋体" w:hint="default"/>
                <w:sz w:val="18"/>
                <w:szCs w:val="18"/>
              </w:rPr>
            </w:pPr>
            <w:r>
              <w:rPr>
                <w:rFonts w:ascii="宋体" w:hAnsi="宋体" w:cs="宋体" w:eastAsia="宋体" w:hint="default"/>
                <w:sz w:val="18"/>
                <w:szCs w:val="18"/>
              </w:rPr>
              <w:t>开发产品</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198,042,638.14</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pacing w:val="-1"/>
                <w:sz w:val="18"/>
              </w:rPr>
              <w:t>14,489,890.7</w:t>
            </w:r>
          </w:p>
          <w:p>
            <w:pPr>
              <w:pStyle w:val="TableParagraph"/>
              <w:spacing w:line="234" w:lineRule="exact"/>
              <w:ind w:right="29"/>
              <w:jc w:val="right"/>
              <w:rPr>
                <w:rFonts w:ascii="宋体" w:hAnsi="宋体" w:cs="宋体" w:eastAsia="宋体" w:hint="default"/>
                <w:sz w:val="18"/>
                <w:szCs w:val="18"/>
              </w:rPr>
            </w:pPr>
            <w:r>
              <w:rPr>
                <w:rFonts w:ascii="宋体"/>
                <w:sz w:val="18"/>
              </w:rPr>
              <w:t>4</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183,552,747.40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29,785,716.42</w:t>
            </w:r>
          </w:p>
        </w:tc>
        <w:tc>
          <w:tcPr>
            <w:tcW w:w="1148"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29,785,716.42</w:t>
            </w:r>
          </w:p>
        </w:tc>
      </w:tr>
      <w:tr>
        <w:trPr>
          <w:trHeight w:val="482"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75"/>
              <w:jc w:val="right"/>
              <w:rPr>
                <w:rFonts w:ascii="宋体" w:hAnsi="宋体" w:cs="宋体" w:eastAsia="宋体" w:hint="default"/>
                <w:sz w:val="18"/>
                <w:szCs w:val="18"/>
              </w:rPr>
            </w:pPr>
            <w:r>
              <w:rPr>
                <w:rFonts w:ascii="宋体" w:hAnsi="宋体" w:cs="宋体" w:eastAsia="宋体" w:hint="default"/>
                <w:sz w:val="18"/>
                <w:szCs w:val="18"/>
              </w:rPr>
              <w:t>开发成本</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2,284,251,610.</w:t>
            </w:r>
          </w:p>
          <w:p>
            <w:pPr>
              <w:pStyle w:val="TableParagraph"/>
              <w:spacing w:line="240" w:lineRule="auto"/>
              <w:ind w:right="24"/>
              <w:jc w:val="right"/>
              <w:rPr>
                <w:rFonts w:ascii="宋体" w:hAnsi="宋体" w:cs="宋体" w:eastAsia="宋体" w:hint="default"/>
                <w:sz w:val="18"/>
                <w:szCs w:val="18"/>
              </w:rPr>
            </w:pPr>
            <w:r>
              <w:rPr>
                <w:rFonts w:ascii="宋体"/>
                <w:sz w:val="18"/>
              </w:rPr>
              <w:t>23</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23,506,803.2</w:t>
            </w:r>
          </w:p>
          <w:p>
            <w:pPr>
              <w:pStyle w:val="TableParagraph"/>
              <w:spacing w:line="240" w:lineRule="auto"/>
              <w:ind w:right="29"/>
              <w:jc w:val="right"/>
              <w:rPr>
                <w:rFonts w:ascii="宋体" w:hAnsi="宋体" w:cs="宋体" w:eastAsia="宋体" w:hint="default"/>
                <w:sz w:val="18"/>
                <w:szCs w:val="18"/>
              </w:rPr>
            </w:pPr>
            <w:r>
              <w:rPr>
                <w:rFonts w:ascii="宋体"/>
                <w:sz w:val="18"/>
              </w:rPr>
              <w:t>9</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2,260,744,806.94</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2,277,461,857.92</w:t>
            </w:r>
          </w:p>
        </w:tc>
        <w:tc>
          <w:tcPr>
            <w:tcW w:w="1148"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2,277,461,857.92</w:t>
            </w:r>
          </w:p>
        </w:tc>
      </w:tr>
      <w:tr>
        <w:trPr>
          <w:trHeight w:val="482"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委托加工物</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1,658,572.81</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93" w:right="0"/>
              <w:jc w:val="left"/>
              <w:rPr>
                <w:rFonts w:ascii="宋体" w:hAnsi="宋体" w:cs="宋体" w:eastAsia="宋体" w:hint="default"/>
                <w:sz w:val="18"/>
                <w:szCs w:val="18"/>
              </w:rPr>
            </w:pPr>
            <w:r>
              <w:rPr>
                <w:rFonts w:ascii="宋体"/>
                <w:sz w:val="18"/>
              </w:rPr>
              <w:t>342,608.93</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1,315,963.88</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989,058.24</w:t>
            </w:r>
          </w:p>
        </w:tc>
        <w:tc>
          <w:tcPr>
            <w:tcW w:w="1148"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989,058.24</w:t>
            </w:r>
          </w:p>
        </w:tc>
      </w:tr>
      <w:tr>
        <w:trPr>
          <w:trHeight w:val="247"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75"/>
              <w:jc w:val="right"/>
              <w:rPr>
                <w:rFonts w:ascii="宋体" w:hAnsi="宋体" w:cs="宋体" w:eastAsia="宋体" w:hint="default"/>
                <w:sz w:val="18"/>
                <w:szCs w:val="18"/>
              </w:rPr>
            </w:pPr>
            <w:r>
              <w:rPr>
                <w:rFonts w:ascii="宋体" w:hAnsi="宋体" w:cs="宋体" w:eastAsia="宋体" w:hint="default"/>
                <w:sz w:val="18"/>
                <w:szCs w:val="18"/>
              </w:rPr>
              <w:t>发出商品</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12,000.00</w:t>
            </w:r>
          </w:p>
        </w:tc>
        <w:tc>
          <w:tcPr>
            <w:tcW w:w="1237"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12,000.00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198,457.05</w:t>
            </w:r>
          </w:p>
        </w:tc>
        <w:tc>
          <w:tcPr>
            <w:tcW w:w="1148"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198,457.05</w:t>
            </w:r>
          </w:p>
        </w:tc>
      </w:tr>
      <w:tr>
        <w:trPr>
          <w:trHeight w:val="482"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81"/>
              <w:jc w:val="right"/>
              <w:rPr>
                <w:rFonts w:ascii="宋体" w:hAnsi="宋体" w:cs="宋体" w:eastAsia="宋体" w:hint="default"/>
                <w:sz w:val="18"/>
                <w:szCs w:val="18"/>
              </w:rPr>
            </w:pPr>
            <w:r>
              <w:rPr>
                <w:rFonts w:ascii="宋体" w:hAnsi="宋体" w:cs="宋体" w:eastAsia="宋体" w:hint="default"/>
                <w:sz w:val="18"/>
                <w:szCs w:val="18"/>
              </w:rPr>
              <w:t>合计</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6"/>
              <w:jc w:val="right"/>
              <w:rPr>
                <w:rFonts w:ascii="宋体" w:hAnsi="宋体" w:cs="宋体" w:eastAsia="宋体" w:hint="default"/>
                <w:sz w:val="18"/>
                <w:szCs w:val="18"/>
              </w:rPr>
            </w:pPr>
            <w:r>
              <w:rPr>
                <w:rFonts w:ascii="宋体"/>
                <w:spacing w:val="-1"/>
                <w:sz w:val="18"/>
              </w:rPr>
              <w:t>2,627,632,260.</w:t>
            </w:r>
          </w:p>
          <w:p>
            <w:pPr>
              <w:pStyle w:val="TableParagraph"/>
              <w:spacing w:line="234" w:lineRule="exact"/>
              <w:ind w:right="24"/>
              <w:jc w:val="right"/>
              <w:rPr>
                <w:rFonts w:ascii="宋体" w:hAnsi="宋体" w:cs="宋体" w:eastAsia="宋体" w:hint="default"/>
                <w:sz w:val="18"/>
                <w:szCs w:val="18"/>
              </w:rPr>
            </w:pPr>
            <w:r>
              <w:rPr>
                <w:rFonts w:ascii="宋体"/>
                <w:sz w:val="18"/>
              </w:rPr>
              <w:t>88</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6"/>
              <w:jc w:val="right"/>
              <w:rPr>
                <w:rFonts w:ascii="宋体" w:hAnsi="宋体" w:cs="宋体" w:eastAsia="宋体" w:hint="default"/>
                <w:sz w:val="18"/>
                <w:szCs w:val="18"/>
              </w:rPr>
            </w:pPr>
            <w:r>
              <w:rPr>
                <w:rFonts w:ascii="宋体"/>
                <w:spacing w:val="-1"/>
                <w:sz w:val="18"/>
              </w:rPr>
              <w:t>46,494,349.3</w:t>
            </w:r>
          </w:p>
          <w:p>
            <w:pPr>
              <w:pStyle w:val="TableParagraph"/>
              <w:spacing w:line="234" w:lineRule="exact"/>
              <w:ind w:right="29"/>
              <w:jc w:val="right"/>
              <w:rPr>
                <w:rFonts w:ascii="宋体" w:hAnsi="宋体" w:cs="宋体" w:eastAsia="宋体" w:hint="default"/>
                <w:sz w:val="18"/>
                <w:szCs w:val="18"/>
              </w:rPr>
            </w:pPr>
            <w:r>
              <w:rPr>
                <w:rFonts w:ascii="宋体"/>
                <w:sz w:val="18"/>
              </w:rPr>
              <w:t>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2,581,137,911.58</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2,480,022,238.62</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8,383,550.37</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2,471,638,688.25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tabs>
          <w:tab w:pos="1309" w:val="left" w:leader="none"/>
        </w:tabs>
        <w:spacing w:line="240" w:lineRule="auto"/>
        <w:ind w:left="678" w:right="0"/>
        <w:jc w:val="left"/>
        <w:rPr>
          <w:b w:val="0"/>
          <w:bCs w:val="0"/>
        </w:rPr>
      </w:pPr>
      <w:r>
        <w:rPr>
          <w:rFonts w:ascii="宋体" w:hAnsi="宋体" w:cs="宋体" w:eastAsia="宋体" w:hint="default"/>
          <w:w w:val="95"/>
        </w:rPr>
        <w:t>(2).</w:t>
        <w:tab/>
      </w:r>
      <w:r>
        <w:rPr/>
        <w:t>存货跌价准备</w:t>
      </w:r>
      <w:r>
        <w:rPr>
          <w:b w:val="0"/>
          <w:bCs w:val="0"/>
        </w:rPr>
      </w:r>
    </w:p>
    <w:p>
      <w:pPr>
        <w:pStyle w:val="BodyText"/>
        <w:tabs>
          <w:tab w:pos="1051" w:val="left" w:leader="none"/>
        </w:tabs>
        <w:spacing w:line="240" w:lineRule="auto" w:before="57"/>
        <w:ind w:left="0" w:right="48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1668"/>
        <w:gridCol w:w="1429"/>
        <w:gridCol w:w="1411"/>
        <w:gridCol w:w="972"/>
        <w:gridCol w:w="1298"/>
        <w:gridCol w:w="1097"/>
        <w:gridCol w:w="1450"/>
      </w:tblGrid>
      <w:tr>
        <w:trPr>
          <w:trHeight w:val="247"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vMerge w:val="restart"/>
            <w:tcBorders>
              <w:top w:val="single" w:sz="4" w:space="0" w:color="000000"/>
              <w:left w:val="single" w:sz="4" w:space="0" w:color="000000"/>
              <w:right w:val="single" w:sz="4" w:space="0" w:color="000000"/>
            </w:tcBorders>
          </w:tcPr>
          <w:p>
            <w:pPr>
              <w:pStyle w:val="TableParagraph"/>
              <w:spacing w:line="240" w:lineRule="auto" w:before="128"/>
              <w:ind w:left="34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5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128"/>
              <w:ind w:left="35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2" w:hRule="exact"/>
        </w:trPr>
        <w:tc>
          <w:tcPr>
            <w:tcW w:w="1668" w:type="dxa"/>
            <w:vMerge/>
            <w:tcBorders>
              <w:left w:val="single" w:sz="4" w:space="0" w:color="000000"/>
              <w:bottom w:val="single" w:sz="4" w:space="0" w:color="000000"/>
              <w:right w:val="single" w:sz="4" w:space="0" w:color="000000"/>
            </w:tcBorders>
          </w:tcPr>
          <w:p>
            <w:pPr/>
          </w:p>
        </w:tc>
        <w:tc>
          <w:tcPr>
            <w:tcW w:w="1429" w:type="dxa"/>
            <w:vMerge/>
            <w:tcBorders>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计提</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1"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0" w:type="dxa"/>
            <w:vMerge/>
            <w:tcBorders>
              <w:left w:val="single" w:sz="4" w:space="0" w:color="000000"/>
              <w:bottom w:val="single" w:sz="4" w:space="0" w:color="000000"/>
              <w:right w:val="single" w:sz="4" w:space="0" w:color="000000"/>
            </w:tcBorders>
          </w:tcPr>
          <w:p>
            <w:pPr/>
          </w:p>
        </w:tc>
      </w:tr>
      <w:tr>
        <w:trPr>
          <w:trHeight w:val="2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5,955,178.52</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118,686.83</w:t>
            </w:r>
          </w:p>
        </w:tc>
        <w:tc>
          <w:tcPr>
            <w:tcW w:w="97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688,859.63</w:t>
            </w:r>
          </w:p>
        </w:tc>
        <w:tc>
          <w:tcPr>
            <w:tcW w:w="109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5,385,005.72</w:t>
            </w:r>
          </w:p>
        </w:tc>
      </w:tr>
      <w:tr>
        <w:trPr>
          <w:trHeight w:val="2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2,428,371.85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108,832.02</w:t>
            </w:r>
          </w:p>
        </w:tc>
        <w:tc>
          <w:tcPr>
            <w:tcW w:w="97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1,667,285.50</w:t>
            </w:r>
          </w:p>
        </w:tc>
        <w:tc>
          <w:tcPr>
            <w:tcW w:w="109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869,918.37</w:t>
            </w:r>
          </w:p>
        </w:tc>
      </w:tr>
      <w:tr>
        <w:trPr>
          <w:trHeight w:val="24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14,489,890.74</w:t>
            </w:r>
          </w:p>
        </w:tc>
        <w:tc>
          <w:tcPr>
            <w:tcW w:w="97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14,489,890.74</w:t>
            </w:r>
          </w:p>
        </w:tc>
      </w:tr>
      <w:tr>
        <w:trPr>
          <w:trHeight w:val="2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23,506,803.29</w:t>
            </w:r>
          </w:p>
        </w:tc>
        <w:tc>
          <w:tcPr>
            <w:tcW w:w="97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23,506,803.29</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完工未结算资产</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1,900,122.25</w:t>
            </w:r>
          </w:p>
        </w:tc>
        <w:tc>
          <w:tcPr>
            <w:tcW w:w="97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1,900,122.25</w:t>
            </w:r>
          </w:p>
        </w:tc>
      </w:tr>
      <w:tr>
        <w:trPr>
          <w:trHeight w:val="2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342,608.93</w:t>
            </w:r>
          </w:p>
        </w:tc>
        <w:tc>
          <w:tcPr>
            <w:tcW w:w="97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342,608.93</w:t>
            </w:r>
          </w:p>
        </w:tc>
      </w:tr>
      <w:tr>
        <w:trPr>
          <w:trHeight w:val="24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8,383,550.37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40,466,944.06</w:t>
            </w:r>
          </w:p>
        </w:tc>
        <w:tc>
          <w:tcPr>
            <w:tcW w:w="97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2,356,145.13</w:t>
            </w:r>
          </w:p>
        </w:tc>
        <w:tc>
          <w:tcPr>
            <w:tcW w:w="109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46,494,349.30</w:t>
            </w:r>
          </w:p>
        </w:tc>
      </w:tr>
    </w:tbl>
    <w:p>
      <w:pPr>
        <w:spacing w:line="240" w:lineRule="auto" w:before="2"/>
        <w:rPr>
          <w:rFonts w:ascii="宋体" w:hAnsi="宋体" w:cs="宋体" w:eastAsia="宋体" w:hint="default"/>
          <w:sz w:val="20"/>
          <w:szCs w:val="20"/>
        </w:rPr>
      </w:pPr>
    </w:p>
    <w:p>
      <w:pPr>
        <w:pStyle w:val="Heading2"/>
        <w:tabs>
          <w:tab w:pos="1309" w:val="left" w:leader="none"/>
        </w:tabs>
        <w:spacing w:line="240" w:lineRule="auto"/>
        <w:ind w:left="678" w:right="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spacing w:line="240" w:lineRule="auto" w:before="56"/>
        <w:ind w:left="678" w:right="0"/>
        <w:jc w:val="left"/>
      </w:pPr>
      <w:r>
        <w:rPr/>
        <w:t>存货期末余额中含有借款费用资本化金额</w:t>
      </w:r>
      <w:r>
        <w:rPr>
          <w:spacing w:val="-55"/>
        </w:rPr>
        <w:t> </w:t>
      </w:r>
      <w:r>
        <w:rPr>
          <w:rFonts w:ascii="宋体" w:hAnsi="宋体" w:cs="宋体" w:eastAsia="宋体" w:hint="default"/>
        </w:rPr>
        <w:t>257,232,408.32</w:t>
      </w:r>
      <w:r>
        <w:rPr>
          <w:rFonts w:ascii="宋体" w:hAnsi="宋体" w:cs="宋体" w:eastAsia="宋体" w:hint="default"/>
          <w:spacing w:val="-55"/>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6" w:footer="1193" w:top="1280" w:bottom="1380" w:left="1120" w:right="780"/>
        </w:sectPr>
      </w:pPr>
    </w:p>
    <w:p>
      <w:pPr>
        <w:pStyle w:val="Heading2"/>
        <w:tabs>
          <w:tab w:pos="1309" w:val="left" w:leader="none"/>
        </w:tabs>
        <w:spacing w:line="240" w:lineRule="auto"/>
        <w:ind w:left="678" w:right="0"/>
        <w:jc w:val="left"/>
        <w:rPr>
          <w:b w:val="0"/>
          <w:bCs w:val="0"/>
        </w:rPr>
      </w:pPr>
      <w:r>
        <w:rPr>
          <w:rFonts w:ascii="宋体" w:hAnsi="宋体" w:cs="宋体" w:eastAsia="宋体" w:hint="default"/>
          <w:w w:val="95"/>
        </w:rPr>
        <w:t>(4).</w:t>
        <w:tab/>
      </w:r>
      <w:r>
        <w:rPr>
          <w:spacing w:val="-1"/>
        </w:rPr>
        <w:t>期末建造合同形成的已完工未结算资产情况：</w:t>
      </w:r>
      <w:r>
        <w:rPr>
          <w:b w:val="0"/>
          <w:bCs w:val="0"/>
          <w:spacing w:val="-1"/>
        </w:rPr>
      </w:r>
    </w:p>
    <w:p>
      <w:pPr>
        <w:pStyle w:val="BodyText"/>
        <w:spacing w:line="240" w:lineRule="auto" w:before="56"/>
        <w:ind w:left="6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before="0"/>
        <w:ind w:left="678" w:right="0"/>
        <w:jc w:val="left"/>
      </w:pPr>
      <w:r>
        <w:rPr>
          <w:spacing w:val="-1"/>
        </w:rPr>
        <w:t>单位：元</w:t>
        <w:tab/>
      </w:r>
      <w:r>
        <w:rPr>
          <w:spacing w:val="-2"/>
        </w:rPr>
        <w:t>币种：人民币</w:t>
      </w:r>
    </w:p>
    <w:p>
      <w:pPr>
        <w:spacing w:after="0" w:line="240" w:lineRule="auto"/>
        <w:jc w:val="left"/>
        <w:sectPr>
          <w:type w:val="continuous"/>
          <w:pgSz w:w="11910" w:h="16840"/>
          <w:pgMar w:top="1280" w:bottom="1380" w:left="1120" w:right="780"/>
          <w:cols w:num="2" w:equalWidth="0">
            <w:col w:w="5529" w:space="995"/>
            <w:col w:w="3486"/>
          </w:cols>
        </w:sectPr>
      </w:pPr>
    </w:p>
    <w:p>
      <w:pPr>
        <w:spacing w:line="240" w:lineRule="auto" w:before="4"/>
        <w:rPr>
          <w:rFonts w:ascii="宋体" w:hAnsi="宋体" w:cs="宋体" w:eastAsia="宋体" w:hint="default"/>
          <w:sz w:val="2"/>
          <w:szCs w:val="2"/>
        </w:rPr>
      </w:pPr>
    </w:p>
    <w:tbl>
      <w:tblPr>
        <w:tblW w:w="0" w:type="auto"/>
        <w:jc w:val="left"/>
        <w:tblInd w:w="639" w:type="dxa"/>
        <w:tblLayout w:type="fixed"/>
        <w:tblCellMar>
          <w:top w:w="0" w:type="dxa"/>
          <w:left w:w="0" w:type="dxa"/>
          <w:bottom w:w="0" w:type="dxa"/>
          <w:right w:w="0" w:type="dxa"/>
        </w:tblCellMar>
        <w:tblLook w:val="01E0"/>
      </w:tblPr>
      <w:tblGrid>
        <w:gridCol w:w="4297"/>
        <w:gridCol w:w="4602"/>
      </w:tblGrid>
      <w:tr>
        <w:trPr>
          <w:trHeight w:val="324"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46"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662,812,447.13</w:t>
            </w:r>
          </w:p>
        </w:tc>
      </w:tr>
      <w:tr>
        <w:trPr>
          <w:trHeight w:val="348"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51,942,084.73</w:t>
            </w:r>
          </w:p>
        </w:tc>
      </w:tr>
      <w:tr>
        <w:trPr>
          <w:trHeight w:val="346"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1,900,122.25</w:t>
            </w:r>
          </w:p>
        </w:tc>
      </w:tr>
      <w:tr>
        <w:trPr>
          <w:trHeight w:val="349"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43"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
              <w:jc w:val="right"/>
              <w:rPr>
                <w:rFonts w:ascii="宋体" w:hAnsi="宋体" w:cs="宋体" w:eastAsia="宋体" w:hint="default"/>
                <w:sz w:val="21"/>
                <w:szCs w:val="21"/>
              </w:rPr>
            </w:pPr>
            <w:r>
              <w:rPr>
                <w:rFonts w:ascii="宋体"/>
                <w:spacing w:val="-1"/>
                <w:sz w:val="21"/>
              </w:rPr>
              <w:t>601,049,928.13</w:t>
            </w:r>
          </w:p>
        </w:tc>
      </w:tr>
      <w:tr>
        <w:trPr>
          <w:trHeight w:val="348"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p>
        </w:tc>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111,804,481.48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678" w:right="0"/>
        <w:jc w:val="left"/>
        <w:rPr>
          <w:b w:val="0"/>
          <w:bCs w:val="0"/>
        </w:rPr>
      </w:pPr>
      <w:r>
        <w:rPr>
          <w:rFonts w:ascii="宋体" w:hAnsi="宋体" w:cs="宋体" w:eastAsia="宋体" w:hint="default"/>
        </w:rPr>
        <w:t>7</w:t>
      </w:r>
      <w:r>
        <w:rPr/>
        <w:t>、</w:t>
      </w:r>
      <w:r>
        <w:rPr>
          <w:spacing w:val="-1"/>
        </w:rPr>
        <w:t> </w:t>
      </w:r>
      <w:r>
        <w:rPr/>
        <w:t>其他流动资产</w:t>
      </w:r>
      <w:r>
        <w:rPr>
          <w:b w:val="0"/>
          <w:bCs w:val="0"/>
        </w:rPr>
      </w:r>
    </w:p>
    <w:p>
      <w:pPr>
        <w:pStyle w:val="BodyText"/>
        <w:tabs>
          <w:tab w:pos="1051" w:val="left" w:leader="none"/>
        </w:tabs>
        <w:spacing w:line="240" w:lineRule="auto" w:before="56"/>
        <w:ind w:left="0" w:right="48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289"/>
        <w:gridCol w:w="2916"/>
        <w:gridCol w:w="2847"/>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12,519,753.02</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9,437,179.51</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预交税金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70,595,601.40</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25,231,966.54</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83,115,354.42</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34,669,146.05</w:t>
            </w:r>
          </w:p>
        </w:tc>
      </w:tr>
    </w:tbl>
    <w:p>
      <w:pPr>
        <w:spacing w:line="240" w:lineRule="auto" w:before="2"/>
        <w:rPr>
          <w:rFonts w:ascii="宋体" w:hAnsi="宋体" w:cs="宋体" w:eastAsia="宋体" w:hint="default"/>
          <w:sz w:val="20"/>
          <w:szCs w:val="20"/>
        </w:rPr>
      </w:pPr>
    </w:p>
    <w:p>
      <w:pPr>
        <w:pStyle w:val="Heading2"/>
        <w:spacing w:line="240" w:lineRule="auto"/>
        <w:ind w:left="678" w:right="0"/>
        <w:jc w:val="left"/>
        <w:rPr>
          <w:b w:val="0"/>
          <w:bCs w:val="0"/>
        </w:rPr>
      </w:pPr>
      <w:r>
        <w:rPr>
          <w:rFonts w:ascii="宋体" w:hAnsi="宋体" w:cs="宋体" w:eastAsia="宋体" w:hint="default"/>
        </w:rPr>
        <w:t>8</w:t>
      </w:r>
      <w:r>
        <w:rPr/>
        <w:t>、 可供出售金融资产</w:t>
      </w:r>
      <w:r>
        <w:rPr>
          <w:b w:val="0"/>
          <w:bCs w:val="0"/>
        </w:rPr>
      </w:r>
    </w:p>
    <w:p>
      <w:pPr>
        <w:pStyle w:val="BodyText"/>
        <w:spacing w:line="240" w:lineRule="auto" w:before="56"/>
        <w:ind w:left="678" w:right="0"/>
        <w:jc w:val="left"/>
      </w:pPr>
      <w:r>
        <w:rPr/>
        <w:t>√适用</w:t>
      </w:r>
      <w:r>
        <w:rPr>
          <w:spacing w:val="-1"/>
        </w:rPr>
        <w:t> </w:t>
      </w:r>
      <w:r>
        <w:rPr/>
        <w:t>□不适用</w:t>
      </w:r>
    </w:p>
    <w:p>
      <w:pPr>
        <w:spacing w:after="0" w:line="240" w:lineRule="auto"/>
        <w:jc w:val="left"/>
        <w:sectPr>
          <w:type w:val="continuous"/>
          <w:pgSz w:w="11910" w:h="16840"/>
          <w:pgMar w:top="1280" w:bottom="1380" w:left="1120" w:right="780"/>
        </w:sectPr>
      </w:pPr>
    </w:p>
    <w:p>
      <w:pPr>
        <w:spacing w:line="240" w:lineRule="auto" w:before="8"/>
        <w:rPr>
          <w:rFonts w:ascii="宋体" w:hAnsi="宋体" w:cs="宋体" w:eastAsia="宋体" w:hint="default"/>
          <w:sz w:val="12"/>
          <w:szCs w:val="12"/>
        </w:rPr>
      </w:pPr>
    </w:p>
    <w:p>
      <w:pPr>
        <w:pStyle w:val="Heading2"/>
        <w:tabs>
          <w:tab w:pos="1321" w:val="left" w:leader="none"/>
        </w:tabs>
        <w:spacing w:line="240" w:lineRule="auto"/>
        <w:ind w:left="678" w:right="0"/>
        <w:jc w:val="left"/>
        <w:rPr>
          <w:b w:val="0"/>
          <w:bCs w:val="0"/>
        </w:rPr>
      </w:pPr>
      <w:r>
        <w:rPr>
          <w:rFonts w:ascii="宋体" w:hAnsi="宋体" w:cs="宋体" w:eastAsia="宋体" w:hint="default"/>
          <w:w w:val="95"/>
        </w:rPr>
        <w:t>(1).</w:t>
        <w:tab/>
      </w:r>
      <w:r>
        <w:rPr/>
        <w:t>可供出售金融资产情况</w:t>
      </w:r>
      <w:r>
        <w:rPr>
          <w:b w:val="0"/>
          <w:bCs w:val="0"/>
        </w:rPr>
      </w:r>
    </w:p>
    <w:p>
      <w:pPr>
        <w:pStyle w:val="BodyText"/>
        <w:tabs>
          <w:tab w:pos="1051" w:val="left" w:leader="none"/>
        </w:tabs>
        <w:spacing w:line="240" w:lineRule="auto" w:before="58"/>
        <w:ind w:left="0" w:right="227"/>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639" w:type="dxa"/>
        <w:tblLayout w:type="fixed"/>
        <w:tblCellMar>
          <w:top w:w="0" w:type="dxa"/>
          <w:left w:w="0" w:type="dxa"/>
          <w:bottom w:w="0" w:type="dxa"/>
          <w:right w:w="0" w:type="dxa"/>
        </w:tblCellMar>
        <w:tblLook w:val="01E0"/>
      </w:tblPr>
      <w:tblGrid>
        <w:gridCol w:w="2084"/>
        <w:gridCol w:w="1234"/>
        <w:gridCol w:w="1044"/>
        <w:gridCol w:w="1234"/>
        <w:gridCol w:w="1142"/>
        <w:gridCol w:w="1018"/>
        <w:gridCol w:w="1142"/>
      </w:tblGrid>
      <w:tr>
        <w:trPr>
          <w:trHeight w:val="250" w:hRule="exact"/>
        </w:trPr>
        <w:tc>
          <w:tcPr>
            <w:tcW w:w="2084" w:type="dxa"/>
            <w:vMerge w:val="restart"/>
            <w:tcBorders>
              <w:top w:val="single" w:sz="6" w:space="0" w:color="000000"/>
              <w:left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gridSpan w:val="3"/>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7" w:hRule="exact"/>
        </w:trPr>
        <w:tc>
          <w:tcPr>
            <w:tcW w:w="2084" w:type="dxa"/>
            <w:vMerge/>
            <w:tcBorders>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250"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34"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66,464,322.31</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66,464,322.31</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7,064,322.31</w:t>
            </w:r>
          </w:p>
        </w:tc>
        <w:tc>
          <w:tcPr>
            <w:tcW w:w="1018"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7,064,322.31</w:t>
            </w:r>
          </w:p>
        </w:tc>
      </w:tr>
      <w:tr>
        <w:trPr>
          <w:trHeight w:val="250"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97"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34"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66,464,322.31</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66,464,322.31</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7,064,322.31</w:t>
            </w:r>
          </w:p>
        </w:tc>
        <w:tc>
          <w:tcPr>
            <w:tcW w:w="1018"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7,064,322.31</w:t>
            </w:r>
          </w:p>
        </w:tc>
      </w:tr>
      <w:tr>
        <w:trPr>
          <w:trHeight w:val="250"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66,464,322.31</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66,464,322.31</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7,064,322.31</w:t>
            </w:r>
          </w:p>
        </w:tc>
        <w:tc>
          <w:tcPr>
            <w:tcW w:w="1018"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7,064,322.31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3" w:top="1280" w:bottom="1380" w:left="1120" w:right="1040"/>
        </w:sectPr>
      </w:pPr>
    </w:p>
    <w:p>
      <w:pPr>
        <w:pStyle w:val="Heading2"/>
        <w:tabs>
          <w:tab w:pos="1321" w:val="left" w:leader="none"/>
        </w:tabs>
        <w:spacing w:line="240" w:lineRule="auto"/>
        <w:ind w:left="678" w:right="-3"/>
        <w:jc w:val="left"/>
        <w:rPr>
          <w:b w:val="0"/>
          <w:bCs w:val="0"/>
        </w:rPr>
      </w:pPr>
      <w:r>
        <w:rPr>
          <w:rFonts w:ascii="宋体" w:hAnsi="宋体" w:cs="宋体" w:eastAsia="宋体" w:hint="default"/>
          <w:w w:val="95"/>
        </w:rPr>
        <w:t>(2).</w:t>
        <w:tab/>
      </w:r>
      <w:r>
        <w:rPr>
          <w:spacing w:val="-1"/>
        </w:rPr>
        <w:t>期末按成本计量的可供出售金融资产</w:t>
      </w:r>
      <w:r>
        <w:rPr>
          <w:b w:val="0"/>
          <w:bCs w:val="0"/>
          <w:spacing w:val="-1"/>
        </w:rPr>
      </w:r>
    </w:p>
    <w:p>
      <w:pPr>
        <w:pStyle w:val="BodyText"/>
        <w:spacing w:line="240" w:lineRule="auto" w:before="56"/>
        <w:ind w:left="67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729" w:val="left" w:leader="none"/>
        </w:tabs>
        <w:spacing w:line="240" w:lineRule="auto" w:before="0"/>
        <w:ind w:left="678" w:right="0"/>
        <w:jc w:val="left"/>
      </w:pPr>
      <w:r>
        <w:rPr>
          <w:spacing w:val="-1"/>
        </w:rPr>
        <w:t>单位：元</w:t>
        <w:tab/>
      </w:r>
      <w:r>
        <w:rPr>
          <w:spacing w:val="-2"/>
        </w:rPr>
        <w:t>币种：人民币</w:t>
      </w:r>
    </w:p>
    <w:p>
      <w:pPr>
        <w:spacing w:after="0" w:line="240" w:lineRule="auto"/>
        <w:jc w:val="left"/>
        <w:sectPr>
          <w:type w:val="continuous"/>
          <w:pgSz w:w="11910" w:h="16840"/>
          <w:pgMar w:top="1280" w:bottom="1380" w:left="1120" w:right="1040"/>
          <w:cols w:num="2" w:equalWidth="0">
            <w:col w:w="4696" w:space="1828"/>
            <w:col w:w="3226"/>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29"/>
        <w:gridCol w:w="1298"/>
        <w:gridCol w:w="1388"/>
        <w:gridCol w:w="583"/>
        <w:gridCol w:w="1388"/>
        <w:gridCol w:w="583"/>
        <w:gridCol w:w="598"/>
        <w:gridCol w:w="569"/>
        <w:gridCol w:w="555"/>
        <w:gridCol w:w="686"/>
        <w:gridCol w:w="634"/>
      </w:tblGrid>
      <w:tr>
        <w:trPr>
          <w:trHeight w:val="718" w:hRule="exact"/>
        </w:trPr>
        <w:tc>
          <w:tcPr>
            <w:tcW w:w="12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32" w:lineRule="exact"/>
              <w:ind w:left="427" w:right="341"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46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686" w:type="dxa"/>
            <w:vMerge w:val="restart"/>
            <w:tcBorders>
              <w:top w:val="single" w:sz="4" w:space="0" w:color="000000"/>
              <w:left w:val="single" w:sz="4" w:space="0" w:color="000000"/>
              <w:right w:val="single" w:sz="4" w:space="0" w:color="000000"/>
            </w:tcBorders>
          </w:tcPr>
          <w:p>
            <w:pPr>
              <w:pStyle w:val="TableParagraph"/>
              <w:spacing w:line="237" w:lineRule="auto" w:before="99"/>
              <w:ind w:left="156" w:right="158"/>
              <w:jc w:val="both"/>
              <w:rPr>
                <w:rFonts w:ascii="宋体" w:hAnsi="宋体" w:cs="宋体" w:eastAsia="宋体" w:hint="default"/>
                <w:sz w:val="18"/>
                <w:szCs w:val="18"/>
              </w:rPr>
            </w:pPr>
            <w:r>
              <w:rPr>
                <w:rFonts w:ascii="宋体" w:hAnsi="宋体" w:cs="宋体" w:eastAsia="宋体" w:hint="default"/>
                <w:sz w:val="18"/>
                <w:szCs w:val="18"/>
              </w:rPr>
              <w:t>在被 投资 单位 持股 比例 </w:t>
            </w:r>
            <w:r>
              <w:rPr>
                <w:rFonts w:ascii="宋体" w:hAnsi="宋体" w:cs="宋体" w:eastAsia="宋体" w:hint="default"/>
                <w:sz w:val="18"/>
                <w:szCs w:val="18"/>
              </w:rPr>
              <w:t>(%)</w:t>
            </w:r>
          </w:p>
        </w:tc>
        <w:tc>
          <w:tcPr>
            <w:tcW w:w="6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29" w:right="132"/>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946" w:hRule="exact"/>
        </w:trPr>
        <w:tc>
          <w:tcPr>
            <w:tcW w:w="1229" w:type="dxa"/>
            <w:vMerge/>
            <w:tcBorders>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506" w:right="509"/>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108"/>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12" w:right="113"/>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2" w:lineRule="exact" w:before="24"/>
              <w:ind w:left="189" w:right="187"/>
              <w:jc w:val="both"/>
              <w:rPr>
                <w:rFonts w:ascii="宋体" w:hAnsi="宋体" w:cs="宋体" w:eastAsia="宋体" w:hint="default"/>
                <w:sz w:val="18"/>
                <w:szCs w:val="18"/>
              </w:rPr>
            </w:pPr>
            <w:r>
              <w:rPr>
                <w:rFonts w:ascii="宋体" w:hAnsi="宋体" w:cs="宋体" w:eastAsia="宋体" w:hint="default"/>
                <w:sz w:val="18"/>
                <w:szCs w:val="18"/>
              </w:rPr>
              <w:t>期 减 少</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82" w:right="180"/>
              <w:jc w:val="center"/>
              <w:rPr>
                <w:rFonts w:ascii="宋体" w:hAnsi="宋体" w:cs="宋体" w:eastAsia="宋体" w:hint="default"/>
                <w:sz w:val="18"/>
                <w:szCs w:val="18"/>
              </w:rPr>
            </w:pPr>
            <w:r>
              <w:rPr>
                <w:rFonts w:ascii="宋体" w:hAnsi="宋体" w:cs="宋体" w:eastAsia="宋体" w:hint="default"/>
                <w:sz w:val="18"/>
                <w:szCs w:val="18"/>
              </w:rPr>
              <w:t>期 末</w:t>
            </w:r>
          </w:p>
        </w:tc>
        <w:tc>
          <w:tcPr>
            <w:tcW w:w="686" w:type="dxa"/>
            <w:vMerge/>
            <w:tcBorders>
              <w:left w:val="single" w:sz="4" w:space="0" w:color="000000"/>
              <w:bottom w:val="single" w:sz="4" w:space="0" w:color="000000"/>
              <w:right w:val="single" w:sz="4" w:space="0" w:color="000000"/>
            </w:tcBorders>
          </w:tcPr>
          <w:p>
            <w:pPr/>
          </w:p>
        </w:tc>
        <w:tc>
          <w:tcPr>
            <w:tcW w:w="634" w:type="dxa"/>
            <w:vMerge/>
            <w:tcBorders>
              <w:left w:val="single" w:sz="4" w:space="0" w:color="000000"/>
              <w:bottom w:val="single" w:sz="4" w:space="0" w:color="000000"/>
              <w:right w:val="single" w:sz="4" w:space="0" w:color="000000"/>
            </w:tcBorders>
          </w:tcPr>
          <w:p>
            <w:pPr/>
          </w:p>
        </w:tc>
      </w:tr>
      <w:tr>
        <w:trPr>
          <w:trHeight w:val="708"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东营科英进</w:t>
            </w:r>
          </w:p>
          <w:p>
            <w:pPr>
              <w:pStyle w:val="TableParagraph"/>
              <w:spacing w:line="232" w:lineRule="exact" w:before="23"/>
              <w:ind w:left="101" w:right="216"/>
              <w:jc w:val="left"/>
              <w:rPr>
                <w:rFonts w:ascii="宋体" w:hAnsi="宋体" w:cs="宋体" w:eastAsia="宋体" w:hint="default"/>
                <w:sz w:val="18"/>
                <w:szCs w:val="18"/>
              </w:rPr>
            </w:pPr>
            <w:r>
              <w:rPr>
                <w:rFonts w:ascii="宋体" w:hAnsi="宋体" w:cs="宋体" w:eastAsia="宋体" w:hint="default"/>
                <w:sz w:val="18"/>
                <w:szCs w:val="18"/>
              </w:rPr>
              <w:t>出口有限公 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6,064,322.31</w:t>
            </w:r>
          </w:p>
        </w:tc>
        <w:tc>
          <w:tcPr>
            <w:tcW w:w="138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6,064,322.31</w:t>
            </w:r>
          </w:p>
        </w:tc>
        <w:tc>
          <w:tcPr>
            <w:tcW w:w="58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6" w:right="0"/>
              <w:jc w:val="center"/>
              <w:rPr>
                <w:rFonts w:ascii="宋体" w:hAnsi="宋体" w:cs="宋体" w:eastAsia="宋体" w:hint="default"/>
                <w:sz w:val="18"/>
                <w:szCs w:val="18"/>
              </w:rPr>
            </w:pPr>
            <w:r>
              <w:rPr>
                <w:rFonts w:ascii="宋体"/>
                <w:sz w:val="18"/>
              </w:rPr>
              <w:t>7.71</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山东科达房</w:t>
            </w:r>
          </w:p>
          <w:p>
            <w:pPr>
              <w:pStyle w:val="TableParagraph"/>
              <w:spacing w:line="232" w:lineRule="exact" w:before="23"/>
              <w:ind w:left="101" w:right="216"/>
              <w:jc w:val="left"/>
              <w:rPr>
                <w:rFonts w:ascii="宋体" w:hAnsi="宋体" w:cs="宋体" w:eastAsia="宋体" w:hint="default"/>
                <w:sz w:val="18"/>
                <w:szCs w:val="18"/>
              </w:rPr>
            </w:pPr>
            <w:r>
              <w:rPr>
                <w:rFonts w:ascii="宋体" w:hAnsi="宋体" w:cs="宋体" w:eastAsia="宋体" w:hint="default"/>
                <w:sz w:val="18"/>
                <w:szCs w:val="18"/>
              </w:rPr>
              <w:t>地产开发有 限公司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sz w:val="18"/>
              </w:rPr>
              <w:t>1,000,000.00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6" w:right="0"/>
              <w:jc w:val="center"/>
              <w:rPr>
                <w:rFonts w:ascii="宋体" w:hAnsi="宋体" w:cs="宋体" w:eastAsia="宋体" w:hint="default"/>
                <w:sz w:val="18"/>
                <w:szCs w:val="18"/>
              </w:rPr>
            </w:pPr>
            <w:r>
              <w:rPr>
                <w:rFonts w:ascii="宋体"/>
                <w:sz w:val="18"/>
              </w:rPr>
              <w:t>5.00</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北京美数信</w:t>
            </w:r>
          </w:p>
          <w:p>
            <w:pPr>
              <w:pStyle w:val="TableParagraph"/>
              <w:spacing w:line="232" w:lineRule="exact" w:before="23"/>
              <w:ind w:left="101" w:right="216"/>
              <w:jc w:val="left"/>
              <w:rPr>
                <w:rFonts w:ascii="宋体" w:hAnsi="宋体" w:cs="宋体" w:eastAsia="宋体" w:hint="default"/>
                <w:sz w:val="18"/>
                <w:szCs w:val="18"/>
              </w:rPr>
            </w:pPr>
            <w:r>
              <w:rPr>
                <w:rFonts w:ascii="宋体" w:hAnsi="宋体" w:cs="宋体" w:eastAsia="宋体" w:hint="default"/>
                <w:sz w:val="18"/>
                <w:szCs w:val="18"/>
              </w:rPr>
              <w:t>息科技有限 公司</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2,000,000.00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sz w:val="18"/>
              </w:rPr>
              <w:t>2,000,000.00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 w:right="0"/>
              <w:jc w:val="center"/>
              <w:rPr>
                <w:rFonts w:ascii="宋体" w:hAnsi="宋体" w:cs="宋体" w:eastAsia="宋体" w:hint="default"/>
                <w:sz w:val="18"/>
                <w:szCs w:val="18"/>
              </w:rPr>
            </w:pPr>
            <w:r>
              <w:rPr>
                <w:rFonts w:ascii="宋体"/>
                <w:sz w:val="18"/>
              </w:rPr>
              <w:t>10.20</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杭州链反应</w:t>
            </w:r>
          </w:p>
          <w:p>
            <w:pPr>
              <w:pStyle w:val="TableParagraph"/>
              <w:spacing w:line="232" w:lineRule="exact" w:before="23"/>
              <w:ind w:left="101" w:right="216"/>
              <w:jc w:val="left"/>
              <w:rPr>
                <w:rFonts w:ascii="宋体" w:hAnsi="宋体" w:cs="宋体" w:eastAsia="宋体" w:hint="default"/>
                <w:sz w:val="18"/>
                <w:szCs w:val="18"/>
              </w:rPr>
            </w:pPr>
            <w:r>
              <w:rPr>
                <w:rFonts w:ascii="宋体" w:hAnsi="宋体" w:cs="宋体" w:eastAsia="宋体" w:hint="default"/>
                <w:sz w:val="18"/>
                <w:szCs w:val="18"/>
              </w:rPr>
              <w:t>投资合伙企 业</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55,000,000.00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55,000,000.00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 w:right="0"/>
              <w:jc w:val="center"/>
              <w:rPr>
                <w:rFonts w:ascii="宋体" w:hAnsi="宋体" w:cs="宋体" w:eastAsia="宋体" w:hint="default"/>
                <w:sz w:val="18"/>
                <w:szCs w:val="18"/>
              </w:rPr>
            </w:pPr>
            <w:r>
              <w:rPr>
                <w:rFonts w:ascii="宋体"/>
                <w:sz w:val="18"/>
              </w:rPr>
              <w:t>22.00</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上海星期网</w:t>
            </w:r>
          </w:p>
          <w:p>
            <w:pPr>
              <w:pStyle w:val="TableParagraph"/>
              <w:spacing w:line="232" w:lineRule="exact" w:before="23"/>
              <w:ind w:left="101" w:right="216"/>
              <w:jc w:val="left"/>
              <w:rPr>
                <w:rFonts w:ascii="宋体" w:hAnsi="宋体" w:cs="宋体" w:eastAsia="宋体" w:hint="default"/>
                <w:sz w:val="18"/>
                <w:szCs w:val="18"/>
              </w:rPr>
            </w:pPr>
            <w:r>
              <w:rPr>
                <w:rFonts w:ascii="宋体" w:hAnsi="宋体" w:cs="宋体" w:eastAsia="宋体" w:hint="default"/>
                <w:sz w:val="18"/>
                <w:szCs w:val="18"/>
              </w:rPr>
              <w:t>络科技有限 公司</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2,400,000.00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sz w:val="18"/>
              </w:rPr>
              <w:t>2,400,000.00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6" w:right="0"/>
              <w:jc w:val="center"/>
              <w:rPr>
                <w:rFonts w:ascii="宋体" w:hAnsi="宋体" w:cs="宋体" w:eastAsia="宋体" w:hint="default"/>
                <w:sz w:val="18"/>
                <w:szCs w:val="18"/>
              </w:rPr>
            </w:pPr>
            <w:r>
              <w:rPr>
                <w:rFonts w:ascii="宋体"/>
                <w:sz w:val="18"/>
              </w:rPr>
              <w:t>4.00</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7,064,322.31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59,400,000.00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66,464,322.31</w:t>
            </w:r>
          </w:p>
        </w:tc>
        <w:tc>
          <w:tcPr>
            <w:tcW w:w="58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sz w:val="18"/>
              </w:rPr>
              <w:t>/</w:t>
            </w:r>
          </w:p>
        </w:tc>
        <w:tc>
          <w:tcPr>
            <w:tcW w:w="6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280" w:bottom="1380" w:left="1120" w:right="1040"/>
        </w:sectPr>
      </w:pPr>
    </w:p>
    <w:p>
      <w:pPr>
        <w:pStyle w:val="Heading2"/>
        <w:spacing w:line="240" w:lineRule="auto"/>
        <w:ind w:left="678" w:right="-20"/>
        <w:jc w:val="left"/>
        <w:rPr>
          <w:b w:val="0"/>
          <w:bCs w:val="0"/>
        </w:rPr>
      </w:pPr>
      <w:r>
        <w:rPr>
          <w:rFonts w:ascii="宋体" w:hAnsi="宋体" w:cs="宋体" w:eastAsia="宋体" w:hint="default"/>
        </w:rPr>
        <w:t>9</w:t>
      </w:r>
      <w:r>
        <w:rPr/>
        <w:t>、</w:t>
      </w:r>
      <w:r>
        <w:rPr>
          <w:spacing w:val="-1"/>
        </w:rPr>
        <w:t> </w:t>
      </w:r>
      <w:r>
        <w:rPr/>
        <w:t>长期应收款</w:t>
      </w:r>
      <w:r>
        <w:rPr>
          <w:b w:val="0"/>
          <w:bCs w:val="0"/>
        </w:rPr>
      </w:r>
    </w:p>
    <w:p>
      <w:pPr>
        <w:pStyle w:val="BodyText"/>
        <w:spacing w:line="240" w:lineRule="auto" w:before="59"/>
        <w:ind w:left="678" w:right="-20"/>
        <w:jc w:val="left"/>
      </w:pPr>
      <w:r>
        <w:rPr/>
        <w:t>√适用</w:t>
      </w:r>
      <w:r>
        <w:rPr>
          <w:spacing w:val="-1"/>
        </w:rPr>
        <w:t> </w:t>
      </w:r>
      <w:r>
        <w:rPr/>
        <w:t>□不适用</w:t>
      </w:r>
    </w:p>
    <w:p>
      <w:pPr>
        <w:pStyle w:val="Heading2"/>
        <w:spacing w:line="240" w:lineRule="auto" w:before="56"/>
        <w:ind w:left="678"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729" w:val="left" w:leader="none"/>
        </w:tabs>
        <w:spacing w:line="240" w:lineRule="auto" w:before="0"/>
        <w:ind w:left="678" w:right="0"/>
        <w:jc w:val="left"/>
      </w:pPr>
      <w:r>
        <w:rPr>
          <w:spacing w:val="-1"/>
        </w:rPr>
        <w:t>单位：元</w:t>
        <w:tab/>
      </w:r>
      <w:r>
        <w:rPr>
          <w:spacing w:val="-2"/>
        </w:rPr>
        <w:t>币种：人民币</w:t>
      </w:r>
    </w:p>
    <w:p>
      <w:pPr>
        <w:spacing w:after="0" w:line="240" w:lineRule="auto"/>
        <w:jc w:val="left"/>
        <w:sectPr>
          <w:type w:val="continuous"/>
          <w:pgSz w:w="11910" w:h="16840"/>
          <w:pgMar w:top="1280" w:bottom="1380" w:left="1120" w:right="1040"/>
          <w:cols w:num="2" w:equalWidth="0">
            <w:col w:w="2793" w:space="3731"/>
            <w:col w:w="3226"/>
          </w:cols>
        </w:sectPr>
      </w:pPr>
    </w:p>
    <w:p>
      <w:pPr>
        <w:spacing w:line="240" w:lineRule="auto" w:before="4"/>
        <w:rPr>
          <w:rFonts w:ascii="宋体" w:hAnsi="宋体" w:cs="宋体" w:eastAsia="宋体" w:hint="default"/>
          <w:sz w:val="2"/>
          <w:szCs w:val="2"/>
        </w:rPr>
      </w:pPr>
    </w:p>
    <w:tbl>
      <w:tblPr>
        <w:tblW w:w="0" w:type="auto"/>
        <w:jc w:val="left"/>
        <w:tblInd w:w="562" w:type="dxa"/>
        <w:tblLayout w:type="fixed"/>
        <w:tblCellMar>
          <w:top w:w="0" w:type="dxa"/>
          <w:left w:w="0" w:type="dxa"/>
          <w:bottom w:w="0" w:type="dxa"/>
          <w:right w:w="0" w:type="dxa"/>
        </w:tblCellMar>
        <w:tblLook w:val="01E0"/>
      </w:tblPr>
      <w:tblGrid>
        <w:gridCol w:w="1538"/>
        <w:gridCol w:w="1532"/>
        <w:gridCol w:w="478"/>
        <w:gridCol w:w="1534"/>
        <w:gridCol w:w="1531"/>
        <w:gridCol w:w="480"/>
        <w:gridCol w:w="1532"/>
        <w:gridCol w:w="427"/>
      </w:tblGrid>
      <w:tr>
        <w:trPr>
          <w:trHeight w:val="286" w:hRule="exact"/>
        </w:trPr>
        <w:tc>
          <w:tcPr>
            <w:tcW w:w="15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43"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43"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427" w:type="dxa"/>
            <w:vMerge w:val="restart"/>
            <w:tcBorders>
              <w:top w:val="single" w:sz="4" w:space="0" w:color="000000"/>
              <w:left w:val="single" w:sz="4" w:space="0" w:color="000000"/>
              <w:right w:val="single" w:sz="4" w:space="0" w:color="000000"/>
            </w:tcBorders>
          </w:tcPr>
          <w:p>
            <w:pPr>
              <w:pStyle w:val="TableParagraph"/>
              <w:spacing w:line="272" w:lineRule="exact" w:before="3"/>
              <w:ind w:left="103" w:right="101"/>
              <w:jc w:val="left"/>
              <w:rPr>
                <w:rFonts w:ascii="宋体" w:hAnsi="宋体" w:cs="宋体" w:eastAsia="宋体" w:hint="default"/>
                <w:sz w:val="21"/>
                <w:szCs w:val="21"/>
              </w:rPr>
            </w:pPr>
            <w:r>
              <w:rPr>
                <w:rFonts w:ascii="宋体" w:hAnsi="宋体" w:cs="宋体" w:eastAsia="宋体" w:hint="default"/>
                <w:sz w:val="21"/>
                <w:szCs w:val="21"/>
              </w:rPr>
              <w:t>折</w:t>
            </w:r>
            <w:r>
              <w:rPr>
                <w:rFonts w:ascii="宋体" w:hAnsi="宋体" w:cs="宋体" w:eastAsia="宋体" w:hint="default"/>
                <w:w w:val="100"/>
                <w:sz w:val="21"/>
                <w:szCs w:val="21"/>
              </w:rPr>
              <w:t> </w:t>
            </w:r>
            <w:r>
              <w:rPr>
                <w:rFonts w:ascii="宋体" w:hAnsi="宋体" w:cs="宋体" w:eastAsia="宋体" w:hint="default"/>
                <w:sz w:val="21"/>
                <w:szCs w:val="21"/>
              </w:rPr>
              <w:t>现</w:t>
            </w:r>
          </w:p>
          <w:p>
            <w:pPr>
              <w:pStyle w:val="TableParagraph"/>
              <w:spacing w:line="272" w:lineRule="exact" w:before="1"/>
              <w:ind w:left="103" w:right="101"/>
              <w:jc w:val="left"/>
              <w:rPr>
                <w:rFonts w:ascii="宋体" w:hAnsi="宋体" w:cs="宋体" w:eastAsia="宋体" w:hint="default"/>
                <w:sz w:val="21"/>
                <w:szCs w:val="21"/>
              </w:rPr>
            </w:pP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区</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间</w:t>
            </w:r>
          </w:p>
        </w:tc>
      </w:tr>
      <w:tr>
        <w:trPr>
          <w:trHeight w:val="1104" w:hRule="exact"/>
        </w:trPr>
        <w:tc>
          <w:tcPr>
            <w:tcW w:w="1538" w:type="dxa"/>
            <w:vMerge/>
            <w:tcBorders>
              <w:left w:val="single" w:sz="4" w:space="0" w:color="000000"/>
              <w:bottom w:val="single" w:sz="6" w:space="0" w:color="000000"/>
              <w:right w:val="single" w:sz="4" w:space="0" w:color="000000"/>
            </w:tcBorders>
          </w:tcPr>
          <w:p>
            <w:pPr/>
          </w:p>
        </w:tc>
        <w:tc>
          <w:tcPr>
            <w:tcW w:w="153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both"/>
              <w:rPr>
                <w:rFonts w:ascii="宋体" w:hAnsi="宋体" w:cs="宋体" w:eastAsia="宋体" w:hint="default"/>
                <w:sz w:val="21"/>
                <w:szCs w:val="21"/>
              </w:rPr>
            </w:pPr>
            <w:r>
              <w:rPr>
                <w:rFonts w:ascii="宋体" w:hAnsi="宋体" w:cs="宋体" w:eastAsia="宋体" w:hint="default"/>
                <w:w w:val="100"/>
                <w:sz w:val="21"/>
                <w:szCs w:val="21"/>
              </w:rPr>
              <w:t>坏</w:t>
            </w:r>
          </w:p>
          <w:p>
            <w:pPr>
              <w:pStyle w:val="TableParagraph"/>
              <w:spacing w:line="237" w:lineRule="auto" w:before="2"/>
              <w:ind w:left="124" w:right="125"/>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both"/>
              <w:rPr>
                <w:rFonts w:ascii="宋体" w:hAnsi="宋体" w:cs="宋体" w:eastAsia="宋体" w:hint="default"/>
                <w:sz w:val="21"/>
                <w:szCs w:val="21"/>
              </w:rPr>
            </w:pPr>
            <w:r>
              <w:rPr>
                <w:rFonts w:ascii="宋体" w:hAnsi="宋体" w:cs="宋体" w:eastAsia="宋体" w:hint="default"/>
                <w:w w:val="100"/>
                <w:sz w:val="21"/>
                <w:szCs w:val="21"/>
              </w:rPr>
              <w:t>坏</w:t>
            </w:r>
          </w:p>
          <w:p>
            <w:pPr>
              <w:pStyle w:val="TableParagraph"/>
              <w:spacing w:line="237" w:lineRule="auto" w:before="2"/>
              <w:ind w:left="124" w:right="127"/>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427" w:type="dxa"/>
            <w:vMerge/>
            <w:tcBorders>
              <w:left w:val="single" w:sz="4" w:space="0" w:color="000000"/>
              <w:bottom w:val="single" w:sz="6" w:space="0" w:color="000000"/>
              <w:right w:val="single" w:sz="4" w:space="0" w:color="000000"/>
            </w:tcBorders>
          </w:tcPr>
          <w:p>
            <w:pPr/>
          </w:p>
        </w:tc>
      </w:tr>
      <w:tr>
        <w:trPr>
          <w:trHeight w:val="28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532"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其中：未实</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现融资收益</w:t>
            </w:r>
          </w:p>
        </w:tc>
        <w:tc>
          <w:tcPr>
            <w:tcW w:w="1532"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分期收款销售商</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532"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r>
    </w:tbl>
    <w:p>
      <w:pPr>
        <w:spacing w:after="0"/>
        <w:sectPr>
          <w:type w:val="continuous"/>
          <w:pgSz w:w="11910" w:h="16840"/>
          <w:pgMar w:top="1280" w:bottom="1380" w:left="1120" w:right="1040"/>
        </w:sectPr>
      </w:pPr>
    </w:p>
    <w:p>
      <w:pPr>
        <w:spacing w:line="240" w:lineRule="auto" w:before="13"/>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1538"/>
        <w:gridCol w:w="1532"/>
        <w:gridCol w:w="478"/>
        <w:gridCol w:w="1534"/>
        <w:gridCol w:w="1531"/>
        <w:gridCol w:w="480"/>
        <w:gridCol w:w="1532"/>
        <w:gridCol w:w="427"/>
      </w:tblGrid>
      <w:tr>
        <w:trPr>
          <w:trHeight w:val="562"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分期收款提供劳</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sz w:val="21"/>
              </w:rPr>
              <w:t>187,532,140.81</w:t>
            </w:r>
          </w:p>
        </w:tc>
        <w:tc>
          <w:tcPr>
            <w:tcW w:w="47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sz w:val="21"/>
              </w:rPr>
              <w:t>187,532,140.81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sz w:val="21"/>
              </w:rPr>
              <w:t>467,530,239.41</w:t>
            </w:r>
          </w:p>
        </w:tc>
        <w:tc>
          <w:tcPr>
            <w:tcW w:w="48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467,530,239.41</w:t>
            </w:r>
          </w:p>
        </w:tc>
        <w:tc>
          <w:tcPr>
            <w:tcW w:w="427"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187,532,140.81</w:t>
            </w:r>
          </w:p>
        </w:tc>
        <w:tc>
          <w:tcPr>
            <w:tcW w:w="47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187,532,140.81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sz w:val="21"/>
              </w:rPr>
              <w:t>467,530,239.41</w:t>
            </w:r>
          </w:p>
        </w:tc>
        <w:tc>
          <w:tcPr>
            <w:tcW w:w="48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467,530,239.41</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2"/>
        <w:spacing w:line="290" w:lineRule="auto"/>
        <w:ind w:right="4828"/>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90" w:lineRule="auto" w:before="0"/>
        <w:ind w:right="3987"/>
        <w:jc w:val="left"/>
        <w:rPr>
          <w:rFonts w:ascii="宋体" w:hAnsi="宋体" w:cs="宋体" w:eastAsia="宋体" w:hint="default"/>
          <w:b w:val="0"/>
          <w:bCs w:val="0"/>
        </w:rPr>
      </w:pPr>
      <w:r>
        <w:rPr>
          <w:rFonts w:ascii="宋体" w:hAnsi="宋体" w:cs="宋体" w:eastAsia="宋体" w:hint="default"/>
        </w:rPr>
        <w:t>(3) </w:t>
      </w:r>
      <w:r>
        <w:rPr/>
        <w:t>转移长期应收款且继续涉入形成的资产、负债金额</w:t>
      </w:r>
      <w:r>
        <w:rPr>
          <w:w w:val="100"/>
        </w:rPr>
        <w:t> </w:t>
      </w:r>
      <w:r>
        <w:rPr>
          <w:rFonts w:ascii="宋体" w:hAnsi="宋体" w:cs="宋体" w:eastAsia="宋体" w:hint="default"/>
          <w:b w:val="0"/>
          <w:bCs w:val="0"/>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6" w:footer="1193" w:top="1280" w:bottom="1380" w:left="1580" w:right="1040"/>
        </w:sectPr>
      </w:pPr>
    </w:p>
    <w:p>
      <w:pPr>
        <w:pStyle w:val="Heading2"/>
        <w:spacing w:line="240" w:lineRule="auto"/>
        <w:ind w:right="-18"/>
        <w:jc w:val="left"/>
        <w:rPr>
          <w:b w:val="0"/>
          <w:bCs w:val="0"/>
        </w:rPr>
      </w:pPr>
      <w:r>
        <w:rPr>
          <w:rFonts w:ascii="宋体" w:hAnsi="宋体" w:cs="宋体" w:eastAsia="宋体" w:hint="default"/>
        </w:rPr>
        <w:t>10</w:t>
      </w:r>
      <w:r>
        <w:rPr/>
        <w:t>、</w:t>
      </w:r>
      <w:r>
        <w:rPr>
          <w:spacing w:val="-24"/>
        </w:rPr>
        <w:t> </w:t>
      </w:r>
      <w:r>
        <w:rPr/>
        <w:t>长期股权投资</w:t>
      </w:r>
      <w:r>
        <w:rPr>
          <w:b w:val="0"/>
          <w:bCs w:val="0"/>
        </w:rPr>
      </w:r>
    </w:p>
    <w:p>
      <w:pPr>
        <w:pStyle w:val="BodyText"/>
        <w:spacing w:line="240" w:lineRule="auto" w:before="57"/>
        <w:ind w:left="21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1990" w:space="4534"/>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3"/>
        <w:gridCol w:w="756"/>
        <w:gridCol w:w="761"/>
        <w:gridCol w:w="672"/>
        <w:gridCol w:w="787"/>
        <w:gridCol w:w="706"/>
        <w:gridCol w:w="711"/>
        <w:gridCol w:w="785"/>
        <w:gridCol w:w="775"/>
        <w:gridCol w:w="757"/>
        <w:gridCol w:w="770"/>
        <w:gridCol w:w="749"/>
      </w:tblGrid>
      <w:tr>
        <w:trPr>
          <w:trHeight w:val="245"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225" w:right="134"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191" w:right="19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595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199" w:right="199"/>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49" w:type="dxa"/>
            <w:vMerge w:val="restart"/>
            <w:tcBorders>
              <w:top w:val="single" w:sz="4" w:space="0" w:color="000000"/>
              <w:left w:val="single" w:sz="4" w:space="0" w:color="000000"/>
              <w:right w:val="single" w:sz="4" w:space="0" w:color="000000"/>
            </w:tcBorders>
          </w:tcPr>
          <w:p>
            <w:pPr>
              <w:pStyle w:val="TableParagraph"/>
              <w:spacing w:line="237" w:lineRule="auto" w:before="94"/>
              <w:ind w:left="189" w:right="187"/>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943" w:hRule="exact"/>
        </w:trPr>
        <w:tc>
          <w:tcPr>
            <w:tcW w:w="823"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85" w:right="104"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48" w:right="151"/>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both"/>
              <w:rPr>
                <w:rFonts w:ascii="宋体" w:hAnsi="宋体" w:cs="宋体" w:eastAsia="宋体" w:hint="default"/>
                <w:sz w:val="18"/>
                <w:szCs w:val="18"/>
              </w:rPr>
            </w:pPr>
            <w:r>
              <w:rPr>
                <w:rFonts w:ascii="宋体" w:hAnsi="宋体" w:cs="宋体" w:eastAsia="宋体" w:hint="default"/>
                <w:sz w:val="18"/>
                <w:szCs w:val="18"/>
              </w:rPr>
              <w:t>权益法</w:t>
            </w:r>
          </w:p>
          <w:p>
            <w:pPr>
              <w:pStyle w:val="TableParagraph"/>
              <w:spacing w:line="237" w:lineRule="auto"/>
              <w:ind w:left="115" w:right="120"/>
              <w:jc w:val="both"/>
              <w:rPr>
                <w:rFonts w:ascii="宋体" w:hAnsi="宋体" w:cs="宋体" w:eastAsia="宋体" w:hint="default"/>
                <w:sz w:val="18"/>
                <w:szCs w:val="18"/>
              </w:rPr>
            </w:pPr>
            <w:r>
              <w:rPr>
                <w:rFonts w:ascii="宋体" w:hAnsi="宋体" w:cs="宋体" w:eastAsia="宋体" w:hint="default"/>
                <w:sz w:val="18"/>
                <w:szCs w:val="18"/>
              </w:rPr>
              <w:t>下确认 的投资 损益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both"/>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7" w:lineRule="auto"/>
              <w:ind w:left="165" w:right="168"/>
              <w:jc w:val="both"/>
              <w:rPr>
                <w:rFonts w:ascii="宋体" w:hAnsi="宋体" w:cs="宋体" w:eastAsia="宋体" w:hint="default"/>
                <w:sz w:val="18"/>
                <w:szCs w:val="18"/>
              </w:rPr>
            </w:pPr>
            <w:r>
              <w:rPr>
                <w:rFonts w:ascii="宋体" w:hAnsi="宋体" w:cs="宋体" w:eastAsia="宋体" w:hint="default"/>
                <w:sz w:val="18"/>
                <w:szCs w:val="18"/>
              </w:rPr>
              <w:t>综合 收益 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8" w:right="170"/>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宣告发</w:t>
            </w: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放现金 股利或 利润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10" w:right="11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0"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r>
      <w:tr>
        <w:trPr>
          <w:trHeight w:val="47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一、合</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营企业</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东营黄</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河公路 大桥有 限责任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185,45</w:t>
            </w:r>
          </w:p>
          <w:p>
            <w:pPr>
              <w:pStyle w:val="TableParagraph"/>
              <w:spacing w:line="233" w:lineRule="exact"/>
              <w:ind w:left="103" w:right="0"/>
              <w:jc w:val="left"/>
              <w:rPr>
                <w:rFonts w:ascii="宋体" w:hAnsi="宋体" w:cs="宋体" w:eastAsia="宋体" w:hint="default"/>
                <w:sz w:val="18"/>
                <w:szCs w:val="18"/>
              </w:rPr>
            </w:pPr>
            <w:r>
              <w:rPr>
                <w:rFonts w:ascii="宋体"/>
                <w:sz w:val="18"/>
              </w:rPr>
              <w:t>8,302.</w:t>
            </w:r>
          </w:p>
          <w:p>
            <w:pPr>
              <w:pStyle w:val="TableParagraph"/>
              <w:spacing w:line="234" w:lineRule="exact"/>
              <w:ind w:left="463" w:right="0"/>
              <w:jc w:val="left"/>
              <w:rPr>
                <w:rFonts w:ascii="宋体" w:hAnsi="宋体" w:cs="宋体" w:eastAsia="宋体" w:hint="default"/>
                <w:sz w:val="18"/>
                <w:szCs w:val="18"/>
              </w:rPr>
            </w:pPr>
            <w:r>
              <w:rPr>
                <w:rFonts w:ascii="宋体"/>
                <w:sz w:val="18"/>
              </w:rPr>
              <w:t>33</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191,3</w:t>
            </w:r>
          </w:p>
          <w:p>
            <w:pPr>
              <w:pStyle w:val="TableParagraph"/>
              <w:spacing w:line="233" w:lineRule="exact"/>
              <w:ind w:left="105" w:right="0"/>
              <w:jc w:val="left"/>
              <w:rPr>
                <w:rFonts w:ascii="宋体" w:hAnsi="宋体" w:cs="宋体" w:eastAsia="宋体" w:hint="default"/>
                <w:sz w:val="18"/>
                <w:szCs w:val="18"/>
              </w:rPr>
            </w:pPr>
            <w:r>
              <w:rPr>
                <w:rFonts w:ascii="宋体"/>
                <w:sz w:val="18"/>
              </w:rPr>
              <w:t>88,00</w:t>
            </w:r>
          </w:p>
          <w:p>
            <w:pPr>
              <w:pStyle w:val="TableParagraph"/>
              <w:spacing w:line="234" w:lineRule="exact"/>
              <w:ind w:left="196" w:right="0"/>
              <w:jc w:val="left"/>
              <w:rPr>
                <w:rFonts w:ascii="宋体" w:hAnsi="宋体" w:cs="宋体" w:eastAsia="宋体" w:hint="default"/>
                <w:sz w:val="18"/>
                <w:szCs w:val="18"/>
              </w:rPr>
            </w:pPr>
            <w:r>
              <w:rPr>
                <w:rFonts w:ascii="宋体"/>
                <w:sz w:val="18"/>
              </w:rPr>
              <w:t>2.41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pacing w:val="-1"/>
                <w:sz w:val="18"/>
              </w:rPr>
              <w:t>27,929</w:t>
            </w:r>
          </w:p>
          <w:p>
            <w:pPr>
              <w:pStyle w:val="TableParagraph"/>
              <w:spacing w:line="233" w:lineRule="exact"/>
              <w:ind w:right="102"/>
              <w:jc w:val="right"/>
              <w:rPr>
                <w:rFonts w:ascii="宋体" w:hAnsi="宋体" w:cs="宋体" w:eastAsia="宋体" w:hint="default"/>
                <w:sz w:val="18"/>
                <w:szCs w:val="18"/>
              </w:rPr>
            </w:pPr>
            <w:r>
              <w:rPr>
                <w:rFonts w:ascii="宋体"/>
                <w:spacing w:val="-1"/>
                <w:sz w:val="18"/>
              </w:rPr>
              <w:t>,700.0</w:t>
            </w:r>
          </w:p>
          <w:p>
            <w:pPr>
              <w:pStyle w:val="TableParagraph"/>
              <w:spacing w:line="234" w:lineRule="exact"/>
              <w:ind w:right="104"/>
              <w:jc w:val="right"/>
              <w:rPr>
                <w:rFonts w:ascii="宋体" w:hAnsi="宋体" w:cs="宋体" w:eastAsia="宋体" w:hint="default"/>
                <w:sz w:val="18"/>
                <w:szCs w:val="18"/>
              </w:rPr>
            </w:pPr>
            <w:r>
              <w:rPr>
                <w:rFonts w:ascii="宋体"/>
                <w:sz w:val="18"/>
              </w:rPr>
              <w:t>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22,000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广州市</w:t>
            </w:r>
          </w:p>
          <w:p>
            <w:pPr>
              <w:pStyle w:val="TableParagraph"/>
              <w:spacing w:line="232" w:lineRule="exact" w:before="24"/>
              <w:ind w:left="103" w:right="168"/>
              <w:jc w:val="both"/>
              <w:rPr>
                <w:rFonts w:ascii="宋体" w:hAnsi="宋体" w:cs="宋体" w:eastAsia="宋体" w:hint="default"/>
                <w:sz w:val="18"/>
                <w:szCs w:val="18"/>
              </w:rPr>
            </w:pPr>
            <w:r>
              <w:rPr>
                <w:rFonts w:ascii="宋体" w:hAnsi="宋体" w:cs="宋体" w:eastAsia="宋体" w:hint="default"/>
                <w:sz w:val="18"/>
                <w:szCs w:val="18"/>
              </w:rPr>
              <w:t>华邑旭 效有限 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420,00</w:t>
            </w:r>
          </w:p>
          <w:p>
            <w:pPr>
              <w:pStyle w:val="TableParagraph"/>
              <w:spacing w:line="240" w:lineRule="auto"/>
              <w:ind w:left="185" w:right="0"/>
              <w:jc w:val="center"/>
              <w:rPr>
                <w:rFonts w:ascii="宋体" w:hAnsi="宋体" w:cs="宋体" w:eastAsia="宋体" w:hint="default"/>
                <w:sz w:val="18"/>
                <w:szCs w:val="18"/>
              </w:rPr>
            </w:pPr>
            <w:r>
              <w:rPr>
                <w:rFonts w:ascii="宋体"/>
                <w:sz w:val="18"/>
              </w:rPr>
              <w:t>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center"/>
              <w:rPr>
                <w:rFonts w:ascii="宋体" w:hAnsi="宋体" w:cs="宋体" w:eastAsia="宋体" w:hint="default"/>
                <w:sz w:val="18"/>
                <w:szCs w:val="18"/>
              </w:rPr>
            </w:pPr>
            <w:r>
              <w:rPr>
                <w:rFonts w:ascii="宋体"/>
                <w:sz w:val="18"/>
              </w:rPr>
              <w:t>-83,72</w:t>
            </w:r>
          </w:p>
          <w:p>
            <w:pPr>
              <w:pStyle w:val="TableParagraph"/>
              <w:spacing w:line="240" w:lineRule="auto"/>
              <w:ind w:left="207" w:right="0"/>
              <w:jc w:val="center"/>
              <w:rPr>
                <w:rFonts w:ascii="宋体" w:hAnsi="宋体" w:cs="宋体" w:eastAsia="宋体" w:hint="default"/>
                <w:sz w:val="18"/>
                <w:szCs w:val="18"/>
              </w:rPr>
            </w:pPr>
            <w:r>
              <w:rPr>
                <w:rFonts w:ascii="宋体"/>
                <w:sz w:val="18"/>
              </w:rPr>
              <w:t>6.91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 w:right="0"/>
              <w:jc w:val="center"/>
              <w:rPr>
                <w:rFonts w:ascii="宋体" w:hAnsi="宋体" w:cs="宋体" w:eastAsia="宋体" w:hint="default"/>
                <w:sz w:val="18"/>
                <w:szCs w:val="18"/>
              </w:rPr>
            </w:pPr>
            <w:r>
              <w:rPr>
                <w:rFonts w:ascii="宋体"/>
                <w:sz w:val="18"/>
              </w:rPr>
              <w:t>336,27</w:t>
            </w:r>
          </w:p>
          <w:p>
            <w:pPr>
              <w:pStyle w:val="TableParagraph"/>
              <w:spacing w:line="240" w:lineRule="auto"/>
              <w:ind w:left="195" w:right="0"/>
              <w:jc w:val="center"/>
              <w:rPr>
                <w:rFonts w:ascii="宋体" w:hAnsi="宋体" w:cs="宋体" w:eastAsia="宋体" w:hint="default"/>
                <w:sz w:val="18"/>
                <w:szCs w:val="18"/>
              </w:rPr>
            </w:pPr>
            <w:r>
              <w:rPr>
                <w:rFonts w:ascii="宋体"/>
                <w:sz w:val="18"/>
              </w:rPr>
              <w:t>3.09</w:t>
            </w: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185,45</w:t>
            </w:r>
          </w:p>
          <w:p>
            <w:pPr>
              <w:pStyle w:val="TableParagraph"/>
              <w:spacing w:line="233" w:lineRule="exact"/>
              <w:ind w:left="103" w:right="0"/>
              <w:jc w:val="left"/>
              <w:rPr>
                <w:rFonts w:ascii="宋体" w:hAnsi="宋体" w:cs="宋体" w:eastAsia="宋体" w:hint="default"/>
                <w:sz w:val="18"/>
                <w:szCs w:val="18"/>
              </w:rPr>
            </w:pPr>
            <w:r>
              <w:rPr>
                <w:rFonts w:ascii="宋体"/>
                <w:sz w:val="18"/>
              </w:rPr>
              <w:t>8,302.</w:t>
            </w:r>
          </w:p>
          <w:p>
            <w:pPr>
              <w:pStyle w:val="TableParagraph"/>
              <w:spacing w:line="234" w:lineRule="exact"/>
              <w:ind w:left="463" w:right="0"/>
              <w:jc w:val="left"/>
              <w:rPr>
                <w:rFonts w:ascii="宋体" w:hAnsi="宋体" w:cs="宋体" w:eastAsia="宋体" w:hint="default"/>
                <w:sz w:val="18"/>
                <w:szCs w:val="18"/>
              </w:rPr>
            </w:pPr>
            <w:r>
              <w:rPr>
                <w:rFonts w:ascii="宋体"/>
                <w:sz w:val="18"/>
              </w:rPr>
              <w:t>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 w:right="0"/>
              <w:jc w:val="center"/>
              <w:rPr>
                <w:rFonts w:ascii="宋体" w:hAnsi="宋体" w:cs="宋体" w:eastAsia="宋体" w:hint="default"/>
                <w:sz w:val="18"/>
                <w:szCs w:val="18"/>
              </w:rPr>
            </w:pPr>
            <w:r>
              <w:rPr>
                <w:rFonts w:ascii="宋体"/>
                <w:sz w:val="18"/>
              </w:rPr>
              <w:t>420,00</w:t>
            </w:r>
          </w:p>
          <w:p>
            <w:pPr>
              <w:pStyle w:val="TableParagraph"/>
              <w:spacing w:line="234" w:lineRule="exact"/>
              <w:ind w:left="185" w:right="0"/>
              <w:jc w:val="center"/>
              <w:rPr>
                <w:rFonts w:ascii="宋体" w:hAnsi="宋体" w:cs="宋体" w:eastAsia="宋体" w:hint="default"/>
                <w:sz w:val="18"/>
                <w:szCs w:val="18"/>
              </w:rPr>
            </w:pPr>
            <w:r>
              <w:rPr>
                <w:rFonts w:ascii="宋体"/>
                <w:sz w:val="18"/>
              </w:rPr>
              <w:t>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191,3</w:t>
            </w:r>
          </w:p>
          <w:p>
            <w:pPr>
              <w:pStyle w:val="TableParagraph"/>
              <w:spacing w:line="233" w:lineRule="exact"/>
              <w:ind w:left="105" w:right="0"/>
              <w:jc w:val="left"/>
              <w:rPr>
                <w:rFonts w:ascii="宋体" w:hAnsi="宋体" w:cs="宋体" w:eastAsia="宋体" w:hint="default"/>
                <w:sz w:val="18"/>
                <w:szCs w:val="18"/>
              </w:rPr>
            </w:pPr>
            <w:r>
              <w:rPr>
                <w:rFonts w:ascii="宋体"/>
                <w:sz w:val="18"/>
              </w:rPr>
              <w:t>88,00</w:t>
            </w:r>
          </w:p>
          <w:p>
            <w:pPr>
              <w:pStyle w:val="TableParagraph"/>
              <w:spacing w:line="234" w:lineRule="exact"/>
              <w:ind w:left="196" w:right="0"/>
              <w:jc w:val="left"/>
              <w:rPr>
                <w:rFonts w:ascii="宋体" w:hAnsi="宋体" w:cs="宋体" w:eastAsia="宋体" w:hint="default"/>
                <w:sz w:val="18"/>
                <w:szCs w:val="18"/>
              </w:rPr>
            </w:pPr>
            <w:r>
              <w:rPr>
                <w:rFonts w:ascii="宋体"/>
                <w:sz w:val="18"/>
              </w:rPr>
              <w:t>2.41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pacing w:val="-1"/>
                <w:sz w:val="18"/>
              </w:rPr>
              <w:t>27,845</w:t>
            </w:r>
          </w:p>
          <w:p>
            <w:pPr>
              <w:pStyle w:val="TableParagraph"/>
              <w:spacing w:line="233" w:lineRule="exact"/>
              <w:ind w:right="102"/>
              <w:jc w:val="right"/>
              <w:rPr>
                <w:rFonts w:ascii="宋体" w:hAnsi="宋体" w:cs="宋体" w:eastAsia="宋体" w:hint="default"/>
                <w:sz w:val="18"/>
                <w:szCs w:val="18"/>
              </w:rPr>
            </w:pPr>
            <w:r>
              <w:rPr>
                <w:rFonts w:ascii="宋体"/>
                <w:spacing w:val="-1"/>
                <w:sz w:val="18"/>
              </w:rPr>
              <w:t>,973.1</w:t>
            </w:r>
          </w:p>
          <w:p>
            <w:pPr>
              <w:pStyle w:val="TableParagraph"/>
              <w:spacing w:line="234" w:lineRule="exact"/>
              <w:ind w:right="104"/>
              <w:jc w:val="right"/>
              <w:rPr>
                <w:rFonts w:ascii="宋体" w:hAnsi="宋体" w:cs="宋体" w:eastAsia="宋体" w:hint="default"/>
                <w:sz w:val="18"/>
                <w:szCs w:val="18"/>
              </w:rPr>
            </w:pPr>
            <w:r>
              <w:rPr>
                <w:rFonts w:ascii="宋体"/>
                <w:sz w:val="18"/>
              </w:rPr>
              <w:t>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22,000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 w:right="0"/>
              <w:jc w:val="center"/>
              <w:rPr>
                <w:rFonts w:ascii="宋体" w:hAnsi="宋体" w:cs="宋体" w:eastAsia="宋体" w:hint="default"/>
                <w:sz w:val="18"/>
                <w:szCs w:val="18"/>
              </w:rPr>
            </w:pPr>
            <w:r>
              <w:rPr>
                <w:rFonts w:ascii="宋体"/>
                <w:sz w:val="18"/>
              </w:rPr>
              <w:t>336,27</w:t>
            </w:r>
          </w:p>
          <w:p>
            <w:pPr>
              <w:pStyle w:val="TableParagraph"/>
              <w:spacing w:line="234" w:lineRule="exact"/>
              <w:ind w:left="195" w:right="0"/>
              <w:jc w:val="center"/>
              <w:rPr>
                <w:rFonts w:ascii="宋体" w:hAnsi="宋体" w:cs="宋体" w:eastAsia="宋体" w:hint="default"/>
                <w:sz w:val="18"/>
                <w:szCs w:val="18"/>
              </w:rPr>
            </w:pPr>
            <w:r>
              <w:rPr>
                <w:rFonts w:ascii="宋体"/>
                <w:sz w:val="18"/>
              </w:rPr>
              <w:t>3.09</w:t>
            </w: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185,45</w:t>
            </w:r>
          </w:p>
          <w:p>
            <w:pPr>
              <w:pStyle w:val="TableParagraph"/>
              <w:spacing w:line="233" w:lineRule="exact"/>
              <w:ind w:left="103" w:right="0"/>
              <w:jc w:val="left"/>
              <w:rPr>
                <w:rFonts w:ascii="宋体" w:hAnsi="宋体" w:cs="宋体" w:eastAsia="宋体" w:hint="default"/>
                <w:sz w:val="18"/>
                <w:szCs w:val="18"/>
              </w:rPr>
            </w:pPr>
            <w:r>
              <w:rPr>
                <w:rFonts w:ascii="宋体"/>
                <w:sz w:val="18"/>
              </w:rPr>
              <w:t>8,302.</w:t>
            </w:r>
          </w:p>
          <w:p>
            <w:pPr>
              <w:pStyle w:val="TableParagraph"/>
              <w:spacing w:line="234" w:lineRule="exact"/>
              <w:ind w:left="463" w:right="0"/>
              <w:jc w:val="left"/>
              <w:rPr>
                <w:rFonts w:ascii="宋体" w:hAnsi="宋体" w:cs="宋体" w:eastAsia="宋体" w:hint="default"/>
                <w:sz w:val="18"/>
                <w:szCs w:val="18"/>
              </w:rPr>
            </w:pPr>
            <w:r>
              <w:rPr>
                <w:rFonts w:ascii="宋体"/>
                <w:sz w:val="18"/>
              </w:rPr>
              <w:t>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 w:right="0"/>
              <w:jc w:val="center"/>
              <w:rPr>
                <w:rFonts w:ascii="宋体" w:hAnsi="宋体" w:cs="宋体" w:eastAsia="宋体" w:hint="default"/>
                <w:sz w:val="18"/>
                <w:szCs w:val="18"/>
              </w:rPr>
            </w:pPr>
            <w:r>
              <w:rPr>
                <w:rFonts w:ascii="宋体"/>
                <w:sz w:val="18"/>
              </w:rPr>
              <w:t>420,00</w:t>
            </w:r>
          </w:p>
          <w:p>
            <w:pPr>
              <w:pStyle w:val="TableParagraph"/>
              <w:spacing w:line="234" w:lineRule="exact"/>
              <w:ind w:left="185" w:right="0"/>
              <w:jc w:val="center"/>
              <w:rPr>
                <w:rFonts w:ascii="宋体" w:hAnsi="宋体" w:cs="宋体" w:eastAsia="宋体" w:hint="default"/>
                <w:sz w:val="18"/>
                <w:szCs w:val="18"/>
              </w:rPr>
            </w:pPr>
            <w:r>
              <w:rPr>
                <w:rFonts w:ascii="宋体"/>
                <w:sz w:val="18"/>
              </w:rPr>
              <w:t>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191,3</w:t>
            </w:r>
          </w:p>
          <w:p>
            <w:pPr>
              <w:pStyle w:val="TableParagraph"/>
              <w:spacing w:line="233" w:lineRule="exact"/>
              <w:ind w:left="105" w:right="0"/>
              <w:jc w:val="left"/>
              <w:rPr>
                <w:rFonts w:ascii="宋体" w:hAnsi="宋体" w:cs="宋体" w:eastAsia="宋体" w:hint="default"/>
                <w:sz w:val="18"/>
                <w:szCs w:val="18"/>
              </w:rPr>
            </w:pPr>
            <w:r>
              <w:rPr>
                <w:rFonts w:ascii="宋体"/>
                <w:sz w:val="18"/>
              </w:rPr>
              <w:t>88,00</w:t>
            </w:r>
          </w:p>
          <w:p>
            <w:pPr>
              <w:pStyle w:val="TableParagraph"/>
              <w:spacing w:line="234" w:lineRule="exact"/>
              <w:ind w:left="196" w:right="0"/>
              <w:jc w:val="left"/>
              <w:rPr>
                <w:rFonts w:ascii="宋体" w:hAnsi="宋体" w:cs="宋体" w:eastAsia="宋体" w:hint="default"/>
                <w:sz w:val="18"/>
                <w:szCs w:val="18"/>
              </w:rPr>
            </w:pPr>
            <w:r>
              <w:rPr>
                <w:rFonts w:ascii="宋体"/>
                <w:sz w:val="18"/>
              </w:rPr>
              <w:t>2.41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pacing w:val="-1"/>
                <w:sz w:val="18"/>
              </w:rPr>
              <w:t>27,845</w:t>
            </w:r>
          </w:p>
          <w:p>
            <w:pPr>
              <w:pStyle w:val="TableParagraph"/>
              <w:spacing w:line="233" w:lineRule="exact"/>
              <w:ind w:right="102"/>
              <w:jc w:val="right"/>
              <w:rPr>
                <w:rFonts w:ascii="宋体" w:hAnsi="宋体" w:cs="宋体" w:eastAsia="宋体" w:hint="default"/>
                <w:sz w:val="18"/>
                <w:szCs w:val="18"/>
              </w:rPr>
            </w:pPr>
            <w:r>
              <w:rPr>
                <w:rFonts w:ascii="宋体"/>
                <w:spacing w:val="-1"/>
                <w:sz w:val="18"/>
              </w:rPr>
              <w:t>,973.1</w:t>
            </w:r>
          </w:p>
          <w:p>
            <w:pPr>
              <w:pStyle w:val="TableParagraph"/>
              <w:spacing w:line="234" w:lineRule="exact"/>
              <w:ind w:right="104"/>
              <w:jc w:val="right"/>
              <w:rPr>
                <w:rFonts w:ascii="宋体" w:hAnsi="宋体" w:cs="宋体" w:eastAsia="宋体" w:hint="default"/>
                <w:sz w:val="18"/>
                <w:szCs w:val="18"/>
              </w:rPr>
            </w:pPr>
            <w:r>
              <w:rPr>
                <w:rFonts w:ascii="宋体"/>
                <w:sz w:val="18"/>
              </w:rPr>
              <w:t>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22,000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 w:right="0"/>
              <w:jc w:val="center"/>
              <w:rPr>
                <w:rFonts w:ascii="宋体" w:hAnsi="宋体" w:cs="宋体" w:eastAsia="宋体" w:hint="default"/>
                <w:sz w:val="18"/>
                <w:szCs w:val="18"/>
              </w:rPr>
            </w:pPr>
            <w:r>
              <w:rPr>
                <w:rFonts w:ascii="宋体"/>
                <w:sz w:val="18"/>
              </w:rPr>
              <w:t>336,27</w:t>
            </w:r>
          </w:p>
          <w:p>
            <w:pPr>
              <w:pStyle w:val="TableParagraph"/>
              <w:spacing w:line="234" w:lineRule="exact"/>
              <w:ind w:left="195" w:right="0"/>
              <w:jc w:val="center"/>
              <w:rPr>
                <w:rFonts w:ascii="宋体" w:hAnsi="宋体" w:cs="宋体" w:eastAsia="宋体" w:hint="default"/>
                <w:sz w:val="18"/>
                <w:szCs w:val="18"/>
              </w:rPr>
            </w:pPr>
            <w:r>
              <w:rPr>
                <w:rFonts w:ascii="宋体"/>
                <w:sz w:val="18"/>
              </w:rPr>
              <w:t>3.09</w:t>
            </w:r>
          </w:p>
        </w:tc>
        <w:tc>
          <w:tcPr>
            <w:tcW w:w="7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before="0"/>
        <w:ind w:left="218" w:right="2465"/>
        <w:jc w:val="left"/>
      </w:pPr>
      <w:r>
        <w:rPr/>
        <w:t>其他说明</w:t>
      </w:r>
    </w:p>
    <w:p>
      <w:pPr>
        <w:pStyle w:val="BodyText"/>
        <w:spacing w:line="314" w:lineRule="auto" w:before="73"/>
        <w:ind w:left="218" w:right="225" w:firstLine="419"/>
        <w:jc w:val="both"/>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日，公司与山东科达集团有限公司签署股权转让协议，公司将持有的东营黄</w:t>
      </w:r>
      <w:r>
        <w:rPr>
          <w:w w:val="100"/>
        </w:rPr>
        <w:t> </w:t>
      </w:r>
      <w:r>
        <w:rPr>
          <w:spacing w:val="-4"/>
        </w:rPr>
        <w:t>河公路大桥有限责任公司（以下简称大桥公司）</w:t>
      </w:r>
      <w:r>
        <w:rPr>
          <w:rFonts w:ascii="宋体" w:hAnsi="宋体" w:cs="宋体" w:eastAsia="宋体" w:hint="default"/>
          <w:spacing w:val="-4"/>
        </w:rPr>
        <w:t>50%</w:t>
      </w:r>
      <w:r>
        <w:rPr>
          <w:spacing w:val="-4"/>
        </w:rPr>
        <w:t>股权出售给公司控股股东山东科达集团有限公</w:t>
      </w:r>
      <w:r>
        <w:rPr>
          <w:spacing w:val="-26"/>
        </w:rPr>
        <w:t> </w:t>
      </w:r>
      <w:r>
        <w:rPr>
          <w:spacing w:val="-26"/>
        </w:rPr>
      </w:r>
      <w:r>
        <w:rPr>
          <w:spacing w:val="-4"/>
        </w:rPr>
        <w:t>司。股权转让的最终交易价格以资产评估报告为准，为人民币 </w:t>
      </w:r>
      <w:r>
        <w:rPr>
          <w:rFonts w:ascii="宋体" w:hAnsi="宋体" w:cs="宋体" w:eastAsia="宋体" w:hint="default"/>
        </w:rPr>
        <w:t>237,070,000.00</w:t>
      </w:r>
      <w:r>
        <w:rPr>
          <w:rFonts w:ascii="宋体" w:hAnsi="宋体" w:cs="宋体" w:eastAsia="宋体" w:hint="default"/>
          <w:spacing w:val="-46"/>
        </w:rPr>
        <w:t> </w:t>
      </w:r>
      <w:r>
        <w:rPr>
          <w:spacing w:val="-6"/>
        </w:rPr>
        <w:t>元。股权出售完成</w:t>
      </w:r>
    </w:p>
    <w:p>
      <w:pPr>
        <w:pStyle w:val="BodyText"/>
        <w:spacing w:line="240" w:lineRule="auto"/>
        <w:ind w:left="218" w:right="119"/>
        <w:jc w:val="left"/>
      </w:pPr>
      <w:r>
        <w:rPr>
          <w:spacing w:val="-7"/>
        </w:rPr>
        <w:t>后，公司不再持有大桥公司股权。</w:t>
      </w:r>
      <w:r>
        <w:rPr>
          <w:rFonts w:ascii="宋体" w:hAnsi="宋体" w:cs="宋体" w:eastAsia="宋体" w:hint="default"/>
          <w:spacing w:val="-7"/>
        </w:rPr>
        <w:t>2015</w:t>
      </w:r>
      <w:r>
        <w:rPr>
          <w:rFonts w:ascii="宋体" w:hAnsi="宋体" w:cs="宋体" w:eastAsia="宋体" w:hint="default"/>
          <w:spacing w:val="-48"/>
        </w:rPr>
        <w:t> </w:t>
      </w:r>
      <w:r>
        <w:rPr/>
        <w:t>年</w:t>
      </w:r>
      <w:r>
        <w:rPr>
          <w:spacing w:val="-46"/>
        </w:rPr>
        <w:t> </w:t>
      </w:r>
      <w:r>
        <w:rPr>
          <w:rFonts w:ascii="宋体" w:hAnsi="宋体" w:cs="宋体" w:eastAsia="宋体" w:hint="default"/>
        </w:rPr>
        <w:t>3</w:t>
      </w:r>
      <w:r>
        <w:rPr>
          <w:rFonts w:ascii="宋体" w:hAnsi="宋体" w:cs="宋体" w:eastAsia="宋体" w:hint="default"/>
          <w:spacing w:val="-48"/>
        </w:rPr>
        <w:t> </w:t>
      </w:r>
      <w:r>
        <w:rPr/>
        <w:t>月</w:t>
      </w:r>
      <w:r>
        <w:rPr>
          <w:spacing w:val="-46"/>
        </w:rPr>
        <w:t> </w:t>
      </w:r>
      <w:r>
        <w:rPr>
          <w:rFonts w:ascii="宋体" w:hAnsi="宋体" w:cs="宋体" w:eastAsia="宋体" w:hint="default"/>
        </w:rPr>
        <w:t>30</w:t>
      </w:r>
      <w:r>
        <w:rPr>
          <w:rFonts w:ascii="宋体" w:hAnsi="宋体" w:cs="宋体" w:eastAsia="宋体" w:hint="default"/>
          <w:spacing w:val="-48"/>
        </w:rPr>
        <w:t> </w:t>
      </w:r>
      <w:r>
        <w:rPr>
          <w:spacing w:val="-6"/>
        </w:rPr>
        <w:t>日，大桥公司向公司分红</w:t>
      </w:r>
      <w:r>
        <w:rPr>
          <w:spacing w:val="-46"/>
        </w:rPr>
        <w:t> </w:t>
      </w:r>
      <w:r>
        <w:rPr>
          <w:rFonts w:ascii="宋体" w:hAnsi="宋体" w:cs="宋体" w:eastAsia="宋体" w:hint="default"/>
        </w:rPr>
        <w:t>22,000,000.00</w:t>
      </w:r>
      <w:r>
        <w:rPr>
          <w:rFonts w:ascii="宋体" w:hAnsi="宋体" w:cs="宋体" w:eastAsia="宋体" w:hint="default"/>
          <w:spacing w:val="-45"/>
        </w:rPr>
        <w:t> </w:t>
      </w:r>
      <w:r>
        <w:rPr/>
        <w:t>万元，</w:t>
      </w:r>
    </w:p>
    <w:p>
      <w:pPr>
        <w:pStyle w:val="BodyText"/>
        <w:spacing w:line="240" w:lineRule="auto" w:before="85"/>
        <w:ind w:left="218" w:right="250"/>
        <w:jc w:val="left"/>
      </w:pPr>
      <w:r>
        <w:rPr/>
        <w:t>根据天圆全审字</w:t>
      </w:r>
      <w:r>
        <w:rPr>
          <w:rFonts w:ascii="宋体" w:hAnsi="宋体" w:cs="宋体" w:eastAsia="宋体" w:hint="default"/>
        </w:rPr>
        <w:t>[2015]000966</w:t>
      </w:r>
      <w:r>
        <w:rPr>
          <w:rFonts w:ascii="宋体" w:hAnsi="宋体" w:cs="宋体" w:eastAsia="宋体" w:hint="default"/>
          <w:spacing w:val="-54"/>
        </w:rPr>
        <w:t> </w:t>
      </w:r>
      <w:r>
        <w:rPr/>
        <w:t>号，大桥公司</w:t>
      </w:r>
      <w:r>
        <w:rPr>
          <w:spacing w:val="-55"/>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1-8</w:t>
      </w:r>
      <w:r>
        <w:rPr>
          <w:rFonts w:ascii="宋体" w:hAnsi="宋体" w:cs="宋体" w:eastAsia="宋体" w:hint="default"/>
          <w:spacing w:val="-55"/>
        </w:rPr>
        <w:t> </w:t>
      </w:r>
      <w:r>
        <w:rPr/>
        <w:t>月净利润</w:t>
      </w:r>
      <w:r>
        <w:rPr>
          <w:spacing w:val="-55"/>
        </w:rPr>
        <w:t> </w:t>
      </w:r>
      <w:r>
        <w:rPr>
          <w:rFonts w:ascii="宋体" w:hAnsi="宋体" w:cs="宋体" w:eastAsia="宋体" w:hint="default"/>
        </w:rPr>
        <w:t>55,859,400.17</w:t>
      </w:r>
      <w:r>
        <w:rPr>
          <w:rFonts w:ascii="宋体" w:hAnsi="宋体" w:cs="宋体" w:eastAsia="宋体" w:hint="default"/>
          <w:spacing w:val="-54"/>
        </w:rPr>
        <w:t> </w:t>
      </w:r>
      <w:r>
        <w:rPr/>
        <w:t>元，公司按照</w:t>
      </w:r>
    </w:p>
    <w:p>
      <w:pPr>
        <w:pStyle w:val="BodyText"/>
        <w:spacing w:line="240" w:lineRule="auto" w:before="85"/>
        <w:ind w:left="218" w:right="119"/>
        <w:jc w:val="left"/>
        <w:rPr>
          <w:rFonts w:ascii="宋体" w:hAnsi="宋体" w:cs="宋体" w:eastAsia="宋体" w:hint="default"/>
        </w:rPr>
      </w:pPr>
      <w:r>
        <w:rPr/>
        <w:t>权益法确认投资收益</w:t>
      </w:r>
      <w:r>
        <w:rPr>
          <w:spacing w:val="-43"/>
        </w:rPr>
        <w:t> </w:t>
      </w:r>
      <w:r>
        <w:rPr>
          <w:rFonts w:ascii="宋体" w:hAnsi="宋体" w:cs="宋体" w:eastAsia="宋体" w:hint="default"/>
        </w:rPr>
        <w:t>27,929,700.08</w:t>
      </w:r>
      <w:r>
        <w:rPr>
          <w:rFonts w:ascii="宋体" w:hAnsi="宋体" w:cs="宋体" w:eastAsia="宋体" w:hint="default"/>
          <w:spacing w:val="-45"/>
        </w:rPr>
        <w:t> </w:t>
      </w:r>
      <w:r>
        <w:rPr>
          <w:spacing w:val="-4"/>
        </w:rPr>
        <w:t>元，股权转让前公司长期股权投资账面价值</w:t>
      </w:r>
      <w:r>
        <w:rPr>
          <w:spacing w:val="-42"/>
        </w:rPr>
        <w:t> </w:t>
      </w:r>
      <w:r>
        <w:rPr>
          <w:rFonts w:ascii="宋体" w:hAnsi="宋体" w:cs="宋体" w:eastAsia="宋体" w:hint="default"/>
        </w:rPr>
        <w:t>191,388,002.41</w:t>
      </w:r>
    </w:p>
    <w:p>
      <w:pPr>
        <w:pStyle w:val="BodyText"/>
        <w:spacing w:line="240" w:lineRule="auto" w:before="85"/>
        <w:ind w:left="218" w:right="2465"/>
        <w:jc w:val="left"/>
      </w:pPr>
      <w:r>
        <w:rPr/>
        <w:t>元，处置长期股权投资产生投资收益</w:t>
      </w:r>
      <w:r>
        <w:rPr>
          <w:spacing w:val="-55"/>
        </w:rPr>
        <w:t> </w:t>
      </w:r>
      <w:r>
        <w:rPr>
          <w:rFonts w:ascii="宋体" w:hAnsi="宋体" w:cs="宋体" w:eastAsia="宋体" w:hint="default"/>
        </w:rPr>
        <w:t>45,681,997.59</w:t>
      </w:r>
      <w:r>
        <w:rPr>
          <w:rFonts w:ascii="宋体" w:hAnsi="宋体" w:cs="宋体" w:eastAsia="宋体" w:hint="default"/>
          <w:spacing w:val="-55"/>
        </w:rPr>
        <w:t> </w:t>
      </w:r>
      <w:r>
        <w:rPr/>
        <w:t>元。</w:t>
      </w:r>
    </w:p>
    <w:p>
      <w:pPr>
        <w:spacing w:line="240" w:lineRule="auto" w:before="12"/>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11</w:t>
      </w:r>
      <w:r>
        <w:rPr/>
        <w:t>、</w:t>
      </w:r>
      <w:r>
        <w:rPr>
          <w:spacing w:val="-24"/>
        </w:rPr>
        <w:t> </w:t>
      </w:r>
      <w:r>
        <w:rPr/>
        <w:t>投资性房地产</w:t>
      </w:r>
      <w:r>
        <w:rPr>
          <w:b w:val="0"/>
          <w:bCs w:val="0"/>
        </w:rPr>
      </w:r>
    </w:p>
    <w:p>
      <w:pPr>
        <w:pStyle w:val="BodyText"/>
        <w:spacing w:line="272" w:lineRule="exact" w:before="86"/>
        <w:ind w:left="218" w:right="6520"/>
        <w:jc w:val="left"/>
      </w:pPr>
      <w:r>
        <w:rPr/>
        <w:t>√适用</w:t>
      </w:r>
      <w:r>
        <w:rPr>
          <w:spacing w:val="-2"/>
        </w:rPr>
        <w:t> </w:t>
      </w:r>
      <w:r>
        <w:rPr/>
        <w:t>□不适用</w:t>
      </w:r>
      <w:r>
        <w:rPr>
          <w:w w:val="100"/>
        </w:rPr>
        <w:t> </w:t>
      </w:r>
      <w:r>
        <w:rPr>
          <w:spacing w:val="-2"/>
        </w:rPr>
        <w:t>投资性房地产计量模式</w:t>
      </w:r>
    </w:p>
    <w:p>
      <w:pPr>
        <w:pStyle w:val="Heading2"/>
        <w:spacing w:line="240" w:lineRule="auto" w:before="34"/>
        <w:ind w:right="2465"/>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pStyle w:val="BodyText"/>
        <w:spacing w:line="240" w:lineRule="auto" w:before="56"/>
        <w:ind w:left="218" w:right="2465"/>
        <w:jc w:val="left"/>
      </w:pPr>
      <w:r>
        <w:rPr/>
        <w:t>√适用</w:t>
      </w:r>
      <w:r>
        <w:rPr>
          <w:spacing w:val="-1"/>
        </w:rPr>
        <w:t> </w:t>
      </w:r>
      <w:r>
        <w:rPr/>
        <w:t>□不适用</w:t>
      </w:r>
    </w:p>
    <w:p>
      <w:pPr>
        <w:spacing w:after="0" w:line="240" w:lineRule="auto"/>
        <w:jc w:val="left"/>
        <w:sectPr>
          <w:type w:val="continuous"/>
          <w:pgSz w:w="11910" w:h="16840"/>
          <w:pgMar w:top="1280" w:bottom="1380" w:left="1580" w:right="1040"/>
        </w:sectPr>
      </w:pPr>
    </w:p>
    <w:p>
      <w:pPr>
        <w:spacing w:line="240" w:lineRule="auto" w:before="8"/>
        <w:rPr>
          <w:rFonts w:ascii="宋体" w:hAnsi="宋体" w:cs="宋体" w:eastAsia="宋体" w:hint="default"/>
          <w:sz w:val="12"/>
          <w:szCs w:val="12"/>
        </w:rPr>
      </w:pPr>
    </w:p>
    <w:p>
      <w:pPr>
        <w:pStyle w:val="BodyText"/>
        <w:tabs>
          <w:tab w:pos="1051" w:val="left" w:leader="none"/>
        </w:tabs>
        <w:spacing w:line="240" w:lineRule="auto" w:before="36"/>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2"/>
        <w:gridCol w:w="1584"/>
        <w:gridCol w:w="1553"/>
        <w:gridCol w:w="1541"/>
        <w:gridCol w:w="1582"/>
      </w:tblGrid>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3"/>
              <w:jc w:val="right"/>
              <w:rPr>
                <w:rFonts w:ascii="宋体" w:hAnsi="宋体" w:cs="宋体" w:eastAsia="宋体" w:hint="default"/>
                <w:sz w:val="21"/>
                <w:szCs w:val="21"/>
              </w:rPr>
            </w:pPr>
            <w:r>
              <w:rPr>
                <w:rFonts w:ascii="宋体" w:hAnsi="宋体" w:cs="宋体" w:eastAsia="宋体" w:hint="default"/>
                <w:spacing w:val="-1"/>
                <w:sz w:val="21"/>
                <w:szCs w:val="21"/>
              </w:rPr>
              <w:t>房屋、建筑物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66,605,115.24</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66,605,115.24</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356,861.85</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356,861.85</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66,248,253.39</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66,248,253.39</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17,533,882.03</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17,533,882.03</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3,265,382.87</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3,265,382.87</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3,265,382.87</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3,265,382.87</w:t>
            </w:r>
          </w:p>
        </w:tc>
      </w:tr>
      <w:tr>
        <w:trPr>
          <w:trHeight w:val="28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110,181.10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110,181.10</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20,689,083.80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20,689,083.80</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45,559,169.59</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45,559,169.59</w:t>
            </w:r>
          </w:p>
        </w:tc>
      </w:tr>
      <w:tr>
        <w:trPr>
          <w:trHeight w:val="300"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49,071,233.21</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49,071,233.21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3" w:top="1280" w:bottom="138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4421" w:space="2103"/>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10"/>
        <w:gridCol w:w="2864"/>
        <w:gridCol w:w="2878"/>
      </w:tblGrid>
      <w:tr>
        <w:trPr>
          <w:trHeight w:val="283"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283"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5" w:right="0"/>
              <w:jc w:val="left"/>
              <w:rPr>
                <w:rFonts w:ascii="宋体" w:hAnsi="宋体" w:cs="宋体" w:eastAsia="宋体" w:hint="default"/>
                <w:sz w:val="21"/>
                <w:szCs w:val="21"/>
              </w:rPr>
            </w:pPr>
            <w:r>
              <w:rPr>
                <w:rFonts w:ascii="宋体"/>
                <w:sz w:val="21"/>
              </w:rPr>
              <w:t>26,411,519.17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手续未办理完成</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280" w:bottom="1380" w:left="1580" w:right="1040"/>
        </w:sectPr>
      </w:pPr>
    </w:p>
    <w:p>
      <w:pPr>
        <w:pStyle w:val="Heading2"/>
        <w:spacing w:line="240" w:lineRule="auto"/>
        <w:ind w:right="-19"/>
        <w:jc w:val="left"/>
        <w:rPr>
          <w:b w:val="0"/>
          <w:bCs w:val="0"/>
        </w:rPr>
      </w:pPr>
      <w:r>
        <w:rPr>
          <w:rFonts w:ascii="宋体" w:hAnsi="宋体" w:cs="宋体" w:eastAsia="宋体" w:hint="default"/>
        </w:rPr>
        <w:t>12</w:t>
      </w:r>
      <w:r>
        <w:rPr/>
        <w:t>、</w:t>
      </w:r>
      <w:r>
        <w:rPr>
          <w:spacing w:val="-25"/>
        </w:rPr>
        <w:t> </w:t>
      </w:r>
      <w:r>
        <w:rPr/>
        <w:t>固定资产</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2074" w:space="4450"/>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05"/>
        <w:gridCol w:w="1274"/>
        <w:gridCol w:w="1320"/>
        <w:gridCol w:w="1272"/>
        <w:gridCol w:w="1275"/>
        <w:gridCol w:w="1450"/>
      </w:tblGrid>
      <w:tr>
        <w:trPr>
          <w:trHeight w:val="483"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1"/>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9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6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电子设备及其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它</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7"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7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63,597,036.10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102,604,699.44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20,676,322.91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17,019,457.85</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203,897,516.30</w:t>
            </w:r>
          </w:p>
        </w:tc>
      </w:tr>
      <w:tr>
        <w:trPr>
          <w:trHeight w:val="247"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6,007,436.75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18,026,245.69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11,388,027.36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17,463,641.66</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52,885,351.46</w:t>
            </w:r>
          </w:p>
        </w:tc>
      </w:tr>
      <w:tr>
        <w:trPr>
          <w:trHeight w:val="250"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6,007,436.75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11,018,475.76</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8,289,404.78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4,735,073.84</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30,050,391.13</w:t>
            </w:r>
          </w:p>
        </w:tc>
      </w:tr>
      <w:tr>
        <w:trPr>
          <w:trHeight w:val="247"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27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27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7,007,769.93</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3,098,622.58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12,728,567.82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22,834,960.33</w:t>
            </w:r>
          </w:p>
        </w:tc>
      </w:tr>
      <w:tr>
        <w:trPr>
          <w:trHeight w:val="247"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408,505.00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13,761,253.69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7,271,451.27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3,983,252.12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25,424,462.08</w:t>
            </w:r>
          </w:p>
        </w:tc>
      </w:tr>
      <w:tr>
        <w:trPr>
          <w:trHeight w:val="250"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408,505.00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13,761,253.69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7,271,451.27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3,983,252.12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25,424,462.08</w:t>
            </w:r>
          </w:p>
        </w:tc>
      </w:tr>
      <w:tr>
        <w:trPr>
          <w:trHeight w:val="247"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69,195,967.85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106,869,691.44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24,792,899.00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30,499,847.39</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231,358,405.68</w:t>
            </w:r>
          </w:p>
        </w:tc>
      </w:tr>
      <w:tr>
        <w:trPr>
          <w:trHeight w:val="250"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7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22,249,259.77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79,952,349.32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13,294,960.77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11,377,603.47</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126,874,173.33</w:t>
            </w:r>
          </w:p>
        </w:tc>
      </w:tr>
      <w:tr>
        <w:trPr>
          <w:trHeight w:val="250"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3,412,716.49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5,892,597.25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2,667,420.64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12,322,248.02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24,294,982.40</w:t>
            </w:r>
          </w:p>
        </w:tc>
      </w:tr>
      <w:tr>
        <w:trPr>
          <w:trHeight w:val="248"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3,412,716.49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1,569,936.69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9"/>
              <w:jc w:val="right"/>
              <w:rPr>
                <w:rFonts w:ascii="宋体" w:hAnsi="宋体" w:cs="宋体" w:eastAsia="宋体" w:hint="default"/>
                <w:sz w:val="18"/>
                <w:szCs w:val="18"/>
              </w:rPr>
            </w:pPr>
            <w:r>
              <w:rPr>
                <w:rFonts w:ascii="宋体"/>
                <w:spacing w:val="-1"/>
                <w:sz w:val="18"/>
              </w:rPr>
              <w:t>1,616,716.55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0"/>
              <w:jc w:val="right"/>
              <w:rPr>
                <w:rFonts w:ascii="宋体" w:hAnsi="宋体" w:cs="宋体" w:eastAsia="宋体" w:hint="default"/>
                <w:sz w:val="18"/>
                <w:szCs w:val="18"/>
              </w:rPr>
            </w:pPr>
            <w:r>
              <w:rPr>
                <w:rFonts w:ascii="宋体"/>
                <w:spacing w:val="-1"/>
                <w:sz w:val="18"/>
              </w:rPr>
              <w:t>4,668,923.54</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11,268,293.27</w:t>
            </w:r>
          </w:p>
        </w:tc>
      </w:tr>
      <w:tr>
        <w:trPr>
          <w:trHeight w:val="250"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0"/>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企业合并增加</w:t>
            </w:r>
          </w:p>
        </w:tc>
        <w:tc>
          <w:tcPr>
            <w:tcW w:w="127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4,322,660.56</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1,050,704.09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7,653,324.48</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13,026,689.13</w:t>
            </w:r>
          </w:p>
        </w:tc>
      </w:tr>
      <w:tr>
        <w:trPr>
          <w:trHeight w:val="250"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85,988.34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12,745,098.94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5,966,992.40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3,363,670.17</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22,161,749.85</w:t>
            </w:r>
          </w:p>
        </w:tc>
      </w:tr>
    </w:tbl>
    <w:p>
      <w:pPr>
        <w:spacing w:after="0" w:line="205" w:lineRule="exact"/>
        <w:jc w:val="right"/>
        <w:rPr>
          <w:rFonts w:ascii="宋体" w:hAnsi="宋体" w:cs="宋体" w:eastAsia="宋体" w:hint="default"/>
          <w:sz w:val="18"/>
          <w:szCs w:val="18"/>
        </w:rPr>
        <w:sectPr>
          <w:type w:val="continuous"/>
          <w:pgSz w:w="11910" w:h="16840"/>
          <w:pgMar w:top="1280" w:bottom="1380" w:left="1580" w:right="1040"/>
        </w:sectPr>
      </w:pPr>
    </w:p>
    <w:p>
      <w:pPr>
        <w:spacing w:line="240" w:lineRule="auto" w:before="13"/>
        <w:rPr>
          <w:rFonts w:ascii="宋体" w:hAnsi="宋体" w:cs="宋体" w:eastAsia="宋体" w:hint="default"/>
          <w:sz w:val="17"/>
          <w:szCs w:val="17"/>
        </w:rPr>
      </w:pPr>
    </w:p>
    <w:tbl>
      <w:tblPr>
        <w:tblW w:w="0" w:type="auto"/>
        <w:jc w:val="left"/>
        <w:tblInd w:w="179" w:type="dxa"/>
        <w:tblLayout w:type="fixed"/>
        <w:tblCellMar>
          <w:top w:w="0" w:type="dxa"/>
          <w:left w:w="0" w:type="dxa"/>
          <w:bottom w:w="0" w:type="dxa"/>
          <w:right w:w="0" w:type="dxa"/>
        </w:tblCellMar>
        <w:tblLook w:val="01E0"/>
      </w:tblPr>
      <w:tblGrid>
        <w:gridCol w:w="2305"/>
        <w:gridCol w:w="1274"/>
        <w:gridCol w:w="1320"/>
        <w:gridCol w:w="1272"/>
        <w:gridCol w:w="1275"/>
        <w:gridCol w:w="1450"/>
      </w:tblGrid>
      <w:tr>
        <w:trPr>
          <w:trHeight w:val="250"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7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85,988.34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12,745,098.94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5,966,992.40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3,363,670.17</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22,161,749.85</w:t>
            </w:r>
          </w:p>
        </w:tc>
      </w:tr>
      <w:tr>
        <w:trPr>
          <w:trHeight w:val="247"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25,575,987.92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73,099,847.63</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9,995,389.01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20,336,181.32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129,007,405.88</w:t>
            </w:r>
          </w:p>
        </w:tc>
      </w:tr>
      <w:tr>
        <w:trPr>
          <w:trHeight w:val="250"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7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7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470,079.78</w:t>
            </w:r>
          </w:p>
        </w:tc>
        <w:tc>
          <w:tcPr>
            <w:tcW w:w="127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92,682.67</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562,762.45</w:t>
            </w:r>
          </w:p>
        </w:tc>
      </w:tr>
      <w:tr>
        <w:trPr>
          <w:trHeight w:val="250"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7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7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7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202,322.72</w:t>
            </w:r>
          </w:p>
        </w:tc>
        <w:tc>
          <w:tcPr>
            <w:tcW w:w="127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202,322.72</w:t>
            </w:r>
          </w:p>
        </w:tc>
      </w:tr>
      <w:tr>
        <w:trPr>
          <w:trHeight w:val="250"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7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27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202,322.72</w:t>
            </w:r>
          </w:p>
        </w:tc>
        <w:tc>
          <w:tcPr>
            <w:tcW w:w="127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202,322.72</w:t>
            </w:r>
          </w:p>
        </w:tc>
      </w:tr>
      <w:tr>
        <w:trPr>
          <w:trHeight w:val="247"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7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267,757.06</w:t>
            </w:r>
          </w:p>
        </w:tc>
        <w:tc>
          <w:tcPr>
            <w:tcW w:w="127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92,682.67</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360,439.73</w:t>
            </w:r>
          </w:p>
        </w:tc>
      </w:tr>
      <w:tr>
        <w:trPr>
          <w:trHeight w:val="250"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43,619,979.93</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33,502,086.75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14,797,509.99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10,070,983.40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101,990,560.07</w:t>
            </w:r>
          </w:p>
        </w:tc>
      </w:tr>
      <w:tr>
        <w:trPr>
          <w:trHeight w:val="250" w:hRule="exact"/>
        </w:trPr>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41,347,776.33</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22,182,270.34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7,381,362.14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5,549,171.71</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76,460,580.52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6"/>
        <w:ind w:left="218" w:right="2465"/>
        <w:jc w:val="left"/>
      </w:pPr>
      <w:r>
        <w:rPr/>
        <w:t>□适用</w:t>
      </w:r>
      <w:r>
        <w:rPr>
          <w:spacing w:val="-1"/>
        </w:rPr>
        <w:t> </w:t>
      </w:r>
      <w:r>
        <w:rPr/>
        <w:t>√不适用</w:t>
      </w:r>
    </w:p>
    <w:p>
      <w:pPr>
        <w:pStyle w:val="Heading2"/>
        <w:spacing w:line="240" w:lineRule="auto" w:before="58"/>
        <w:ind w:right="2465"/>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6"/>
        <w:ind w:left="218" w:right="2465"/>
        <w:jc w:val="left"/>
      </w:pPr>
      <w:r>
        <w:rPr/>
        <w:t>□适用</w:t>
      </w:r>
      <w:r>
        <w:rPr>
          <w:spacing w:val="-1"/>
        </w:rPr>
        <w:t> </w:t>
      </w:r>
      <w:r>
        <w:rPr/>
        <w:t>√不适用</w:t>
      </w:r>
    </w:p>
    <w:p>
      <w:pPr>
        <w:pStyle w:val="Heading2"/>
        <w:spacing w:line="240" w:lineRule="auto" w:before="58"/>
        <w:ind w:right="2465"/>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6"/>
        <w:ind w:left="218" w:right="2465"/>
        <w:jc w:val="left"/>
      </w:pPr>
      <w:r>
        <w:rPr/>
        <w:t>□适用</w:t>
      </w:r>
      <w:r>
        <w:rPr>
          <w:spacing w:val="-1"/>
        </w:rPr>
        <w:t> </w:t>
      </w:r>
      <w:r>
        <w:rPr/>
        <w:t>√不适用</w:t>
      </w:r>
    </w:p>
    <w:p>
      <w:pPr>
        <w:pStyle w:val="Heading2"/>
        <w:spacing w:line="240" w:lineRule="auto" w:before="58"/>
        <w:ind w:right="2465"/>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6" w:footer="1193" w:top="1280" w:bottom="1380" w:left="1580" w:right="1040"/>
        </w:sectPr>
      </w:pPr>
    </w:p>
    <w:p>
      <w:pPr>
        <w:pStyle w:val="Heading2"/>
        <w:spacing w:line="240" w:lineRule="auto"/>
        <w:ind w:right="-20"/>
        <w:jc w:val="left"/>
        <w:rPr>
          <w:b w:val="0"/>
          <w:bCs w:val="0"/>
        </w:rPr>
      </w:pPr>
      <w:r>
        <w:rPr>
          <w:rFonts w:ascii="宋体" w:hAnsi="宋体" w:cs="宋体" w:eastAsia="宋体" w:hint="default"/>
        </w:rPr>
        <w:t>13</w:t>
      </w:r>
      <w:r>
        <w:rPr/>
        <w:t>、</w:t>
      </w:r>
      <w:r>
        <w:rPr>
          <w:spacing w:val="-25"/>
        </w:rPr>
        <w:t> </w:t>
      </w:r>
      <w:r>
        <w:rPr/>
        <w:t>无形资产</w:t>
      </w:r>
      <w:r>
        <w:rPr>
          <w:b w:val="0"/>
          <w:bCs w:val="0"/>
        </w:rPr>
      </w:r>
    </w:p>
    <w:p>
      <w:pPr>
        <w:pStyle w:val="Heading2"/>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2088" w:space="4436"/>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72"/>
        <w:gridCol w:w="1385"/>
        <w:gridCol w:w="1118"/>
        <w:gridCol w:w="1296"/>
        <w:gridCol w:w="1385"/>
        <w:gridCol w:w="1117"/>
        <w:gridCol w:w="1478"/>
      </w:tblGrid>
      <w:tr>
        <w:trPr>
          <w:trHeight w:val="34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1"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软件</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6" w:right="0"/>
              <w:jc w:val="left"/>
              <w:rPr>
                <w:rFonts w:ascii="宋体" w:hAnsi="宋体" w:cs="宋体" w:eastAsia="宋体" w:hint="default"/>
                <w:sz w:val="18"/>
                <w:szCs w:val="18"/>
              </w:rPr>
            </w:pPr>
            <w:r>
              <w:rPr>
                <w:rFonts w:ascii="宋体" w:hAnsi="宋体" w:cs="宋体" w:eastAsia="宋体" w:hint="default"/>
                <w:sz w:val="18"/>
                <w:szCs w:val="18"/>
              </w:rPr>
              <w:t>知识产权</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5"/>
                <w:sz w:val="18"/>
                <w:szCs w:val="18"/>
              </w:rPr>
              <w:t>一、账面原值</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88,815,861.88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674,000.00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3,214,961.87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15,000,000.00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107,704,823.75</w:t>
            </w: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增加金额</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4,476,609.00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323,600.00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4,800,209.00</w:t>
            </w:r>
          </w:p>
        </w:tc>
      </w:tr>
      <w:tr>
        <w:trPr>
          <w:trHeight w:val="475"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855,969.03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855,969.03</w:t>
            </w: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部研发</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3,620,639.97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323,600.00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3,944,239.97</w:t>
            </w:r>
          </w:p>
        </w:tc>
      </w:tr>
      <w:tr>
        <w:trPr>
          <w:trHeight w:val="475"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减少金额</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88,815,861.88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674,000.00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7,691,570.87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323,600.00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112,505,032.75</w:t>
            </w:r>
          </w:p>
        </w:tc>
      </w:tr>
      <w:tr>
        <w:trPr>
          <w:trHeight w:val="35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5"/>
                <w:sz w:val="18"/>
                <w:szCs w:val="18"/>
              </w:rPr>
              <w:t>二、累计摊销</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7,338,910.74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192,032.78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1,715,932.91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5,312,500.00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14,559,376.43</w:t>
            </w: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增加金额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2,250,202.59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61,399.92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1,485,635.90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750,000.00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323,600.00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4,870,838.41</w:t>
            </w: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2,250,202.59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61,399.92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684,118.64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750,000.00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3,745,721.15</w:t>
            </w:r>
          </w:p>
        </w:tc>
      </w:tr>
    </w:tbl>
    <w:p>
      <w:pPr>
        <w:spacing w:after="0" w:line="205" w:lineRule="exact"/>
        <w:jc w:val="right"/>
        <w:rPr>
          <w:rFonts w:ascii="宋体" w:hAnsi="宋体" w:cs="宋体" w:eastAsia="宋体" w:hint="default"/>
          <w:sz w:val="18"/>
          <w:szCs w:val="18"/>
        </w:rPr>
        <w:sectPr>
          <w:type w:val="continuous"/>
          <w:pgSz w:w="11910" w:h="16840"/>
          <w:pgMar w:top="1280" w:bottom="1380" w:left="1580" w:right="1040"/>
        </w:sectPr>
      </w:pPr>
    </w:p>
    <w:p>
      <w:pPr>
        <w:spacing w:line="240" w:lineRule="auto" w:before="13"/>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1272"/>
        <w:gridCol w:w="1385"/>
        <w:gridCol w:w="1118"/>
        <w:gridCol w:w="1296"/>
        <w:gridCol w:w="1385"/>
        <w:gridCol w:w="1117"/>
        <w:gridCol w:w="1478"/>
      </w:tblGrid>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54"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宋体" w:hAnsi="宋体" w:cs="宋体" w:eastAsia="宋体" w:hint="default"/>
                <w:spacing w:val="-12"/>
                <w:sz w:val="18"/>
                <w:szCs w:val="18"/>
              </w:rPr>
              <w:t>2</w:t>
            </w:r>
            <w:r>
              <w:rPr>
                <w:rFonts w:ascii="宋体" w:hAnsi="宋体" w:cs="宋体" w:eastAsia="宋体" w:hint="default"/>
                <w:spacing w:val="-12"/>
                <w:sz w:val="18"/>
                <w:szCs w:val="18"/>
              </w:rPr>
              <w:t>）企</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801,517.26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323,600.00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1,125,117.26</w:t>
            </w: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减少金额</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34" w:right="0"/>
              <w:jc w:val="left"/>
              <w:rPr>
                <w:rFonts w:ascii="宋体" w:hAnsi="宋体" w:cs="宋体" w:eastAsia="宋体" w:hint="default"/>
                <w:sz w:val="18"/>
                <w:szCs w:val="18"/>
              </w:rPr>
            </w:pPr>
            <w:r>
              <w:rPr>
                <w:rFonts w:ascii="宋体"/>
                <w:sz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9,589,113.33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253,432.70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3,201,568.81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6,062,500.00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323,600.00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19,430,214.84</w:t>
            </w:r>
          </w:p>
        </w:tc>
      </w:tr>
      <w:tr>
        <w:trPr>
          <w:trHeight w:val="35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4"/>
                <w:sz w:val="18"/>
                <w:szCs w:val="18"/>
              </w:rPr>
              <w:t>三、减值准备</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增加金额</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减少金额</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4"/>
                <w:sz w:val="18"/>
                <w:szCs w:val="18"/>
              </w:rPr>
              <w:t>四、账面价值</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79,226,748.55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420,567.30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4,490,002.06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8,937,500.00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93,074,817.91</w:t>
            </w: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81,476,951.14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481,967.22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1,499,028.96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9,687,500.00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93,145,447.32</w:t>
            </w:r>
          </w:p>
        </w:tc>
      </w:tr>
    </w:tbl>
    <w:p>
      <w:pPr>
        <w:spacing w:line="240" w:lineRule="auto" w:before="13"/>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3"/>
          <w:pgSz w:w="11910" w:h="16840"/>
          <w:pgMar w:footer="1193" w:header="856" w:top="1280" w:bottom="1380" w:left="1580" w:right="1040"/>
        </w:sectPr>
      </w:pPr>
    </w:p>
    <w:p>
      <w:pPr>
        <w:pStyle w:val="Heading2"/>
        <w:spacing w:line="240" w:lineRule="auto"/>
        <w:ind w:right="-19"/>
        <w:jc w:val="left"/>
        <w:rPr>
          <w:b w:val="0"/>
          <w:bCs w:val="0"/>
        </w:rPr>
      </w:pPr>
      <w:r>
        <w:rPr>
          <w:rFonts w:ascii="宋体" w:hAnsi="宋体" w:cs="宋体" w:eastAsia="宋体" w:hint="default"/>
        </w:rPr>
        <w:t>14</w:t>
      </w:r>
      <w:r>
        <w:rPr/>
        <w:t>、</w:t>
      </w:r>
      <w:r>
        <w:rPr>
          <w:spacing w:val="-26"/>
        </w:rPr>
        <w:t> </w:t>
      </w:r>
      <w:r>
        <w:rPr/>
        <w:t>商誉</w:t>
      </w:r>
      <w:r>
        <w:rPr>
          <w:b w:val="0"/>
          <w:bCs w:val="0"/>
        </w:rPr>
      </w:r>
    </w:p>
    <w:p>
      <w:pPr>
        <w:spacing w:line="290" w:lineRule="auto" w:before="56"/>
        <w:ind w:left="21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2074" w:space="4450"/>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39"/>
        <w:gridCol w:w="1179"/>
        <w:gridCol w:w="1202"/>
        <w:gridCol w:w="1179"/>
        <w:gridCol w:w="1202"/>
        <w:gridCol w:w="1191"/>
        <w:gridCol w:w="1159"/>
      </w:tblGrid>
      <w:tr>
        <w:trPr>
          <w:trHeight w:val="295" w:hRule="exact"/>
        </w:trPr>
        <w:tc>
          <w:tcPr>
            <w:tcW w:w="193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32" w:lineRule="exact"/>
              <w:ind w:left="424" w:right="153" w:hanging="272"/>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17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15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45" w:hRule="exact"/>
        </w:trPr>
        <w:tc>
          <w:tcPr>
            <w:tcW w:w="1939" w:type="dxa"/>
            <w:vMerge/>
            <w:tcBorders>
              <w:left w:val="single" w:sz="4" w:space="0" w:color="000000"/>
              <w:bottom w:val="single" w:sz="4" w:space="0" w:color="000000"/>
              <w:right w:val="single" w:sz="4" w:space="0" w:color="000000"/>
            </w:tcBorders>
          </w:tcPr>
          <w:p>
            <w:pPr/>
          </w:p>
        </w:tc>
        <w:tc>
          <w:tcPr>
            <w:tcW w:w="1179"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15" w:right="146" w:hanging="272"/>
              <w:jc w:val="left"/>
              <w:rPr>
                <w:rFonts w:ascii="宋体" w:hAnsi="宋体" w:cs="宋体" w:eastAsia="宋体" w:hint="default"/>
                <w:sz w:val="18"/>
                <w:szCs w:val="18"/>
              </w:rPr>
            </w:pPr>
            <w:r>
              <w:rPr>
                <w:rFonts w:ascii="宋体" w:hAnsi="宋体" w:cs="宋体" w:eastAsia="宋体" w:hint="default"/>
                <w:sz w:val="18"/>
                <w:szCs w:val="18"/>
              </w:rPr>
              <w:t>企业合并形 成的</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191" w:type="dxa"/>
            <w:tcBorders>
              <w:top w:val="single" w:sz="4" w:space="0" w:color="000000"/>
              <w:left w:val="single" w:sz="4" w:space="0" w:color="000000"/>
              <w:bottom w:val="single" w:sz="4" w:space="0" w:color="000000"/>
              <w:right w:val="single" w:sz="4" w:space="0" w:color="000000"/>
            </w:tcBorders>
          </w:tcPr>
          <w:p>
            <w:pPr/>
          </w:p>
        </w:tc>
        <w:tc>
          <w:tcPr>
            <w:tcW w:w="1159" w:type="dxa"/>
            <w:vMerge/>
            <w:tcBorders>
              <w:left w:val="single" w:sz="4" w:space="0" w:color="000000"/>
              <w:bottom w:val="single" w:sz="4" w:space="0" w:color="000000"/>
              <w:right w:val="single" w:sz="4" w:space="0" w:color="000000"/>
            </w:tcBorders>
          </w:tcPr>
          <w:p>
            <w:pPr/>
          </w:p>
        </w:tc>
      </w:tr>
      <w:tr>
        <w:trPr>
          <w:trHeight w:val="478"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北京百孚思广告有限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519,442,78</w:t>
            </w:r>
          </w:p>
          <w:p>
            <w:pPr>
              <w:pStyle w:val="TableParagraph"/>
              <w:spacing w:line="234" w:lineRule="exact"/>
              <w:ind w:left="729" w:right="0"/>
              <w:jc w:val="left"/>
              <w:rPr>
                <w:rFonts w:ascii="宋体" w:hAnsi="宋体" w:cs="宋体" w:eastAsia="宋体" w:hint="default"/>
                <w:sz w:val="18"/>
                <w:szCs w:val="18"/>
              </w:rPr>
            </w:pPr>
            <w:r>
              <w:rPr>
                <w:rFonts w:ascii="宋体"/>
                <w:sz w:val="18"/>
              </w:rPr>
              <w:t>4.03</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519,442,78</w:t>
            </w:r>
          </w:p>
          <w:p>
            <w:pPr>
              <w:pStyle w:val="TableParagraph"/>
              <w:spacing w:line="234" w:lineRule="exact"/>
              <w:ind w:left="686" w:right="0"/>
              <w:jc w:val="left"/>
              <w:rPr>
                <w:rFonts w:ascii="宋体" w:hAnsi="宋体" w:cs="宋体" w:eastAsia="宋体" w:hint="default"/>
                <w:sz w:val="18"/>
                <w:szCs w:val="18"/>
              </w:rPr>
            </w:pPr>
            <w:r>
              <w:rPr>
                <w:rFonts w:ascii="宋体"/>
                <w:sz w:val="18"/>
              </w:rPr>
              <w:t>4.03</w:t>
            </w:r>
          </w:p>
        </w:tc>
      </w:tr>
      <w:tr>
        <w:trPr>
          <w:trHeight w:val="47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广州华邑品牌数字营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销有限公司</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332,678,13</w:t>
            </w:r>
          </w:p>
          <w:p>
            <w:pPr>
              <w:pStyle w:val="TableParagraph"/>
              <w:spacing w:line="234" w:lineRule="exact"/>
              <w:ind w:left="729" w:right="0"/>
              <w:jc w:val="left"/>
              <w:rPr>
                <w:rFonts w:ascii="宋体" w:hAnsi="宋体" w:cs="宋体" w:eastAsia="宋体" w:hint="default"/>
                <w:sz w:val="18"/>
                <w:szCs w:val="18"/>
              </w:rPr>
            </w:pPr>
            <w:r>
              <w:rPr>
                <w:rFonts w:ascii="宋体"/>
                <w:sz w:val="18"/>
              </w:rPr>
              <w:t>0.79</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332,678,13</w:t>
            </w:r>
          </w:p>
          <w:p>
            <w:pPr>
              <w:pStyle w:val="TableParagraph"/>
              <w:spacing w:line="234" w:lineRule="exact"/>
              <w:ind w:left="686" w:right="0"/>
              <w:jc w:val="left"/>
              <w:rPr>
                <w:rFonts w:ascii="宋体" w:hAnsi="宋体" w:cs="宋体" w:eastAsia="宋体" w:hint="default"/>
                <w:sz w:val="18"/>
                <w:szCs w:val="18"/>
              </w:rPr>
            </w:pPr>
            <w:r>
              <w:rPr>
                <w:rFonts w:ascii="宋体"/>
                <w:sz w:val="18"/>
              </w:rPr>
              <w:t>0.79</w:t>
            </w:r>
          </w:p>
        </w:tc>
      </w:tr>
      <w:tr>
        <w:trPr>
          <w:trHeight w:val="478"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上海同立广告传播有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sz w:val="18"/>
              </w:rPr>
              <w:t>338,055,43</w:t>
            </w:r>
          </w:p>
          <w:p>
            <w:pPr>
              <w:pStyle w:val="TableParagraph"/>
              <w:spacing w:line="234" w:lineRule="exact"/>
              <w:ind w:left="729" w:right="0"/>
              <w:jc w:val="left"/>
              <w:rPr>
                <w:rFonts w:ascii="宋体" w:hAnsi="宋体" w:cs="宋体" w:eastAsia="宋体" w:hint="default"/>
                <w:sz w:val="18"/>
                <w:szCs w:val="18"/>
              </w:rPr>
            </w:pPr>
            <w:r>
              <w:rPr>
                <w:rFonts w:ascii="宋体"/>
                <w:sz w:val="18"/>
              </w:rPr>
              <w:t>3.14</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sz w:val="18"/>
              </w:rPr>
              <w:t>338,055,43</w:t>
            </w:r>
          </w:p>
          <w:p>
            <w:pPr>
              <w:pStyle w:val="TableParagraph"/>
              <w:spacing w:line="234" w:lineRule="exact"/>
              <w:ind w:left="686" w:right="0"/>
              <w:jc w:val="left"/>
              <w:rPr>
                <w:rFonts w:ascii="宋体" w:hAnsi="宋体" w:cs="宋体" w:eastAsia="宋体" w:hint="default"/>
                <w:sz w:val="18"/>
                <w:szCs w:val="18"/>
              </w:rPr>
            </w:pPr>
            <w:r>
              <w:rPr>
                <w:rFonts w:ascii="宋体"/>
                <w:sz w:val="18"/>
              </w:rPr>
              <w:t>3.14</w:t>
            </w:r>
          </w:p>
        </w:tc>
      </w:tr>
      <w:tr>
        <w:trPr>
          <w:trHeight w:val="478"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广东雨林木风计算机</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426,415,12</w:t>
            </w:r>
          </w:p>
          <w:p>
            <w:pPr>
              <w:pStyle w:val="TableParagraph"/>
              <w:spacing w:line="240" w:lineRule="auto"/>
              <w:ind w:left="729" w:right="0"/>
              <w:jc w:val="left"/>
              <w:rPr>
                <w:rFonts w:ascii="宋体" w:hAnsi="宋体" w:cs="宋体" w:eastAsia="宋体" w:hint="default"/>
                <w:sz w:val="18"/>
                <w:szCs w:val="18"/>
              </w:rPr>
            </w:pPr>
            <w:r>
              <w:rPr>
                <w:rFonts w:ascii="宋体"/>
                <w:sz w:val="18"/>
              </w:rPr>
              <w:t>9.42</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426,415,12</w:t>
            </w:r>
          </w:p>
          <w:p>
            <w:pPr>
              <w:pStyle w:val="TableParagraph"/>
              <w:spacing w:line="240" w:lineRule="auto"/>
              <w:ind w:left="686" w:right="0"/>
              <w:jc w:val="left"/>
              <w:rPr>
                <w:rFonts w:ascii="宋体" w:hAnsi="宋体" w:cs="宋体" w:eastAsia="宋体" w:hint="default"/>
                <w:sz w:val="18"/>
                <w:szCs w:val="18"/>
              </w:rPr>
            </w:pPr>
            <w:r>
              <w:rPr>
                <w:rFonts w:ascii="宋体"/>
                <w:sz w:val="18"/>
              </w:rPr>
              <w:t>9.42</w:t>
            </w:r>
          </w:p>
        </w:tc>
      </w:tr>
      <w:tr>
        <w:trPr>
          <w:trHeight w:val="478"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北京派瑞威行广告有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827,241,50</w:t>
            </w:r>
          </w:p>
          <w:p>
            <w:pPr>
              <w:pStyle w:val="TableParagraph"/>
              <w:spacing w:line="234" w:lineRule="exact"/>
              <w:ind w:left="729" w:right="0"/>
              <w:jc w:val="left"/>
              <w:rPr>
                <w:rFonts w:ascii="宋体" w:hAnsi="宋体" w:cs="宋体" w:eastAsia="宋体" w:hint="default"/>
                <w:sz w:val="18"/>
                <w:szCs w:val="18"/>
              </w:rPr>
            </w:pPr>
            <w:r>
              <w:rPr>
                <w:rFonts w:ascii="宋体"/>
                <w:sz w:val="18"/>
              </w:rPr>
              <w:t>4.42</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827,241,50</w:t>
            </w:r>
          </w:p>
          <w:p>
            <w:pPr>
              <w:pStyle w:val="TableParagraph"/>
              <w:spacing w:line="234" w:lineRule="exact"/>
              <w:ind w:left="686" w:right="0"/>
              <w:jc w:val="left"/>
              <w:rPr>
                <w:rFonts w:ascii="宋体" w:hAnsi="宋体" w:cs="宋体" w:eastAsia="宋体" w:hint="default"/>
                <w:sz w:val="18"/>
                <w:szCs w:val="18"/>
              </w:rPr>
            </w:pPr>
            <w:r>
              <w:rPr>
                <w:rFonts w:ascii="宋体"/>
                <w:sz w:val="18"/>
              </w:rPr>
              <w:t>4.42</w:t>
            </w:r>
          </w:p>
        </w:tc>
      </w:tr>
      <w:tr>
        <w:trPr>
          <w:trHeight w:val="47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2,443,832,</w:t>
            </w:r>
          </w:p>
          <w:p>
            <w:pPr>
              <w:pStyle w:val="TableParagraph"/>
              <w:spacing w:line="234" w:lineRule="exact"/>
              <w:ind w:left="549" w:right="0"/>
              <w:jc w:val="left"/>
              <w:rPr>
                <w:rFonts w:ascii="宋体" w:hAnsi="宋体" w:cs="宋体" w:eastAsia="宋体" w:hint="default"/>
                <w:sz w:val="18"/>
                <w:szCs w:val="18"/>
              </w:rPr>
            </w:pPr>
            <w:r>
              <w:rPr>
                <w:rFonts w:ascii="宋体"/>
                <w:sz w:val="18"/>
              </w:rPr>
              <w:t>981.80</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2,443,832,</w:t>
            </w:r>
          </w:p>
          <w:p>
            <w:pPr>
              <w:pStyle w:val="TableParagraph"/>
              <w:spacing w:line="234" w:lineRule="exact"/>
              <w:ind w:left="506" w:right="0"/>
              <w:jc w:val="left"/>
              <w:rPr>
                <w:rFonts w:ascii="宋体" w:hAnsi="宋体" w:cs="宋体" w:eastAsia="宋体" w:hint="default"/>
                <w:sz w:val="18"/>
                <w:szCs w:val="18"/>
              </w:rPr>
            </w:pPr>
            <w:r>
              <w:rPr>
                <w:rFonts w:ascii="宋体"/>
                <w:sz w:val="18"/>
              </w:rPr>
              <w:t>981.80</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tabs>
          <w:tab w:pos="1051" w:val="left" w:leader="none"/>
        </w:tabs>
        <w:spacing w:line="240" w:lineRule="auto" w:before="56"/>
        <w:ind w:left="0" w:right="227"/>
        <w:jc w:val="right"/>
      </w:pPr>
      <w:r>
        <w:rPr>
          <w:spacing w:val="-1"/>
        </w:rPr>
        <w:t>单位：元</w:t>
        <w:tab/>
      </w:r>
      <w:r>
        <w:rPr>
          <w:spacing w:val="-2"/>
        </w:rPr>
        <w:t>币种：人民币</w:t>
      </w:r>
    </w:p>
    <w:p>
      <w:pPr>
        <w:spacing w:after="0" w:line="240" w:lineRule="auto"/>
        <w:jc w:val="right"/>
        <w:sectPr>
          <w:type w:val="continuous"/>
          <w:pgSz w:w="11910" w:h="16840"/>
          <w:pgMar w:top="1280" w:bottom="1380" w:left="1580" w:right="1040"/>
        </w:sectPr>
      </w:pPr>
    </w:p>
    <w:p>
      <w:pPr>
        <w:spacing w:line="240" w:lineRule="auto" w:before="8"/>
        <w:rPr>
          <w:rFonts w:ascii="宋体" w:hAnsi="宋体" w:cs="宋体" w:eastAsia="宋体" w:hint="default"/>
          <w:sz w:val="12"/>
          <w:szCs w:val="12"/>
        </w:rPr>
      </w:pPr>
    </w:p>
    <w:p>
      <w:pPr>
        <w:pStyle w:val="BodyText"/>
        <w:spacing w:line="307" w:lineRule="auto" w:before="36"/>
        <w:ind w:left="638" w:right="250" w:hanging="420"/>
        <w:jc w:val="left"/>
      </w:pPr>
      <w:r>
        <w:rPr/>
        <w:t>说明商誉减值测试过程、参数及商誉减值损失的确认方法</w:t>
      </w:r>
      <w:r>
        <w:rPr>
          <w:w w:val="100"/>
        </w:rPr>
        <w:t> </w:t>
      </w:r>
      <w:r>
        <w:rPr>
          <w:spacing w:val="-2"/>
        </w:rPr>
        <w:t>报告期内已对因企业合并形成的商誉的账面价值自购买日起按照合理的方法分摊至相关的资</w:t>
      </w:r>
    </w:p>
    <w:p>
      <w:pPr>
        <w:pStyle w:val="BodyText"/>
        <w:spacing w:line="314" w:lineRule="auto" w:before="26"/>
        <w:ind w:left="218" w:right="250"/>
        <w:jc w:val="left"/>
      </w:pPr>
      <w:r>
        <w:rPr>
          <w:spacing w:val="-2"/>
        </w:rPr>
        <w:t>产组，并对包含商誉的相关资产组进行减值测试，经测试，未发现与商誉相关的资产组存在减值</w:t>
      </w:r>
      <w:r>
        <w:rPr>
          <w:spacing w:val="-25"/>
        </w:rPr>
        <w:t> </w:t>
      </w:r>
      <w:r>
        <w:rPr>
          <w:spacing w:val="-25"/>
        </w:rPr>
      </w:r>
      <w:r>
        <w:rPr/>
        <w:t>迹象，故不计提减值准备。</w:t>
      </w:r>
    </w:p>
    <w:p>
      <w:pPr>
        <w:pStyle w:val="Heading2"/>
        <w:spacing w:line="240" w:lineRule="auto" w:before="3"/>
        <w:ind w:right="2465"/>
        <w:jc w:val="left"/>
        <w:rPr>
          <w:b w:val="0"/>
          <w:bCs w:val="0"/>
        </w:rPr>
      </w:pPr>
      <w:r>
        <w:rPr>
          <w:rFonts w:ascii="宋体" w:hAnsi="宋体" w:cs="宋体" w:eastAsia="宋体" w:hint="default"/>
        </w:rPr>
        <w:t>15</w:t>
      </w:r>
      <w:r>
        <w:rPr/>
        <w:t>、</w:t>
      </w:r>
      <w:r>
        <w:rPr>
          <w:spacing w:val="-24"/>
        </w:rPr>
        <w:t> </w:t>
      </w:r>
      <w:r>
        <w:rPr/>
        <w:t>长期待摊费用</w:t>
      </w:r>
      <w:r>
        <w:rPr>
          <w:b w:val="0"/>
          <w:bCs w:val="0"/>
        </w:rPr>
      </w:r>
    </w:p>
    <w:p>
      <w:pPr>
        <w:pStyle w:val="BodyText"/>
        <w:spacing w:line="240" w:lineRule="auto" w:before="56"/>
        <w:ind w:left="218" w:right="2465"/>
        <w:jc w:val="left"/>
      </w:pPr>
      <w:r>
        <w:rPr/>
        <w:t>√适用</w:t>
      </w:r>
      <w:r>
        <w:rPr>
          <w:spacing w:val="-1"/>
        </w:rPr>
        <w:t> </w:t>
      </w:r>
      <w:r>
        <w:rPr/>
        <w:t>□不适用</w:t>
      </w:r>
    </w:p>
    <w:p>
      <w:pPr>
        <w:pStyle w:val="BodyText"/>
        <w:tabs>
          <w:tab w:pos="1051" w:val="left" w:leader="none"/>
        </w:tabs>
        <w:spacing w:line="274" w:lineRule="exact" w:before="0"/>
        <w:ind w:left="0" w:right="227"/>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8"/>
        <w:gridCol w:w="1498"/>
        <w:gridCol w:w="1520"/>
        <w:gridCol w:w="1591"/>
      </w:tblGrid>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9"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经营租入固</w:t>
            </w:r>
          </w:p>
          <w:p>
            <w:pPr>
              <w:pStyle w:val="TableParagraph"/>
              <w:spacing w:line="272" w:lineRule="exact" w:before="27"/>
              <w:ind w:left="103" w:right="278"/>
              <w:jc w:val="left"/>
              <w:rPr>
                <w:rFonts w:ascii="宋体" w:hAnsi="宋体" w:cs="宋体" w:eastAsia="宋体" w:hint="default"/>
                <w:sz w:val="21"/>
                <w:szCs w:val="21"/>
              </w:rPr>
            </w:pPr>
            <w:r>
              <w:rPr>
                <w:rFonts w:ascii="宋体" w:hAnsi="宋体" w:cs="宋体" w:eastAsia="宋体" w:hint="default"/>
                <w:sz w:val="21"/>
                <w:szCs w:val="21"/>
              </w:rPr>
              <w:t>定资产改良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支出</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4,824,658.54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663,899.12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4,160,759.42</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4,824,658.54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663,899.12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4,160,759.42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4"/>
          <w:pgSz w:w="11910" w:h="16840"/>
          <w:pgMar w:footer="1193" w:header="856" w:top="1280" w:bottom="1380" w:left="1580" w:right="1040"/>
          <w:pgNumType w:start="111"/>
        </w:sectPr>
      </w:pPr>
    </w:p>
    <w:p>
      <w:pPr>
        <w:pStyle w:val="Heading2"/>
        <w:spacing w:line="290" w:lineRule="auto"/>
        <w:ind w:right="-18"/>
        <w:jc w:val="left"/>
        <w:rPr>
          <w:b w:val="0"/>
          <w:bCs w:val="0"/>
        </w:rPr>
      </w:pPr>
      <w:r>
        <w:rPr>
          <w:rFonts w:ascii="宋体" w:hAnsi="宋体" w:cs="宋体" w:eastAsia="宋体" w:hint="default"/>
        </w:rPr>
        <w:t>16</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4"/>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3889" w:space="263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37"/>
        <w:gridCol w:w="1685"/>
        <w:gridCol w:w="1640"/>
        <w:gridCol w:w="1654"/>
        <w:gridCol w:w="1639"/>
      </w:tblGrid>
      <w:tr>
        <w:trPr>
          <w:trHeight w:val="295" w:hRule="exact"/>
        </w:trPr>
        <w:tc>
          <w:tcPr>
            <w:tcW w:w="243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37"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79,140,141.57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19,730,041.86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72,524,577.47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18,131,144.39</w:t>
            </w:r>
          </w:p>
        </w:tc>
      </w:tr>
      <w:tr>
        <w:trPr>
          <w:trHeight w:val="296"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646,486.40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161,621.60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1,493,036.66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373,259.17</w:t>
            </w:r>
          </w:p>
        </w:tc>
      </w:tr>
      <w:tr>
        <w:trPr>
          <w:trHeight w:val="29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2,082,271.20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520,567.80</w:t>
            </w:r>
          </w:p>
        </w:tc>
        <w:tc>
          <w:tcPr>
            <w:tcW w:w="1654"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17,780,288.16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4,445,072.04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17,780,288.16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4,445,072.04</w:t>
            </w:r>
          </w:p>
        </w:tc>
      </w:tr>
      <w:tr>
        <w:trPr>
          <w:trHeight w:val="29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超额奖励</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11,732,792.08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2,801,860.10</w:t>
            </w:r>
          </w:p>
        </w:tc>
        <w:tc>
          <w:tcPr>
            <w:tcW w:w="1654"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700,000.00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175,000.00</w:t>
            </w:r>
          </w:p>
        </w:tc>
        <w:tc>
          <w:tcPr>
            <w:tcW w:w="1654"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112,081,979.41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27,834,163.40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91,797,902.29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22,949,475.60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280" w:bottom="138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3336" w:space="3188"/>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1675"/>
        <w:gridCol w:w="1666"/>
        <w:gridCol w:w="1659"/>
        <w:gridCol w:w="1675"/>
      </w:tblGrid>
      <w:tr>
        <w:trPr>
          <w:trHeight w:val="295"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377" w:type="dxa"/>
            <w:vMerge/>
            <w:tcBorders>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125,000.00</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125,000.00</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280" w:bottom="138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8"/>
        <w:ind w:left="218" w:right="-18"/>
        <w:jc w:val="left"/>
      </w:pPr>
      <w:r>
        <w:rPr/>
        <w:t>□适用</w:t>
      </w:r>
      <w:r>
        <w:rPr>
          <w:spacing w:val="-1"/>
        </w:rPr>
        <w:t> </w:t>
      </w:r>
      <w:r>
        <w:rPr/>
        <w:t>√不适用</w:t>
      </w:r>
    </w:p>
    <w:p>
      <w:pPr>
        <w:pStyle w:val="Heading2"/>
        <w:spacing w:line="240" w:lineRule="auto" w:before="56"/>
        <w:ind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9"/>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5026" w:space="149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80"/>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6" w:lineRule="exact"/>
        <w:jc w:val="center"/>
        <w:rPr>
          <w:rFonts w:ascii="宋体" w:hAnsi="宋体" w:cs="宋体" w:eastAsia="宋体" w:hint="default"/>
          <w:sz w:val="21"/>
          <w:szCs w:val="21"/>
        </w:rPr>
        <w:sectPr>
          <w:type w:val="continuous"/>
          <w:pgSz w:w="11910" w:h="16840"/>
          <w:pgMar w:top="1280" w:bottom="1380" w:left="1580" w:right="1040"/>
        </w:sectPr>
      </w:pPr>
    </w:p>
    <w:p>
      <w:pPr>
        <w:spacing w:line="240" w:lineRule="auto" w:before="13"/>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80"/>
      </w:tblGrid>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45,646,706.53</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8,539,340.06</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127,873,287.79</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112,077,006.21</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173,519,994.32</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120,616,346.27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3" w:top="1280" w:bottom="1380" w:left="1580" w:right="1040"/>
        </w:sectPr>
      </w:pPr>
    </w:p>
    <w:p>
      <w:pPr>
        <w:pStyle w:val="Heading2"/>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5866" w:space="601"/>
            <w:col w:w="282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6"/>
        <w:gridCol w:w="2285"/>
        <w:gridCol w:w="2326"/>
        <w:gridCol w:w="2355"/>
      </w:tblGrid>
      <w:tr>
        <w:trPr>
          <w:trHeight w:val="295"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2,267,563.30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26,606,743.95</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26,606,743.95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32,016,715.55</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32,016,715.55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22,328,719.26</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22,328,719.26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23,925,508.52</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28,857,264.15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22,995,600.51</w:t>
            </w:r>
          </w:p>
        </w:tc>
        <w:tc>
          <w:tcPr>
            <w:tcW w:w="2326"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127,873,287.79</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112,077,006.21</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17</w:t>
      </w:r>
      <w:r>
        <w:rPr/>
        <w:t>、</w:t>
      </w:r>
      <w:r>
        <w:rPr>
          <w:spacing w:val="-24"/>
        </w:rPr>
        <w:t> </w:t>
      </w:r>
      <w:r>
        <w:rPr/>
        <w:t>其他非流动资产</w:t>
      </w:r>
      <w:r>
        <w:rPr>
          <w:b w:val="0"/>
          <w:bCs w:val="0"/>
        </w:rPr>
      </w:r>
    </w:p>
    <w:p>
      <w:pPr>
        <w:pStyle w:val="BodyText"/>
        <w:tabs>
          <w:tab w:pos="1051" w:val="left" w:leader="none"/>
        </w:tabs>
        <w:spacing w:line="240" w:lineRule="auto" w:before="58"/>
        <w:ind w:left="0" w:right="227"/>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18"/>
        <w:gridCol w:w="3080"/>
        <w:gridCol w:w="2998"/>
      </w:tblGrid>
      <w:tr>
        <w:trPr>
          <w:trHeight w:val="288"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预付长期资产款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1,609,531.81</w:t>
            </w:r>
          </w:p>
        </w:tc>
        <w:tc>
          <w:tcPr>
            <w:tcW w:w="29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1,609,531.81</w:t>
            </w:r>
          </w:p>
        </w:tc>
        <w:tc>
          <w:tcPr>
            <w:tcW w:w="299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280" w:bottom="1380" w:left="1580" w:right="1040"/>
        </w:sectPr>
      </w:pPr>
    </w:p>
    <w:p>
      <w:pPr>
        <w:pStyle w:val="Heading2"/>
        <w:spacing w:line="240" w:lineRule="auto"/>
        <w:ind w:right="0"/>
        <w:jc w:val="left"/>
        <w:rPr>
          <w:b w:val="0"/>
          <w:bCs w:val="0"/>
        </w:rPr>
      </w:pPr>
      <w:r>
        <w:rPr>
          <w:rFonts w:ascii="宋体" w:hAnsi="宋体" w:cs="宋体" w:eastAsia="宋体" w:hint="default"/>
        </w:rPr>
        <w:t>18</w:t>
      </w:r>
      <w:r>
        <w:rPr/>
        <w:t>、</w:t>
      </w:r>
      <w:r>
        <w:rPr>
          <w:spacing w:val="-25"/>
        </w:rPr>
        <w:t> </w:t>
      </w:r>
      <w:r>
        <w:rPr/>
        <w:t>短期借款</w:t>
      </w:r>
      <w:r>
        <w:rPr>
          <w:b w:val="0"/>
          <w:bCs w:val="0"/>
        </w:rPr>
      </w:r>
    </w:p>
    <w:p>
      <w:pPr>
        <w:tabs>
          <w:tab w:pos="849" w:val="left" w:leader="none"/>
        </w:tabs>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2117" w:space="4407"/>
            <w:col w:w="2766"/>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73"/>
        <w:gridCol w:w="3003"/>
        <w:gridCol w:w="3020"/>
      </w:tblGrid>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5"/>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02"/>
              <w:jc w:val="right"/>
              <w:rPr>
                <w:rFonts w:ascii="宋体" w:hAnsi="宋体" w:cs="宋体" w:eastAsia="宋体" w:hint="default"/>
                <w:sz w:val="18"/>
                <w:szCs w:val="18"/>
              </w:rPr>
            </w:pPr>
            <w:r>
              <w:rPr>
                <w:rFonts w:ascii="宋体"/>
                <w:spacing w:val="-1"/>
                <w:sz w:val="18"/>
              </w:rPr>
              <w:t>11,000,000.00</w:t>
            </w: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180,000,000.00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30,000,000.00</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733,000,000.00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630,000,000.00</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5"/>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924,000,000.00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660,000,000.00</w:t>
            </w:r>
          </w:p>
        </w:tc>
      </w:tr>
    </w:tbl>
    <w:p>
      <w:pPr>
        <w:pStyle w:val="BodyText"/>
        <w:spacing w:line="241" w:lineRule="exact" w:before="0"/>
        <w:ind w:left="218" w:right="2465"/>
        <w:jc w:val="left"/>
      </w:pPr>
      <w:r>
        <w:rPr/>
        <w:t>短期借款分类的说明：</w:t>
      </w:r>
    </w:p>
    <w:p>
      <w:pPr>
        <w:pStyle w:val="BodyText"/>
        <w:tabs>
          <w:tab w:pos="937" w:val="left" w:leader="none"/>
        </w:tabs>
        <w:spacing w:line="297" w:lineRule="auto" w:before="73"/>
        <w:ind w:left="938" w:right="250" w:hanging="720"/>
        <w:jc w:val="left"/>
      </w:pPr>
      <w:r>
        <w:rPr>
          <w:rFonts w:ascii="Times New Roman" w:hAnsi="Times New Roman" w:cs="Times New Roman" w:eastAsia="Times New Roman" w:hint="default"/>
        </w:rPr>
        <w:t>1</w:t>
      </w:r>
      <w:r>
        <w:rPr/>
        <w:t>）</w:t>
        <w:tab/>
      </w:r>
      <w:r>
        <w:rPr>
          <w:spacing w:val="-4"/>
        </w:rPr>
        <w:t>山东大王集团有限公司、山东科达集团有限公司为公司向中国银行股份有限公司广饶支行</w:t>
      </w:r>
      <w:r>
        <w:rPr>
          <w:spacing w:val="-31"/>
        </w:rPr>
        <w:t> </w:t>
      </w:r>
      <w:r>
        <w:rPr>
          <w:spacing w:val="-31"/>
        </w:rPr>
      </w:r>
      <w:r>
        <w:rPr/>
        <w:t>提供担保贷款</w:t>
      </w:r>
      <w:r>
        <w:rPr>
          <w:spacing w:val="-52"/>
        </w:rPr>
        <w:t> </w:t>
      </w:r>
      <w:r>
        <w:rPr>
          <w:rFonts w:ascii="宋体" w:hAnsi="宋体" w:cs="宋体" w:eastAsia="宋体" w:hint="default"/>
        </w:rPr>
        <w:t>100,000,000.00</w:t>
      </w:r>
      <w:r>
        <w:rPr>
          <w:rFonts w:ascii="宋体" w:hAnsi="宋体" w:cs="宋体" w:eastAsia="宋体" w:hint="default"/>
          <w:spacing w:val="-55"/>
        </w:rPr>
        <w:t> </w:t>
      </w:r>
      <w:r>
        <w:rPr/>
        <w:t>元。</w:t>
      </w:r>
    </w:p>
    <w:p>
      <w:pPr>
        <w:pStyle w:val="BodyText"/>
        <w:tabs>
          <w:tab w:pos="937" w:val="left" w:leader="none"/>
        </w:tabs>
        <w:spacing w:line="240" w:lineRule="auto" w:before="34"/>
        <w:ind w:left="218" w:right="119"/>
        <w:jc w:val="left"/>
      </w:pPr>
      <w:r>
        <w:rPr>
          <w:rFonts w:ascii="Times New Roman" w:hAnsi="Times New Roman" w:cs="Times New Roman" w:eastAsia="Times New Roman" w:hint="default"/>
        </w:rPr>
        <w:t>2</w:t>
      </w:r>
      <w:r>
        <w:rPr/>
        <w:t>）</w:t>
        <w:tab/>
        <w:t>金</w:t>
      </w:r>
      <w:r>
        <w:rPr>
          <w:spacing w:val="-76"/>
        </w:rPr>
        <w:t> </w:t>
      </w:r>
      <w:r>
        <w:rPr/>
        <w:t>宇</w:t>
      </w:r>
      <w:r>
        <w:rPr>
          <w:spacing w:val="-76"/>
        </w:rPr>
        <w:t> </w:t>
      </w:r>
      <w:r>
        <w:rPr/>
        <w:t>轮</w:t>
      </w:r>
      <w:r>
        <w:rPr>
          <w:spacing w:val="-76"/>
        </w:rPr>
        <w:t> </w:t>
      </w:r>
      <w:r>
        <w:rPr/>
        <w:t>胎</w:t>
      </w:r>
      <w:r>
        <w:rPr>
          <w:spacing w:val="-76"/>
        </w:rPr>
        <w:t> </w:t>
      </w:r>
      <w:r>
        <w:rPr/>
        <w:t>集</w:t>
      </w:r>
      <w:r>
        <w:rPr>
          <w:spacing w:val="-76"/>
        </w:rPr>
        <w:t> </w:t>
      </w:r>
      <w:r>
        <w:rPr/>
        <w:t>团</w:t>
      </w:r>
      <w:r>
        <w:rPr>
          <w:spacing w:val="-76"/>
        </w:rPr>
        <w:t> </w:t>
      </w:r>
      <w:r>
        <w:rPr/>
        <w:t>有</w:t>
      </w:r>
      <w:r>
        <w:rPr>
          <w:spacing w:val="-78"/>
        </w:rPr>
        <w:t> </w:t>
      </w:r>
      <w:r>
        <w:rPr/>
        <w:t>限</w:t>
      </w:r>
      <w:r>
        <w:rPr>
          <w:spacing w:val="-76"/>
        </w:rPr>
        <w:t> </w:t>
      </w:r>
      <w:r>
        <w:rPr/>
        <w:t>公</w:t>
      </w:r>
      <w:r>
        <w:rPr>
          <w:spacing w:val="-76"/>
        </w:rPr>
        <w:t> </w:t>
      </w:r>
      <w:r>
        <w:rPr/>
        <w:t>司</w:t>
      </w:r>
      <w:r>
        <w:rPr>
          <w:spacing w:val="-78"/>
        </w:rPr>
        <w:t> </w:t>
      </w:r>
      <w:r>
        <w:rPr/>
        <w:t>为</w:t>
      </w:r>
      <w:r>
        <w:rPr>
          <w:spacing w:val="-76"/>
        </w:rPr>
        <w:t> </w:t>
      </w:r>
      <w:r>
        <w:rPr/>
        <w:t>公</w:t>
      </w:r>
      <w:r>
        <w:rPr>
          <w:spacing w:val="-76"/>
        </w:rPr>
        <w:t> </w:t>
      </w:r>
      <w:r>
        <w:rPr/>
        <w:t>司</w:t>
      </w:r>
      <w:r>
        <w:rPr>
          <w:spacing w:val="-72"/>
        </w:rPr>
        <w:t> </w:t>
      </w:r>
      <w:r>
        <w:rPr/>
        <w:t>向</w:t>
      </w:r>
      <w:r>
        <w:rPr>
          <w:spacing w:val="-76"/>
        </w:rPr>
        <w:t> </w:t>
      </w:r>
      <w:r>
        <w:rPr/>
        <w:t>浦</w:t>
      </w:r>
      <w:r>
        <w:rPr>
          <w:spacing w:val="-76"/>
        </w:rPr>
        <w:t> </w:t>
      </w:r>
      <w:r>
        <w:rPr/>
        <w:t>发</w:t>
      </w:r>
      <w:r>
        <w:rPr>
          <w:spacing w:val="-76"/>
        </w:rPr>
        <w:t> </w:t>
      </w:r>
      <w:r>
        <w:rPr/>
        <w:t>银</w:t>
      </w:r>
      <w:r>
        <w:rPr>
          <w:spacing w:val="-78"/>
        </w:rPr>
        <w:t> </w:t>
      </w:r>
      <w:r>
        <w:rPr/>
        <w:t>行</w:t>
      </w:r>
      <w:r>
        <w:rPr>
          <w:spacing w:val="-76"/>
        </w:rPr>
        <w:t> </w:t>
      </w:r>
      <w:r>
        <w:rPr/>
        <w:t>股</w:t>
      </w:r>
      <w:r>
        <w:rPr>
          <w:spacing w:val="-76"/>
        </w:rPr>
        <w:t> </w:t>
      </w:r>
      <w:r>
        <w:rPr/>
        <w:t>份</w:t>
      </w:r>
      <w:r>
        <w:rPr>
          <w:spacing w:val="-78"/>
        </w:rPr>
        <w:t> </w:t>
      </w:r>
      <w:r>
        <w:rPr/>
        <w:t>有</w:t>
      </w:r>
      <w:r>
        <w:rPr>
          <w:spacing w:val="-76"/>
        </w:rPr>
        <w:t> </w:t>
      </w:r>
      <w:r>
        <w:rPr/>
        <w:t>限</w:t>
      </w:r>
      <w:r>
        <w:rPr>
          <w:spacing w:val="-76"/>
        </w:rPr>
        <w:t> </w:t>
      </w:r>
      <w:r>
        <w:rPr/>
        <w:t>公</w:t>
      </w:r>
      <w:r>
        <w:rPr>
          <w:spacing w:val="-76"/>
        </w:rPr>
        <w:t> </w:t>
      </w:r>
      <w:r>
        <w:rPr/>
        <w:t>司</w:t>
      </w:r>
      <w:r>
        <w:rPr>
          <w:spacing w:val="-76"/>
        </w:rPr>
        <w:t> </w:t>
      </w:r>
      <w:r>
        <w:rPr/>
        <w:t>广</w:t>
      </w:r>
      <w:r>
        <w:rPr>
          <w:spacing w:val="-76"/>
        </w:rPr>
        <w:t> </w:t>
      </w:r>
      <w:r>
        <w:rPr/>
        <w:t>饶</w:t>
      </w:r>
      <w:r>
        <w:rPr>
          <w:spacing w:val="-76"/>
        </w:rPr>
        <w:t> </w:t>
      </w:r>
      <w:r>
        <w:rPr/>
        <w:t>支</w:t>
      </w:r>
      <w:r>
        <w:rPr>
          <w:spacing w:val="-78"/>
        </w:rPr>
        <w:t> </w:t>
      </w:r>
      <w:r>
        <w:rPr/>
        <w:t>行</w:t>
      </w:r>
      <w:r>
        <w:rPr>
          <w:spacing w:val="-76"/>
        </w:rPr>
        <w:t> </w:t>
      </w:r>
      <w:r>
        <w:rPr/>
        <w:t>提</w:t>
      </w:r>
      <w:r>
        <w:rPr>
          <w:spacing w:val="-76"/>
        </w:rPr>
        <w:t> </w:t>
      </w:r>
      <w:r>
        <w:rPr/>
        <w:t>供</w:t>
      </w:r>
      <w:r>
        <w:rPr>
          <w:spacing w:val="-73"/>
        </w:rPr>
        <w:t> </w:t>
      </w:r>
      <w:r>
        <w:rPr>
          <w:spacing w:val="20"/>
        </w:rPr>
        <w:t>保证贷款</w:t>
      </w:r>
      <w:r>
        <w:rPr>
          <w:spacing w:val="-77"/>
        </w:rPr>
        <w:t> </w:t>
      </w:r>
      <w:r>
        <w:rPr/>
      </w:r>
    </w:p>
    <w:p>
      <w:pPr>
        <w:pStyle w:val="BodyText"/>
        <w:spacing w:line="240" w:lineRule="auto" w:before="69"/>
        <w:ind w:left="938" w:right="2465"/>
        <w:jc w:val="left"/>
      </w:pPr>
      <w:r>
        <w:rPr>
          <w:rFonts w:ascii="宋体" w:hAnsi="宋体" w:cs="宋体" w:eastAsia="宋体" w:hint="default"/>
        </w:rPr>
        <w:t>60,000,000.00</w:t>
      </w:r>
      <w:r>
        <w:rPr>
          <w:rFonts w:ascii="宋体" w:hAnsi="宋体" w:cs="宋体" w:eastAsia="宋体" w:hint="default"/>
          <w:spacing w:val="-51"/>
        </w:rPr>
        <w:t> </w:t>
      </w:r>
      <w:r>
        <w:rPr/>
        <w:t>元。</w:t>
      </w:r>
    </w:p>
    <w:p>
      <w:pPr>
        <w:pStyle w:val="BodyText"/>
        <w:tabs>
          <w:tab w:pos="937" w:val="left" w:leader="none"/>
        </w:tabs>
        <w:spacing w:line="240" w:lineRule="auto" w:before="85"/>
        <w:ind w:left="218" w:right="250"/>
        <w:jc w:val="left"/>
      </w:pPr>
      <w:r>
        <w:rPr>
          <w:rFonts w:ascii="Times New Roman" w:hAnsi="Times New Roman" w:cs="Times New Roman" w:eastAsia="Times New Roman" w:hint="default"/>
        </w:rPr>
        <w:t>3</w:t>
      </w:r>
      <w:r>
        <w:rPr/>
        <w:t>）</w:t>
        <w:tab/>
      </w:r>
      <w:r>
        <w:rPr>
          <w:spacing w:val="13"/>
        </w:rPr>
        <w:t>山东金岭化工股份有限公司为公司向农业银行股份有限公司大王支行提供保证贷款</w:t>
      </w:r>
    </w:p>
    <w:p>
      <w:pPr>
        <w:pStyle w:val="BodyText"/>
        <w:spacing w:line="240" w:lineRule="auto" w:before="69"/>
        <w:ind w:left="938" w:right="2465"/>
        <w:jc w:val="left"/>
      </w:pPr>
      <w:r>
        <w:rPr>
          <w:rFonts w:ascii="宋体" w:hAnsi="宋体" w:cs="宋体" w:eastAsia="宋体" w:hint="default"/>
        </w:rPr>
        <w:t>150,000,000.00</w:t>
      </w:r>
      <w:r>
        <w:rPr>
          <w:rFonts w:ascii="宋体" w:hAnsi="宋体" w:cs="宋体" w:eastAsia="宋体" w:hint="default"/>
          <w:spacing w:val="-51"/>
        </w:rPr>
        <w:t> </w:t>
      </w:r>
      <w:r>
        <w:rPr>
          <w:spacing w:val="-3"/>
        </w:rPr>
        <w:t>元。</w:t>
      </w:r>
      <w:r>
        <w:rPr/>
      </w:r>
    </w:p>
    <w:p>
      <w:pPr>
        <w:pStyle w:val="BodyText"/>
        <w:tabs>
          <w:tab w:pos="937" w:val="left" w:leader="none"/>
        </w:tabs>
        <w:spacing w:line="240" w:lineRule="auto" w:before="85"/>
        <w:ind w:left="218" w:right="119"/>
        <w:jc w:val="left"/>
      </w:pPr>
      <w:r>
        <w:rPr>
          <w:rFonts w:ascii="Times New Roman" w:hAnsi="Times New Roman" w:cs="Times New Roman" w:eastAsia="Times New Roman" w:hint="default"/>
        </w:rPr>
        <w:t>4</w:t>
      </w:r>
      <w:r>
        <w:rPr/>
        <w:t>）</w:t>
        <w:tab/>
        <w:t>信</w:t>
      </w:r>
      <w:r>
        <w:rPr>
          <w:spacing w:val="-76"/>
        </w:rPr>
        <w:t> </w:t>
      </w:r>
      <w:r>
        <w:rPr/>
        <w:t>义</w:t>
      </w:r>
      <w:r>
        <w:rPr>
          <w:spacing w:val="-76"/>
        </w:rPr>
        <w:t> </w:t>
      </w:r>
      <w:r>
        <w:rPr/>
        <w:t>集</w:t>
      </w:r>
      <w:r>
        <w:rPr>
          <w:spacing w:val="-76"/>
        </w:rPr>
        <w:t> </w:t>
      </w:r>
      <w:r>
        <w:rPr/>
        <w:t>团</w:t>
      </w:r>
      <w:r>
        <w:rPr>
          <w:spacing w:val="-76"/>
        </w:rPr>
        <w:t> </w:t>
      </w:r>
      <w:r>
        <w:rPr/>
        <w:t>公</w:t>
      </w:r>
      <w:r>
        <w:rPr>
          <w:spacing w:val="-76"/>
        </w:rPr>
        <w:t> </w:t>
      </w:r>
      <w:r>
        <w:rPr/>
        <w:t>司</w:t>
      </w:r>
      <w:r>
        <w:rPr>
          <w:spacing w:val="-76"/>
        </w:rPr>
        <w:t> </w:t>
      </w:r>
      <w:r>
        <w:rPr/>
        <w:t>为</w:t>
      </w:r>
      <w:r>
        <w:rPr>
          <w:spacing w:val="-78"/>
        </w:rPr>
        <w:t> </w:t>
      </w:r>
      <w:r>
        <w:rPr/>
        <w:t>公</w:t>
      </w:r>
      <w:r>
        <w:rPr>
          <w:spacing w:val="-76"/>
        </w:rPr>
        <w:t> </w:t>
      </w:r>
      <w:r>
        <w:rPr/>
        <w:t>司</w:t>
      </w:r>
      <w:r>
        <w:rPr>
          <w:spacing w:val="-73"/>
        </w:rPr>
        <w:t> </w:t>
      </w:r>
      <w:r>
        <w:rPr/>
        <w:t>向</w:t>
      </w:r>
      <w:r>
        <w:rPr>
          <w:spacing w:val="-78"/>
        </w:rPr>
        <w:t> </w:t>
      </w:r>
      <w:r>
        <w:rPr/>
        <w:t>华</w:t>
      </w:r>
      <w:r>
        <w:rPr>
          <w:spacing w:val="-76"/>
        </w:rPr>
        <w:t> </w:t>
      </w:r>
      <w:r>
        <w:rPr/>
        <w:t>夏</w:t>
      </w:r>
      <w:r>
        <w:rPr>
          <w:spacing w:val="-76"/>
        </w:rPr>
        <w:t> </w:t>
      </w:r>
      <w:r>
        <w:rPr/>
        <w:t>银</w:t>
      </w:r>
      <w:r>
        <w:rPr>
          <w:spacing w:val="-76"/>
        </w:rPr>
        <w:t> </w:t>
      </w:r>
      <w:r>
        <w:rPr/>
        <w:t>行</w:t>
      </w:r>
      <w:r>
        <w:rPr>
          <w:spacing w:val="-76"/>
        </w:rPr>
        <w:t> </w:t>
      </w:r>
      <w:r>
        <w:rPr/>
        <w:t>股</w:t>
      </w:r>
      <w:r>
        <w:rPr>
          <w:spacing w:val="-76"/>
        </w:rPr>
        <w:t> </w:t>
      </w:r>
      <w:r>
        <w:rPr/>
        <w:t>份</w:t>
      </w:r>
      <w:r>
        <w:rPr>
          <w:spacing w:val="-76"/>
        </w:rPr>
        <w:t> </w:t>
      </w:r>
      <w:r>
        <w:rPr/>
        <w:t>有</w:t>
      </w:r>
      <w:r>
        <w:rPr>
          <w:spacing w:val="-78"/>
        </w:rPr>
        <w:t> </w:t>
      </w:r>
      <w:r>
        <w:rPr/>
        <w:t>限</w:t>
      </w:r>
      <w:r>
        <w:rPr>
          <w:spacing w:val="-76"/>
        </w:rPr>
        <w:t> </w:t>
      </w:r>
      <w:r>
        <w:rPr/>
        <w:t>公</w:t>
      </w:r>
      <w:r>
        <w:rPr>
          <w:spacing w:val="-76"/>
        </w:rPr>
        <w:t> </w:t>
      </w:r>
      <w:r>
        <w:rPr/>
        <w:t>司</w:t>
      </w:r>
      <w:r>
        <w:rPr>
          <w:spacing w:val="-78"/>
        </w:rPr>
        <w:t> </w:t>
      </w:r>
      <w:r>
        <w:rPr/>
        <w:t>青</w:t>
      </w:r>
      <w:r>
        <w:rPr>
          <w:spacing w:val="-76"/>
        </w:rPr>
        <w:t> </w:t>
      </w:r>
      <w:r>
        <w:rPr/>
        <w:t>岛</w:t>
      </w:r>
      <w:r>
        <w:rPr>
          <w:spacing w:val="-76"/>
        </w:rPr>
        <w:t> </w:t>
      </w:r>
      <w:r>
        <w:rPr/>
        <w:t>福</w:t>
      </w:r>
      <w:r>
        <w:rPr>
          <w:spacing w:val="-76"/>
        </w:rPr>
        <w:t> </w:t>
      </w:r>
      <w:r>
        <w:rPr/>
        <w:t>州</w:t>
      </w:r>
      <w:r>
        <w:rPr>
          <w:spacing w:val="-76"/>
        </w:rPr>
        <w:t> </w:t>
      </w:r>
      <w:r>
        <w:rPr/>
        <w:t>南</w:t>
      </w:r>
      <w:r>
        <w:rPr>
          <w:spacing w:val="-76"/>
        </w:rPr>
        <w:t> </w:t>
      </w:r>
      <w:r>
        <w:rPr/>
        <w:t>路</w:t>
      </w:r>
      <w:r>
        <w:rPr>
          <w:spacing w:val="-76"/>
        </w:rPr>
        <w:t> </w:t>
      </w:r>
      <w:r>
        <w:rPr/>
        <w:t>支</w:t>
      </w:r>
      <w:r>
        <w:rPr>
          <w:spacing w:val="-78"/>
        </w:rPr>
        <w:t> </w:t>
      </w:r>
      <w:r>
        <w:rPr/>
        <w:t>行</w:t>
      </w:r>
      <w:r>
        <w:rPr>
          <w:spacing w:val="-76"/>
        </w:rPr>
        <w:t> </w:t>
      </w:r>
      <w:r>
        <w:rPr/>
        <w:t>提</w:t>
      </w:r>
      <w:r>
        <w:rPr>
          <w:spacing w:val="-76"/>
        </w:rPr>
        <w:t> </w:t>
      </w:r>
      <w:r>
        <w:rPr/>
        <w:t>供</w:t>
      </w:r>
      <w:r>
        <w:rPr>
          <w:spacing w:val="-72"/>
        </w:rPr>
        <w:t> </w:t>
      </w:r>
      <w:r>
        <w:rPr>
          <w:spacing w:val="20"/>
        </w:rPr>
        <w:t>保证贷款</w:t>
      </w:r>
      <w:r>
        <w:rPr>
          <w:spacing w:val="-77"/>
        </w:rPr>
        <w:t> </w:t>
      </w:r>
      <w:r>
        <w:rPr/>
      </w:r>
    </w:p>
    <w:p>
      <w:pPr>
        <w:pStyle w:val="BodyText"/>
        <w:spacing w:line="240" w:lineRule="auto" w:before="69"/>
        <w:ind w:left="938" w:right="2465"/>
        <w:jc w:val="left"/>
      </w:pPr>
      <w:r>
        <w:rPr>
          <w:rFonts w:ascii="宋体" w:hAnsi="宋体" w:cs="宋体" w:eastAsia="宋体" w:hint="default"/>
        </w:rPr>
        <w:t>55,000,000.00</w:t>
      </w:r>
      <w:r>
        <w:rPr>
          <w:rFonts w:ascii="宋体" w:hAnsi="宋体" w:cs="宋体" w:eastAsia="宋体" w:hint="default"/>
          <w:spacing w:val="-51"/>
        </w:rPr>
        <w:t> </w:t>
      </w:r>
      <w:r>
        <w:rPr/>
        <w:t>元。</w:t>
      </w:r>
    </w:p>
    <w:p>
      <w:pPr>
        <w:pStyle w:val="BodyText"/>
        <w:tabs>
          <w:tab w:pos="937" w:val="left" w:leader="none"/>
        </w:tabs>
        <w:spacing w:line="240" w:lineRule="auto" w:before="85"/>
        <w:ind w:left="218" w:right="119"/>
        <w:jc w:val="left"/>
      </w:pPr>
      <w:r>
        <w:rPr>
          <w:rFonts w:ascii="Times New Roman" w:hAnsi="Times New Roman" w:cs="Times New Roman" w:eastAsia="Times New Roman" w:hint="default"/>
        </w:rPr>
        <w:t>5</w:t>
      </w:r>
      <w:r>
        <w:rPr/>
        <w:t>）</w:t>
        <w:tab/>
        <w:t>山</w:t>
      </w:r>
      <w:r>
        <w:rPr>
          <w:spacing w:val="-76"/>
        </w:rPr>
        <w:t> </w:t>
      </w:r>
      <w:r>
        <w:rPr/>
        <w:t>东</w:t>
      </w:r>
      <w:r>
        <w:rPr>
          <w:spacing w:val="-76"/>
        </w:rPr>
        <w:t> </w:t>
      </w:r>
      <w:r>
        <w:rPr/>
        <w:t>金</w:t>
      </w:r>
      <w:r>
        <w:rPr>
          <w:spacing w:val="-76"/>
        </w:rPr>
        <w:t> </w:t>
      </w:r>
      <w:r>
        <w:rPr/>
        <w:t>岭</w:t>
      </w:r>
      <w:r>
        <w:rPr>
          <w:spacing w:val="-76"/>
        </w:rPr>
        <w:t> </w:t>
      </w:r>
      <w:r>
        <w:rPr/>
        <w:t>集</w:t>
      </w:r>
      <w:r>
        <w:rPr>
          <w:spacing w:val="-76"/>
        </w:rPr>
        <w:t> </w:t>
      </w:r>
      <w:r>
        <w:rPr/>
        <w:t>团</w:t>
      </w:r>
      <w:r>
        <w:rPr>
          <w:spacing w:val="-76"/>
        </w:rPr>
        <w:t> </w:t>
      </w:r>
      <w:r>
        <w:rPr/>
        <w:t>有</w:t>
      </w:r>
      <w:r>
        <w:rPr>
          <w:spacing w:val="-78"/>
        </w:rPr>
        <w:t> </w:t>
      </w:r>
      <w:r>
        <w:rPr/>
        <w:t>限</w:t>
      </w:r>
      <w:r>
        <w:rPr>
          <w:spacing w:val="-76"/>
        </w:rPr>
        <w:t> </w:t>
      </w:r>
      <w:r>
        <w:rPr/>
        <w:t>公</w:t>
      </w:r>
      <w:r>
        <w:rPr>
          <w:spacing w:val="-76"/>
        </w:rPr>
        <w:t> </w:t>
      </w:r>
      <w:r>
        <w:rPr/>
        <w:t>司</w:t>
      </w:r>
      <w:r>
        <w:rPr>
          <w:spacing w:val="-78"/>
        </w:rPr>
        <w:t> </w:t>
      </w:r>
      <w:r>
        <w:rPr/>
        <w:t>为</w:t>
      </w:r>
      <w:r>
        <w:rPr>
          <w:spacing w:val="-76"/>
        </w:rPr>
        <w:t> </w:t>
      </w:r>
      <w:r>
        <w:rPr/>
        <w:t>公</w:t>
      </w:r>
      <w:r>
        <w:rPr>
          <w:spacing w:val="-76"/>
        </w:rPr>
        <w:t> </w:t>
      </w:r>
      <w:r>
        <w:rPr/>
        <w:t>司</w:t>
      </w:r>
      <w:r>
        <w:rPr>
          <w:spacing w:val="-72"/>
        </w:rPr>
        <w:t> </w:t>
      </w:r>
      <w:r>
        <w:rPr/>
        <w:t>向</w:t>
      </w:r>
      <w:r>
        <w:rPr>
          <w:spacing w:val="-76"/>
        </w:rPr>
        <w:t> </w:t>
      </w:r>
      <w:r>
        <w:rPr/>
        <w:t>工</w:t>
      </w:r>
      <w:r>
        <w:rPr>
          <w:spacing w:val="-76"/>
        </w:rPr>
        <w:t> </w:t>
      </w:r>
      <w:r>
        <w:rPr/>
        <w:t>商</w:t>
      </w:r>
      <w:r>
        <w:rPr>
          <w:spacing w:val="-76"/>
        </w:rPr>
        <w:t> </w:t>
      </w:r>
      <w:r>
        <w:rPr/>
        <w:t>银</w:t>
      </w:r>
      <w:r>
        <w:rPr>
          <w:spacing w:val="-78"/>
        </w:rPr>
        <w:t> </w:t>
      </w:r>
      <w:r>
        <w:rPr/>
        <w:t>行</w:t>
      </w:r>
      <w:r>
        <w:rPr>
          <w:spacing w:val="-76"/>
        </w:rPr>
        <w:t> </w:t>
      </w:r>
      <w:r>
        <w:rPr/>
        <w:t>股</w:t>
      </w:r>
      <w:r>
        <w:rPr>
          <w:spacing w:val="-76"/>
        </w:rPr>
        <w:t> </w:t>
      </w:r>
      <w:r>
        <w:rPr/>
        <w:t>份</w:t>
      </w:r>
      <w:r>
        <w:rPr>
          <w:spacing w:val="-78"/>
        </w:rPr>
        <w:t> </w:t>
      </w:r>
      <w:r>
        <w:rPr/>
        <w:t>有</w:t>
      </w:r>
      <w:r>
        <w:rPr>
          <w:spacing w:val="-76"/>
        </w:rPr>
        <w:t> </w:t>
      </w:r>
      <w:r>
        <w:rPr/>
        <w:t>限</w:t>
      </w:r>
      <w:r>
        <w:rPr>
          <w:spacing w:val="-76"/>
        </w:rPr>
        <w:t> </w:t>
      </w:r>
      <w:r>
        <w:rPr/>
        <w:t>公</w:t>
      </w:r>
      <w:r>
        <w:rPr>
          <w:spacing w:val="-76"/>
        </w:rPr>
        <w:t> </w:t>
      </w:r>
      <w:r>
        <w:rPr/>
        <w:t>司</w:t>
      </w:r>
      <w:r>
        <w:rPr>
          <w:spacing w:val="-76"/>
        </w:rPr>
        <w:t> </w:t>
      </w:r>
      <w:r>
        <w:rPr/>
        <w:t>广</w:t>
      </w:r>
      <w:r>
        <w:rPr>
          <w:spacing w:val="-76"/>
        </w:rPr>
        <w:t> </w:t>
      </w:r>
      <w:r>
        <w:rPr/>
        <w:t>饶</w:t>
      </w:r>
      <w:r>
        <w:rPr>
          <w:spacing w:val="-76"/>
        </w:rPr>
        <w:t> </w:t>
      </w:r>
      <w:r>
        <w:rPr/>
        <w:t>支</w:t>
      </w:r>
      <w:r>
        <w:rPr>
          <w:spacing w:val="-78"/>
        </w:rPr>
        <w:t> </w:t>
      </w:r>
      <w:r>
        <w:rPr/>
        <w:t>行</w:t>
      </w:r>
      <w:r>
        <w:rPr>
          <w:spacing w:val="-76"/>
        </w:rPr>
        <w:t> </w:t>
      </w:r>
      <w:r>
        <w:rPr/>
        <w:t>提</w:t>
      </w:r>
      <w:r>
        <w:rPr>
          <w:spacing w:val="-76"/>
        </w:rPr>
        <w:t> </w:t>
      </w:r>
      <w:r>
        <w:rPr/>
        <w:t>供</w:t>
      </w:r>
      <w:r>
        <w:rPr>
          <w:spacing w:val="-73"/>
        </w:rPr>
        <w:t> </w:t>
      </w:r>
      <w:r>
        <w:rPr>
          <w:spacing w:val="20"/>
        </w:rPr>
        <w:t>保证贷款</w:t>
      </w:r>
      <w:r>
        <w:rPr>
          <w:spacing w:val="-77"/>
        </w:rPr>
        <w:t> </w:t>
      </w:r>
      <w:r>
        <w:rPr/>
      </w:r>
    </w:p>
    <w:p>
      <w:pPr>
        <w:pStyle w:val="BodyText"/>
        <w:spacing w:line="240" w:lineRule="auto" w:before="69"/>
        <w:ind w:left="938" w:right="2465"/>
        <w:jc w:val="left"/>
      </w:pPr>
      <w:r>
        <w:rPr>
          <w:rFonts w:ascii="宋体" w:hAnsi="宋体" w:cs="宋体" w:eastAsia="宋体" w:hint="default"/>
        </w:rPr>
        <w:t>63,000,000.00</w:t>
      </w:r>
      <w:r>
        <w:rPr>
          <w:rFonts w:ascii="宋体" w:hAnsi="宋体" w:cs="宋体" w:eastAsia="宋体" w:hint="default"/>
          <w:spacing w:val="-51"/>
        </w:rPr>
        <w:t> </w:t>
      </w:r>
      <w:r>
        <w:rPr/>
        <w:t>元。</w:t>
      </w:r>
    </w:p>
    <w:p>
      <w:pPr>
        <w:pStyle w:val="BodyText"/>
        <w:tabs>
          <w:tab w:pos="937" w:val="left" w:leader="none"/>
        </w:tabs>
        <w:spacing w:line="240" w:lineRule="auto" w:before="85"/>
        <w:ind w:left="218" w:right="250"/>
        <w:jc w:val="left"/>
      </w:pPr>
      <w:r>
        <w:rPr>
          <w:rFonts w:ascii="Times New Roman" w:hAnsi="Times New Roman" w:cs="Times New Roman" w:eastAsia="Times New Roman" w:hint="default"/>
        </w:rPr>
        <w:t>6</w:t>
      </w:r>
      <w:r>
        <w:rPr/>
        <w:t>）</w:t>
        <w:tab/>
      </w:r>
      <w:r>
        <w:rPr>
          <w:spacing w:val="-4"/>
        </w:rPr>
        <w:t>山东金岭集团有限公司、山东科达集团有限公司为公司向建设银行股份有限公司大王支行</w:t>
      </w:r>
    </w:p>
    <w:p>
      <w:pPr>
        <w:spacing w:after="0" w:line="240" w:lineRule="auto"/>
        <w:jc w:val="left"/>
        <w:sectPr>
          <w:type w:val="continuous"/>
          <w:pgSz w:w="11910" w:h="16840"/>
          <w:pgMar w:top="1280" w:bottom="1380" w:left="1580" w:right="1040"/>
        </w:sectPr>
      </w:pPr>
    </w:p>
    <w:p>
      <w:pPr>
        <w:spacing w:line="240" w:lineRule="auto" w:before="7"/>
        <w:rPr>
          <w:rFonts w:ascii="宋体" w:hAnsi="宋体" w:cs="宋体" w:eastAsia="宋体" w:hint="default"/>
          <w:sz w:val="18"/>
          <w:szCs w:val="18"/>
        </w:rPr>
      </w:pPr>
    </w:p>
    <w:p>
      <w:pPr>
        <w:pStyle w:val="BodyText"/>
        <w:spacing w:line="240" w:lineRule="auto" w:before="36"/>
        <w:ind w:left="938" w:right="2465"/>
        <w:jc w:val="left"/>
      </w:pPr>
      <w:r>
        <w:rPr/>
        <w:t>提供保证贷款</w:t>
      </w:r>
      <w:r>
        <w:rPr>
          <w:spacing w:val="-52"/>
        </w:rPr>
        <w:t> </w:t>
      </w:r>
      <w:r>
        <w:rPr>
          <w:rFonts w:ascii="宋体" w:hAnsi="宋体" w:cs="宋体" w:eastAsia="宋体" w:hint="default"/>
        </w:rPr>
        <w:t>150,000,000.00</w:t>
      </w:r>
      <w:r>
        <w:rPr>
          <w:rFonts w:ascii="宋体" w:hAnsi="宋体" w:cs="宋体" w:eastAsia="宋体" w:hint="default"/>
          <w:spacing w:val="-55"/>
        </w:rPr>
        <w:t> </w:t>
      </w:r>
      <w:r>
        <w:rPr/>
        <w:t>元。</w:t>
      </w:r>
    </w:p>
    <w:p>
      <w:pPr>
        <w:pStyle w:val="BodyText"/>
        <w:tabs>
          <w:tab w:pos="937" w:val="left" w:leader="none"/>
        </w:tabs>
        <w:spacing w:line="297" w:lineRule="auto" w:before="85"/>
        <w:ind w:left="938" w:right="250" w:hanging="720"/>
        <w:jc w:val="left"/>
      </w:pPr>
      <w:r>
        <w:rPr>
          <w:rFonts w:ascii="Times New Roman" w:hAnsi="Times New Roman" w:cs="Times New Roman" w:eastAsia="Times New Roman" w:hint="default"/>
        </w:rPr>
        <w:t>7</w:t>
      </w:r>
      <w:r>
        <w:rPr/>
        <w:t>）</w:t>
        <w:tab/>
      </w:r>
      <w:r>
        <w:rPr>
          <w:spacing w:val="-4"/>
        </w:rPr>
        <w:t>山东金岭集团有限公司、信义集团公司、山东科达集团有限公司为公司向广发银行济南分</w:t>
      </w:r>
      <w:r>
        <w:rPr>
          <w:spacing w:val="-29"/>
        </w:rPr>
        <w:t> </w:t>
      </w:r>
      <w:r>
        <w:rPr>
          <w:spacing w:val="-29"/>
        </w:rPr>
      </w:r>
      <w:r>
        <w:rPr/>
        <w:t>行提供担保贷款</w:t>
      </w:r>
      <w:r>
        <w:rPr>
          <w:spacing w:val="-52"/>
        </w:rPr>
        <w:t> </w:t>
      </w:r>
      <w:r>
        <w:rPr>
          <w:rFonts w:ascii="宋体" w:hAnsi="宋体" w:cs="宋体" w:eastAsia="宋体" w:hint="default"/>
        </w:rPr>
        <w:t>50,000,000.00</w:t>
      </w:r>
      <w:r>
        <w:rPr>
          <w:rFonts w:ascii="宋体" w:hAnsi="宋体" w:cs="宋体" w:eastAsia="宋体" w:hint="default"/>
          <w:spacing w:val="-55"/>
        </w:rPr>
        <w:t> </w:t>
      </w:r>
      <w:r>
        <w:rPr/>
        <w:t>元。</w:t>
      </w:r>
    </w:p>
    <w:p>
      <w:pPr>
        <w:pStyle w:val="BodyText"/>
        <w:tabs>
          <w:tab w:pos="937" w:val="left" w:leader="none"/>
        </w:tabs>
        <w:spacing w:line="297" w:lineRule="auto" w:before="34"/>
        <w:ind w:left="938" w:right="230" w:hanging="720"/>
        <w:jc w:val="left"/>
      </w:pPr>
      <w:r>
        <w:rPr>
          <w:rFonts w:ascii="Times New Roman" w:hAnsi="Times New Roman" w:cs="Times New Roman" w:eastAsia="Times New Roman" w:hint="default"/>
        </w:rPr>
        <w:t>8</w:t>
      </w:r>
      <w:r>
        <w:rPr/>
        <w:t>）</w:t>
        <w:tab/>
      </w:r>
      <w:r>
        <w:rPr>
          <w:spacing w:val="2"/>
        </w:rPr>
        <w:t>山东金岭集团有限公司为公司向青岛银行宁夏路支行提供担保贷款 </w:t>
      </w:r>
      <w:r>
        <w:rPr>
          <w:rFonts w:ascii="宋体" w:hAnsi="宋体" w:cs="宋体" w:eastAsia="宋体" w:hint="default"/>
        </w:rPr>
        <w:t>30,000,000.00</w:t>
      </w:r>
      <w:r>
        <w:rPr>
          <w:rFonts w:ascii="宋体" w:hAnsi="宋体" w:cs="宋体" w:eastAsia="宋体" w:hint="default"/>
          <w:spacing w:val="63"/>
        </w:rPr>
        <w:t> </w:t>
      </w:r>
      <w:r>
        <w:rPr/>
        <w:t>元</w:t>
      </w:r>
      <w:r>
        <w:rPr>
          <w:rFonts w:ascii="宋体" w:hAnsi="宋体" w:cs="宋体" w:eastAsia="宋体" w:hint="default"/>
        </w:rPr>
        <w:t>,</w:t>
      </w:r>
      <w:r>
        <w:rPr>
          <w:rFonts w:ascii="宋体" w:hAnsi="宋体" w:cs="宋体" w:eastAsia="宋体" w:hint="default"/>
          <w:w w:val="100"/>
        </w:rPr>
        <w:t> </w:t>
      </w:r>
      <w:r>
        <w:rPr/>
        <w:t>同时青岛科达置业有限公司为此笔贷款提供土地抵押，土地原值</w:t>
      </w:r>
      <w:r>
        <w:rPr>
          <w:spacing w:val="-55"/>
        </w:rPr>
        <w:t> </w:t>
      </w:r>
      <w:r>
        <w:rPr>
          <w:rFonts w:ascii="宋体" w:hAnsi="宋体" w:cs="宋体" w:eastAsia="宋体" w:hint="default"/>
        </w:rPr>
        <w:t>170,676,427.10</w:t>
      </w:r>
      <w:r>
        <w:rPr>
          <w:rFonts w:ascii="宋体" w:hAnsi="宋体" w:cs="宋体" w:eastAsia="宋体" w:hint="default"/>
          <w:spacing w:val="-57"/>
        </w:rPr>
        <w:t> </w:t>
      </w:r>
      <w:r>
        <w:rPr/>
        <w:t>元。</w:t>
      </w:r>
    </w:p>
    <w:p>
      <w:pPr>
        <w:pStyle w:val="BodyText"/>
        <w:tabs>
          <w:tab w:pos="851" w:val="left" w:leader="none"/>
        </w:tabs>
        <w:spacing w:line="240" w:lineRule="auto" w:before="34"/>
        <w:ind w:left="218" w:right="119"/>
        <w:jc w:val="left"/>
      </w:pPr>
      <w:r>
        <w:rPr>
          <w:rFonts w:ascii="宋体" w:hAnsi="宋体" w:cs="宋体" w:eastAsia="宋体" w:hint="default"/>
        </w:rPr>
        <w:t>9)</w:t>
        <w:tab/>
      </w:r>
      <w:r>
        <w:rPr/>
        <w:t>金宇轮胎集团有限公司、山东科达集团有限公司为公司向北京银行股份有限公司大明湖支</w:t>
      </w:r>
    </w:p>
    <w:p>
      <w:pPr>
        <w:pStyle w:val="BodyText"/>
        <w:spacing w:line="240" w:lineRule="auto" w:before="85"/>
        <w:ind w:left="743" w:right="2465"/>
        <w:jc w:val="left"/>
      </w:pPr>
      <w:r>
        <w:rPr/>
        <w:t>行提供保证贷款</w:t>
      </w:r>
      <w:r>
        <w:rPr>
          <w:spacing w:val="-52"/>
        </w:rPr>
        <w:t> </w:t>
      </w:r>
      <w:r>
        <w:rPr>
          <w:rFonts w:ascii="宋体" w:hAnsi="宋体" w:cs="宋体" w:eastAsia="宋体" w:hint="default"/>
        </w:rPr>
        <w:t>5,000,000.00</w:t>
      </w:r>
      <w:r>
        <w:rPr>
          <w:rFonts w:ascii="宋体" w:hAnsi="宋体" w:cs="宋体" w:eastAsia="宋体" w:hint="default"/>
          <w:spacing w:val="-55"/>
        </w:rPr>
        <w:t> </w:t>
      </w:r>
      <w:r>
        <w:rPr/>
        <w:t>元。</w:t>
      </w:r>
    </w:p>
    <w:p>
      <w:pPr>
        <w:pStyle w:val="BodyText"/>
        <w:tabs>
          <w:tab w:pos="849" w:val="left" w:leader="none"/>
        </w:tabs>
        <w:spacing w:line="240" w:lineRule="auto" w:before="85"/>
        <w:ind w:left="218" w:right="250"/>
        <w:jc w:val="left"/>
      </w:pPr>
      <w:r>
        <w:rPr>
          <w:rFonts w:ascii="宋体" w:hAnsi="宋体" w:cs="宋体" w:eastAsia="宋体" w:hint="default"/>
          <w:spacing w:val="-1"/>
        </w:rPr>
        <w:t>10</w:t>
      </w:r>
      <w:r>
        <w:rPr>
          <w:spacing w:val="-1"/>
        </w:rPr>
        <w:t>）</w:t>
        <w:tab/>
      </w:r>
      <w:r>
        <w:rPr>
          <w:spacing w:val="-2"/>
        </w:rPr>
        <w:t>科英置业为公司提供土地抵押民生银行广饶支行贷款</w:t>
      </w:r>
      <w:r>
        <w:rPr/>
        <w:t> </w:t>
      </w:r>
      <w:r>
        <w:rPr>
          <w:rFonts w:ascii="宋体" w:hAnsi="宋体" w:cs="宋体" w:eastAsia="宋体" w:hint="default"/>
          <w:spacing w:val="-1"/>
        </w:rPr>
        <w:t>150,000,000.00</w:t>
      </w:r>
      <w:r>
        <w:rPr>
          <w:rFonts w:ascii="宋体" w:hAnsi="宋体" w:cs="宋体" w:eastAsia="宋体" w:hint="default"/>
          <w:spacing w:val="-51"/>
        </w:rPr>
        <w:t> </w:t>
      </w:r>
      <w:r>
        <w:rPr/>
        <w:t>元。</w:t>
      </w:r>
    </w:p>
    <w:p>
      <w:pPr>
        <w:pStyle w:val="BodyText"/>
        <w:tabs>
          <w:tab w:pos="849" w:val="left" w:leader="none"/>
        </w:tabs>
        <w:spacing w:line="240" w:lineRule="auto" w:before="85"/>
        <w:ind w:left="218" w:right="250"/>
        <w:jc w:val="left"/>
      </w:pPr>
      <w:r>
        <w:rPr>
          <w:rFonts w:ascii="宋体" w:hAnsi="宋体" w:cs="宋体" w:eastAsia="宋体" w:hint="default"/>
          <w:spacing w:val="-1"/>
        </w:rPr>
        <w:t>11</w:t>
      </w:r>
      <w:r>
        <w:rPr>
          <w:spacing w:val="-1"/>
        </w:rPr>
        <w:t>）</w:t>
        <w:tab/>
      </w:r>
      <w:r>
        <w:rPr>
          <w:spacing w:val="-2"/>
        </w:rPr>
        <w:t>山东金岭集团有限公司为公司向农商行提供保证贷款</w:t>
      </w:r>
      <w:r>
        <w:rPr/>
        <w:t> </w:t>
      </w:r>
      <w:r>
        <w:rPr>
          <w:rFonts w:ascii="宋体" w:hAnsi="宋体" w:cs="宋体" w:eastAsia="宋体" w:hint="default"/>
          <w:spacing w:val="-1"/>
        </w:rPr>
        <w:t>100,000,000.00</w:t>
      </w:r>
      <w:r>
        <w:rPr>
          <w:rFonts w:ascii="宋体" w:hAnsi="宋体" w:cs="宋体" w:eastAsia="宋体" w:hint="default"/>
          <w:spacing w:val="-52"/>
        </w:rPr>
        <w:t> </w:t>
      </w:r>
      <w:r>
        <w:rPr/>
        <w:t>元。</w:t>
      </w:r>
    </w:p>
    <w:p>
      <w:pPr>
        <w:pStyle w:val="BodyText"/>
        <w:spacing w:line="240" w:lineRule="auto" w:before="85"/>
        <w:ind w:left="218" w:right="250"/>
        <w:jc w:val="left"/>
      </w:pPr>
      <w:r>
        <w:rPr>
          <w:rFonts w:ascii="宋体" w:hAnsi="宋体" w:cs="宋体" w:eastAsia="宋体" w:hint="default"/>
        </w:rPr>
        <w:t>12</w:t>
      </w:r>
      <w:r>
        <w:rPr/>
        <w:t>）</w:t>
      </w:r>
      <w:r>
        <w:rPr>
          <w:spacing w:val="-7"/>
        </w:rPr>
        <w:t> </w:t>
      </w:r>
      <w:r>
        <w:rPr/>
        <w:t>北京百孚思广告有限公司向招商银行股份有限公司北京陶然亭支行申请授信贷款</w:t>
      </w:r>
    </w:p>
    <w:p>
      <w:pPr>
        <w:pStyle w:val="BodyText"/>
        <w:spacing w:line="240" w:lineRule="auto" w:before="85"/>
        <w:ind w:left="218" w:right="250"/>
        <w:jc w:val="left"/>
      </w:pPr>
      <w:r>
        <w:rPr>
          <w:rFonts w:ascii="宋体" w:hAnsi="宋体" w:cs="宋体" w:eastAsia="宋体" w:hint="default"/>
        </w:rPr>
        <w:t>30,000,000.00</w:t>
      </w:r>
      <w:r>
        <w:rPr>
          <w:rFonts w:ascii="宋体" w:hAnsi="宋体" w:cs="宋体" w:eastAsia="宋体" w:hint="default"/>
          <w:spacing w:val="-58"/>
        </w:rPr>
        <w:t> </w:t>
      </w:r>
      <w:r>
        <w:rPr/>
        <w:t>元，以应收账款提供质押，受限制的应收账款金额是</w:t>
      </w:r>
      <w:r>
        <w:rPr>
          <w:spacing w:val="-55"/>
        </w:rPr>
        <w:t> </w:t>
      </w:r>
      <w:r>
        <w:rPr>
          <w:rFonts w:ascii="宋体" w:hAnsi="宋体" w:cs="宋体" w:eastAsia="宋体" w:hint="default"/>
        </w:rPr>
        <w:t>13,800,000.00</w:t>
      </w:r>
      <w:r>
        <w:rPr/>
        <w:t>，已归还</w:t>
      </w:r>
    </w:p>
    <w:p>
      <w:pPr>
        <w:pStyle w:val="BodyText"/>
        <w:spacing w:line="240" w:lineRule="auto" w:before="85"/>
        <w:ind w:left="218" w:right="2465"/>
        <w:jc w:val="left"/>
      </w:pPr>
      <w:r>
        <w:rPr>
          <w:rFonts w:ascii="宋体" w:hAnsi="宋体" w:cs="宋体" w:eastAsia="宋体" w:hint="default"/>
        </w:rPr>
        <w:t>19,000,000.00</w:t>
      </w:r>
      <w:r>
        <w:rPr>
          <w:rFonts w:ascii="宋体" w:hAnsi="宋体" w:cs="宋体" w:eastAsia="宋体" w:hint="default"/>
          <w:spacing w:val="-55"/>
        </w:rPr>
        <w:t> </w:t>
      </w:r>
      <w:r>
        <w:rPr/>
        <w:t>元，余</w:t>
      </w:r>
      <w:r>
        <w:rPr>
          <w:spacing w:val="-52"/>
        </w:rPr>
        <w:t> </w:t>
      </w:r>
      <w:r>
        <w:rPr>
          <w:rFonts w:ascii="宋体" w:hAnsi="宋体" w:cs="宋体" w:eastAsia="宋体" w:hint="default"/>
        </w:rPr>
        <w:t>11,000,000.00</w:t>
      </w:r>
      <w:r>
        <w:rPr>
          <w:rFonts w:ascii="宋体" w:hAnsi="宋体" w:cs="宋体" w:eastAsia="宋体" w:hint="default"/>
          <w:spacing w:val="-53"/>
        </w:rPr>
        <w:t> </w:t>
      </w:r>
      <w:r>
        <w:rPr>
          <w:spacing w:val="-3"/>
        </w:rPr>
        <w:t>元。</w:t>
      </w:r>
      <w:r>
        <w:rPr/>
      </w:r>
    </w:p>
    <w:p>
      <w:pPr>
        <w:spacing w:line="240" w:lineRule="auto" w:before="2"/>
        <w:rPr>
          <w:rFonts w:ascii="宋体" w:hAnsi="宋体" w:cs="宋体" w:eastAsia="宋体" w:hint="default"/>
          <w:sz w:val="26"/>
          <w:szCs w:val="26"/>
        </w:rPr>
      </w:pPr>
    </w:p>
    <w:p>
      <w:pPr>
        <w:pStyle w:val="Heading2"/>
        <w:tabs>
          <w:tab w:pos="849" w:val="left" w:leader="none"/>
        </w:tabs>
        <w:spacing w:line="240" w:lineRule="auto" w:before="0"/>
        <w:ind w:right="2465"/>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6" w:footer="1193" w:top="1280" w:bottom="1380" w:left="1580" w:right="1040"/>
        </w:sectPr>
      </w:pPr>
    </w:p>
    <w:p>
      <w:pPr>
        <w:pStyle w:val="Heading2"/>
        <w:spacing w:line="240" w:lineRule="auto"/>
        <w:ind w:right="-18"/>
        <w:jc w:val="left"/>
        <w:rPr>
          <w:b w:val="0"/>
          <w:bCs w:val="0"/>
        </w:rPr>
      </w:pPr>
      <w:r>
        <w:rPr>
          <w:rFonts w:ascii="宋体" w:hAnsi="宋体" w:cs="宋体" w:eastAsia="宋体" w:hint="default"/>
        </w:rPr>
        <w:t>19</w:t>
      </w:r>
      <w:r>
        <w:rPr/>
        <w:t>、</w:t>
      </w:r>
      <w:r>
        <w:rPr>
          <w:spacing w:val="-25"/>
        </w:rPr>
        <w:t> </w:t>
      </w:r>
      <w:r>
        <w:rPr/>
        <w:t>应付票据</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1795" w:space="4729"/>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755,000,000.00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470,000,000.00</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755,000,000.00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470,000,000.00</w:t>
            </w:r>
          </w:p>
        </w:tc>
      </w:tr>
    </w:tbl>
    <w:p>
      <w:pPr>
        <w:pStyle w:val="BodyText"/>
        <w:spacing w:line="241" w:lineRule="exact" w:before="0"/>
        <w:ind w:left="218" w:right="2465"/>
        <w:jc w:val="left"/>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280" w:bottom="1380" w:left="1580" w:right="1040"/>
        </w:sectPr>
      </w:pPr>
    </w:p>
    <w:p>
      <w:pPr>
        <w:pStyle w:val="Heading2"/>
        <w:spacing w:line="240" w:lineRule="auto"/>
        <w:ind w:right="-19"/>
        <w:jc w:val="left"/>
        <w:rPr>
          <w:b w:val="0"/>
          <w:bCs w:val="0"/>
        </w:rPr>
      </w:pPr>
      <w:r>
        <w:rPr>
          <w:rFonts w:ascii="宋体" w:hAnsi="宋体" w:cs="宋体" w:eastAsia="宋体" w:hint="default"/>
        </w:rPr>
        <w:t>20</w:t>
      </w:r>
      <w:r>
        <w:rPr/>
        <w:t>、</w:t>
      </w:r>
      <w:r>
        <w:rPr>
          <w:spacing w:val="-25"/>
        </w:rPr>
        <w:t> </w:t>
      </w:r>
      <w:r>
        <w:rPr/>
        <w:t>应付账款</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2074" w:space="445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8"/>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1,026,668,680.32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638,691,590.04</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531,090,269.15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645,204,770.56</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1,557,758,949.47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1,283,896,360.60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280" w:bottom="1380" w:left="1580" w:right="1040"/>
        </w:sectPr>
      </w:pPr>
    </w:p>
    <w:p>
      <w:pPr>
        <w:pStyle w:val="Heading2"/>
        <w:spacing w:line="240" w:lineRule="auto"/>
        <w:ind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39"/>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3567" w:space="2958"/>
            <w:col w:w="2765"/>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41"/>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中铁建工集团有限公司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99,462,409.17</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未到付款期限</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山东海川建设有限公司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32,238,075.10</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未到付款期限</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广西交通实业有限公司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13,563,377.94</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欠付材料款</w:t>
            </w:r>
          </w:p>
        </w:tc>
      </w:tr>
      <w:tr>
        <w:trPr>
          <w:trHeight w:val="28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潍坊亿磊装饰工程有限公司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11,774,199.45</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欠付工程款</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莒县冀达建设工程有限公司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10,758,958.83</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未到付款期限</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马航洲</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10,618,020.90</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未到付款期限</w:t>
            </w:r>
          </w:p>
        </w:tc>
      </w:tr>
    </w:tbl>
    <w:p>
      <w:pPr>
        <w:spacing w:after="0" w:line="241" w:lineRule="exact"/>
        <w:jc w:val="left"/>
        <w:rPr>
          <w:rFonts w:ascii="宋体" w:hAnsi="宋体" w:cs="宋体" w:eastAsia="宋体" w:hint="default"/>
          <w:sz w:val="21"/>
          <w:szCs w:val="21"/>
        </w:rPr>
        <w:sectPr>
          <w:type w:val="continuous"/>
          <w:pgSz w:w="11910" w:h="16840"/>
          <w:pgMar w:top="1280" w:bottom="1380" w:left="1580" w:right="1040"/>
        </w:sectPr>
      </w:pPr>
    </w:p>
    <w:p>
      <w:pPr>
        <w:spacing w:line="240" w:lineRule="auto" w:before="13"/>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41"/>
      </w:tblGrid>
      <w:tr>
        <w:trPr>
          <w:trHeight w:val="28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43" w:right="0"/>
              <w:jc w:val="left"/>
              <w:rPr>
                <w:rFonts w:ascii="宋体" w:hAnsi="宋体" w:cs="宋体" w:eastAsia="宋体" w:hint="default"/>
                <w:sz w:val="21"/>
                <w:szCs w:val="21"/>
              </w:rPr>
            </w:pPr>
            <w:r>
              <w:rPr>
                <w:rFonts w:ascii="宋体"/>
                <w:sz w:val="21"/>
              </w:rPr>
              <w:t>178,415,041.39</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3" w:top="1280" w:bottom="1380" w:left="1580" w:right="1040"/>
        </w:sectPr>
      </w:pPr>
    </w:p>
    <w:p>
      <w:pPr>
        <w:pStyle w:val="Heading2"/>
        <w:spacing w:line="240" w:lineRule="auto"/>
        <w:ind w:right="-19"/>
        <w:jc w:val="left"/>
        <w:rPr>
          <w:b w:val="0"/>
          <w:bCs w:val="0"/>
        </w:rPr>
      </w:pPr>
      <w:r>
        <w:rPr>
          <w:rFonts w:ascii="宋体" w:hAnsi="宋体" w:cs="宋体" w:eastAsia="宋体" w:hint="default"/>
        </w:rPr>
        <w:t>21</w:t>
      </w:r>
      <w:r>
        <w:rPr/>
        <w:t>、</w:t>
      </w:r>
      <w:r>
        <w:rPr>
          <w:spacing w:val="-25"/>
        </w:rPr>
        <w:t> </w:t>
      </w:r>
      <w:r>
        <w:rPr/>
        <w:t>预收款项</w:t>
      </w:r>
      <w:r>
        <w:rPr>
          <w:b w:val="0"/>
          <w:bCs w:val="0"/>
        </w:rPr>
      </w:r>
    </w:p>
    <w:p>
      <w:pPr>
        <w:pStyle w:val="Heading2"/>
        <w:spacing w:line="240" w:lineRule="auto" w:before="56"/>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2225" w:space="429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5"/>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713,943,450.20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344,304,236.19</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205,563,989.93</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126,599,555.39</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919,507,440.13</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470,903,791.58</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left="218"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280" w:bottom="1380" w:left="1580" w:right="1040"/>
        </w:sectPr>
      </w:pPr>
    </w:p>
    <w:p>
      <w:pPr>
        <w:pStyle w:val="Heading2"/>
        <w:spacing w:line="290" w:lineRule="auto"/>
        <w:ind w:right="-16"/>
        <w:jc w:val="left"/>
        <w:rPr>
          <w:b w:val="0"/>
          <w:bCs w:val="0"/>
        </w:rPr>
      </w:pPr>
      <w:r>
        <w:rPr>
          <w:rFonts w:ascii="宋体" w:hAnsi="宋体" w:cs="宋体" w:eastAsia="宋体" w:hint="default"/>
        </w:rPr>
        <w:t>22</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2544" w:space="3980"/>
            <w:col w:w="276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2"/>
        <w:gridCol w:w="1610"/>
        <w:gridCol w:w="1608"/>
        <w:gridCol w:w="1611"/>
        <w:gridCol w:w="1620"/>
      </w:tblGrid>
      <w:tr>
        <w:trPr>
          <w:trHeight w:val="250"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7"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10,846,133.04</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130,967,817.78</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111,815,755.05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29,998,195.77</w:t>
            </w:r>
          </w:p>
        </w:tc>
      </w:tr>
      <w:tr>
        <w:trPr>
          <w:trHeight w:val="250"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设定提存计划</w:t>
            </w:r>
          </w:p>
        </w:tc>
        <w:tc>
          <w:tcPr>
            <w:tcW w:w="1610"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13,766,923.53</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7,153,541.32</w:t>
            </w:r>
          </w:p>
        </w:tc>
        <w:tc>
          <w:tcPr>
            <w:tcW w:w="1611"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6,858,918.63</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14,061,546.22</w:t>
            </w:r>
          </w:p>
        </w:tc>
      </w:tr>
      <w:tr>
        <w:trPr>
          <w:trHeight w:val="247"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10"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610"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0"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24,613,056.57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138,121,359.10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118,674,673.68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44,059,741.99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280" w:bottom="1380" w:left="1580" w:right="1040"/>
        </w:sectPr>
      </w:pPr>
    </w:p>
    <w:p>
      <w:pPr>
        <w:pStyle w:val="Heading2"/>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before="0"/>
        <w:ind w:left="21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280" w:bottom="1380" w:left="1580" w:right="1040"/>
          <w:cols w:num="2" w:equalWidth="0">
            <w:col w:w="2122" w:space="4508"/>
            <w:col w:w="266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11"/>
        <w:gridCol w:w="1620"/>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7,654,360.90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121,421,209.3</w:t>
            </w:r>
          </w:p>
          <w:p>
            <w:pPr>
              <w:pStyle w:val="TableParagraph"/>
              <w:spacing w:line="274" w:lineRule="exact"/>
              <w:ind w:right="98"/>
              <w:jc w:val="right"/>
              <w:rPr>
                <w:rFonts w:ascii="宋体" w:hAnsi="宋体" w:cs="宋体" w:eastAsia="宋体" w:hint="default"/>
                <w:sz w:val="21"/>
                <w:szCs w:val="21"/>
              </w:rPr>
            </w:pPr>
            <w:r>
              <w:rPr>
                <w:rFonts w:ascii="宋体"/>
                <w:w w:val="100"/>
                <w:sz w:val="21"/>
              </w:rPr>
              <w:t>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102,726,102.6</w:t>
            </w:r>
          </w:p>
          <w:p>
            <w:pPr>
              <w:pStyle w:val="TableParagraph"/>
              <w:spacing w:line="274" w:lineRule="exact"/>
              <w:ind w:right="103"/>
              <w:jc w:val="right"/>
              <w:rPr>
                <w:rFonts w:ascii="宋体" w:hAnsi="宋体" w:cs="宋体" w:eastAsia="宋体" w:hint="default"/>
                <w:sz w:val="21"/>
                <w:szCs w:val="21"/>
              </w:rPr>
            </w:pPr>
            <w:r>
              <w:rPr>
                <w:rFonts w:ascii="宋体"/>
                <w:w w:val="100"/>
                <w:sz w:val="21"/>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26,349,467.61</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2,842,363.16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2,834,313.16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8,050.00</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2,785,735.16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4,274,351.84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4,042,549.65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3,017,537.35</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137,612.90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3,681,332.15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3,451,413.10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367,531.95</w:t>
            </w: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1,200,673.23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258,844.09</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263,415.50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1,196,101.82</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1,447,449.03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334,175.60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327,721.05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1,453,903.58</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2,088,504.58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1,973,947.58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114,557.00</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406,036.98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335,671.42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233,124.59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508,583.81</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八、其他</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5,717.44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5,717.44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10,846,133.04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130,967,817.78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111,815,755.05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29,998,195.77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218" w:right="2465"/>
        <w:jc w:val="left"/>
      </w:pPr>
      <w:r>
        <w:rPr/>
        <w:t>√适用</w:t>
      </w:r>
      <w:r>
        <w:rPr>
          <w:spacing w:val="-1"/>
        </w:rPr>
        <w:t> </w:t>
      </w:r>
      <w:r>
        <w:rPr/>
        <w:t>□不适用</w:t>
      </w:r>
    </w:p>
    <w:p>
      <w:pPr>
        <w:spacing w:after="0" w:line="240" w:lineRule="auto"/>
        <w:jc w:val="left"/>
        <w:sectPr>
          <w:type w:val="continuous"/>
          <w:pgSz w:w="11910" w:h="16840"/>
          <w:pgMar w:top="1280" w:bottom="1380" w:left="1580" w:right="1040"/>
        </w:sectPr>
      </w:pPr>
    </w:p>
    <w:p>
      <w:pPr>
        <w:spacing w:line="240" w:lineRule="auto" w:before="8"/>
        <w:rPr>
          <w:rFonts w:ascii="宋体" w:hAnsi="宋体" w:cs="宋体" w:eastAsia="宋体" w:hint="default"/>
          <w:sz w:val="12"/>
          <w:szCs w:val="12"/>
        </w:rPr>
      </w:pPr>
    </w:p>
    <w:p>
      <w:pPr>
        <w:pStyle w:val="BodyText"/>
        <w:tabs>
          <w:tab w:pos="1051" w:val="left" w:leader="none"/>
        </w:tabs>
        <w:spacing w:line="240" w:lineRule="auto" w:before="36"/>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11"/>
        <w:gridCol w:w="1637"/>
        <w:gridCol w:w="1594"/>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11,408,175.01</w:t>
            </w:r>
          </w:p>
        </w:tc>
        <w:tc>
          <w:tcPr>
            <w:tcW w:w="161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6,749,533.17</w:t>
            </w:r>
          </w:p>
        </w:tc>
        <w:tc>
          <w:tcPr>
            <w:tcW w:w="1637"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6,465,369.44</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11,692,338.74</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2,358,748.52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404,008.15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393,549.19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2,369,207.48</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13,766,923.53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7,153,541.32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6,858,918.63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14,061,546.22</w:t>
            </w:r>
          </w:p>
        </w:tc>
      </w:tr>
    </w:tbl>
    <w:p>
      <w:pPr>
        <w:spacing w:line="240" w:lineRule="auto" w:before="5"/>
        <w:rPr>
          <w:rFonts w:ascii="宋体" w:hAnsi="宋体" w:cs="宋体" w:eastAsia="宋体" w:hint="default"/>
          <w:sz w:val="15"/>
          <w:szCs w:val="15"/>
        </w:rPr>
      </w:pPr>
    </w:p>
    <w:p>
      <w:pPr>
        <w:pStyle w:val="BodyText"/>
        <w:spacing w:line="240" w:lineRule="auto" w:before="36"/>
        <w:ind w:left="218" w:right="2465"/>
        <w:jc w:val="left"/>
      </w:pPr>
      <w:r>
        <w:rPr/>
        <w:t>其他说明：</w:t>
      </w:r>
    </w:p>
    <w:p>
      <w:pPr>
        <w:pStyle w:val="BodyText"/>
        <w:spacing w:line="314" w:lineRule="auto" w:before="75"/>
        <w:ind w:left="218" w:right="228" w:firstLine="419"/>
        <w:jc w:val="both"/>
      </w:pPr>
      <w:r>
        <w:rPr>
          <w:spacing w:val="-2"/>
        </w:rPr>
        <w:t>本公司按规定参加由政府机构设立的养老保险、失业保险计划，根据该等计划，本公司分别</w:t>
      </w:r>
      <w:r>
        <w:rPr>
          <w:w w:val="100"/>
        </w:rPr>
        <w:t> </w:t>
      </w:r>
      <w:r>
        <w:rPr/>
        <w:t>按 </w:t>
      </w:r>
      <w:r>
        <w:rPr>
          <w:rFonts w:ascii="宋体" w:hAnsi="宋体" w:cs="宋体" w:eastAsia="宋体" w:hint="default"/>
        </w:rPr>
        <w:t>2015</w:t>
      </w:r>
      <w:r>
        <w:rPr/>
        <w:t>年度社会保险缴费基数的</w:t>
      </w:r>
      <w:r>
        <w:rPr>
          <w:rFonts w:ascii="宋体" w:hAnsi="宋体" w:cs="宋体" w:eastAsia="宋体" w:hint="default"/>
        </w:rPr>
        <w:t>18%</w:t>
      </w:r>
      <w:r>
        <w:rPr/>
        <w:t>、 </w:t>
      </w:r>
      <w:r>
        <w:rPr>
          <w:rFonts w:ascii="宋体" w:hAnsi="宋体" w:cs="宋体" w:eastAsia="宋体" w:hint="default"/>
          <w:spacing w:val="-4"/>
        </w:rPr>
        <w:t>1%</w:t>
      </w:r>
      <w:r>
        <w:rPr>
          <w:spacing w:val="-4"/>
        </w:rPr>
        <w:t>每月向其缴存费用。除上述每月缴存费用外，本公司不</w:t>
      </w:r>
      <w:r>
        <w:rPr>
          <w:spacing w:val="-102"/>
        </w:rPr>
        <w:t> </w:t>
      </w:r>
      <w:r>
        <w:rPr>
          <w:spacing w:val="-102"/>
        </w:rPr>
      </w:r>
      <w:r>
        <w:rPr/>
        <w:t>再承担进一步支付义务。相应的支出于发生时计入当期损益或相关资产的成本。</w:t>
      </w:r>
    </w:p>
    <w:p>
      <w:pPr>
        <w:spacing w:line="240" w:lineRule="auto" w:before="3"/>
        <w:rPr>
          <w:rFonts w:ascii="宋体" w:hAnsi="宋体" w:cs="宋体" w:eastAsia="宋体" w:hint="default"/>
          <w:sz w:val="18"/>
          <w:szCs w:val="18"/>
        </w:rPr>
      </w:pPr>
    </w:p>
    <w:p>
      <w:pPr>
        <w:pStyle w:val="Heading2"/>
        <w:spacing w:line="240" w:lineRule="auto"/>
        <w:ind w:right="2465"/>
        <w:jc w:val="left"/>
        <w:rPr>
          <w:b w:val="0"/>
          <w:bCs w:val="0"/>
        </w:rPr>
      </w:pPr>
      <w:r>
        <w:rPr>
          <w:rFonts w:ascii="宋体" w:hAnsi="宋体" w:cs="宋体" w:eastAsia="宋体" w:hint="default"/>
        </w:rPr>
        <w:t>23</w:t>
      </w:r>
      <w:r>
        <w:rPr/>
        <w:t>、</w:t>
      </w:r>
      <w:r>
        <w:rPr>
          <w:spacing w:val="-25"/>
        </w:rPr>
        <w:t> </w:t>
      </w:r>
      <w:r>
        <w:rPr/>
        <w:t>应交税费</w:t>
      </w:r>
      <w:r>
        <w:rPr>
          <w:b w:val="0"/>
          <w:bCs w:val="0"/>
        </w:rPr>
      </w:r>
    </w:p>
    <w:p>
      <w:pPr>
        <w:pStyle w:val="BodyText"/>
        <w:tabs>
          <w:tab w:pos="1051" w:val="left" w:leader="none"/>
        </w:tabs>
        <w:spacing w:line="240" w:lineRule="auto" w:before="58"/>
        <w:ind w:left="0" w:right="227"/>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2"/>
      </w:tblGrid>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11,752,317.50</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522,701.04</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15,287,600.14</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29,171,901.53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88,050,155.90</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69,889,455.38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2,065,408.28</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204,244.24</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913,335.25</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1,900,476.48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2,164,098.39</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1,683,623.67</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5,984,645.55</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9,393,454.15</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47,119,161.34</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45,524,460.39</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1,449,106.70</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1,780,729.52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1,913,716.62</w:t>
            </w:r>
          </w:p>
        </w:tc>
        <w:tc>
          <w:tcPr>
            <w:tcW w:w="296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611,172.96</w:t>
            </w:r>
          </w:p>
        </w:tc>
        <w:tc>
          <w:tcPr>
            <w:tcW w:w="29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2,891,868.66</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976,678.27</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180,202,587.29</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161,047,724.67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3" w:top="1280" w:bottom="1380" w:left="1580" w:right="1040"/>
        </w:sectPr>
      </w:pPr>
    </w:p>
    <w:p>
      <w:pPr>
        <w:pStyle w:val="Heading2"/>
        <w:spacing w:line="240" w:lineRule="auto"/>
        <w:ind w:right="-18"/>
        <w:jc w:val="left"/>
        <w:rPr>
          <w:b w:val="0"/>
          <w:bCs w:val="0"/>
        </w:rPr>
      </w:pPr>
      <w:r>
        <w:rPr>
          <w:rFonts w:ascii="宋体" w:hAnsi="宋体" w:cs="宋体" w:eastAsia="宋体" w:hint="default"/>
        </w:rPr>
        <w:t>24</w:t>
      </w:r>
      <w:r>
        <w:rPr/>
        <w:t>、</w:t>
      </w:r>
      <w:r>
        <w:rPr>
          <w:spacing w:val="-25"/>
        </w:rPr>
        <w:t> </w:t>
      </w:r>
      <w:r>
        <w:rPr/>
        <w:t>应付利息</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1795" w:space="472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8"/>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spacing w:val="-1"/>
                <w:sz w:val="21"/>
              </w:rPr>
              <w:t>194,527.50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839,547.95</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8"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spacing w:val="-1"/>
                <w:sz w:val="21"/>
              </w:rPr>
              <w:t>1,618,358.70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1,543,264.84</w:t>
            </w: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8"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1,812,886.20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2,382,812.79</w:t>
            </w:r>
          </w:p>
        </w:tc>
      </w:tr>
    </w:tbl>
    <w:p>
      <w:pPr>
        <w:spacing w:line="240" w:lineRule="auto" w:before="7"/>
        <w:rPr>
          <w:rFonts w:ascii="宋体" w:hAnsi="宋体" w:cs="宋体" w:eastAsia="宋体" w:hint="default"/>
          <w:sz w:val="15"/>
          <w:szCs w:val="15"/>
        </w:rPr>
      </w:pPr>
    </w:p>
    <w:p>
      <w:pPr>
        <w:pStyle w:val="BodyText"/>
        <w:spacing w:line="273" w:lineRule="exact" w:before="36"/>
        <w:ind w:left="218" w:right="2465"/>
        <w:jc w:val="left"/>
      </w:pPr>
      <w:r>
        <w:rPr/>
        <w:t>重要的已逾期未支付的利息情况：</w:t>
      </w:r>
    </w:p>
    <w:p>
      <w:pPr>
        <w:pStyle w:val="BodyText"/>
        <w:spacing w:line="273" w:lineRule="exact" w:before="0"/>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25</w:t>
      </w:r>
      <w:r>
        <w:rPr/>
        <w:t>、</w:t>
      </w:r>
      <w:r>
        <w:rPr>
          <w:spacing w:val="-25"/>
        </w:rPr>
        <w:t> </w:t>
      </w:r>
      <w:r>
        <w:rPr/>
        <w:t>应付股利</w:t>
      </w:r>
      <w:r>
        <w:rPr>
          <w:b w:val="0"/>
          <w:bCs w:val="0"/>
        </w:rPr>
      </w:r>
    </w:p>
    <w:p>
      <w:pPr>
        <w:pStyle w:val="BodyText"/>
        <w:spacing w:line="240" w:lineRule="auto" w:before="58"/>
        <w:ind w:left="218" w:right="2465"/>
        <w:jc w:val="left"/>
      </w:pPr>
      <w:r>
        <w:rPr/>
        <w:t>√适用</w:t>
      </w:r>
      <w:r>
        <w:rPr>
          <w:spacing w:val="-1"/>
        </w:rPr>
        <w:t> </w:t>
      </w:r>
      <w:r>
        <w:rPr/>
        <w:t>□不适用</w:t>
      </w:r>
    </w:p>
    <w:p>
      <w:pPr>
        <w:spacing w:after="0" w:line="240" w:lineRule="auto"/>
        <w:jc w:val="left"/>
        <w:sectPr>
          <w:type w:val="continuous"/>
          <w:pgSz w:w="11910" w:h="16840"/>
          <w:pgMar w:top="1280" w:bottom="1380" w:left="1580" w:right="1040"/>
        </w:sectPr>
      </w:pPr>
    </w:p>
    <w:p>
      <w:pPr>
        <w:spacing w:line="240" w:lineRule="auto" w:before="8"/>
        <w:rPr>
          <w:rFonts w:ascii="宋体" w:hAnsi="宋体" w:cs="宋体" w:eastAsia="宋体" w:hint="default"/>
          <w:sz w:val="12"/>
          <w:szCs w:val="12"/>
        </w:rPr>
      </w:pPr>
    </w:p>
    <w:p>
      <w:pPr>
        <w:pStyle w:val="BodyText"/>
        <w:tabs>
          <w:tab w:pos="1051" w:val="left" w:leader="none"/>
        </w:tabs>
        <w:spacing w:line="240" w:lineRule="auto" w:before="36"/>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20"/>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z w:val="21"/>
                <w:szCs w:val="21"/>
              </w:rPr>
              <w:t>项目</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20"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295,218.30</w:t>
            </w: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43" w:right="0"/>
              <w:jc w:val="left"/>
              <w:rPr>
                <w:rFonts w:ascii="宋体" w:hAnsi="宋体" w:cs="宋体" w:eastAsia="宋体" w:hint="default"/>
                <w:sz w:val="21"/>
                <w:szCs w:val="21"/>
              </w:rPr>
            </w:pPr>
            <w:r>
              <w:rPr>
                <w:rFonts w:ascii="宋体" w:hAnsi="宋体" w:cs="宋体" w:eastAsia="宋体" w:hint="default"/>
                <w:sz w:val="21"/>
                <w:szCs w:val="21"/>
              </w:rPr>
              <w:t>应付北京传实互动广告有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限公司原股东股利</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295,218.30</w:t>
            </w: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z w:val="21"/>
                <w:szCs w:val="21"/>
              </w:rPr>
              <w:t>合计</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295,218.30</w:t>
            </w:r>
          </w:p>
        </w:tc>
        <w:tc>
          <w:tcPr>
            <w:tcW w:w="30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3" w:top="1280" w:bottom="1380" w:left="1580" w:right="1040"/>
        </w:sectPr>
      </w:pPr>
    </w:p>
    <w:p>
      <w:pPr>
        <w:pStyle w:val="Heading2"/>
        <w:spacing w:line="240" w:lineRule="auto"/>
        <w:ind w:right="-18"/>
        <w:jc w:val="left"/>
        <w:rPr>
          <w:b w:val="0"/>
          <w:bCs w:val="0"/>
        </w:rPr>
      </w:pPr>
      <w:r>
        <w:rPr>
          <w:rFonts w:ascii="宋体" w:hAnsi="宋体" w:cs="宋体" w:eastAsia="宋体" w:hint="default"/>
        </w:rPr>
        <w:t>26</w:t>
      </w:r>
      <w:r>
        <w:rPr/>
        <w:t>、</w:t>
      </w:r>
      <w:r>
        <w:rPr>
          <w:spacing w:val="-25"/>
        </w:rPr>
        <w:t> </w:t>
      </w:r>
      <w:r>
        <w:rPr/>
        <w:t>其他应付款</w:t>
      </w:r>
      <w:r>
        <w:rPr>
          <w:b w:val="0"/>
          <w:bCs w:val="0"/>
        </w:rPr>
      </w:r>
    </w:p>
    <w:p>
      <w:pPr>
        <w:pStyle w:val="Heading2"/>
        <w:spacing w:line="240" w:lineRule="auto" w:before="57"/>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3276" w:space="324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8"/>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107,267,662.79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119,467,823.69</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2,458,962.34</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84,322,837.96</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工程质保金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7,617,575.49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10,322,174.03</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71,412,846.26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119,620,040.54</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5,336,016.00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5,331,198.23</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股权对价款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202,236,464.10</w:t>
            </w: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65,745,248.02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850,790.93</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462,074,775.00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339,914,865.38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280" w:bottom="1380" w:left="1580" w:right="1040"/>
        </w:sectPr>
      </w:pPr>
    </w:p>
    <w:p>
      <w:pPr>
        <w:pStyle w:val="Heading2"/>
        <w:spacing w:line="240" w:lineRule="auto"/>
        <w:ind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left="21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3718" w:space="2806"/>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29"/>
        <w:gridCol w:w="3113"/>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2"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关联方往来</w:t>
            </w:r>
          </w:p>
        </w:tc>
      </w:tr>
      <w:tr>
        <w:trPr>
          <w:trHeight w:val="5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重庆市汉正置业发展有限公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13,210,000.00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826"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云南第二路桥公司</w:t>
            </w:r>
            <w:r>
              <w:rPr>
                <w:rFonts w:ascii="宋体" w:hAnsi="宋体" w:cs="宋体" w:eastAsia="宋体" w:hint="default"/>
                <w:spacing w:val="-71"/>
                <w:sz w:val="21"/>
                <w:szCs w:val="21"/>
              </w:rPr>
              <w:t> </w:t>
            </w:r>
            <w:r>
              <w:rPr>
                <w:rFonts w:ascii="宋体" w:hAnsi="宋体" w:cs="宋体" w:eastAsia="宋体" w:hint="default"/>
                <w:sz w:val="21"/>
                <w:szCs w:val="21"/>
              </w:rPr>
              <w:t>215</w:t>
            </w:r>
            <w:r>
              <w:rPr>
                <w:rFonts w:ascii="宋体" w:hAnsi="宋体" w:cs="宋体" w:eastAsia="宋体" w:hint="default"/>
                <w:spacing w:val="-73"/>
                <w:sz w:val="21"/>
                <w:szCs w:val="21"/>
              </w:rPr>
              <w:t> </w:t>
            </w:r>
            <w:r>
              <w:rPr>
                <w:rFonts w:ascii="宋体" w:hAnsi="宋体" w:cs="宋体" w:eastAsia="宋体" w:hint="default"/>
                <w:sz w:val="21"/>
                <w:szCs w:val="21"/>
              </w:rPr>
              <w:t>线大柴</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旦至察尔汗一级公路</w:t>
            </w:r>
            <w:r>
              <w:rPr>
                <w:rFonts w:ascii="宋体" w:hAnsi="宋体" w:cs="宋体" w:eastAsia="宋体" w:hint="default"/>
                <w:spacing w:val="-71"/>
                <w:sz w:val="21"/>
                <w:szCs w:val="21"/>
              </w:rPr>
              <w:t> </w:t>
            </w:r>
            <w:r>
              <w:rPr>
                <w:rFonts w:ascii="宋体" w:hAnsi="宋体" w:cs="宋体" w:eastAsia="宋体" w:hint="default"/>
                <w:sz w:val="21"/>
                <w:szCs w:val="21"/>
              </w:rPr>
              <w:t>B</w:t>
            </w:r>
            <w:r>
              <w:rPr>
                <w:rFonts w:ascii="宋体" w:hAnsi="宋体" w:cs="宋体" w:eastAsia="宋体" w:hint="default"/>
                <w:spacing w:val="-73"/>
                <w:sz w:val="21"/>
                <w:szCs w:val="21"/>
              </w:rPr>
              <w:t> </w:t>
            </w:r>
            <w:r>
              <w:rPr>
                <w:rFonts w:ascii="宋体" w:hAnsi="宋体" w:cs="宋体" w:eastAsia="宋体" w:hint="default"/>
                <w:sz w:val="21"/>
                <w:szCs w:val="21"/>
              </w:rPr>
              <w:t>标项目</w:t>
            </w:r>
            <w:r>
              <w:rPr>
                <w:rFonts w:ascii="宋体" w:hAnsi="宋体" w:cs="宋体" w:eastAsia="宋体" w:hint="default"/>
                <w:w w:val="100"/>
                <w:sz w:val="21"/>
                <w:szCs w:val="21"/>
              </w:rPr>
              <w:t> </w:t>
            </w:r>
            <w:r>
              <w:rPr>
                <w:rFonts w:ascii="宋体" w:hAnsi="宋体" w:cs="宋体" w:eastAsia="宋体" w:hint="default"/>
                <w:sz w:val="21"/>
                <w:szCs w:val="21"/>
              </w:rPr>
              <w:t>管理部</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7,098,104.00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投标保证金</w:t>
            </w:r>
          </w:p>
        </w:tc>
      </w:tr>
      <w:tr>
        <w:trPr>
          <w:trHeight w:val="28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黄华宝</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3,141,561.19</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邢台市桥西怡和机械租赁部</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5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江西省四方路桥设备材料公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2,343,258.00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宝鸡金伟建筑劳务有限公司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1,151,628.00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质量保证金</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44,944,551.19</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280" w:bottom="1380" w:left="1580" w:right="1040"/>
        </w:sectPr>
      </w:pPr>
    </w:p>
    <w:p>
      <w:pPr>
        <w:pStyle w:val="Heading2"/>
        <w:spacing w:line="240" w:lineRule="auto"/>
        <w:ind w:right="-17"/>
        <w:jc w:val="left"/>
        <w:rPr>
          <w:b w:val="0"/>
          <w:bCs w:val="0"/>
        </w:rPr>
      </w:pPr>
      <w:r>
        <w:rPr>
          <w:rFonts w:ascii="宋体" w:hAnsi="宋体" w:cs="宋体" w:eastAsia="宋体" w:hint="default"/>
        </w:rPr>
        <w:t>27</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2993" w:space="3531"/>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9"/>
        <w:gridCol w:w="3104"/>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63" w:right="0"/>
              <w:jc w:val="left"/>
              <w:rPr>
                <w:rFonts w:ascii="宋体" w:hAnsi="宋体" w:cs="宋体" w:eastAsia="宋体" w:hint="default"/>
                <w:sz w:val="18"/>
                <w:szCs w:val="18"/>
              </w:rPr>
            </w:pPr>
            <w:r>
              <w:rPr>
                <w:rFonts w:ascii="宋体"/>
                <w:sz w:val="18"/>
              </w:rPr>
              <w:t>116,546,416.00</w:t>
            </w: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9"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9"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280" w:bottom="1380" w:left="1580" w:right="1040"/>
        </w:sectPr>
      </w:pPr>
    </w:p>
    <w:p>
      <w:pPr>
        <w:spacing w:line="240" w:lineRule="auto" w:before="13"/>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2909"/>
        <w:gridCol w:w="3039"/>
        <w:gridCol w:w="3104"/>
      </w:tblGrid>
      <w:tr>
        <w:trPr>
          <w:trHeight w:val="28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663" w:right="0"/>
              <w:jc w:val="left"/>
              <w:rPr>
                <w:rFonts w:ascii="宋体" w:hAnsi="宋体" w:cs="宋体" w:eastAsia="宋体" w:hint="default"/>
                <w:sz w:val="18"/>
                <w:szCs w:val="18"/>
              </w:rPr>
            </w:pPr>
            <w:r>
              <w:rPr>
                <w:rFonts w:ascii="宋体"/>
                <w:sz w:val="18"/>
              </w:rPr>
              <w:t>116,546,416.00</w:t>
            </w:r>
          </w:p>
        </w:tc>
        <w:tc>
          <w:tcPr>
            <w:tcW w:w="310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218" w:right="9"/>
        <w:jc w:val="left"/>
      </w:pPr>
      <w:r>
        <w:rPr/>
        <w:t>其他说明：</w:t>
      </w:r>
    </w:p>
    <w:p>
      <w:pPr>
        <w:pStyle w:val="BodyText"/>
        <w:spacing w:line="314" w:lineRule="auto" w:before="135"/>
        <w:ind w:left="218" w:right="9" w:firstLine="419"/>
        <w:jc w:val="left"/>
      </w:pPr>
      <w:r>
        <w:rPr>
          <w:spacing w:val="-2"/>
        </w:rPr>
        <w:t>一年内到期的长期借款为公司子公司青岛科达置业有限公司向华夏银行福州南路支行的借款</w:t>
      </w:r>
      <w:r>
        <w:rPr>
          <w:w w:val="100"/>
        </w:rPr>
        <w:t> </w:t>
      </w:r>
      <w:r>
        <w:rPr>
          <w:rFonts w:ascii="宋体" w:hAnsi="宋体" w:cs="宋体" w:eastAsia="宋体" w:hint="default"/>
        </w:rPr>
        <w:t>2.15</w:t>
      </w:r>
      <w:r>
        <w:rPr>
          <w:rFonts w:ascii="宋体" w:hAnsi="宋体" w:cs="宋体" w:eastAsia="宋体" w:hint="default"/>
          <w:spacing w:val="-55"/>
        </w:rPr>
        <w:t> </w:t>
      </w:r>
      <w:r>
        <w:rPr/>
        <w:t>亿元，本期归还</w:t>
      </w:r>
      <w:r>
        <w:rPr>
          <w:spacing w:val="-53"/>
        </w:rPr>
        <w:t> </w:t>
      </w:r>
      <w:r>
        <w:rPr>
          <w:rFonts w:ascii="宋体" w:hAnsi="宋体" w:cs="宋体" w:eastAsia="宋体" w:hint="default"/>
        </w:rPr>
        <w:t>98,453,584.00</w:t>
      </w:r>
      <w:r>
        <w:rPr>
          <w:rFonts w:ascii="宋体" w:hAnsi="宋体" w:cs="宋体" w:eastAsia="宋体" w:hint="default"/>
          <w:spacing w:val="-55"/>
        </w:rPr>
        <w:t> </w:t>
      </w:r>
      <w:r>
        <w:rPr/>
        <w:t>元，期末结余</w:t>
      </w:r>
      <w:r>
        <w:rPr>
          <w:spacing w:val="-55"/>
        </w:rPr>
        <w:t> </w:t>
      </w:r>
      <w:r>
        <w:rPr>
          <w:rFonts w:ascii="宋体" w:hAnsi="宋体" w:cs="宋体" w:eastAsia="宋体" w:hint="default"/>
        </w:rPr>
        <w:t>116,546,416.00</w:t>
      </w:r>
      <w:r>
        <w:rPr>
          <w:rFonts w:ascii="宋体" w:hAnsi="宋体" w:cs="宋体" w:eastAsia="宋体" w:hint="default"/>
          <w:spacing w:val="-55"/>
        </w:rPr>
        <w:t> </w:t>
      </w:r>
      <w:r>
        <w:rPr/>
        <w:t>元。借款抵押物为青岛科达</w:t>
      </w:r>
    </w:p>
    <w:p>
      <w:pPr>
        <w:pStyle w:val="BodyText"/>
        <w:spacing w:line="314" w:lineRule="auto"/>
        <w:ind w:left="218" w:right="9"/>
        <w:jc w:val="left"/>
      </w:pPr>
      <w:r>
        <w:rPr>
          <w:spacing w:val="-6"/>
          <w:w w:val="100"/>
        </w:rPr>
        <w:t>置业有限公司的土地及在建房产，最高额抵押合同编号</w:t>
      </w:r>
      <w:r>
        <w:rPr>
          <w:spacing w:val="-45"/>
          <w:w w:val="100"/>
        </w:rPr>
        <w:t> </w:t>
      </w:r>
      <w:r>
        <w:rPr>
          <w:rFonts w:ascii="宋体" w:hAnsi="宋体" w:cs="宋体" w:eastAsia="宋体" w:hint="default"/>
          <w:spacing w:val="-6"/>
          <w:w w:val="100"/>
        </w:rPr>
        <w:t>Q003(</w:t>
      </w:r>
      <w:r>
        <w:rPr>
          <w:spacing w:val="-6"/>
          <w:w w:val="100"/>
        </w:rPr>
        <w:t>商抵</w:t>
      </w:r>
      <w:r>
        <w:rPr>
          <w:rFonts w:ascii="宋体" w:hAnsi="宋体" w:cs="宋体" w:eastAsia="宋体" w:hint="default"/>
          <w:spacing w:val="-6"/>
          <w:w w:val="100"/>
        </w:rPr>
        <w:t>)20130002</w:t>
      </w:r>
      <w:r>
        <w:rPr>
          <w:spacing w:val="-6"/>
          <w:w w:val="100"/>
        </w:rPr>
        <w:t>，抵押金额</w:t>
      </w:r>
      <w:r>
        <w:rPr>
          <w:spacing w:val="-43"/>
          <w:w w:val="100"/>
        </w:rPr>
        <w:t> </w:t>
      </w:r>
      <w:r>
        <w:rPr>
          <w:rFonts w:ascii="宋体" w:hAnsi="宋体" w:cs="宋体" w:eastAsia="宋体" w:hint="default"/>
          <w:spacing w:val="-1"/>
          <w:w w:val="100"/>
        </w:rPr>
        <w:t>38,230.61</w:t>
      </w:r>
      <w:r>
        <w:rPr>
          <w:rFonts w:ascii="宋体" w:hAnsi="宋体" w:cs="宋体" w:eastAsia="宋体" w:hint="default"/>
          <w:spacing w:val="-102"/>
          <w:w w:val="100"/>
        </w:rPr>
        <w:t> </w:t>
      </w:r>
      <w:r>
        <w:rPr>
          <w:rFonts w:ascii="宋体" w:hAnsi="宋体" w:cs="宋体" w:eastAsia="宋体" w:hint="default"/>
          <w:spacing w:val="-102"/>
          <w:w w:val="100"/>
        </w:rPr>
      </w:r>
      <w:r>
        <w:rPr/>
        <w:t>万元。</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6" w:footer="1193" w:top="1280" w:bottom="1380" w:left="1580" w:right="960"/>
        </w:sectPr>
      </w:pPr>
    </w:p>
    <w:p>
      <w:pPr>
        <w:pStyle w:val="Heading2"/>
        <w:spacing w:line="240" w:lineRule="auto"/>
        <w:ind w:right="0"/>
        <w:jc w:val="left"/>
        <w:rPr>
          <w:b w:val="0"/>
          <w:bCs w:val="0"/>
        </w:rPr>
      </w:pPr>
      <w:r>
        <w:rPr>
          <w:rFonts w:ascii="宋体" w:hAnsi="宋体" w:cs="宋体" w:eastAsia="宋体" w:hint="default"/>
        </w:rPr>
        <w:t>28</w:t>
      </w:r>
      <w:r>
        <w:rPr/>
        <w:t>、</w:t>
      </w:r>
      <w:r>
        <w:rPr>
          <w:spacing w:val="-25"/>
        </w:rPr>
        <w:t> </w:t>
      </w:r>
      <w:r>
        <w:rPr/>
        <w:t>长期借款</w:t>
      </w:r>
      <w:r>
        <w:rPr>
          <w:b w:val="0"/>
          <w:bCs w:val="0"/>
        </w:rPr>
      </w:r>
    </w:p>
    <w:p>
      <w:pPr>
        <w:tabs>
          <w:tab w:pos="849" w:val="left" w:leader="none"/>
        </w:tabs>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960"/>
          <w:cols w:num="2" w:equalWidth="0">
            <w:col w:w="2117" w:space="4407"/>
            <w:col w:w="2846"/>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001"/>
        <w:gridCol w:w="3000"/>
        <w:gridCol w:w="2895"/>
      </w:tblGrid>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198,000,000.00</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215,000,000.00</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413,000,000.00</w:t>
            </w:r>
          </w:p>
        </w:tc>
      </w:tr>
    </w:tbl>
    <w:p>
      <w:pPr>
        <w:pStyle w:val="BodyText"/>
        <w:spacing w:line="240" w:lineRule="auto" w:before="26"/>
        <w:ind w:left="218" w:right="9"/>
        <w:jc w:val="left"/>
      </w:pPr>
      <w:r>
        <w:rPr/>
        <w:t>长期借款分类的说明：</w:t>
      </w:r>
    </w:p>
    <w:p>
      <w:pPr>
        <w:pStyle w:val="BodyText"/>
        <w:spacing w:line="240" w:lineRule="auto" w:before="133"/>
        <w:ind w:left="638" w:right="9"/>
        <w:jc w:val="left"/>
      </w:pPr>
      <w:r>
        <w:rPr/>
        <w:t>说明：子公司青岛科达置业有限公司向农业银行胶南市支行的借款</w:t>
      </w:r>
      <w:r>
        <w:rPr>
          <w:spacing w:val="-55"/>
        </w:rPr>
        <w:t> </w:t>
      </w:r>
      <w:r>
        <w:rPr>
          <w:rFonts w:ascii="宋体" w:hAnsi="宋体" w:cs="宋体" w:eastAsia="宋体" w:hint="default"/>
        </w:rPr>
        <w:t>1.98</w:t>
      </w:r>
      <w:r>
        <w:rPr>
          <w:rFonts w:ascii="宋体" w:hAnsi="宋体" w:cs="宋体" w:eastAsia="宋体" w:hint="default"/>
          <w:spacing w:val="-55"/>
        </w:rPr>
        <w:t> </w:t>
      </w:r>
      <w:r>
        <w:rPr/>
        <w:t>亿元，截至</w:t>
      </w:r>
      <w:r>
        <w:rPr>
          <w:spacing w:val="-54"/>
        </w:rPr>
        <w:t> </w:t>
      </w:r>
      <w:r>
        <w:rPr>
          <w:rFonts w:ascii="宋体" w:hAnsi="宋体" w:cs="宋体" w:eastAsia="宋体" w:hint="default"/>
        </w:rPr>
        <w:t>2015</w:t>
      </w:r>
      <w:r>
        <w:rPr>
          <w:rFonts w:ascii="宋体" w:hAnsi="宋体" w:cs="宋体" w:eastAsia="宋体" w:hint="default"/>
          <w:spacing w:val="-55"/>
        </w:rPr>
        <w:t> </w:t>
      </w:r>
      <w:r>
        <w:rPr/>
        <w:t>年</w:t>
      </w:r>
    </w:p>
    <w:p>
      <w:pPr>
        <w:pStyle w:val="BodyText"/>
        <w:spacing w:line="240" w:lineRule="auto" w:before="85"/>
        <w:ind w:left="218" w:right="9"/>
        <w:jc w:val="left"/>
      </w:pP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21</w:t>
      </w:r>
      <w:r>
        <w:rPr>
          <w:rFonts w:ascii="宋体" w:hAnsi="宋体" w:cs="宋体" w:eastAsia="宋体" w:hint="default"/>
          <w:spacing w:val="-54"/>
        </w:rPr>
        <w:t> </w:t>
      </w:r>
      <w:r>
        <w:rPr/>
        <w:t>日已全部偿还，土地及在建房产解押手续尚未办理完成。</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280" w:bottom="1380" w:left="1580" w:right="960"/>
        </w:sectPr>
      </w:pPr>
    </w:p>
    <w:p>
      <w:pPr>
        <w:pStyle w:val="Heading2"/>
        <w:spacing w:line="240" w:lineRule="auto"/>
        <w:ind w:right="-16"/>
        <w:jc w:val="left"/>
        <w:rPr>
          <w:b w:val="0"/>
          <w:bCs w:val="0"/>
        </w:rPr>
      </w:pPr>
      <w:r>
        <w:rPr>
          <w:rFonts w:ascii="宋体" w:hAnsi="宋体" w:cs="宋体" w:eastAsia="宋体" w:hint="default"/>
        </w:rPr>
        <w:t>29</w:t>
      </w:r>
      <w:r>
        <w:rPr/>
        <w:t>、</w:t>
      </w:r>
      <w:r>
        <w:rPr>
          <w:spacing w:val="-24"/>
        </w:rPr>
        <w:t> </w:t>
      </w:r>
      <w:r>
        <w:rPr/>
        <w:t>长期应付职工薪酬</w:t>
      </w:r>
      <w:r>
        <w:rPr>
          <w:b w:val="0"/>
          <w:bCs w:val="0"/>
        </w:rPr>
      </w:r>
    </w:p>
    <w:p>
      <w:pPr>
        <w:pStyle w:val="BodyText"/>
        <w:spacing w:line="240" w:lineRule="auto" w:before="58"/>
        <w:ind w:left="218" w:right="-16"/>
        <w:jc w:val="left"/>
      </w:pPr>
      <w:r>
        <w:rPr/>
        <w:t>√适用</w:t>
      </w:r>
      <w:r>
        <w:rPr>
          <w:spacing w:val="-1"/>
        </w:rPr>
        <w:t> </w:t>
      </w:r>
      <w:r>
        <w:rPr/>
        <w:t>□不适用</w:t>
      </w:r>
    </w:p>
    <w:p>
      <w:pPr>
        <w:pStyle w:val="Heading2"/>
        <w:spacing w:line="240" w:lineRule="auto" w:before="56"/>
        <w:ind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长期应付职工薪酬表</w:t>
      </w:r>
      <w:r>
        <w:rPr>
          <w:b w:val="0"/>
          <w:bCs w:val="0"/>
        </w:rPr>
      </w:r>
    </w:p>
    <w:p>
      <w:pPr>
        <w:pStyle w:val="BodyText"/>
        <w:spacing w:line="240" w:lineRule="auto" w:before="58"/>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960"/>
          <w:cols w:num="2" w:equalWidth="0">
            <w:col w:w="2544" w:space="3980"/>
            <w:col w:w="284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6"/>
        <w:gridCol w:w="2631"/>
        <w:gridCol w:w="2765"/>
      </w:tblGrid>
      <w:tr>
        <w:trPr>
          <w:trHeight w:val="28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一、离职后福利</w:t>
            </w:r>
            <w:r>
              <w:rPr>
                <w:rFonts w:ascii="宋体" w:hAnsi="宋体" w:cs="宋体" w:eastAsia="宋体" w:hint="default"/>
                <w:spacing w:val="-3"/>
                <w:sz w:val="21"/>
                <w:szCs w:val="21"/>
              </w:rPr>
              <w:t>-</w:t>
            </w:r>
            <w:r>
              <w:rPr>
                <w:rFonts w:ascii="宋体" w:hAnsi="宋体" w:cs="宋体" w:eastAsia="宋体" w:hint="default"/>
                <w:spacing w:val="-3"/>
                <w:sz w:val="21"/>
                <w:szCs w:val="21"/>
              </w:rPr>
              <w:t>设定受益计划净负债</w:t>
            </w:r>
          </w:p>
        </w:tc>
        <w:tc>
          <w:tcPr>
            <w:tcW w:w="2631" w:type="dxa"/>
            <w:tcBorders>
              <w:top w:val="single" w:sz="6" w:space="0" w:color="000000"/>
              <w:left w:val="single" w:sz="6" w:space="0" w:color="000000"/>
              <w:bottom w:val="single" w:sz="6" w:space="0" w:color="000000"/>
              <w:right w:val="single" w:sz="4" w:space="0" w:color="000000"/>
            </w:tcBorders>
          </w:tcPr>
          <w:p>
            <w:pPr/>
          </w:p>
        </w:tc>
        <w:tc>
          <w:tcPr>
            <w:tcW w:w="2765" w:type="dxa"/>
            <w:tcBorders>
              <w:top w:val="single" w:sz="6" w:space="0" w:color="000000"/>
              <w:left w:val="single" w:sz="4" w:space="0" w:color="000000"/>
              <w:bottom w:val="single" w:sz="6" w:space="0" w:color="000000"/>
              <w:right w:val="single" w:sz="4" w:space="0" w:color="000000"/>
            </w:tcBorders>
          </w:tcPr>
          <w:p>
            <w:pP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1" w:type="dxa"/>
            <w:tcBorders>
              <w:top w:val="single" w:sz="6" w:space="0" w:color="000000"/>
              <w:left w:val="single" w:sz="6" w:space="0" w:color="000000"/>
              <w:bottom w:val="single" w:sz="4" w:space="0" w:color="000000"/>
              <w:right w:val="single" w:sz="4" w:space="0" w:color="000000"/>
            </w:tcBorders>
          </w:tcPr>
          <w:p>
            <w:pPr/>
          </w:p>
        </w:tc>
        <w:tc>
          <w:tcPr>
            <w:tcW w:w="2765" w:type="dxa"/>
            <w:tcBorders>
              <w:top w:val="single" w:sz="6" w:space="0" w:color="000000"/>
              <w:left w:val="single" w:sz="4" w:space="0" w:color="000000"/>
              <w:bottom w:val="single" w:sz="4" w:space="0" w:color="000000"/>
              <w:right w:val="single" w:sz="4" w:space="0" w:color="000000"/>
            </w:tcBorders>
          </w:tcPr>
          <w:p>
            <w:pPr/>
          </w:p>
        </w:tc>
      </w:tr>
      <w:tr>
        <w:trPr>
          <w:trHeight w:val="28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1" w:type="dxa"/>
            <w:tcBorders>
              <w:top w:val="single" w:sz="4" w:space="0" w:color="000000"/>
              <w:left w:val="single" w:sz="6"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6"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四、超额奖励</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11,732,792.08</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31"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11,732,792.08</w:t>
            </w: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218" w:right="9"/>
        <w:jc w:val="left"/>
      </w:pPr>
      <w:r>
        <w:rPr/>
        <w:t>其他说明：</w:t>
      </w:r>
    </w:p>
    <w:p>
      <w:pPr>
        <w:pStyle w:val="BodyText"/>
        <w:spacing w:line="314" w:lineRule="auto" w:before="73"/>
        <w:ind w:left="218" w:right="9" w:firstLine="419"/>
        <w:jc w:val="left"/>
      </w:pPr>
      <w:r>
        <w:rPr/>
        <w:t>说明：根据公司针对重大资产重组被收购方超额业绩奖励的相关协议，在业绩承诺期的各期</w:t>
      </w:r>
      <w:r>
        <w:rPr>
          <w:w w:val="100"/>
        </w:rPr>
        <w:t> </w:t>
      </w:r>
      <w:r>
        <w:rPr>
          <w:spacing w:val="-4"/>
          <w:w w:val="100"/>
        </w:rPr>
        <w:t>期末，被收购方如基本确认当期可实现的归属于母公司股东的净利润能超过当期的业绩承诺金额，</w:t>
      </w:r>
      <w:r>
        <w:rPr>
          <w:spacing w:val="-82"/>
          <w:w w:val="100"/>
        </w:rPr>
        <w:t> </w:t>
      </w:r>
      <w:r>
        <w:rPr>
          <w:spacing w:val="-82"/>
          <w:w w:val="100"/>
        </w:rPr>
      </w:r>
      <w:r>
        <w:rPr/>
        <w:t>则被收购方按照当期预计可实现的归属于母公司股东的净利润减去当期业绩承诺金额后的余额的</w:t>
      </w:r>
      <w:r>
        <w:rPr>
          <w:w w:val="100"/>
        </w:rPr>
        <w:t> </w:t>
      </w:r>
      <w:r>
        <w:rPr>
          <w:rFonts w:ascii="宋体" w:hAnsi="宋体" w:cs="宋体" w:eastAsia="宋体" w:hint="default"/>
        </w:rPr>
        <w:t>30%</w:t>
      </w:r>
      <w:r>
        <w:rPr/>
        <w:t>，作为业绩绩效考核奖励，由被收购方根据确定予以发放奖励的员工后，预提相应的奖金</w:t>
      </w:r>
      <w:r>
        <w:rPr>
          <w:rFonts w:ascii="宋体" w:hAnsi="宋体" w:cs="宋体" w:eastAsia="宋体" w:hint="default"/>
        </w:rPr>
        <w:t>(</w:t>
      </w:r>
      <w:r>
        <w:rPr/>
        <w:t>属</w:t>
      </w:r>
      <w:r>
        <w:rPr>
          <w:w w:val="100"/>
        </w:rPr>
        <w:t> </w:t>
      </w:r>
      <w:r>
        <w:rPr>
          <w:spacing w:val="-4"/>
        </w:rPr>
        <w:t>于职工薪酬</w:t>
      </w:r>
      <w:r>
        <w:rPr>
          <w:rFonts w:ascii="宋体" w:hAnsi="宋体" w:cs="宋体" w:eastAsia="宋体" w:hint="default"/>
          <w:spacing w:val="-4"/>
        </w:rPr>
        <w:t>)</w:t>
      </w:r>
      <w:r>
        <w:rPr>
          <w:spacing w:val="-4"/>
        </w:rPr>
        <w:t>，计入被收购方当期损益。当期可实现的归属于母公司股东的净利润以经审计的扣除</w:t>
      </w:r>
      <w:r>
        <w:rPr>
          <w:spacing w:val="-30"/>
        </w:rPr>
        <w:t> </w:t>
      </w:r>
      <w:r>
        <w:rPr>
          <w:spacing w:val="-30"/>
        </w:rPr>
      </w:r>
      <w:r>
        <w:rPr>
          <w:spacing w:val="-2"/>
        </w:rPr>
        <w:t>非经常性损益后归属于母公司的净利润与扣除非经常性损益之前归属于母公司的净利润孰低为准。</w:t>
      </w:r>
    </w:p>
    <w:p>
      <w:pPr>
        <w:spacing w:after="0" w:line="314" w:lineRule="auto"/>
        <w:jc w:val="left"/>
        <w:sectPr>
          <w:type w:val="continuous"/>
          <w:pgSz w:w="11910" w:h="16840"/>
          <w:pgMar w:top="1280" w:bottom="1380" w:left="1580" w:right="960"/>
        </w:sectPr>
      </w:pPr>
    </w:p>
    <w:p>
      <w:pPr>
        <w:spacing w:line="240" w:lineRule="auto" w:before="8"/>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56" w:footer="1193" w:top="1280" w:bottom="1380" w:left="1640" w:right="1120"/>
        </w:sectPr>
      </w:pPr>
    </w:p>
    <w:p>
      <w:pPr>
        <w:pStyle w:val="Heading2"/>
        <w:spacing w:line="240" w:lineRule="auto"/>
        <w:ind w:left="158" w:right="-1"/>
        <w:jc w:val="left"/>
        <w:rPr>
          <w:b w:val="0"/>
          <w:bCs w:val="0"/>
        </w:rPr>
      </w:pPr>
      <w:r>
        <w:rPr>
          <w:rFonts w:ascii="宋体" w:hAnsi="宋体" w:cs="宋体" w:eastAsia="宋体" w:hint="default"/>
        </w:rPr>
        <w:t>30</w:t>
      </w:r>
      <w:r>
        <w:rPr/>
        <w:t>、</w:t>
      </w:r>
      <w:r>
        <w:rPr>
          <w:spacing w:val="-25"/>
        </w:rPr>
        <w:t> </w:t>
      </w:r>
      <w:r>
        <w:rPr/>
        <w:t>专项应付款</w:t>
      </w:r>
      <w:r>
        <w:rPr>
          <w:b w:val="0"/>
          <w:bCs w:val="0"/>
        </w:rPr>
      </w:r>
    </w:p>
    <w:p>
      <w:pPr>
        <w:pStyle w:val="BodyText"/>
        <w:spacing w:line="240" w:lineRule="auto" w:before="58"/>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before="0"/>
        <w:ind w:left="158" w:right="0"/>
        <w:jc w:val="left"/>
      </w:pPr>
      <w:r>
        <w:rPr>
          <w:spacing w:val="-1"/>
        </w:rPr>
        <w:t>单位：元</w:t>
        <w:tab/>
      </w:r>
      <w:r>
        <w:rPr>
          <w:spacing w:val="-2"/>
        </w:rPr>
        <w:t>币种：人民币</w:t>
      </w:r>
    </w:p>
    <w:p>
      <w:pPr>
        <w:spacing w:after="0" w:line="240" w:lineRule="auto"/>
        <w:jc w:val="left"/>
        <w:sectPr>
          <w:type w:val="continuous"/>
          <w:pgSz w:w="11910" w:h="16840"/>
          <w:pgMar w:top="1280" w:bottom="1380" w:left="1640" w:right="1120"/>
          <w:cols w:num="2" w:equalWidth="0">
            <w:col w:w="1735" w:space="4789"/>
            <w:col w:w="2626"/>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78"/>
        <w:gridCol w:w="1779"/>
        <w:gridCol w:w="1740"/>
        <w:gridCol w:w="1807"/>
        <w:gridCol w:w="1793"/>
      </w:tblGrid>
      <w:tr>
        <w:trPr>
          <w:trHeight w:val="288"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博士后创新资金</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143,895.00</w:t>
            </w:r>
          </w:p>
        </w:tc>
        <w:tc>
          <w:tcPr>
            <w:tcW w:w="1740" w:type="dxa"/>
            <w:tcBorders>
              <w:top w:val="single" w:sz="6" w:space="0" w:color="000000"/>
              <w:left w:val="single" w:sz="6" w:space="0" w:color="000000"/>
              <w:bottom w:val="single" w:sz="6" w:space="0" w:color="000000"/>
              <w:right w:val="single" w:sz="6" w:space="0" w:color="000000"/>
            </w:tcBorders>
          </w:tcPr>
          <w:p>
            <w:pP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7,780.00</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136,115.00</w:t>
            </w:r>
          </w:p>
        </w:tc>
      </w:tr>
      <w:tr>
        <w:trPr>
          <w:trHeight w:val="288"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143,895.00</w:t>
            </w:r>
          </w:p>
        </w:tc>
        <w:tc>
          <w:tcPr>
            <w:tcW w:w="1740" w:type="dxa"/>
            <w:tcBorders>
              <w:top w:val="single" w:sz="6" w:space="0" w:color="000000"/>
              <w:left w:val="single" w:sz="6" w:space="0" w:color="000000"/>
              <w:bottom w:val="single" w:sz="6" w:space="0" w:color="000000"/>
              <w:right w:val="single" w:sz="6" w:space="0" w:color="000000"/>
            </w:tcBorders>
          </w:tcPr>
          <w:p>
            <w:pP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7,780.00</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136,115.00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280" w:bottom="1380" w:left="1640" w:right="1120"/>
        </w:sectPr>
      </w:pPr>
    </w:p>
    <w:p>
      <w:pPr>
        <w:pStyle w:val="Heading2"/>
        <w:spacing w:line="240" w:lineRule="auto"/>
        <w:ind w:left="158" w:right="-1"/>
        <w:jc w:val="left"/>
        <w:rPr>
          <w:b w:val="0"/>
          <w:bCs w:val="0"/>
        </w:rPr>
      </w:pPr>
      <w:r>
        <w:rPr>
          <w:rFonts w:ascii="宋体" w:hAnsi="宋体" w:cs="宋体" w:eastAsia="宋体" w:hint="default"/>
        </w:rPr>
        <w:t>31</w:t>
      </w:r>
      <w:r>
        <w:rPr/>
        <w:t>、</w:t>
      </w:r>
      <w:r>
        <w:rPr>
          <w:spacing w:val="-25"/>
        </w:rPr>
        <w:t> </w:t>
      </w:r>
      <w:r>
        <w:rPr/>
        <w:t>预计负债</w:t>
      </w:r>
      <w:r>
        <w:rPr>
          <w:b w:val="0"/>
          <w:bCs w:val="0"/>
        </w:rPr>
      </w:r>
    </w:p>
    <w:p>
      <w:pPr>
        <w:pStyle w:val="BodyText"/>
        <w:spacing w:line="240" w:lineRule="auto" w:before="58"/>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before="0"/>
        <w:ind w:left="158" w:right="0"/>
        <w:jc w:val="left"/>
      </w:pPr>
      <w:r>
        <w:rPr>
          <w:spacing w:val="-1"/>
        </w:rPr>
        <w:t>单位：元</w:t>
        <w:tab/>
      </w:r>
      <w:r>
        <w:rPr>
          <w:spacing w:val="-2"/>
        </w:rPr>
        <w:t>币种：人民币</w:t>
      </w:r>
    </w:p>
    <w:p>
      <w:pPr>
        <w:spacing w:after="0" w:line="240" w:lineRule="auto"/>
        <w:jc w:val="left"/>
        <w:sectPr>
          <w:type w:val="continuous"/>
          <w:pgSz w:w="11910" w:h="16840"/>
          <w:pgMar w:top="1280" w:bottom="1380" w:left="1640" w:right="1120"/>
          <w:cols w:num="2" w:equalWidth="0">
            <w:col w:w="1735" w:space="4789"/>
            <w:col w:w="2626"/>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25"/>
        <w:gridCol w:w="2222"/>
        <w:gridCol w:w="2225"/>
        <w:gridCol w:w="2225"/>
      </w:tblGrid>
      <w:tr>
        <w:trPr>
          <w:trHeight w:val="286" w:hRule="exact"/>
        </w:trPr>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2"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17,780,288.16</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17,780,288.16</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广西项目部工程款诉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讼案</w:t>
            </w:r>
          </w:p>
        </w:tc>
      </w:tr>
      <w:tr>
        <w:trPr>
          <w:trHeight w:val="288" w:hRule="exact"/>
        </w:trPr>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2"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2"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2"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2"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14,989,055.84</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青岛置业延期交房违</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约金</w:t>
            </w:r>
          </w:p>
        </w:tc>
      </w:tr>
      <w:tr>
        <w:trPr>
          <w:trHeight w:val="288" w:hRule="exact"/>
        </w:trPr>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17,780,288.16</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32,769,344.00</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pStyle w:val="BodyText"/>
        <w:spacing w:line="357" w:lineRule="auto" w:before="26"/>
        <w:ind w:left="578" w:right="0" w:hanging="420"/>
        <w:jc w:val="left"/>
      </w:pPr>
      <w:r>
        <w:rPr/>
        <w:t>其他说明，包括重要预计负债的相关重要假设、估计说明：</w:t>
      </w:r>
      <w:r>
        <w:rPr>
          <w:w w:val="100"/>
        </w:rPr>
        <w:t> </w:t>
      </w:r>
      <w:r>
        <w:rPr/>
        <w:t>说明①：公司广西项目部发生一起工程款诉讼案件，</w:t>
      </w:r>
      <w:r>
        <w:rPr>
          <w:rFonts w:ascii="宋体" w:hAnsi="宋体" w:cs="宋体" w:eastAsia="宋体" w:hint="default"/>
        </w:rPr>
        <w:t>2014</w:t>
      </w:r>
      <w:r>
        <w:rPr>
          <w:rFonts w:ascii="宋体" w:hAnsi="宋体" w:cs="宋体" w:eastAsia="宋体" w:hint="default"/>
          <w:spacing w:val="-41"/>
        </w:rPr>
        <w:t> </w:t>
      </w:r>
      <w:r>
        <w:rPr/>
        <w:t>年</w:t>
      </w:r>
      <w:r>
        <w:rPr>
          <w:spacing w:val="-41"/>
        </w:rPr>
        <w:t> </w:t>
      </w:r>
      <w:r>
        <w:rPr>
          <w:rFonts w:ascii="宋体" w:hAnsi="宋体" w:cs="宋体" w:eastAsia="宋体" w:hint="default"/>
        </w:rPr>
        <w:t>6</w:t>
      </w:r>
      <w:r>
        <w:rPr>
          <w:rFonts w:ascii="宋体" w:hAnsi="宋体" w:cs="宋体" w:eastAsia="宋体" w:hint="default"/>
          <w:spacing w:val="-41"/>
        </w:rPr>
        <w:t> </w:t>
      </w:r>
      <w:r>
        <w:rPr/>
        <w:t>月</w:t>
      </w:r>
      <w:r>
        <w:rPr>
          <w:spacing w:val="-41"/>
        </w:rPr>
        <w:t> </w:t>
      </w:r>
      <w:r>
        <w:rPr>
          <w:rFonts w:ascii="宋体" w:hAnsi="宋体" w:cs="宋体" w:eastAsia="宋体" w:hint="default"/>
        </w:rPr>
        <w:t>19</w:t>
      </w:r>
      <w:r>
        <w:rPr>
          <w:rFonts w:ascii="宋体" w:hAnsi="宋体" w:cs="宋体" w:eastAsia="宋体" w:hint="default"/>
          <w:spacing w:val="-43"/>
        </w:rPr>
        <w:t> </w:t>
      </w:r>
      <w:r>
        <w:rPr/>
        <w:t>日收到法院判决书，判</w:t>
      </w:r>
    </w:p>
    <w:p>
      <w:pPr>
        <w:pStyle w:val="BodyText"/>
        <w:spacing w:line="257" w:lineRule="exact" w:before="0"/>
        <w:ind w:left="158" w:right="0"/>
        <w:jc w:val="left"/>
      </w:pPr>
      <w:r>
        <w:rPr/>
        <w:t>决公司承担工程款</w:t>
      </w:r>
      <w:r>
        <w:rPr>
          <w:spacing w:val="-51"/>
        </w:rPr>
        <w:t> </w:t>
      </w:r>
      <w:r>
        <w:rPr>
          <w:rFonts w:ascii="宋体" w:hAnsi="宋体" w:cs="宋体" w:eastAsia="宋体" w:hint="default"/>
        </w:rPr>
        <w:t>16,356,180.12</w:t>
      </w:r>
      <w:r>
        <w:rPr>
          <w:rFonts w:ascii="宋体" w:hAnsi="宋体" w:cs="宋体" w:eastAsia="宋体" w:hint="default"/>
          <w:spacing w:val="-50"/>
        </w:rPr>
        <w:t> </w:t>
      </w:r>
      <w:r>
        <w:rPr>
          <w:spacing w:val="-8"/>
        </w:rPr>
        <w:t>元，另有利息、受案费，公司于</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4"/>
        </w:rPr>
        <w:t> </w:t>
      </w:r>
      <w:r>
        <w:rPr>
          <w:rFonts w:ascii="宋体" w:hAnsi="宋体" w:cs="宋体" w:eastAsia="宋体" w:hint="default"/>
        </w:rPr>
        <w:t>7</w:t>
      </w:r>
      <w:r>
        <w:rPr>
          <w:rFonts w:ascii="宋体" w:hAnsi="宋体" w:cs="宋体" w:eastAsia="宋体" w:hint="default"/>
          <w:spacing w:val="-51"/>
        </w:rPr>
        <w:t> </w:t>
      </w:r>
      <w:r>
        <w:rPr/>
        <w:t>月</w:t>
      </w:r>
      <w:r>
        <w:rPr>
          <w:spacing w:val="-53"/>
        </w:rPr>
        <w:t> </w:t>
      </w:r>
      <w:r>
        <w:rPr>
          <w:rFonts w:ascii="宋体" w:hAnsi="宋体" w:cs="宋体" w:eastAsia="宋体" w:hint="default"/>
        </w:rPr>
        <w:t>1</w:t>
      </w:r>
      <w:r>
        <w:rPr>
          <w:rFonts w:ascii="宋体" w:hAnsi="宋体" w:cs="宋体" w:eastAsia="宋体" w:hint="default"/>
          <w:spacing w:val="-51"/>
        </w:rPr>
        <w:t> </w:t>
      </w:r>
      <w:r>
        <w:rPr/>
        <w:t>日向玉林中院提</w:t>
      </w:r>
    </w:p>
    <w:p>
      <w:pPr>
        <w:pStyle w:val="BodyText"/>
        <w:spacing w:line="240" w:lineRule="auto" w:before="85"/>
        <w:ind w:left="158" w:right="0"/>
        <w:jc w:val="left"/>
      </w:pPr>
      <w:r>
        <w:rPr/>
        <w:t>交上诉状，</w:t>
      </w:r>
      <w:r>
        <w:rPr>
          <w:rFonts w:ascii="宋体" w:hAnsi="宋体" w:cs="宋体" w:eastAsia="宋体" w:hint="default"/>
        </w:rPr>
        <w:t>2014</w:t>
      </w:r>
      <w:r>
        <w:rPr>
          <w:rFonts w:ascii="宋体" w:hAnsi="宋体" w:cs="宋体" w:eastAsia="宋体" w:hint="default"/>
          <w:spacing w:val="-45"/>
        </w:rPr>
        <w:t> </w:t>
      </w:r>
      <w:r>
        <w:rPr/>
        <w:t>年</w:t>
      </w:r>
      <w:r>
        <w:rPr>
          <w:spacing w:val="-48"/>
        </w:rPr>
        <w:t> </w:t>
      </w:r>
      <w:r>
        <w:rPr>
          <w:rFonts w:ascii="宋体" w:hAnsi="宋体" w:cs="宋体" w:eastAsia="宋体" w:hint="default"/>
        </w:rPr>
        <w:t>12</w:t>
      </w:r>
      <w:r>
        <w:rPr>
          <w:rFonts w:ascii="宋体" w:hAnsi="宋体" w:cs="宋体" w:eastAsia="宋体" w:hint="default"/>
          <w:spacing w:val="-46"/>
        </w:rPr>
        <w:t> </w:t>
      </w:r>
      <w:r>
        <w:rPr/>
        <w:t>月</w:t>
      </w:r>
      <w:r>
        <w:rPr>
          <w:spacing w:val="-45"/>
        </w:rPr>
        <w:t> </w:t>
      </w:r>
      <w:r>
        <w:rPr>
          <w:rFonts w:ascii="宋体" w:hAnsi="宋体" w:cs="宋体" w:eastAsia="宋体" w:hint="default"/>
        </w:rPr>
        <w:t>14</w:t>
      </w:r>
      <w:r>
        <w:rPr>
          <w:rFonts w:ascii="宋体" w:hAnsi="宋体" w:cs="宋体" w:eastAsia="宋体" w:hint="default"/>
          <w:spacing w:val="-45"/>
        </w:rPr>
        <w:t> </w:t>
      </w:r>
      <w:r>
        <w:rPr>
          <w:spacing w:val="-3"/>
        </w:rPr>
        <w:t>日，玉林中院裁定发回重审，重审阶段，双方未达成调解，法院选择</w:t>
      </w:r>
    </w:p>
    <w:p>
      <w:pPr>
        <w:pStyle w:val="BodyText"/>
        <w:spacing w:line="314" w:lineRule="auto" w:before="85"/>
        <w:ind w:left="158" w:right="143"/>
        <w:jc w:val="left"/>
      </w:pPr>
      <w:r>
        <w:rPr/>
        <w:t>鉴定机构，对工程量进行鉴定，公司基于审慎原则，按照会计准则的规定计提了</w:t>
      </w:r>
      <w:r>
        <w:rPr>
          <w:spacing w:val="5"/>
        </w:rPr>
        <w:t> </w:t>
      </w:r>
      <w:r>
        <w:rPr>
          <w:rFonts w:ascii="宋体" w:hAnsi="宋体" w:cs="宋体" w:eastAsia="宋体" w:hint="default"/>
        </w:rPr>
        <w:t>17,780,288.16</w:t>
      </w:r>
      <w:r>
        <w:rPr>
          <w:rFonts w:ascii="宋体" w:hAnsi="宋体" w:cs="宋体" w:eastAsia="宋体" w:hint="default"/>
          <w:w w:val="100"/>
        </w:rPr>
        <w:t> </w:t>
      </w:r>
      <w:r>
        <w:rPr/>
        <w:t>元的预计负债。</w:t>
      </w:r>
    </w:p>
    <w:p>
      <w:pPr>
        <w:pStyle w:val="BodyText"/>
        <w:spacing w:line="240" w:lineRule="auto"/>
        <w:ind w:left="344" w:right="264"/>
        <w:jc w:val="center"/>
      </w:pPr>
      <w:r>
        <w:rPr/>
        <w:t>说明②：公司子公司青岛科达置业有限公司开发的青岛•天意华苑项目原计划于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240" w:lineRule="auto" w:before="85"/>
        <w:ind w:left="158" w:right="0"/>
        <w:jc w:val="left"/>
      </w:pPr>
      <w:r>
        <w:rPr>
          <w:rFonts w:ascii="宋体" w:hAnsi="宋体" w:cs="宋体" w:eastAsia="宋体" w:hint="default"/>
        </w:rPr>
        <w:t>31</w:t>
      </w:r>
      <w:r>
        <w:rPr>
          <w:rFonts w:ascii="宋体" w:hAnsi="宋体" w:cs="宋体" w:eastAsia="宋体" w:hint="default"/>
          <w:spacing w:val="26"/>
        </w:rPr>
        <w:t> </w:t>
      </w:r>
      <w:r>
        <w:rPr>
          <w:spacing w:val="-3"/>
        </w:rPr>
        <w:t>日前交房，因胶南和黄岛两区合并导致办理项目竣工验收手续延期，项目北侧泰山路修阔致使</w:t>
      </w:r>
    </w:p>
    <w:p>
      <w:pPr>
        <w:pStyle w:val="BodyText"/>
        <w:spacing w:line="314" w:lineRule="auto" w:before="85"/>
        <w:ind w:left="158" w:right="0"/>
        <w:jc w:val="left"/>
      </w:pPr>
      <w:r>
        <w:rPr/>
        <w:t>项目施工车辆、材料难以入场等多方面原因影响了项目按期交付。公司预计将于</w:t>
      </w:r>
      <w:r>
        <w:rPr>
          <w:spacing w:val="-52"/>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w w:val="100"/>
        </w:rPr>
        <w:t> </w:t>
      </w:r>
      <w:r>
        <w:rPr>
          <w:spacing w:val="-2"/>
        </w:rPr>
        <w:t>日启动交付，由于本次交付延迟之事宜，根据合同约定公司需支付延期交房违约金，根据企业会</w:t>
      </w:r>
      <w:r>
        <w:rPr>
          <w:spacing w:val="-25"/>
        </w:rPr>
        <w:t> </w:t>
      </w:r>
      <w:r>
        <w:rPr>
          <w:spacing w:val="-25"/>
        </w:rPr>
      </w:r>
      <w:r>
        <w:rPr/>
        <w:t>计准则和基于谨慎性原则，公司根据实际销售情况及合同约定计提预计负债，计提金额为</w:t>
      </w:r>
      <w:r>
        <w:rPr>
          <w:w w:val="100"/>
        </w:rPr>
        <w:t> </w:t>
      </w:r>
      <w:r>
        <w:rPr>
          <w:rFonts w:ascii="宋体" w:hAnsi="宋体" w:cs="宋体" w:eastAsia="宋体" w:hint="default"/>
        </w:rPr>
        <w:t>14,989,055.84</w:t>
      </w:r>
      <w:r>
        <w:rPr>
          <w:rFonts w:ascii="宋体" w:hAnsi="宋体" w:cs="宋体" w:eastAsia="宋体" w:hint="default"/>
          <w:spacing w:val="-51"/>
        </w:rPr>
        <w:t> </w:t>
      </w:r>
      <w:r>
        <w:rPr/>
        <w:t>元。</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280" w:bottom="1380" w:left="1640" w:right="1120"/>
        </w:sectPr>
      </w:pPr>
    </w:p>
    <w:p>
      <w:pPr>
        <w:pStyle w:val="Heading2"/>
        <w:spacing w:line="240" w:lineRule="auto"/>
        <w:ind w:left="158" w:right="-1"/>
        <w:jc w:val="left"/>
        <w:rPr>
          <w:b w:val="0"/>
          <w:bCs w:val="0"/>
        </w:rPr>
      </w:pPr>
      <w:r>
        <w:rPr>
          <w:rFonts w:ascii="宋体" w:hAnsi="宋体" w:cs="宋体" w:eastAsia="宋体" w:hint="default"/>
        </w:rPr>
        <w:t>32</w:t>
      </w:r>
      <w:r>
        <w:rPr/>
        <w:t>、</w:t>
      </w:r>
      <w:r>
        <w:rPr>
          <w:spacing w:val="-25"/>
        </w:rPr>
        <w:t> </w:t>
      </w:r>
      <w:r>
        <w:rPr/>
        <w:t>递延收益</w:t>
      </w:r>
      <w:r>
        <w:rPr>
          <w:b w:val="0"/>
          <w:bCs w:val="0"/>
        </w:rPr>
      </w:r>
    </w:p>
    <w:p>
      <w:pPr>
        <w:pStyle w:val="BodyText"/>
        <w:spacing w:line="240" w:lineRule="auto" w:before="56"/>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before="0"/>
        <w:ind w:left="158" w:right="0"/>
        <w:jc w:val="left"/>
      </w:pPr>
      <w:r>
        <w:rPr>
          <w:spacing w:val="-1"/>
        </w:rPr>
        <w:t>单位：元</w:t>
        <w:tab/>
      </w:r>
      <w:r>
        <w:rPr>
          <w:spacing w:val="-2"/>
        </w:rPr>
        <w:t>币种人民币</w:t>
      </w:r>
    </w:p>
    <w:p>
      <w:pPr>
        <w:spacing w:after="0" w:line="240" w:lineRule="auto"/>
        <w:jc w:val="left"/>
        <w:sectPr>
          <w:type w:val="continuous"/>
          <w:pgSz w:w="11910" w:h="16840"/>
          <w:pgMar w:top="1280" w:bottom="1380" w:left="1640" w:right="1120"/>
          <w:cols w:num="2" w:equalWidth="0">
            <w:col w:w="1735" w:space="5000"/>
            <w:col w:w="2415"/>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02"/>
        <w:gridCol w:w="1443"/>
        <w:gridCol w:w="1457"/>
        <w:gridCol w:w="1443"/>
        <w:gridCol w:w="1484"/>
        <w:gridCol w:w="1567"/>
      </w:tblGrid>
      <w:tr>
        <w:trPr>
          <w:trHeight w:val="35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30"/>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9"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7,406,440.42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 w:right="0"/>
              <w:jc w:val="center"/>
              <w:rPr>
                <w:rFonts w:ascii="宋体" w:hAnsi="宋体" w:cs="宋体" w:eastAsia="宋体" w:hint="default"/>
                <w:sz w:val="21"/>
                <w:szCs w:val="21"/>
              </w:rPr>
            </w:pPr>
            <w:r>
              <w:rPr>
                <w:rFonts w:ascii="宋体"/>
                <w:sz w:val="21"/>
              </w:rPr>
              <w:t>6,948,773.93</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570,317.91</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center"/>
              <w:rPr>
                <w:rFonts w:ascii="宋体" w:hAnsi="宋体" w:cs="宋体" w:eastAsia="宋体" w:hint="default"/>
                <w:sz w:val="21"/>
                <w:szCs w:val="21"/>
              </w:rPr>
            </w:pPr>
            <w:r>
              <w:rPr>
                <w:rFonts w:ascii="宋体"/>
                <w:sz w:val="21"/>
              </w:rPr>
              <w:t>13,784,896.44</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土地补偿款、项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目补助款</w:t>
            </w: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7,406,440.42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 w:right="0"/>
              <w:jc w:val="center"/>
              <w:rPr>
                <w:rFonts w:ascii="宋体" w:hAnsi="宋体" w:cs="宋体" w:eastAsia="宋体" w:hint="default"/>
                <w:sz w:val="21"/>
                <w:szCs w:val="21"/>
              </w:rPr>
            </w:pPr>
            <w:r>
              <w:rPr>
                <w:rFonts w:ascii="宋体"/>
                <w:sz w:val="21"/>
              </w:rPr>
              <w:t>6,948,773.93</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570,317.91</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center"/>
              <w:rPr>
                <w:rFonts w:ascii="宋体" w:hAnsi="宋体" w:cs="宋体" w:eastAsia="宋体" w:hint="default"/>
                <w:sz w:val="21"/>
                <w:szCs w:val="21"/>
              </w:rPr>
            </w:pPr>
            <w:r>
              <w:rPr>
                <w:rFonts w:ascii="宋体"/>
                <w:sz w:val="21"/>
              </w:rPr>
              <w:t>13,784,896.44</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158" w:right="0"/>
        <w:jc w:val="left"/>
      </w:pPr>
      <w:r>
        <w:rPr/>
        <w:t>涉及政府补助的项目：</w:t>
      </w:r>
    </w:p>
    <w:p>
      <w:pPr>
        <w:pStyle w:val="BodyText"/>
        <w:tabs>
          <w:tab w:pos="1051" w:val="left" w:leader="none"/>
        </w:tabs>
        <w:spacing w:line="240" w:lineRule="auto" w:before="56"/>
        <w:ind w:left="0" w:right="147"/>
        <w:jc w:val="right"/>
      </w:pPr>
      <w:r>
        <w:rPr>
          <w:spacing w:val="-1"/>
        </w:rPr>
        <w:t>单位：元</w:t>
        <w:tab/>
      </w:r>
      <w:r>
        <w:rPr>
          <w:spacing w:val="-2"/>
        </w:rPr>
        <w:t>币种：人民币</w:t>
      </w:r>
    </w:p>
    <w:p>
      <w:pPr>
        <w:spacing w:after="0" w:line="240" w:lineRule="auto"/>
        <w:jc w:val="right"/>
        <w:sectPr>
          <w:type w:val="continuous"/>
          <w:pgSz w:w="11910" w:h="16840"/>
          <w:pgMar w:top="1280" w:bottom="1380" w:left="1640" w:right="1120"/>
        </w:sectPr>
      </w:pPr>
    </w:p>
    <w:p>
      <w:pPr>
        <w:spacing w:line="240" w:lineRule="auto" w:before="13"/>
        <w:rPr>
          <w:rFonts w:ascii="宋体" w:hAnsi="宋体" w:cs="宋体" w:eastAsia="宋体" w:hint="default"/>
          <w:sz w:val="17"/>
          <w:szCs w:val="17"/>
        </w:rPr>
      </w:pPr>
    </w:p>
    <w:tbl>
      <w:tblPr>
        <w:tblW w:w="0" w:type="auto"/>
        <w:jc w:val="left"/>
        <w:tblInd w:w="182" w:type="dxa"/>
        <w:tblLayout w:type="fixed"/>
        <w:tblCellMar>
          <w:top w:w="0" w:type="dxa"/>
          <w:left w:w="0" w:type="dxa"/>
          <w:bottom w:w="0" w:type="dxa"/>
          <w:right w:w="0" w:type="dxa"/>
        </w:tblCellMar>
        <w:tblLook w:val="01E0"/>
      </w:tblPr>
      <w:tblGrid>
        <w:gridCol w:w="1166"/>
        <w:gridCol w:w="1141"/>
        <w:gridCol w:w="1291"/>
        <w:gridCol w:w="1414"/>
        <w:gridCol w:w="1198"/>
        <w:gridCol w:w="1229"/>
        <w:gridCol w:w="1457"/>
      </w:tblGrid>
      <w:tr>
        <w:trPr>
          <w:trHeight w:val="478"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本期新增补助</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本期计入营业外</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收入金额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益相关</w:t>
            </w:r>
          </w:p>
        </w:tc>
      </w:tr>
      <w:tr>
        <w:trPr>
          <w:trHeight w:val="478"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搬迁支持资金</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补偿</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5,037,226.07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6,248,773.93</w:t>
            </w:r>
          </w:p>
        </w:tc>
        <w:tc>
          <w:tcPr>
            <w:tcW w:w="14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11,286,000.00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绝缘棚双极晶</w:t>
            </w:r>
          </w:p>
          <w:p>
            <w:pPr>
              <w:pStyle w:val="TableParagraph"/>
              <w:spacing w:line="240" w:lineRule="auto"/>
              <w:ind w:left="26" w:right="48"/>
              <w:jc w:val="left"/>
              <w:rPr>
                <w:rFonts w:ascii="宋体" w:hAnsi="宋体" w:cs="宋体" w:eastAsia="宋体" w:hint="default"/>
                <w:sz w:val="18"/>
                <w:szCs w:val="18"/>
              </w:rPr>
            </w:pPr>
            <w:r>
              <w:rPr>
                <w:rFonts w:ascii="宋体" w:hAnsi="宋体" w:cs="宋体" w:eastAsia="宋体" w:hint="default"/>
                <w:sz w:val="18"/>
                <w:szCs w:val="18"/>
              </w:rPr>
              <w:t>体管产业化项 目等</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2,369,214.35</w:t>
            </w:r>
          </w:p>
        </w:tc>
        <w:tc>
          <w:tcPr>
            <w:tcW w:w="1291"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570,317.91</w:t>
            </w:r>
          </w:p>
        </w:tc>
        <w:tc>
          <w:tcPr>
            <w:tcW w:w="1198"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1,798,896.44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176"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基于互联网思</w:t>
            </w:r>
          </w:p>
          <w:p>
            <w:pPr>
              <w:pStyle w:val="TableParagraph"/>
              <w:spacing w:line="237" w:lineRule="auto"/>
              <w:ind w:left="26" w:right="48"/>
              <w:jc w:val="left"/>
              <w:rPr>
                <w:rFonts w:ascii="宋体" w:hAnsi="宋体" w:cs="宋体" w:eastAsia="宋体" w:hint="default"/>
                <w:sz w:val="18"/>
                <w:szCs w:val="18"/>
              </w:rPr>
            </w:pPr>
            <w:r>
              <w:rPr>
                <w:rFonts w:ascii="宋体" w:hAnsi="宋体" w:cs="宋体" w:eastAsia="宋体" w:hint="default"/>
                <w:sz w:val="18"/>
                <w:szCs w:val="18"/>
              </w:rPr>
              <w:t>维的网络直播 及互动平台 “发布汇”项 目</w:t>
            </w:r>
          </w:p>
        </w:tc>
        <w:tc>
          <w:tcPr>
            <w:tcW w:w="1141"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700,000.00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0"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7,406,440.42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6,948,773.93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570,317.91</w:t>
            </w:r>
          </w:p>
        </w:tc>
        <w:tc>
          <w:tcPr>
            <w:tcW w:w="1198"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13,784,896.44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33</w:t>
      </w:r>
      <w:r>
        <w:rPr/>
        <w:t>、</w:t>
      </w:r>
      <w:r>
        <w:rPr>
          <w:spacing w:val="-26"/>
        </w:rPr>
        <w:t> </w:t>
      </w:r>
      <w:r>
        <w:rPr/>
        <w:t>股本</w:t>
      </w:r>
      <w:r>
        <w:rPr>
          <w:b w:val="0"/>
          <w:bCs w:val="0"/>
        </w:rPr>
      </w:r>
    </w:p>
    <w:p>
      <w:pPr>
        <w:pStyle w:val="BodyText"/>
        <w:tabs>
          <w:tab w:pos="1051" w:val="left" w:leader="none"/>
        </w:tabs>
        <w:spacing w:line="240" w:lineRule="auto" w:before="56"/>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5"/>
        <w:gridCol w:w="1685"/>
        <w:gridCol w:w="1687"/>
        <w:gridCol w:w="497"/>
        <w:gridCol w:w="572"/>
        <w:gridCol w:w="583"/>
        <w:gridCol w:w="1685"/>
        <w:gridCol w:w="1687"/>
      </w:tblGrid>
      <w:tr>
        <w:trPr>
          <w:trHeight w:val="281" w:hRule="exact"/>
        </w:trPr>
        <w:tc>
          <w:tcPr>
            <w:tcW w:w="655" w:type="dxa"/>
            <w:vMerge w:val="restart"/>
            <w:tcBorders>
              <w:top w:val="single" w:sz="4" w:space="0" w:color="000000"/>
              <w:left w:val="single" w:sz="4" w:space="0" w:color="000000"/>
              <w:right w:val="single" w:sz="4" w:space="0" w:color="000000"/>
            </w:tcBorders>
          </w:tcPr>
          <w:p>
            <w:pP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0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0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373" w:hRule="exact"/>
        </w:trPr>
        <w:tc>
          <w:tcPr>
            <w:tcW w:w="655"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628" w:right="624"/>
              <w:jc w:val="center"/>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9" w:right="134"/>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173" w:right="175"/>
              <w:jc w:val="both"/>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77" w:right="18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7" w:type="dxa"/>
            <w:vMerge/>
            <w:tcBorders>
              <w:left w:val="single" w:sz="4" w:space="0" w:color="000000"/>
              <w:bottom w:val="single" w:sz="4" w:space="0" w:color="000000"/>
              <w:right w:val="single" w:sz="4" w:space="0" w:color="000000"/>
            </w:tcBorders>
          </w:tcPr>
          <w:p>
            <w:pPr/>
          </w:p>
        </w:tc>
      </w:tr>
      <w:tr>
        <w:trPr>
          <w:trHeight w:val="554"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335,269,708.80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533,616,715.00</w:t>
            </w:r>
          </w:p>
        </w:tc>
        <w:tc>
          <w:tcPr>
            <w:tcW w:w="497"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533,616,715.00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868,886,423.80</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34</w:t>
      </w:r>
      <w:r>
        <w:rPr/>
        <w:t>、</w:t>
      </w:r>
      <w:r>
        <w:rPr>
          <w:spacing w:val="-25"/>
        </w:rPr>
        <w:t> </w:t>
      </w:r>
      <w:r>
        <w:rPr/>
        <w:t>资本公积</w:t>
      </w:r>
      <w:r>
        <w:rPr>
          <w:b w:val="0"/>
          <w:bCs w:val="0"/>
        </w:rPr>
      </w:r>
    </w:p>
    <w:p>
      <w:pPr>
        <w:pStyle w:val="BodyText"/>
        <w:tabs>
          <w:tab w:pos="1051" w:val="left" w:leader="none"/>
        </w:tabs>
        <w:spacing w:line="240" w:lineRule="auto" w:before="56"/>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678"/>
        <w:gridCol w:w="1789"/>
        <w:gridCol w:w="1822"/>
        <w:gridCol w:w="1805"/>
        <w:gridCol w:w="1803"/>
      </w:tblGrid>
      <w:tr>
        <w:trPr>
          <w:trHeight w:val="286"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62"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103,058,220.60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center"/>
              <w:rPr>
                <w:rFonts w:ascii="宋体" w:hAnsi="宋体" w:cs="宋体" w:eastAsia="宋体" w:hint="default"/>
                <w:sz w:val="21"/>
                <w:szCs w:val="21"/>
              </w:rPr>
            </w:pPr>
            <w:r>
              <w:rPr>
                <w:rFonts w:ascii="宋体"/>
                <w:sz w:val="21"/>
              </w:rPr>
              <w:t>2,416,718,994.33</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
              <w:jc w:val="right"/>
              <w:rPr>
                <w:rFonts w:ascii="宋体" w:hAnsi="宋体" w:cs="宋体" w:eastAsia="宋体" w:hint="default"/>
                <w:sz w:val="21"/>
                <w:szCs w:val="21"/>
              </w:rPr>
            </w:pPr>
            <w:r>
              <w:rPr>
                <w:rFonts w:ascii="宋体"/>
                <w:spacing w:val="-1"/>
                <w:sz w:val="21"/>
              </w:rPr>
              <w:t>2,519,777,214.93</w:t>
            </w:r>
          </w:p>
        </w:tc>
      </w:tr>
      <w:tr>
        <w:trPr>
          <w:trHeight w:val="286"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3,307,650.24</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3,307,650.24</w:t>
            </w: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106,365,870.84</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center"/>
              <w:rPr>
                <w:rFonts w:ascii="宋体" w:hAnsi="宋体" w:cs="宋体" w:eastAsia="宋体" w:hint="default"/>
                <w:sz w:val="21"/>
                <w:szCs w:val="21"/>
              </w:rPr>
            </w:pPr>
            <w:r>
              <w:rPr>
                <w:rFonts w:ascii="宋体"/>
                <w:sz w:val="21"/>
              </w:rPr>
              <w:t>2,416,718,994.33</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
              <w:jc w:val="right"/>
              <w:rPr>
                <w:rFonts w:ascii="宋体" w:hAnsi="宋体" w:cs="宋体" w:eastAsia="宋体" w:hint="default"/>
                <w:sz w:val="21"/>
                <w:szCs w:val="21"/>
              </w:rPr>
            </w:pPr>
            <w:r>
              <w:rPr>
                <w:rFonts w:ascii="宋体"/>
                <w:spacing w:val="-1"/>
                <w:sz w:val="21"/>
              </w:rPr>
              <w:t>2,523,084,865.17</w:t>
            </w:r>
          </w:p>
        </w:tc>
      </w:tr>
    </w:tbl>
    <w:p>
      <w:pPr>
        <w:spacing w:line="240" w:lineRule="auto" w:before="7"/>
        <w:rPr>
          <w:rFonts w:ascii="宋体" w:hAnsi="宋体" w:cs="宋体" w:eastAsia="宋体" w:hint="default"/>
          <w:sz w:val="15"/>
          <w:szCs w:val="15"/>
        </w:rPr>
      </w:pPr>
    </w:p>
    <w:p>
      <w:pPr>
        <w:pStyle w:val="BodyText"/>
        <w:spacing w:line="272" w:lineRule="exact" w:before="64"/>
        <w:ind w:left="218" w:right="2465"/>
        <w:jc w:val="left"/>
      </w:pPr>
      <w:r>
        <w:rPr/>
        <w:t>其他说明，包括本期增减变动情况、变动原因说明：</w:t>
      </w:r>
      <w:r>
        <w:rPr>
          <w:w w:val="100"/>
        </w:rPr>
        <w:t> </w:t>
      </w:r>
      <w:r>
        <w:rPr>
          <w:spacing w:val="-2"/>
        </w:rPr>
        <w:t>本期增加原因是公司非同一控制下收购五家互联网公司所致。</w:t>
      </w:r>
    </w:p>
    <w:p>
      <w:pPr>
        <w:spacing w:line="240" w:lineRule="auto" w:before="8"/>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35</w:t>
      </w:r>
      <w:r>
        <w:rPr/>
        <w:t>、</w:t>
      </w:r>
      <w:r>
        <w:rPr>
          <w:spacing w:val="-25"/>
        </w:rPr>
        <w:t> </w:t>
      </w:r>
      <w:r>
        <w:rPr/>
        <w:t>盈余公积</w:t>
      </w:r>
      <w:r>
        <w:rPr>
          <w:b w:val="0"/>
          <w:bCs w:val="0"/>
        </w:rPr>
      </w:r>
    </w:p>
    <w:p>
      <w:pPr>
        <w:pStyle w:val="BodyText"/>
        <w:tabs>
          <w:tab w:pos="1051" w:val="left" w:leader="none"/>
        </w:tabs>
        <w:spacing w:line="240" w:lineRule="auto" w:before="58"/>
        <w:ind w:left="0" w:right="227"/>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673"/>
        <w:gridCol w:w="1798"/>
        <w:gridCol w:w="1805"/>
        <w:gridCol w:w="1817"/>
        <w:gridCol w:w="1803"/>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109,332,042.79</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6,942,906.21</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116,274,949.00</w:t>
            </w: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2"/>
              <w:jc w:val="center"/>
              <w:rPr>
                <w:rFonts w:ascii="宋体" w:hAnsi="宋体" w:cs="宋体" w:eastAsia="宋体" w:hint="default"/>
                <w:sz w:val="21"/>
                <w:szCs w:val="21"/>
              </w:rPr>
            </w:pPr>
            <w:r>
              <w:rPr>
                <w:rFonts w:ascii="宋体"/>
                <w:sz w:val="21"/>
              </w:rPr>
              <w:t>109,332,042.79</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7"/>
              <w:jc w:val="right"/>
              <w:rPr>
                <w:rFonts w:ascii="宋体" w:hAnsi="宋体" w:cs="宋体" w:eastAsia="宋体" w:hint="default"/>
                <w:sz w:val="21"/>
                <w:szCs w:val="21"/>
              </w:rPr>
            </w:pPr>
            <w:r>
              <w:rPr>
                <w:rFonts w:ascii="宋体"/>
                <w:spacing w:val="-1"/>
                <w:sz w:val="21"/>
              </w:rPr>
              <w:t>6,942,906.21</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15" w:right="0"/>
              <w:jc w:val="left"/>
              <w:rPr>
                <w:rFonts w:ascii="宋体" w:hAnsi="宋体" w:cs="宋体" w:eastAsia="宋体" w:hint="default"/>
                <w:sz w:val="21"/>
                <w:szCs w:val="21"/>
              </w:rPr>
            </w:pPr>
            <w:r>
              <w:rPr>
                <w:rFonts w:ascii="宋体"/>
                <w:sz w:val="21"/>
              </w:rPr>
              <w:t>116,274,949.00</w:t>
            </w:r>
          </w:p>
        </w:tc>
      </w:tr>
    </w:tbl>
    <w:p>
      <w:pPr>
        <w:pStyle w:val="BodyText"/>
        <w:spacing w:line="290" w:lineRule="auto" w:before="26"/>
        <w:ind w:left="218" w:right="2465"/>
        <w:jc w:val="left"/>
      </w:pPr>
      <w:r>
        <w:rPr>
          <w:spacing w:val="-2"/>
        </w:rPr>
        <w:t>盈余公积说明，包括本期增减变动情况、变动原因说明：</w:t>
      </w:r>
      <w:r>
        <w:rPr>
          <w:spacing w:val="-55"/>
        </w:rPr>
        <w:t> </w:t>
      </w:r>
      <w:r>
        <w:rPr>
          <w:spacing w:val="-55"/>
        </w:rPr>
      </w:r>
      <w:r>
        <w:rPr>
          <w:spacing w:val="-2"/>
        </w:rPr>
        <w:t>本期增加原因是公司按照实现净利润计提盈余公积所致。</w:t>
      </w:r>
    </w:p>
    <w:p>
      <w:pPr>
        <w:spacing w:after="0" w:line="290" w:lineRule="auto"/>
        <w:jc w:val="left"/>
        <w:sectPr>
          <w:pgSz w:w="11910" w:h="16840"/>
          <w:pgMar w:header="856" w:footer="1193" w:top="1280" w:bottom="1380" w:left="1580" w:right="1040"/>
        </w:sectPr>
      </w:pPr>
    </w:p>
    <w:p>
      <w:pPr>
        <w:spacing w:line="240" w:lineRule="auto" w:before="8"/>
        <w:rPr>
          <w:rFonts w:ascii="宋体" w:hAnsi="宋体" w:cs="宋体" w:eastAsia="宋体" w:hint="default"/>
          <w:sz w:val="12"/>
          <w:szCs w:val="12"/>
        </w:rPr>
      </w:pPr>
    </w:p>
    <w:p>
      <w:pPr>
        <w:pStyle w:val="Heading2"/>
        <w:spacing w:line="240" w:lineRule="auto"/>
        <w:ind w:right="2465"/>
        <w:jc w:val="left"/>
        <w:rPr>
          <w:b w:val="0"/>
          <w:bCs w:val="0"/>
        </w:rPr>
      </w:pPr>
      <w:r>
        <w:rPr>
          <w:rFonts w:ascii="宋体" w:hAnsi="宋体" w:cs="宋体" w:eastAsia="宋体" w:hint="default"/>
        </w:rPr>
        <w:t>36</w:t>
      </w:r>
      <w:r>
        <w:rPr/>
        <w:t>、</w:t>
      </w:r>
      <w:r>
        <w:rPr>
          <w:spacing w:val="-25"/>
        </w:rPr>
        <w:t> </w:t>
      </w:r>
      <w:r>
        <w:rPr/>
        <w:t>未分配利润</w:t>
      </w:r>
      <w:r>
        <w:rPr>
          <w:b w:val="0"/>
          <w:bCs w:val="0"/>
        </w:rPr>
      </w:r>
    </w:p>
    <w:p>
      <w:pPr>
        <w:pStyle w:val="BodyText"/>
        <w:tabs>
          <w:tab w:pos="1051" w:val="left" w:leader="none"/>
        </w:tabs>
        <w:spacing w:line="240" w:lineRule="auto" w:before="58"/>
        <w:ind w:left="0" w:right="227"/>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430"/>
        <w:gridCol w:w="2777"/>
        <w:gridCol w:w="2691"/>
      </w:tblGrid>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212,375,336.56</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166,747,361.69</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212,375,336.56</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166,747,361.69</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117,148,526.90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53,542,851.07</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6,942,906.21</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7,914,876.20</w:t>
            </w: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322,580,957.25</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212,375,336.56</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37</w:t>
      </w:r>
      <w:r>
        <w:rPr/>
        <w:t>、</w:t>
      </w:r>
      <w:r>
        <w:rPr>
          <w:spacing w:val="-23"/>
        </w:rPr>
        <w:t> </w:t>
      </w:r>
      <w:r>
        <w:rPr/>
        <w:t>营业收入和营业成本</w:t>
      </w:r>
      <w:r>
        <w:rPr>
          <w:b w:val="0"/>
          <w:bCs w:val="0"/>
        </w:rPr>
      </w:r>
    </w:p>
    <w:p>
      <w:pPr>
        <w:pStyle w:val="BodyText"/>
        <w:tabs>
          <w:tab w:pos="1051" w:val="left" w:leader="none"/>
        </w:tabs>
        <w:spacing w:line="240" w:lineRule="auto" w:before="58"/>
        <w:ind w:left="0" w:right="227"/>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02"/>
        <w:gridCol w:w="1897"/>
        <w:gridCol w:w="1896"/>
        <w:gridCol w:w="1897"/>
        <w:gridCol w:w="1838"/>
      </w:tblGrid>
      <w:tr>
        <w:trPr>
          <w:trHeight w:val="283" w:hRule="exact"/>
        </w:trPr>
        <w:tc>
          <w:tcPr>
            <w:tcW w:w="1402"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402"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收入</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4"/>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2,410,331,570.50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1,986,371,973.92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1,110,662,368.71</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928,728,406.48</w:t>
            </w:r>
          </w:p>
        </w:tc>
      </w:tr>
      <w:tr>
        <w:trPr>
          <w:trHeight w:val="28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4"/>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6,633,208.53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4,432,150.42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4,776,978.43</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4,260,357.98</w:t>
            </w:r>
          </w:p>
        </w:tc>
      </w:tr>
      <w:tr>
        <w:trPr>
          <w:trHeight w:val="281"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2,416,964,779.03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1,990,804,124.34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1,115,439,347.14</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932,988,764.46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2465"/>
        <w:jc w:val="left"/>
        <w:rPr>
          <w:b w:val="0"/>
          <w:bCs w:val="0"/>
        </w:rPr>
      </w:pPr>
      <w:r>
        <w:rPr>
          <w:rFonts w:ascii="宋体" w:hAnsi="宋体" w:cs="宋体" w:eastAsia="宋体" w:hint="default"/>
        </w:rPr>
        <w:t>38</w:t>
      </w:r>
      <w:r>
        <w:rPr/>
        <w:t>、</w:t>
      </w:r>
      <w:r>
        <w:rPr>
          <w:spacing w:val="-24"/>
        </w:rPr>
        <w:t> </w:t>
      </w:r>
      <w:r>
        <w:rPr/>
        <w:t>营业税金及附加</w:t>
      </w:r>
      <w:r>
        <w:rPr>
          <w:b w:val="0"/>
          <w:bCs w:val="0"/>
        </w:rPr>
      </w:r>
    </w:p>
    <w:p>
      <w:pPr>
        <w:pStyle w:val="BodyText"/>
        <w:tabs>
          <w:tab w:pos="1051" w:val="left" w:leader="none"/>
        </w:tabs>
        <w:spacing w:line="240" w:lineRule="auto" w:before="58"/>
        <w:ind w:left="0" w:right="227"/>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43,121,968.62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33,443,656.34</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3,407,815.62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1,885,357.04</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2,983,169.98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1,743,298.10</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5,067,578.45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15,067,468.79</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1,390,188.22</w:t>
            </w: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文化建设事业费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4,853,595.59</w:t>
            </w: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49,793.34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665,492.31</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60,874,109.82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52,805,272.58</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39</w:t>
      </w:r>
      <w:r>
        <w:rPr/>
        <w:t>、</w:t>
      </w:r>
      <w:r>
        <w:rPr>
          <w:spacing w:val="-25"/>
        </w:rPr>
        <w:t> </w:t>
      </w:r>
      <w:r>
        <w:rPr/>
        <w:t>销售费用</w:t>
      </w:r>
      <w:r>
        <w:rPr>
          <w:b w:val="0"/>
          <w:bCs w:val="0"/>
        </w:rPr>
      </w:r>
    </w:p>
    <w:p>
      <w:pPr>
        <w:pStyle w:val="BodyText"/>
        <w:tabs>
          <w:tab w:pos="1051" w:val="left" w:leader="none"/>
        </w:tabs>
        <w:spacing w:line="240" w:lineRule="auto" w:before="56"/>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9"/>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14,619,870.48</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12,498,596.67</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48,745,425.62</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2,876,464.52</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243,057.53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564,918.17</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21,750.00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505,164.72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424,084.10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372,015.63</w:t>
            </w:r>
          </w:p>
        </w:tc>
      </w:tr>
    </w:tbl>
    <w:p>
      <w:pPr>
        <w:spacing w:after="0" w:line="241" w:lineRule="exact"/>
        <w:jc w:val="right"/>
        <w:rPr>
          <w:rFonts w:ascii="宋体" w:hAnsi="宋体" w:cs="宋体" w:eastAsia="宋体" w:hint="default"/>
          <w:sz w:val="21"/>
          <w:szCs w:val="21"/>
        </w:rPr>
        <w:sectPr>
          <w:footerReference w:type="default" r:id="rId55"/>
          <w:pgSz w:w="11910" w:h="16840"/>
          <w:pgMar w:footer="1193" w:header="856" w:top="1280" w:bottom="1380" w:left="1580" w:right="1040"/>
        </w:sectPr>
      </w:pPr>
    </w:p>
    <w:p>
      <w:pPr>
        <w:spacing w:line="240" w:lineRule="auto" w:before="13"/>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9"/>
      </w:tblGrid>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3,954,434.34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271,040.30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邮电费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150,023.27</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162,981.25</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375,857.72</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132,011.48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121,170.10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99,374.00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2,126,262.22</w:t>
            </w:r>
          </w:p>
        </w:tc>
        <w:tc>
          <w:tcPr>
            <w:tcW w:w="28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8,295,596.72</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1,226,080.95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79,077,532.10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18,708,647.69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40</w:t>
      </w:r>
      <w:r>
        <w:rPr/>
        <w:t>、</w:t>
      </w:r>
      <w:r>
        <w:rPr>
          <w:spacing w:val="-25"/>
        </w:rPr>
        <w:t> </w:t>
      </w:r>
      <w:r>
        <w:rPr/>
        <w:t>管理费用</w:t>
      </w:r>
      <w:r>
        <w:rPr>
          <w:b w:val="0"/>
          <w:bCs w:val="0"/>
        </w:rPr>
      </w:r>
    </w:p>
    <w:p>
      <w:pPr>
        <w:pStyle w:val="BodyText"/>
        <w:tabs>
          <w:tab w:pos="1051" w:val="left" w:leader="none"/>
        </w:tabs>
        <w:spacing w:line="240" w:lineRule="auto" w:before="58"/>
        <w:ind w:left="0" w:right="227"/>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1"/>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42,517,554.44</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10,892,372.58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11,621,597.16</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5,859,598.83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3,922,559.17</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4,589,547.59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3,292,618.92</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3,325,672.70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5,751,170.85</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3,325,035.08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5,526,779.31</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1,823,229.51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8,801,756.84</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863,061.48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邮电费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315,152.89</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252,190.97</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2,350,614.37</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223,362.20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560,918.60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188,958.60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租金及物业费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5,284,148.00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468,016.86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3,974,177.54</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564,076.83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11,505,800.00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3,523,463.00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12,222,089.48</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8,951,062.82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117,646,937.57</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44,849,649.05</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41</w:t>
      </w:r>
      <w:r>
        <w:rPr/>
        <w:t>、</w:t>
      </w:r>
      <w:r>
        <w:rPr>
          <w:spacing w:val="-25"/>
        </w:rPr>
        <w:t> </w:t>
      </w:r>
      <w:r>
        <w:rPr/>
        <w:t>财务费用</w:t>
      </w:r>
      <w:r>
        <w:rPr>
          <w:b w:val="0"/>
          <w:bCs w:val="0"/>
        </w:rPr>
      </w:r>
    </w:p>
    <w:p>
      <w:pPr>
        <w:pStyle w:val="BodyText"/>
        <w:tabs>
          <w:tab w:pos="1051" w:val="left" w:leader="none"/>
        </w:tabs>
        <w:spacing w:line="240" w:lineRule="auto" w:before="56"/>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1"/>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54,739,383.21</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22,527,748.71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-20,020,436.29</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-10,507,276.32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BT</w:t>
            </w:r>
            <w:r>
              <w:rPr>
                <w:rFonts w:ascii="宋体" w:hAnsi="宋体" w:cs="宋体" w:eastAsia="宋体" w:hint="default"/>
                <w:spacing w:val="-58"/>
                <w:sz w:val="21"/>
                <w:szCs w:val="21"/>
              </w:rPr>
              <w:t> </w:t>
            </w:r>
            <w:r>
              <w:rPr>
                <w:rFonts w:ascii="宋体" w:hAnsi="宋体" w:cs="宋体" w:eastAsia="宋体" w:hint="default"/>
                <w:sz w:val="21"/>
                <w:szCs w:val="21"/>
              </w:rPr>
              <w:t>项目利息收入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-13,903,880.90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-18,846,209.69</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4,581,039.69</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3,086,115.11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57,429.29</w:t>
            </w:r>
          </w:p>
        </w:tc>
        <w:tc>
          <w:tcPr>
            <w:tcW w:w="24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-355,584.78</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-104,546.85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518,971.07</w:t>
            </w:r>
          </w:p>
        </w:tc>
        <w:tc>
          <w:tcPr>
            <w:tcW w:w="24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25,616,921.29</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-3,844,169.04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6"/>
          <w:pgSz w:w="11910" w:h="16840"/>
          <w:pgMar w:footer="1193" w:header="856" w:top="1280" w:bottom="1380" w:left="1580" w:right="1040"/>
          <w:pgNumType w:start="121"/>
        </w:sectPr>
      </w:pPr>
    </w:p>
    <w:p>
      <w:pPr>
        <w:pStyle w:val="Heading2"/>
        <w:spacing w:line="240" w:lineRule="auto"/>
        <w:ind w:right="-18"/>
        <w:jc w:val="left"/>
        <w:rPr>
          <w:b w:val="0"/>
          <w:bCs w:val="0"/>
        </w:rPr>
      </w:pPr>
      <w:r>
        <w:rPr>
          <w:rFonts w:ascii="宋体" w:hAnsi="宋体" w:cs="宋体" w:eastAsia="宋体" w:hint="default"/>
        </w:rPr>
        <w:t>42</w:t>
      </w:r>
      <w:r>
        <w:rPr/>
        <w:t>、</w:t>
      </w:r>
      <w:r>
        <w:rPr>
          <w:spacing w:val="-24"/>
        </w:rPr>
        <w:t> </w:t>
      </w:r>
      <w:r>
        <w:rPr/>
        <w:t>资产减值损失</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1990" w:space="4534"/>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6"/>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-6,724,248.29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11,722,000.82</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40,466,944.06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5,704,523.26</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280" w:bottom="1380" w:left="1580" w:right="1040"/>
        </w:sectPr>
      </w:pPr>
    </w:p>
    <w:p>
      <w:pPr>
        <w:spacing w:line="240" w:lineRule="auto" w:before="13"/>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3399"/>
        <w:gridCol w:w="2576"/>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4" w:right="0"/>
              <w:jc w:val="left"/>
              <w:rPr>
                <w:rFonts w:ascii="宋体" w:hAnsi="宋体" w:cs="宋体" w:eastAsia="宋体" w:hint="default"/>
                <w:sz w:val="21"/>
                <w:szCs w:val="21"/>
              </w:rPr>
            </w:pPr>
            <w:r>
              <w:rPr>
                <w:rFonts w:ascii="宋体"/>
                <w:sz w:val="21"/>
              </w:rPr>
              <w:t>33,742,695.77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98" w:right="0"/>
              <w:jc w:val="left"/>
              <w:rPr>
                <w:rFonts w:ascii="宋体" w:hAnsi="宋体" w:cs="宋体" w:eastAsia="宋体" w:hint="default"/>
                <w:sz w:val="21"/>
                <w:szCs w:val="21"/>
              </w:rPr>
            </w:pPr>
            <w:r>
              <w:rPr>
                <w:rFonts w:ascii="宋体"/>
                <w:sz w:val="21"/>
              </w:rPr>
              <w:t>17,426,524.08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3" w:top="1280" w:bottom="1380" w:left="1580" w:right="1040"/>
        </w:sectPr>
      </w:pPr>
    </w:p>
    <w:p>
      <w:pPr>
        <w:pStyle w:val="Heading2"/>
        <w:spacing w:line="240" w:lineRule="auto"/>
        <w:ind w:right="-18"/>
        <w:jc w:val="left"/>
        <w:rPr>
          <w:b w:val="0"/>
          <w:bCs w:val="0"/>
        </w:rPr>
      </w:pPr>
      <w:r>
        <w:rPr>
          <w:rFonts w:ascii="宋体" w:hAnsi="宋体" w:cs="宋体" w:eastAsia="宋体" w:hint="default"/>
        </w:rPr>
        <w:t>43</w:t>
      </w:r>
      <w:r>
        <w:rPr/>
        <w:t>、</w:t>
      </w:r>
      <w:r>
        <w:rPr>
          <w:spacing w:val="-25"/>
        </w:rPr>
        <w:t> </w:t>
      </w:r>
      <w:r>
        <w:rPr/>
        <w:t>投资收益</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before="0"/>
        <w:ind w:left="218" w:right="0"/>
        <w:jc w:val="left"/>
      </w:pPr>
      <w:r>
        <w:rPr>
          <w:spacing w:val="-1"/>
        </w:rPr>
        <w:t>单位：元</w:t>
        <w:tab/>
        <w:t>币种：人民币</w:t>
      </w:r>
    </w:p>
    <w:p>
      <w:pPr>
        <w:spacing w:after="0" w:line="240" w:lineRule="auto"/>
        <w:jc w:val="left"/>
        <w:sectPr>
          <w:type w:val="continuous"/>
          <w:pgSz w:w="11910" w:h="16840"/>
          <w:pgMar w:top="1280" w:bottom="1380" w:left="1580" w:right="1040"/>
          <w:cols w:num="2" w:equalWidth="0">
            <w:col w:w="1795" w:space="4729"/>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6"/>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27,845,973.17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24,607,619.29</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45,881,746.08</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453,095.89</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74,180,815.14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24,607,619.29</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44</w:t>
      </w:r>
      <w:r>
        <w:rPr/>
        <w:t>、</w:t>
      </w:r>
      <w:r>
        <w:rPr>
          <w:spacing w:val="-25"/>
        </w:rPr>
        <w:t> </w:t>
      </w:r>
      <w:r>
        <w:rPr/>
        <w:t>营业外收入</w:t>
      </w:r>
      <w:r>
        <w:rPr>
          <w:b w:val="0"/>
          <w:bCs w:val="0"/>
        </w:rPr>
      </w:r>
    </w:p>
    <w:p>
      <w:pPr>
        <w:pStyle w:val="BodyText"/>
        <w:tabs>
          <w:tab w:pos="1051" w:val="left" w:leader="none"/>
        </w:tabs>
        <w:spacing w:line="240" w:lineRule="auto" w:before="56"/>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7"/>
        <w:gridCol w:w="2314"/>
        <w:gridCol w:w="2319"/>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1,229,310.38</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2,499,311.52</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1,229,310.38</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1,229,310.38</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2,499,311.52</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1,229,310.38</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280" w:bottom="1380" w:left="1580" w:right="1040"/>
        </w:sectPr>
      </w:pPr>
    </w:p>
    <w:p>
      <w:pPr>
        <w:spacing w:line="240" w:lineRule="auto" w:before="13"/>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2112"/>
        <w:gridCol w:w="2307"/>
        <w:gridCol w:w="2314"/>
        <w:gridCol w:w="2319"/>
      </w:tblGrid>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1,620,317.91</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12,678,970.80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1,620,317.91</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2,999,693.38</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3,263,616.56</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2,999,693.38</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5,849,321.67</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18,441,898.88</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5,849,321.67</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56" w:footer="1193" w:top="1280" w:bottom="1380" w:left="1580" w:right="1040"/>
        </w:sectPr>
      </w:pPr>
    </w:p>
    <w:p>
      <w:pPr>
        <w:pStyle w:val="BodyText"/>
        <w:spacing w:line="274" w:lineRule="exact" w:before="36"/>
        <w:ind w:left="218" w:right="0"/>
        <w:jc w:val="left"/>
      </w:pPr>
      <w:r>
        <w:rPr>
          <w:spacing w:val="-2"/>
        </w:rPr>
        <w:t>计入当期损益的政府补助</w:t>
      </w:r>
    </w:p>
    <w:p>
      <w:pPr>
        <w:pStyle w:val="BodyText"/>
        <w:spacing w:line="274" w:lineRule="exact" w:before="0"/>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2532" w:space="3994"/>
            <w:col w:w="2764"/>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62"/>
        <w:gridCol w:w="2278"/>
        <w:gridCol w:w="2276"/>
        <w:gridCol w:w="2281"/>
      </w:tblGrid>
      <w:tr>
        <w:trPr>
          <w:trHeight w:val="566"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1"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2"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555"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绝缘棚双极晶体管产</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业化项目等</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570,317.91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12,521,970.80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山东省自主创新重大</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专项资金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1,000,000.00</w:t>
            </w:r>
          </w:p>
        </w:tc>
        <w:tc>
          <w:tcPr>
            <w:tcW w:w="227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扶持资金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w:t>
            </w:r>
          </w:p>
        </w:tc>
        <w:tc>
          <w:tcPr>
            <w:tcW w:w="227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专利项目扶持资金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专利资助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1,620,317.91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12,678,970.80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45</w:t>
      </w:r>
      <w:r>
        <w:rPr/>
        <w:t>、</w:t>
      </w:r>
      <w:r>
        <w:rPr>
          <w:spacing w:val="-25"/>
        </w:rPr>
        <w:t> </w:t>
      </w:r>
      <w:r>
        <w:rPr/>
        <w:t>营业外支出</w:t>
      </w:r>
      <w:r>
        <w:rPr>
          <w:b w:val="0"/>
          <w:bCs w:val="0"/>
        </w:rPr>
      </w:r>
    </w:p>
    <w:p>
      <w:pPr>
        <w:pStyle w:val="BodyText"/>
        <w:tabs>
          <w:tab w:pos="1051" w:val="left" w:leader="none"/>
        </w:tabs>
        <w:spacing w:line="240" w:lineRule="auto" w:before="56"/>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9"/>
      </w:tblGrid>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3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1,097,987.05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5,862,429.26</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1,097,987.05</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1,097,987.05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5,862,429.26</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1,097,987.05</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93,291.50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82,700.00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93,291.50</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17,720,116.16</w:t>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14,989,055.84</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14,989,055.84</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1,310,833.51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1,214,168.61</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1,310,833.51</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17,491,167.90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24,879,414.03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17,491,167.90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280" w:bottom="1380" w:left="1580" w:right="1040"/>
        </w:sectPr>
      </w:pPr>
    </w:p>
    <w:p>
      <w:pPr>
        <w:pStyle w:val="Heading2"/>
        <w:spacing w:line="290" w:lineRule="auto"/>
        <w:ind w:right="-20"/>
        <w:jc w:val="left"/>
        <w:rPr>
          <w:b w:val="0"/>
          <w:bCs w:val="0"/>
        </w:rPr>
      </w:pPr>
      <w:r>
        <w:rPr>
          <w:rFonts w:ascii="宋体" w:hAnsi="宋体" w:cs="宋体" w:eastAsia="宋体" w:hint="default"/>
        </w:rPr>
        <w:t>46</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1911" w:space="4614"/>
            <w:col w:w="2765"/>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9"/>
        <w:gridCol w:w="2878"/>
        <w:gridCol w:w="2861"/>
      </w:tblGrid>
      <w:tr>
        <w:trPr>
          <w:trHeight w:val="295"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89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49,284,196.98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28,015,195.84</w:t>
            </w:r>
          </w:p>
        </w:tc>
      </w:tr>
      <w:tr>
        <w:trPr>
          <w:trHeight w:val="28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-112,468.94</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-7,410,722.57</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49,171,728.04</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20,604,473.27</w:t>
            </w:r>
          </w:p>
        </w:tc>
      </w:tr>
    </w:tbl>
    <w:p>
      <w:pPr>
        <w:spacing w:after="0" w:line="243" w:lineRule="exact"/>
        <w:jc w:val="right"/>
        <w:rPr>
          <w:rFonts w:ascii="宋体" w:hAnsi="宋体" w:cs="宋体" w:eastAsia="宋体" w:hint="default"/>
          <w:sz w:val="21"/>
          <w:szCs w:val="21"/>
        </w:rPr>
        <w:sectPr>
          <w:type w:val="continuous"/>
          <w:pgSz w:w="11910" w:h="16840"/>
          <w:pgMar w:top="1280" w:bottom="1380" w:left="1580" w:right="1040"/>
        </w:sectPr>
      </w:pPr>
    </w:p>
    <w:p>
      <w:pPr>
        <w:spacing w:line="240" w:lineRule="auto" w:before="8"/>
        <w:rPr>
          <w:rFonts w:ascii="宋体" w:hAnsi="宋体" w:cs="宋体" w:eastAsia="宋体" w:hint="default"/>
          <w:sz w:val="12"/>
          <w:szCs w:val="12"/>
        </w:rPr>
      </w:pPr>
    </w:p>
    <w:p>
      <w:pPr>
        <w:pStyle w:val="Heading2"/>
        <w:spacing w:line="240" w:lineRule="auto"/>
        <w:ind w:left="158" w:right="0"/>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tabs>
          <w:tab w:pos="1051" w:val="left" w:leader="none"/>
        </w:tabs>
        <w:spacing w:line="240" w:lineRule="auto" w:before="58"/>
        <w:ind w:left="0" w:right="147"/>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304"/>
        <w:gridCol w:w="4590"/>
      </w:tblGrid>
      <w:tr>
        <w:trPr>
          <w:trHeight w:val="283"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0"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0"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171,741,427.05</w:t>
            </w:r>
          </w:p>
        </w:tc>
      </w:tr>
      <w:tr>
        <w:trPr>
          <w:trHeight w:val="286"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42,935,356.76</w:t>
            </w:r>
          </w:p>
        </w:tc>
      </w:tr>
      <w:tr>
        <w:trPr>
          <w:trHeight w:val="288"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-1,605,834.67</w:t>
            </w:r>
          </w:p>
        </w:tc>
      </w:tr>
      <w:tr>
        <w:trPr>
          <w:trHeight w:val="288"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-565,925.47</w:t>
            </w:r>
          </w:p>
        </w:tc>
      </w:tr>
      <w:tr>
        <w:trPr>
          <w:trHeight w:val="288"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-6,982,425.02</w:t>
            </w:r>
          </w:p>
        </w:tc>
      </w:tr>
      <w:tr>
        <w:trPr>
          <w:trHeight w:val="286"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1,599,887.32</w:t>
            </w:r>
          </w:p>
        </w:tc>
      </w:tr>
      <w:tr>
        <w:trPr>
          <w:trHeight w:val="559"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-2,041,948.94</w:t>
            </w:r>
          </w:p>
        </w:tc>
      </w:tr>
      <w:tr>
        <w:trPr>
          <w:trHeight w:val="562"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0"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16,057,795.28</w:t>
            </w:r>
          </w:p>
        </w:tc>
      </w:tr>
      <w:tr>
        <w:trPr>
          <w:trHeight w:val="286" w:hRule="exact"/>
        </w:trPr>
        <w:tc>
          <w:tcPr>
            <w:tcW w:w="4304"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研发费、残疾人工资加计扣除的影响</w:t>
            </w:r>
          </w:p>
        </w:tc>
        <w:tc>
          <w:tcPr>
            <w:tcW w:w="45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-225,177.22</w:t>
            </w:r>
          </w:p>
        </w:tc>
      </w:tr>
      <w:tr>
        <w:trPr>
          <w:trHeight w:val="288" w:hRule="exact"/>
        </w:trPr>
        <w:tc>
          <w:tcPr>
            <w:tcW w:w="4304"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49,171,728.04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3" w:top="1280" w:bottom="1380" w:left="1640" w:right="1120"/>
        </w:sectPr>
      </w:pPr>
    </w:p>
    <w:p>
      <w:pPr>
        <w:pStyle w:val="Heading2"/>
        <w:spacing w:line="240" w:lineRule="auto"/>
        <w:ind w:left="158" w:right="-2"/>
        <w:jc w:val="left"/>
        <w:rPr>
          <w:b w:val="0"/>
          <w:bCs w:val="0"/>
        </w:rPr>
      </w:pPr>
      <w:r>
        <w:rPr>
          <w:rFonts w:ascii="宋体" w:hAnsi="宋体" w:cs="宋体" w:eastAsia="宋体" w:hint="default"/>
        </w:rPr>
        <w:t>47</w:t>
      </w:r>
      <w:r>
        <w:rPr/>
        <w:t>、</w:t>
      </w:r>
      <w:r>
        <w:rPr>
          <w:spacing w:val="-24"/>
        </w:rPr>
        <w:t> </w:t>
      </w:r>
      <w:r>
        <w:rPr/>
        <w:t>现金流量表项目</w:t>
      </w:r>
      <w:r>
        <w:rPr>
          <w:b w:val="0"/>
          <w:bCs w:val="0"/>
        </w:rPr>
      </w:r>
    </w:p>
    <w:p>
      <w:pPr>
        <w:pStyle w:val="Heading2"/>
        <w:tabs>
          <w:tab w:pos="858" w:val="left" w:leader="none"/>
        </w:tabs>
        <w:spacing w:line="240" w:lineRule="auto" w:before="56"/>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7"/>
        <w:ind w:left="158" w:right="0"/>
        <w:jc w:val="left"/>
      </w:pPr>
      <w:r>
        <w:rPr>
          <w:spacing w:val="-1"/>
        </w:rPr>
        <w:t>单位：元</w:t>
        <w:tab/>
      </w:r>
      <w:r>
        <w:rPr>
          <w:spacing w:val="-2"/>
        </w:rPr>
        <w:t>币种：人民币</w:t>
      </w:r>
    </w:p>
    <w:p>
      <w:pPr>
        <w:spacing w:after="0" w:line="240" w:lineRule="auto"/>
        <w:jc w:val="left"/>
        <w:sectPr>
          <w:type w:val="continuous"/>
          <w:pgSz w:w="11910" w:h="16840"/>
          <w:pgMar w:top="1280" w:bottom="1380" w:left="1640" w:right="1120"/>
          <w:cols w:num="2" w:equalWidth="0">
            <w:col w:w="4234" w:space="2290"/>
            <w:col w:w="2626"/>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51"/>
        <w:gridCol w:w="2777"/>
        <w:gridCol w:w="2768"/>
      </w:tblGrid>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收到的政府补助</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1,750,000.00</w:t>
            </w: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13,918,293.53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10,507,276.32</w:t>
            </w: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个月后到期的按揭房款保证金</w:t>
            </w:r>
          </w:p>
        </w:tc>
        <w:tc>
          <w:tcPr>
            <w:tcW w:w="2777" w:type="dxa"/>
            <w:tcBorders>
              <w:top w:val="single" w:sz="6" w:space="0" w:color="000000"/>
              <w:left w:val="single" w:sz="6"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8,803,506.25</w:t>
            </w: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代收个人股权转让税款</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21,926,500.00</w:t>
            </w: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招投标保证金及其他</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88,808,805.60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126,004,636.38</w:t>
            </w: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126,403,599.13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145,315,418.95</w:t>
            </w:r>
          </w:p>
        </w:tc>
      </w:tr>
    </w:tbl>
    <w:p>
      <w:pPr>
        <w:spacing w:line="240" w:lineRule="auto" w:before="12"/>
        <w:rPr>
          <w:rFonts w:ascii="宋体" w:hAnsi="宋体" w:cs="宋体" w:eastAsia="宋体" w:hint="default"/>
          <w:sz w:val="19"/>
          <w:szCs w:val="19"/>
        </w:rPr>
      </w:pPr>
    </w:p>
    <w:p>
      <w:pPr>
        <w:pStyle w:val="Heading2"/>
        <w:tabs>
          <w:tab w:pos="858" w:val="left" w:leader="none"/>
        </w:tabs>
        <w:spacing w:line="240" w:lineRule="auto"/>
        <w:ind w:left="15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1" w:val="left" w:leader="none"/>
        </w:tabs>
        <w:spacing w:line="240" w:lineRule="auto" w:before="58"/>
        <w:ind w:left="0" w:right="147"/>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51"/>
        <w:gridCol w:w="2758"/>
        <w:gridCol w:w="2787"/>
      </w:tblGrid>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47,289,540.58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16,940,531.51</w:t>
            </w:r>
          </w:p>
        </w:tc>
      </w:tr>
      <w:tr>
        <w:trPr>
          <w:trHeight w:val="286"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22,262,669.32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9,078,182.70</w:t>
            </w: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w:t>
            </w:r>
            <w:r>
              <w:rPr>
                <w:rFonts w:ascii="宋体" w:hAnsi="宋体" w:cs="宋体" w:eastAsia="宋体" w:hint="default"/>
                <w:sz w:val="21"/>
                <w:szCs w:val="21"/>
              </w:rPr>
              <w:t>手续费</w:t>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360,309.80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282,173.88</w:t>
            </w:r>
          </w:p>
        </w:tc>
      </w:tr>
      <w:tr>
        <w:trPr>
          <w:trHeight w:val="289"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个月后到期的保证金</w:t>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7,370,998.15</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3,513,318.71</w:t>
            </w:r>
          </w:p>
        </w:tc>
      </w:tr>
      <w:tr>
        <w:trPr>
          <w:trHeight w:val="286"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代缴个人股权转让税款</w:t>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32,838,191.00</w:t>
            </w:r>
          </w:p>
        </w:tc>
        <w:tc>
          <w:tcPr>
            <w:tcW w:w="27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招投标保证金及其他</w:t>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248,862,467.32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160,841,124.06</w:t>
            </w: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358,984,176.17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190,655,330.86</w:t>
            </w:r>
          </w:p>
        </w:tc>
      </w:tr>
    </w:tbl>
    <w:p>
      <w:pPr>
        <w:spacing w:line="240" w:lineRule="auto" w:before="2"/>
        <w:rPr>
          <w:rFonts w:ascii="宋体" w:hAnsi="宋体" w:cs="宋体" w:eastAsia="宋体" w:hint="default"/>
          <w:sz w:val="20"/>
          <w:szCs w:val="20"/>
        </w:rPr>
      </w:pPr>
    </w:p>
    <w:p>
      <w:pPr>
        <w:pStyle w:val="Heading2"/>
        <w:tabs>
          <w:tab w:pos="885" w:val="left" w:leader="none"/>
        </w:tabs>
        <w:spacing w:line="240" w:lineRule="auto"/>
        <w:ind w:left="158" w:right="0"/>
        <w:jc w:val="left"/>
        <w:rPr>
          <w:b w:val="0"/>
          <w:bCs w:val="0"/>
        </w:rPr>
      </w:pPr>
      <w:r>
        <w:rPr>
          <w:rFonts w:ascii="宋体" w:hAnsi="宋体" w:cs="宋体" w:eastAsia="宋体" w:hint="default"/>
          <w:w w:val="95"/>
        </w:rPr>
        <w:t>(3).</w:t>
        <w:tab/>
      </w:r>
      <w:r>
        <w:rPr/>
        <w:t>支付的其他与投资活动有关的现金</w:t>
      </w:r>
      <w:r>
        <w:rPr>
          <w:b w:val="0"/>
          <w:bCs w:val="0"/>
        </w:rPr>
      </w:r>
    </w:p>
    <w:p>
      <w:pPr>
        <w:pStyle w:val="BodyText"/>
        <w:tabs>
          <w:tab w:pos="1051" w:val="left" w:leader="none"/>
        </w:tabs>
        <w:spacing w:line="240" w:lineRule="auto" w:before="56"/>
        <w:ind w:left="0" w:right="14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51"/>
        <w:gridCol w:w="2864"/>
        <w:gridCol w:w="2681"/>
      </w:tblGrid>
      <w:tr>
        <w:trPr>
          <w:trHeight w:val="286"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定期存单（应付股权对价款）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202,236,464.10</w:t>
            </w:r>
          </w:p>
        </w:tc>
        <w:tc>
          <w:tcPr>
            <w:tcW w:w="268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54,688.70</w:t>
            </w:r>
          </w:p>
        </w:tc>
        <w:tc>
          <w:tcPr>
            <w:tcW w:w="268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202,291,152.80</w:t>
            </w:r>
          </w:p>
        </w:tc>
        <w:tc>
          <w:tcPr>
            <w:tcW w:w="268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280" w:bottom="1380" w:left="1640" w:right="1120"/>
        </w:sectPr>
      </w:pPr>
    </w:p>
    <w:p>
      <w:pPr>
        <w:spacing w:line="240" w:lineRule="auto" w:before="8"/>
        <w:rPr>
          <w:rFonts w:ascii="宋体" w:hAnsi="宋体" w:cs="宋体" w:eastAsia="宋体" w:hint="default"/>
          <w:sz w:val="12"/>
          <w:szCs w:val="12"/>
        </w:rPr>
      </w:pPr>
    </w:p>
    <w:p>
      <w:pPr>
        <w:pStyle w:val="Heading2"/>
        <w:tabs>
          <w:tab w:pos="1057" w:val="left" w:leader="none"/>
        </w:tabs>
        <w:spacing w:line="240" w:lineRule="auto"/>
        <w:ind w:right="2465"/>
        <w:jc w:val="left"/>
        <w:rPr>
          <w:b w:val="0"/>
          <w:bCs w:val="0"/>
        </w:rPr>
      </w:pPr>
      <w:r>
        <w:rPr>
          <w:rFonts w:ascii="宋体" w:hAnsi="宋体" w:cs="宋体" w:eastAsia="宋体" w:hint="default"/>
          <w:w w:val="95"/>
        </w:rPr>
        <w:t>(4).</w:t>
        <w:tab/>
      </w:r>
      <w:r>
        <w:rPr/>
        <w:t>收到的其他与筹资活动有关的现金</w:t>
      </w:r>
      <w:r>
        <w:rPr>
          <w:b w:val="0"/>
          <w:bCs w:val="0"/>
        </w:rPr>
      </w:r>
    </w:p>
    <w:p>
      <w:pPr>
        <w:pStyle w:val="BodyText"/>
        <w:tabs>
          <w:tab w:pos="1051" w:val="left" w:leader="none"/>
        </w:tabs>
        <w:spacing w:line="240" w:lineRule="auto" w:before="58"/>
        <w:ind w:left="0" w:right="227"/>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51"/>
        <w:gridCol w:w="2864"/>
        <w:gridCol w:w="2681"/>
      </w:tblGrid>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票据贴现</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1,448,523,170.45</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2,042,988,850.11</w:t>
            </w: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收到的政府搬迁补偿</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6,248,773.93</w:t>
            </w:r>
          </w:p>
        </w:tc>
        <w:tc>
          <w:tcPr>
            <w:tcW w:w="268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1,454,771,944.38</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2,042,988,850.11</w:t>
            </w:r>
          </w:p>
        </w:tc>
      </w:tr>
    </w:tbl>
    <w:p>
      <w:pPr>
        <w:spacing w:line="240" w:lineRule="auto" w:before="12"/>
        <w:rPr>
          <w:rFonts w:ascii="宋体" w:hAnsi="宋体" w:cs="宋体" w:eastAsia="宋体" w:hint="default"/>
          <w:sz w:val="19"/>
          <w:szCs w:val="19"/>
        </w:rPr>
      </w:pPr>
    </w:p>
    <w:p>
      <w:pPr>
        <w:pStyle w:val="Heading2"/>
        <w:tabs>
          <w:tab w:pos="1057" w:val="left" w:leader="none"/>
        </w:tabs>
        <w:spacing w:line="240" w:lineRule="auto"/>
        <w:ind w:right="2465"/>
        <w:jc w:val="left"/>
        <w:rPr>
          <w:b w:val="0"/>
          <w:bCs w:val="0"/>
        </w:rPr>
      </w:pPr>
      <w:r>
        <w:rPr>
          <w:rFonts w:ascii="宋体" w:hAnsi="宋体" w:cs="宋体" w:eastAsia="宋体" w:hint="default"/>
          <w:w w:val="95"/>
        </w:rPr>
        <w:t>(5).</w:t>
        <w:tab/>
      </w:r>
      <w:r>
        <w:rPr/>
        <w:t>支付的其他与筹资活动有关的现金</w:t>
      </w:r>
      <w:r>
        <w:rPr>
          <w:b w:val="0"/>
          <w:bCs w:val="0"/>
        </w:rPr>
      </w:r>
    </w:p>
    <w:p>
      <w:pPr>
        <w:pStyle w:val="BodyText"/>
        <w:tabs>
          <w:tab w:pos="1051" w:val="left" w:leader="none"/>
        </w:tabs>
        <w:spacing w:line="240" w:lineRule="auto" w:before="56"/>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51"/>
        <w:gridCol w:w="2864"/>
        <w:gridCol w:w="2681"/>
      </w:tblGrid>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4,285,977.48</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3,060,570.03</w:t>
            </w:r>
          </w:p>
        </w:tc>
      </w:tr>
      <w:tr>
        <w:trPr>
          <w:trHeight w:val="289"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个月后到期的应付票据保证金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21,678,200.00</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148,873,632.47</w:t>
            </w: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应付票据到期支付的现金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1,275,000,000.00</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2,127,000,000.00</w:t>
            </w: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返还的政府搬迁补偿</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50,584,823.93</w:t>
            </w:r>
          </w:p>
        </w:tc>
      </w:tr>
      <w:tr>
        <w:trPr>
          <w:trHeight w:val="28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1,300,964,177.48</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2,329,519,026.43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6" w:footer="1193" w:top="1280" w:bottom="1380" w:left="1580" w:right="1040"/>
        </w:sectPr>
      </w:pPr>
    </w:p>
    <w:p>
      <w:pPr>
        <w:pStyle w:val="Heading2"/>
        <w:spacing w:line="290" w:lineRule="auto"/>
        <w:ind w:right="-18"/>
        <w:jc w:val="left"/>
        <w:rPr>
          <w:b w:val="0"/>
          <w:bCs w:val="0"/>
        </w:rPr>
      </w:pPr>
      <w:r>
        <w:rPr>
          <w:rFonts w:ascii="宋体" w:hAnsi="宋体" w:cs="宋体" w:eastAsia="宋体" w:hint="default"/>
        </w:rPr>
        <w:t>48</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2623" w:space="3901"/>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8"/>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8" w:type="dxa"/>
            <w:tcBorders>
              <w:top w:val="single" w:sz="4" w:space="0" w:color="000000"/>
              <w:left w:val="single" w:sz="5" w:space="0" w:color="000000"/>
              <w:bottom w:val="single" w:sz="4" w:space="0" w:color="000000"/>
              <w:right w:val="single" w:sz="5"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8"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122,569,699.01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50,070,289.19</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33,742,695.77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17,426,524.08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11,268,293.27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12,327,696.85</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3,745,721.15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3,337,425.89</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663,899.22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129,603.04</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97"/>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131,323.33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3,363,117.74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4"/>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4"/>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54,739,383.21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25,331,689.94</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-74,180,815.14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-24,607,619.29</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-104,135.61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-7,410,722.57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w w:val="100"/>
                <w:sz w:val="21"/>
                <w:szCs w:val="21"/>
              </w:rPr>
              <w:t>（</w:t>
            </w:r>
            <w:r>
              <w:rPr>
                <w:rFonts w:ascii="宋体" w:hAnsi="宋体" w:cs="宋体" w:eastAsia="宋体" w:hint="default"/>
                <w:spacing w:val="-3"/>
                <w:w w:val="100"/>
                <w:sz w:val="21"/>
                <w:szCs w:val="21"/>
              </w:rPr>
              <w:t>减少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-8,333.33</w:t>
            </w: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-147,610,022.26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-542,025,373.53</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-536,479,366.56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-23,107,262.94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1,007,647,116.26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491,444,356.52</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476,125,458.32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6,279,724.92</w:t>
            </w:r>
          </w:p>
        </w:tc>
      </w:tr>
    </w:tbl>
    <w:p>
      <w:pPr>
        <w:spacing w:after="0" w:line="241" w:lineRule="exact"/>
        <w:jc w:val="right"/>
        <w:rPr>
          <w:rFonts w:ascii="宋体" w:hAnsi="宋体" w:cs="宋体" w:eastAsia="宋体" w:hint="default"/>
          <w:sz w:val="21"/>
          <w:szCs w:val="21"/>
        </w:rPr>
        <w:sectPr>
          <w:type w:val="continuous"/>
          <w:pgSz w:w="11910" w:h="16840"/>
          <w:pgMar w:top="1280" w:bottom="1380" w:left="1580" w:right="1040"/>
        </w:sectPr>
      </w:pPr>
    </w:p>
    <w:p>
      <w:pPr>
        <w:spacing w:line="240" w:lineRule="auto" w:before="13"/>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8"/>
      </w:tblGrid>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1,217,762,575.60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209,015,292.58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209,015,292.58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500,687,784.67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1,008,747,283.02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-291,672,492.09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3" w:top="1280" w:bottom="1380" w:left="1580" w:right="1040"/>
        </w:sectPr>
      </w:pPr>
    </w:p>
    <w:p>
      <w:pPr>
        <w:pStyle w:val="Heading2"/>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3807" w:space="271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17"/>
        <w:gridCol w:w="3135"/>
      </w:tblGrid>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9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515,558,464.90</w:t>
            </w:r>
          </w:p>
        </w:tc>
      </w:tr>
      <w:tr>
        <w:trPr>
          <w:trHeight w:val="28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282,968,640.44</w:t>
            </w: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1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5"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232,589,824.46</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2"/>
        </w:rPr>
        <w:t> </w:t>
      </w:r>
      <w:r>
        <w:rPr/>
        <w:t>现金和现金等价物的构成</w:t>
      </w:r>
      <w:r>
        <w:rPr>
          <w:b w:val="0"/>
          <w:bCs w:val="0"/>
        </w:rPr>
      </w:r>
    </w:p>
    <w:p>
      <w:pPr>
        <w:pStyle w:val="BodyText"/>
        <w:tabs>
          <w:tab w:pos="1051" w:val="left" w:leader="none"/>
        </w:tabs>
        <w:spacing w:line="240" w:lineRule="auto" w:before="56"/>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7"/>
      </w:tblGrid>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1,217,762,575.60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209,015,292.58</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398,773.48</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92,984.84</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1,027,337,690.02</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176,157,631.15</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190,026,112.10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32,764,676.59</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1,217,762,575.60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209,015,292.58</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49</w:t>
      </w:r>
      <w:r>
        <w:rPr/>
        <w:t>、</w:t>
      </w:r>
      <w:r>
        <w:rPr>
          <w:spacing w:val="-28"/>
        </w:rPr>
        <w:t> </w:t>
      </w:r>
      <w:r>
        <w:rPr/>
        <w:t>所有者权益变动表项目注释</w:t>
      </w:r>
      <w:r>
        <w:rPr>
          <w:b w:val="0"/>
          <w:bCs w:val="0"/>
        </w:rPr>
      </w:r>
    </w:p>
    <w:p>
      <w:pPr>
        <w:pStyle w:val="BodyText"/>
        <w:spacing w:line="240" w:lineRule="auto" w:before="56"/>
        <w:ind w:left="218" w:right="2465"/>
        <w:jc w:val="left"/>
      </w:pPr>
      <w:r>
        <w:rPr>
          <w:spacing w:val="-2"/>
        </w:rPr>
        <w:t>说明对上年期末余额进行调整的“其他”项目名称及调整金额等事项：</w:t>
      </w:r>
      <w:r>
        <w:rPr>
          <w:spacing w:val="-45"/>
        </w:rPr>
        <w:t> </w:t>
      </w:r>
      <w:r>
        <w:rPr>
          <w:spacing w:val="-45"/>
        </w:rPr>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280" w:bottom="1380" w:left="1580" w:right="1040"/>
        </w:sectPr>
      </w:pPr>
    </w:p>
    <w:p>
      <w:pPr>
        <w:pStyle w:val="Heading2"/>
        <w:spacing w:line="240" w:lineRule="auto"/>
        <w:ind w:right="-17"/>
        <w:jc w:val="left"/>
        <w:rPr>
          <w:b w:val="0"/>
          <w:bCs w:val="0"/>
        </w:rPr>
      </w:pPr>
      <w:r>
        <w:rPr>
          <w:rFonts w:ascii="宋体" w:hAnsi="宋体" w:cs="宋体" w:eastAsia="宋体" w:hint="default"/>
        </w:rPr>
        <w:t>50</w:t>
      </w:r>
      <w:r>
        <w:rPr/>
        <w:t>、</w:t>
      </w:r>
      <w:r>
        <w:rPr>
          <w:spacing w:val="-27"/>
        </w:rPr>
        <w:t> </w:t>
      </w:r>
      <w:r>
        <w:rPr/>
        <w:t>所有权或使用权受到限制的资产</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3675" w:space="2849"/>
            <w:col w:w="276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9"/>
        <w:gridCol w:w="3044"/>
        <w:gridCol w:w="2693"/>
      </w:tblGrid>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受限原因</w:t>
            </w:r>
          </w:p>
        </w:tc>
      </w:tr>
    </w:tbl>
    <w:p>
      <w:pPr>
        <w:spacing w:after="0" w:line="241" w:lineRule="exact"/>
        <w:jc w:val="center"/>
        <w:rPr>
          <w:rFonts w:ascii="宋体" w:hAnsi="宋体" w:cs="宋体" w:eastAsia="宋体" w:hint="default"/>
          <w:sz w:val="21"/>
          <w:szCs w:val="21"/>
        </w:rPr>
        <w:sectPr>
          <w:type w:val="continuous"/>
          <w:pgSz w:w="11910" w:h="16840"/>
          <w:pgMar w:top="1280" w:bottom="1380" w:left="1580" w:right="1040"/>
        </w:sectPr>
      </w:pPr>
    </w:p>
    <w:p>
      <w:pPr>
        <w:spacing w:line="240" w:lineRule="auto" w:before="13"/>
        <w:rPr>
          <w:rFonts w:ascii="宋体" w:hAnsi="宋体" w:cs="宋体" w:eastAsia="宋体" w:hint="default"/>
          <w:sz w:val="17"/>
          <w:szCs w:val="17"/>
        </w:rPr>
      </w:pPr>
    </w:p>
    <w:tbl>
      <w:tblPr>
        <w:tblW w:w="0" w:type="auto"/>
        <w:jc w:val="left"/>
        <w:tblInd w:w="179" w:type="dxa"/>
        <w:tblLayout w:type="fixed"/>
        <w:tblCellMar>
          <w:top w:w="0" w:type="dxa"/>
          <w:left w:w="0" w:type="dxa"/>
          <w:bottom w:w="0" w:type="dxa"/>
          <w:right w:w="0" w:type="dxa"/>
        </w:tblCellMar>
        <w:tblLook w:val="01E0"/>
      </w:tblPr>
      <w:tblGrid>
        <w:gridCol w:w="3159"/>
        <w:gridCol w:w="3044"/>
        <w:gridCol w:w="2693"/>
      </w:tblGrid>
      <w:tr>
        <w:trPr>
          <w:trHeight w:val="557"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451,803,245.62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8"/>
                <w:sz w:val="21"/>
                <w:szCs w:val="21"/>
              </w:rPr>
              <w:t> </w:t>
            </w:r>
            <w:r>
              <w:rPr>
                <w:rFonts w:ascii="宋体" w:hAnsi="宋体" w:cs="宋体" w:eastAsia="宋体" w:hint="default"/>
                <w:spacing w:val="-5"/>
                <w:sz w:val="21"/>
                <w:szCs w:val="21"/>
              </w:rPr>
              <w:t>个月以后到期的保证金、应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付股权对价款</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749,622,690.38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借款抵押</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159" w:type="dxa"/>
            <w:tcBorders>
              <w:top w:val="single" w:sz="4" w:space="0" w:color="000000"/>
              <w:left w:val="single" w:sz="4" w:space="0" w:color="000000"/>
              <w:bottom w:val="single" w:sz="6"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4" w:type="dxa"/>
            <w:tcBorders>
              <w:top w:val="single" w:sz="4" w:space="0" w:color="000000"/>
              <w:left w:val="single" w:sz="4" w:space="0" w:color="000000"/>
              <w:bottom w:val="single" w:sz="6"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72,077,297.38</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借款抵押</w:t>
            </w:r>
          </w:p>
        </w:tc>
      </w:tr>
      <w:tr>
        <w:trPr>
          <w:trHeight w:val="288" w:hRule="exact"/>
        </w:trPr>
        <w:tc>
          <w:tcPr>
            <w:tcW w:w="315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13,800,000.00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借款质押</w:t>
            </w:r>
          </w:p>
        </w:tc>
      </w:tr>
      <w:tr>
        <w:trPr>
          <w:trHeight w:val="288"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1,287,303,233.38</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0" w:lineRule="auto" w:before="26"/>
        <w:ind w:left="218" w:right="0"/>
        <w:jc w:val="both"/>
      </w:pPr>
      <w:r>
        <w:rPr/>
        <w:t>其他说明：</w:t>
      </w:r>
    </w:p>
    <w:p>
      <w:pPr>
        <w:pStyle w:val="BodyText"/>
        <w:spacing w:line="240" w:lineRule="auto" w:before="133"/>
        <w:ind w:left="638" w:right="2465"/>
        <w:jc w:val="left"/>
      </w:pPr>
      <w:r>
        <w:rPr/>
        <w:t>应收账款为北京百孚思广告有限公司借款质押。</w:t>
      </w:r>
    </w:p>
    <w:p>
      <w:pPr>
        <w:pStyle w:val="BodyText"/>
        <w:spacing w:line="314" w:lineRule="auto" w:before="85"/>
        <w:ind w:left="218" w:right="119" w:firstLine="419"/>
        <w:jc w:val="left"/>
      </w:pPr>
      <w:r>
        <w:rPr>
          <w:w w:val="100"/>
        </w:rPr>
        <w:t>编号</w:t>
      </w:r>
      <w:r>
        <w:rPr>
          <w:spacing w:val="-50"/>
          <w:w w:val="100"/>
        </w:rPr>
        <w:t> </w:t>
      </w:r>
      <w:r>
        <w:rPr>
          <w:rFonts w:ascii="宋体" w:hAnsi="宋体" w:cs="宋体" w:eastAsia="宋体" w:hint="default"/>
          <w:spacing w:val="-2"/>
          <w:w w:val="100"/>
        </w:rPr>
        <w:t>GX</w:t>
      </w:r>
      <w:r>
        <w:rPr>
          <w:spacing w:val="-2"/>
          <w:w w:val="100"/>
        </w:rPr>
        <w:t>–</w:t>
      </w:r>
      <w:r>
        <w:rPr>
          <w:rFonts w:ascii="宋体" w:hAnsi="宋体" w:cs="宋体" w:eastAsia="宋体" w:hint="default"/>
          <w:spacing w:val="-2"/>
          <w:w w:val="100"/>
        </w:rPr>
        <w:t>26</w:t>
      </w:r>
      <w:r>
        <w:rPr>
          <w:spacing w:val="-2"/>
          <w:w w:val="100"/>
        </w:rPr>
        <w:t>–</w:t>
      </w:r>
      <w:r>
        <w:rPr>
          <w:rFonts w:ascii="宋体" w:hAnsi="宋体" w:cs="宋体" w:eastAsia="宋体" w:hint="default"/>
          <w:spacing w:val="-2"/>
          <w:w w:val="100"/>
        </w:rPr>
        <w:t>915</w:t>
      </w:r>
      <w:r>
        <w:rPr>
          <w:spacing w:val="-2"/>
          <w:w w:val="100"/>
        </w:rPr>
        <w:t>–</w:t>
      </w:r>
      <w:r>
        <w:rPr>
          <w:rFonts w:ascii="宋体" w:hAnsi="宋体" w:cs="宋体" w:eastAsia="宋体" w:hint="default"/>
          <w:spacing w:val="-2"/>
          <w:w w:val="100"/>
        </w:rPr>
        <w:t>3</w:t>
      </w:r>
      <w:r>
        <w:rPr>
          <w:rFonts w:ascii="宋体" w:hAnsi="宋体" w:cs="宋体" w:eastAsia="宋体" w:hint="default"/>
          <w:spacing w:val="-50"/>
          <w:w w:val="100"/>
        </w:rPr>
        <w:t> </w:t>
      </w:r>
      <w:r>
        <w:rPr>
          <w:spacing w:val="-13"/>
          <w:w w:val="100"/>
        </w:rPr>
        <w:t>土地（土地证号：南国用</w:t>
      </w:r>
      <w:r>
        <w:rPr>
          <w:rFonts w:ascii="宋体" w:hAnsi="宋体" w:cs="宋体" w:eastAsia="宋体" w:hint="default"/>
          <w:spacing w:val="-13"/>
          <w:w w:val="100"/>
        </w:rPr>
        <w:t>(2011)</w:t>
      </w:r>
      <w:r>
        <w:rPr>
          <w:spacing w:val="-13"/>
          <w:w w:val="100"/>
        </w:rPr>
        <w:t>第</w:t>
      </w:r>
      <w:r>
        <w:rPr>
          <w:spacing w:val="-50"/>
          <w:w w:val="100"/>
        </w:rPr>
        <w:t> </w:t>
      </w:r>
      <w:r>
        <w:rPr>
          <w:rFonts w:ascii="宋体" w:hAnsi="宋体" w:cs="宋体" w:eastAsia="宋体" w:hint="default"/>
          <w:spacing w:val="-1"/>
          <w:w w:val="100"/>
        </w:rPr>
        <w:t>G032401</w:t>
      </w:r>
      <w:r>
        <w:rPr>
          <w:rFonts w:ascii="宋体" w:hAnsi="宋体" w:cs="宋体" w:eastAsia="宋体" w:hint="default"/>
          <w:spacing w:val="-52"/>
          <w:w w:val="100"/>
        </w:rPr>
        <w:t> </w:t>
      </w:r>
      <w:r>
        <w:rPr>
          <w:spacing w:val="-26"/>
          <w:w w:val="100"/>
        </w:rPr>
        <w:t>号，面积</w:t>
      </w:r>
      <w:r>
        <w:rPr>
          <w:spacing w:val="-52"/>
          <w:w w:val="100"/>
        </w:rPr>
        <w:t> </w:t>
      </w:r>
      <w:r>
        <w:rPr>
          <w:rFonts w:ascii="宋体" w:hAnsi="宋体" w:cs="宋体" w:eastAsia="宋体" w:hint="default"/>
          <w:spacing w:val="-1"/>
          <w:w w:val="100"/>
        </w:rPr>
        <w:t>52,112.73</w:t>
      </w:r>
      <w:r>
        <w:rPr>
          <w:rFonts w:ascii="宋体" w:hAnsi="宋体" w:cs="宋体" w:eastAsia="宋体" w:hint="default"/>
          <w:spacing w:val="-52"/>
          <w:w w:val="100"/>
        </w:rPr>
        <w:t> </w:t>
      </w:r>
      <w:r>
        <w:rPr>
          <w:spacing w:val="-1"/>
          <w:w w:val="100"/>
        </w:rPr>
        <w:t>平方米，</w:t>
      </w:r>
      <w:r>
        <w:rPr>
          <w:w w:val="100"/>
        </w:rPr>
        <w:t> </w:t>
      </w:r>
      <w:r>
        <w:rPr>
          <w:spacing w:val="4"/>
        </w:rPr>
        <w:t>账面原值 </w:t>
      </w:r>
      <w:r>
        <w:rPr>
          <w:rFonts w:ascii="宋体" w:hAnsi="宋体" w:cs="宋体" w:eastAsia="宋体" w:hint="default"/>
        </w:rPr>
        <w:t>138,029,182.62 </w:t>
      </w:r>
      <w:r>
        <w:rPr>
          <w:spacing w:val="4"/>
        </w:rPr>
        <w:t>元）及在建房产（在建房产建筑面积 </w:t>
      </w:r>
      <w:r>
        <w:rPr>
          <w:rFonts w:ascii="宋体" w:hAnsi="宋体" w:cs="宋体" w:eastAsia="宋体" w:hint="default"/>
        </w:rPr>
        <w:t>3,272.46</w:t>
      </w:r>
      <w:r>
        <w:rPr>
          <w:rFonts w:ascii="宋体" w:hAnsi="宋体" w:cs="宋体" w:eastAsia="宋体" w:hint="default"/>
          <w:spacing w:val="82"/>
        </w:rPr>
        <w:t> </w:t>
      </w:r>
      <w:r>
        <w:rPr>
          <w:spacing w:val="4"/>
        </w:rPr>
        <w:t>平方米，账面原值</w:t>
      </w:r>
    </w:p>
    <w:p>
      <w:pPr>
        <w:pStyle w:val="BodyText"/>
        <w:spacing w:line="240" w:lineRule="auto"/>
        <w:ind w:left="218" w:right="0"/>
        <w:jc w:val="both"/>
      </w:pPr>
      <w:r>
        <w:rPr>
          <w:rFonts w:ascii="宋体" w:hAnsi="宋体" w:cs="宋体" w:eastAsia="宋体" w:hint="default"/>
        </w:rPr>
        <w:t>17,941,304.06</w:t>
      </w:r>
      <w:r>
        <w:rPr>
          <w:rFonts w:ascii="宋体" w:hAnsi="宋体" w:cs="宋体" w:eastAsia="宋体" w:hint="default"/>
          <w:spacing w:val="4"/>
        </w:rPr>
        <w:t> </w:t>
      </w:r>
      <w:r>
        <w:rPr/>
        <w:t>元），为青岛科达置业有限公司在农业银行胶南市支行办理的借款抵押，抵押金</w:t>
      </w:r>
    </w:p>
    <w:p>
      <w:pPr>
        <w:pStyle w:val="BodyText"/>
        <w:spacing w:line="314" w:lineRule="auto" w:before="85"/>
        <w:ind w:left="218" w:right="225"/>
        <w:jc w:val="both"/>
      </w:pPr>
      <w:r>
        <w:rPr/>
        <w:t>额</w:t>
      </w:r>
      <w:r>
        <w:rPr>
          <w:spacing w:val="-51"/>
        </w:rPr>
        <w:t> </w:t>
      </w:r>
      <w:r>
        <w:rPr>
          <w:rFonts w:ascii="宋体" w:hAnsi="宋体" w:cs="宋体" w:eastAsia="宋体" w:hint="default"/>
        </w:rPr>
        <w:t>1.99</w:t>
      </w:r>
      <w:r>
        <w:rPr>
          <w:rFonts w:ascii="宋体" w:hAnsi="宋体" w:cs="宋体" w:eastAsia="宋体" w:hint="default"/>
          <w:spacing w:val="-54"/>
        </w:rPr>
        <w:t> </w:t>
      </w:r>
      <w:r>
        <w:rPr/>
        <w:t>亿元。该借款公司已于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4"/>
        </w:rPr>
        <w:t> </w:t>
      </w:r>
      <w:r>
        <w:rPr>
          <w:rFonts w:ascii="宋体" w:hAnsi="宋体" w:cs="宋体" w:eastAsia="宋体" w:hint="default"/>
        </w:rPr>
        <w:t>21</w:t>
      </w:r>
      <w:r>
        <w:rPr>
          <w:rFonts w:ascii="宋体" w:hAnsi="宋体" w:cs="宋体" w:eastAsia="宋体" w:hint="default"/>
          <w:spacing w:val="-54"/>
        </w:rPr>
        <w:t> </w:t>
      </w:r>
      <w:r>
        <w:rPr/>
        <w:t>日全部偿还，土地及在建房产解押手续尚未办理</w:t>
      </w:r>
      <w:r>
        <w:rPr>
          <w:w w:val="100"/>
        </w:rPr>
        <w:t> </w:t>
      </w:r>
      <w:r>
        <w:rPr/>
        <w:t>完成。</w:t>
      </w:r>
    </w:p>
    <w:p>
      <w:pPr>
        <w:pStyle w:val="BodyText"/>
        <w:spacing w:line="314" w:lineRule="auto"/>
        <w:ind w:left="218" w:right="227" w:firstLine="419"/>
        <w:jc w:val="left"/>
      </w:pPr>
      <w:r>
        <w:rPr>
          <w:w w:val="100"/>
        </w:rPr>
        <w:t>编号</w:t>
      </w:r>
      <w:r>
        <w:rPr>
          <w:spacing w:val="-50"/>
          <w:w w:val="100"/>
        </w:rPr>
        <w:t> </w:t>
      </w:r>
      <w:r>
        <w:rPr>
          <w:rFonts w:ascii="宋体" w:hAnsi="宋体" w:cs="宋体" w:eastAsia="宋体" w:hint="default"/>
          <w:spacing w:val="-2"/>
          <w:w w:val="100"/>
        </w:rPr>
        <w:t>GX</w:t>
      </w:r>
      <w:r>
        <w:rPr>
          <w:spacing w:val="-2"/>
          <w:w w:val="100"/>
        </w:rPr>
        <w:t>–</w:t>
      </w:r>
      <w:r>
        <w:rPr>
          <w:rFonts w:ascii="宋体" w:hAnsi="宋体" w:cs="宋体" w:eastAsia="宋体" w:hint="default"/>
          <w:spacing w:val="-2"/>
          <w:w w:val="100"/>
        </w:rPr>
        <w:t>26</w:t>
      </w:r>
      <w:r>
        <w:rPr>
          <w:spacing w:val="-2"/>
          <w:w w:val="100"/>
        </w:rPr>
        <w:t>–</w:t>
      </w:r>
      <w:r>
        <w:rPr>
          <w:rFonts w:ascii="宋体" w:hAnsi="宋体" w:cs="宋体" w:eastAsia="宋体" w:hint="default"/>
          <w:spacing w:val="-2"/>
          <w:w w:val="100"/>
        </w:rPr>
        <w:t>915</w:t>
      </w:r>
      <w:r>
        <w:rPr>
          <w:spacing w:val="-2"/>
          <w:w w:val="100"/>
        </w:rPr>
        <w:t>–</w:t>
      </w:r>
      <w:r>
        <w:rPr>
          <w:rFonts w:ascii="宋体" w:hAnsi="宋体" w:cs="宋体" w:eastAsia="宋体" w:hint="default"/>
          <w:spacing w:val="-2"/>
          <w:w w:val="100"/>
        </w:rPr>
        <w:t>4</w:t>
      </w:r>
      <w:r>
        <w:rPr>
          <w:rFonts w:ascii="宋体" w:hAnsi="宋体" w:cs="宋体" w:eastAsia="宋体" w:hint="default"/>
          <w:spacing w:val="-50"/>
          <w:w w:val="100"/>
        </w:rPr>
        <w:t> </w:t>
      </w:r>
      <w:r>
        <w:rPr>
          <w:spacing w:val="-13"/>
          <w:w w:val="100"/>
        </w:rPr>
        <w:t>土地（土地证号：南国用</w:t>
      </w:r>
      <w:r>
        <w:rPr>
          <w:rFonts w:ascii="宋体" w:hAnsi="宋体" w:cs="宋体" w:eastAsia="宋体" w:hint="default"/>
          <w:spacing w:val="-13"/>
          <w:w w:val="100"/>
        </w:rPr>
        <w:t>(2011)</w:t>
      </w:r>
      <w:r>
        <w:rPr>
          <w:spacing w:val="-13"/>
          <w:w w:val="100"/>
        </w:rPr>
        <w:t>第</w:t>
      </w:r>
      <w:r>
        <w:rPr>
          <w:spacing w:val="-50"/>
          <w:w w:val="100"/>
        </w:rPr>
        <w:t> </w:t>
      </w:r>
      <w:r>
        <w:rPr>
          <w:rFonts w:ascii="宋体" w:hAnsi="宋体" w:cs="宋体" w:eastAsia="宋体" w:hint="default"/>
          <w:spacing w:val="-1"/>
          <w:w w:val="100"/>
        </w:rPr>
        <w:t>G032402</w:t>
      </w:r>
      <w:r>
        <w:rPr>
          <w:rFonts w:ascii="宋体" w:hAnsi="宋体" w:cs="宋体" w:eastAsia="宋体" w:hint="default"/>
          <w:spacing w:val="-52"/>
          <w:w w:val="100"/>
        </w:rPr>
        <w:t> </w:t>
      </w:r>
      <w:r>
        <w:rPr>
          <w:spacing w:val="-26"/>
          <w:w w:val="100"/>
        </w:rPr>
        <w:t>号，面积</w:t>
      </w:r>
      <w:r>
        <w:rPr>
          <w:spacing w:val="-52"/>
          <w:w w:val="100"/>
        </w:rPr>
        <w:t> </w:t>
      </w:r>
      <w:r>
        <w:rPr>
          <w:rFonts w:ascii="宋体" w:hAnsi="宋体" w:cs="宋体" w:eastAsia="宋体" w:hint="default"/>
          <w:spacing w:val="-1"/>
          <w:w w:val="100"/>
        </w:rPr>
        <w:t>52,112.73</w:t>
      </w:r>
      <w:r>
        <w:rPr>
          <w:rFonts w:ascii="宋体" w:hAnsi="宋体" w:cs="宋体" w:eastAsia="宋体" w:hint="default"/>
          <w:spacing w:val="-52"/>
          <w:w w:val="100"/>
        </w:rPr>
        <w:t> </w:t>
      </w:r>
      <w:r>
        <w:rPr>
          <w:spacing w:val="-1"/>
          <w:w w:val="100"/>
        </w:rPr>
        <w:t>平方米，</w:t>
      </w:r>
      <w:r>
        <w:rPr>
          <w:w w:val="100"/>
        </w:rPr>
        <w:t> </w:t>
      </w:r>
      <w:r>
        <w:rPr/>
        <w:t>账面原值 </w:t>
      </w:r>
      <w:r>
        <w:rPr>
          <w:rFonts w:ascii="宋体" w:hAnsi="宋体" w:cs="宋体" w:eastAsia="宋体" w:hint="default"/>
        </w:rPr>
        <w:t>138,109,912.62 </w:t>
      </w:r>
      <w:r>
        <w:rPr>
          <w:spacing w:val="2"/>
        </w:rPr>
        <w:t>元）及在建房产（在建房产建筑面积 </w:t>
      </w:r>
      <w:r>
        <w:rPr>
          <w:rFonts w:ascii="宋体" w:hAnsi="宋体" w:cs="宋体" w:eastAsia="宋体" w:hint="default"/>
        </w:rPr>
        <w:t>11,960.54</w:t>
      </w:r>
      <w:r>
        <w:rPr>
          <w:rFonts w:ascii="宋体" w:hAnsi="宋体" w:cs="宋体" w:eastAsia="宋体" w:hint="default"/>
          <w:spacing w:val="72"/>
        </w:rPr>
        <w:t> </w:t>
      </w:r>
      <w:r>
        <w:rPr/>
        <w:t>平方米，账面原值</w:t>
      </w:r>
    </w:p>
    <w:p>
      <w:pPr>
        <w:pStyle w:val="BodyText"/>
        <w:spacing w:line="240" w:lineRule="auto"/>
        <w:ind w:left="218" w:right="0"/>
        <w:jc w:val="both"/>
      </w:pPr>
      <w:r>
        <w:rPr>
          <w:rFonts w:ascii="宋体" w:hAnsi="宋体" w:cs="宋体" w:eastAsia="宋体" w:hint="default"/>
        </w:rPr>
        <w:t>52,064,269.26</w:t>
      </w:r>
      <w:r>
        <w:rPr>
          <w:rFonts w:ascii="宋体" w:hAnsi="宋体" w:cs="宋体" w:eastAsia="宋体" w:hint="default"/>
          <w:spacing w:val="4"/>
        </w:rPr>
        <w:t> </w:t>
      </w:r>
      <w:r>
        <w:rPr/>
        <w:t>元），为青岛科达置业有限公司在华夏银行青岛福州南路支行办理的借款抵押，</w:t>
      </w:r>
    </w:p>
    <w:p>
      <w:pPr>
        <w:pStyle w:val="BodyText"/>
        <w:spacing w:line="314" w:lineRule="auto" w:before="85"/>
        <w:ind w:left="218" w:right="227"/>
        <w:jc w:val="both"/>
      </w:pPr>
      <w:r>
        <w:rPr/>
        <w:t>抵押金额</w:t>
      </w:r>
      <w:r>
        <w:rPr>
          <w:spacing w:val="-46"/>
        </w:rPr>
        <w:t> </w:t>
      </w:r>
      <w:r>
        <w:rPr>
          <w:rFonts w:ascii="宋体" w:hAnsi="宋体" w:cs="宋体" w:eastAsia="宋体" w:hint="default"/>
        </w:rPr>
        <w:t>38,230.61</w:t>
      </w:r>
      <w:r>
        <w:rPr>
          <w:rFonts w:ascii="宋体" w:hAnsi="宋体" w:cs="宋体" w:eastAsia="宋体" w:hint="default"/>
          <w:spacing w:val="-48"/>
        </w:rPr>
        <w:t> </w:t>
      </w:r>
      <w:r>
        <w:rPr>
          <w:spacing w:val="-3"/>
        </w:rPr>
        <w:t>万元。</w:t>
      </w:r>
      <w:r>
        <w:rPr>
          <w:rFonts w:ascii="宋体" w:hAnsi="宋体" w:cs="宋体" w:eastAsia="宋体" w:hint="default"/>
          <w:spacing w:val="-3"/>
        </w:rPr>
        <w:t>2013</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8"/>
        </w:rPr>
        <w:t> </w:t>
      </w:r>
      <w:r>
        <w:rPr>
          <w:spacing w:val="-3"/>
        </w:rPr>
        <w:t>月该土地上的会所完工，其所占用的土地</w:t>
      </w:r>
      <w:r>
        <w:rPr>
          <w:spacing w:val="-44"/>
        </w:rPr>
        <w:t> </w:t>
      </w:r>
      <w:r>
        <w:rPr>
          <w:rFonts w:ascii="宋体" w:hAnsi="宋体" w:cs="宋体" w:eastAsia="宋体" w:hint="default"/>
        </w:rPr>
        <w:t>1121</w:t>
      </w:r>
      <w:r>
        <w:rPr>
          <w:rFonts w:ascii="宋体" w:hAnsi="宋体" w:cs="宋体" w:eastAsia="宋体" w:hint="default"/>
          <w:spacing w:val="-46"/>
        </w:rPr>
        <w:t> </w:t>
      </w:r>
      <w:r>
        <w:rPr>
          <w:spacing w:val="-5"/>
        </w:rPr>
        <w:t>平方米，金</w:t>
      </w:r>
      <w:r>
        <w:rPr>
          <w:spacing w:val="-102"/>
        </w:rPr>
        <w:t> </w:t>
      </w:r>
      <w:r>
        <w:rPr>
          <w:spacing w:val="-102"/>
        </w:rPr>
      </w:r>
      <w:r>
        <w:rPr/>
        <w:t>额</w:t>
      </w:r>
      <w:r>
        <w:rPr>
          <w:spacing w:val="30"/>
        </w:rPr>
        <w:t> </w:t>
      </w:r>
      <w:r>
        <w:rPr>
          <w:rFonts w:ascii="宋体" w:hAnsi="宋体" w:cs="宋体" w:eastAsia="宋体" w:hint="default"/>
        </w:rPr>
        <w:t>2,969,153.87</w:t>
      </w:r>
      <w:r>
        <w:rPr>
          <w:rFonts w:ascii="宋体" w:hAnsi="宋体" w:cs="宋体" w:eastAsia="宋体" w:hint="default"/>
          <w:spacing w:val="26"/>
        </w:rPr>
        <w:t> </w:t>
      </w:r>
      <w:r>
        <w:rPr>
          <w:spacing w:val="13"/>
        </w:rPr>
        <w:t>元，结转至无形资产。结转后开发成本中</w:t>
      </w:r>
      <w:r>
        <w:rPr>
          <w:spacing w:val="34"/>
        </w:rPr>
        <w:t> </w:t>
      </w:r>
      <w:r>
        <w:rPr>
          <w:rFonts w:ascii="宋体" w:hAnsi="宋体" w:cs="宋体" w:eastAsia="宋体" w:hint="default"/>
        </w:rPr>
        <w:t>GX</w:t>
      </w:r>
      <w:r>
        <w:rPr/>
        <w:t>–</w:t>
      </w:r>
      <w:r>
        <w:rPr>
          <w:rFonts w:ascii="宋体" w:hAnsi="宋体" w:cs="宋体" w:eastAsia="宋体" w:hint="default"/>
        </w:rPr>
        <w:t>26</w:t>
      </w:r>
      <w:r>
        <w:rPr/>
        <w:t>–</w:t>
      </w:r>
      <w:r>
        <w:rPr>
          <w:rFonts w:ascii="宋体" w:hAnsi="宋体" w:cs="宋体" w:eastAsia="宋体" w:hint="default"/>
        </w:rPr>
        <w:t>915</w:t>
      </w:r>
      <w:r>
        <w:rPr/>
        <w:t>–</w:t>
      </w:r>
      <w:r>
        <w:rPr>
          <w:rFonts w:ascii="宋体" w:hAnsi="宋体" w:cs="宋体" w:eastAsia="宋体" w:hint="default"/>
        </w:rPr>
        <w:t>4</w:t>
      </w:r>
      <w:r>
        <w:rPr>
          <w:rFonts w:ascii="宋体" w:hAnsi="宋体" w:cs="宋体" w:eastAsia="宋体" w:hint="default"/>
          <w:spacing w:val="27"/>
        </w:rPr>
        <w:t> </w:t>
      </w:r>
      <w:r>
        <w:rPr>
          <w:spacing w:val="11"/>
        </w:rPr>
        <w:t>土地账面余额</w:t>
      </w:r>
      <w:r>
        <w:rPr>
          <w:spacing w:val="-103"/>
        </w:rPr>
        <w:t> </w:t>
      </w:r>
      <w:r>
        <w:rPr>
          <w:spacing w:val="-103"/>
        </w:rPr>
      </w:r>
      <w:r>
        <w:rPr>
          <w:rFonts w:ascii="宋体" w:hAnsi="宋体" w:cs="宋体" w:eastAsia="宋体" w:hint="default"/>
        </w:rPr>
        <w:t>135,140,758.75</w:t>
      </w:r>
      <w:r>
        <w:rPr>
          <w:rFonts w:ascii="宋体" w:hAnsi="宋体" w:cs="宋体" w:eastAsia="宋体" w:hint="default"/>
          <w:spacing w:val="-52"/>
        </w:rPr>
        <w:t> </w:t>
      </w:r>
      <w:r>
        <w:rPr>
          <w:spacing w:val="-3"/>
        </w:rPr>
        <w:t>元。</w:t>
      </w:r>
      <w:r>
        <w:rPr/>
      </w:r>
    </w:p>
    <w:p>
      <w:pPr>
        <w:pStyle w:val="BodyText"/>
        <w:spacing w:line="314" w:lineRule="auto"/>
        <w:ind w:left="218" w:right="119" w:firstLine="419"/>
        <w:jc w:val="left"/>
      </w:pPr>
      <w:r>
        <w:rPr>
          <w:w w:val="100"/>
        </w:rPr>
        <w:t>编号</w:t>
      </w:r>
      <w:r>
        <w:rPr>
          <w:spacing w:val="-53"/>
        </w:rPr>
        <w:t> </w:t>
      </w:r>
      <w:r>
        <w:rPr>
          <w:rFonts w:ascii="宋体" w:hAnsi="宋体" w:cs="宋体" w:eastAsia="宋体" w:hint="default"/>
          <w:spacing w:val="-3"/>
          <w:w w:val="100"/>
        </w:rPr>
        <w:t>G</w:t>
      </w:r>
      <w:r>
        <w:rPr>
          <w:rFonts w:ascii="宋体" w:hAnsi="宋体" w:cs="宋体" w:eastAsia="宋体" w:hint="default"/>
          <w:w w:val="100"/>
        </w:rPr>
        <w:t>X</w:t>
      </w:r>
      <w:r>
        <w:rPr>
          <w:w w:val="100"/>
        </w:rPr>
        <w:t>–</w:t>
      </w:r>
      <w:r>
        <w:rPr>
          <w:rFonts w:ascii="宋体" w:hAnsi="宋体" w:cs="宋体" w:eastAsia="宋体" w:hint="default"/>
          <w:spacing w:val="-3"/>
          <w:w w:val="100"/>
        </w:rPr>
        <w:t>2</w:t>
      </w:r>
      <w:r>
        <w:rPr>
          <w:rFonts w:ascii="宋体" w:hAnsi="宋体" w:cs="宋体" w:eastAsia="宋体" w:hint="default"/>
          <w:w w:val="100"/>
        </w:rPr>
        <w:t>6</w:t>
      </w:r>
      <w:r>
        <w:rPr>
          <w:w w:val="100"/>
        </w:rPr>
        <w:t>–</w:t>
      </w:r>
      <w:r>
        <w:rPr>
          <w:rFonts w:ascii="宋体" w:hAnsi="宋体" w:cs="宋体" w:eastAsia="宋体" w:hint="default"/>
          <w:spacing w:val="-3"/>
          <w:w w:val="100"/>
        </w:rPr>
        <w:t>9</w:t>
      </w:r>
      <w:r>
        <w:rPr>
          <w:rFonts w:ascii="宋体" w:hAnsi="宋体" w:cs="宋体" w:eastAsia="宋体" w:hint="default"/>
          <w:w w:val="100"/>
        </w:rPr>
        <w:t>15</w:t>
      </w:r>
      <w:r>
        <w:rPr>
          <w:spacing w:val="-3"/>
          <w:w w:val="100"/>
        </w:rPr>
        <w:t>–</w:t>
      </w:r>
      <w:r>
        <w:rPr>
          <w:rFonts w:ascii="宋体" w:hAnsi="宋体" w:cs="宋体" w:eastAsia="宋体" w:hint="default"/>
          <w:w w:val="100"/>
        </w:rPr>
        <w:t>5</w:t>
      </w:r>
      <w:r>
        <w:rPr>
          <w:rFonts w:ascii="宋体" w:hAnsi="宋体" w:cs="宋体" w:eastAsia="宋体" w:hint="default"/>
          <w:spacing w:val="-53"/>
        </w:rPr>
        <w:t> </w:t>
      </w:r>
      <w:r>
        <w:rPr>
          <w:spacing w:val="-3"/>
          <w:w w:val="100"/>
        </w:rPr>
        <w:t>土</w:t>
      </w:r>
      <w:r>
        <w:rPr>
          <w:spacing w:val="-104"/>
          <w:w w:val="100"/>
        </w:rPr>
        <w:t>地</w:t>
      </w:r>
      <w:r>
        <w:rPr>
          <w:w w:val="100"/>
        </w:rPr>
        <w:t>（土</w:t>
      </w:r>
      <w:r>
        <w:rPr>
          <w:spacing w:val="-3"/>
          <w:w w:val="100"/>
        </w:rPr>
        <w:t>地</w:t>
      </w:r>
      <w:r>
        <w:rPr>
          <w:w w:val="100"/>
        </w:rPr>
        <w:t>证</w:t>
      </w:r>
      <w:r>
        <w:rPr>
          <w:spacing w:val="-3"/>
          <w:w w:val="100"/>
        </w:rPr>
        <w:t>号</w:t>
      </w:r>
      <w:r>
        <w:rPr>
          <w:spacing w:val="-101"/>
          <w:w w:val="100"/>
        </w:rPr>
        <w:t>：</w:t>
      </w:r>
      <w:r>
        <w:rPr>
          <w:spacing w:val="-3"/>
          <w:w w:val="100"/>
        </w:rPr>
        <w:t>南</w:t>
      </w:r>
      <w:r>
        <w:rPr>
          <w:w w:val="100"/>
        </w:rPr>
        <w:t>国</w:t>
      </w:r>
      <w:r>
        <w:rPr>
          <w:spacing w:val="-1"/>
          <w:w w:val="100"/>
        </w:rPr>
        <w:t>用</w:t>
      </w:r>
      <w:r>
        <w:rPr>
          <w:rFonts w:ascii="宋体" w:hAnsi="宋体" w:cs="宋体" w:eastAsia="宋体" w:hint="default"/>
          <w:spacing w:val="-3"/>
          <w:w w:val="100"/>
        </w:rPr>
        <w:t>(</w:t>
      </w:r>
      <w:r>
        <w:rPr>
          <w:rFonts w:ascii="宋体" w:hAnsi="宋体" w:cs="宋体" w:eastAsia="宋体" w:hint="default"/>
          <w:w w:val="100"/>
        </w:rPr>
        <w:t>201</w:t>
      </w:r>
      <w:r>
        <w:rPr>
          <w:rFonts w:ascii="宋体" w:hAnsi="宋体" w:cs="宋体" w:eastAsia="宋体" w:hint="default"/>
          <w:spacing w:val="-3"/>
          <w:w w:val="100"/>
        </w:rPr>
        <w:t>1)</w:t>
      </w:r>
      <w:r>
        <w:rPr>
          <w:w w:val="100"/>
        </w:rPr>
        <w:t>第</w:t>
      </w:r>
      <w:r>
        <w:rPr>
          <w:spacing w:val="-53"/>
        </w:rPr>
        <w:t> </w:t>
      </w:r>
      <w:r>
        <w:rPr>
          <w:rFonts w:ascii="宋体" w:hAnsi="宋体" w:cs="宋体" w:eastAsia="宋体" w:hint="default"/>
          <w:w w:val="100"/>
        </w:rPr>
        <w:t>G0</w:t>
      </w:r>
      <w:r>
        <w:rPr>
          <w:rFonts w:ascii="宋体" w:hAnsi="宋体" w:cs="宋体" w:eastAsia="宋体" w:hint="default"/>
          <w:spacing w:val="-3"/>
          <w:w w:val="100"/>
        </w:rPr>
        <w:t>3</w:t>
      </w:r>
      <w:r>
        <w:rPr>
          <w:rFonts w:ascii="宋体" w:hAnsi="宋体" w:cs="宋体" w:eastAsia="宋体" w:hint="default"/>
          <w:w w:val="100"/>
        </w:rPr>
        <w:t>2403</w:t>
      </w:r>
      <w:r>
        <w:rPr>
          <w:rFonts w:ascii="宋体" w:hAnsi="宋体" w:cs="宋体" w:eastAsia="宋体" w:hint="default"/>
          <w:spacing w:val="-55"/>
        </w:rPr>
        <w:t> </w:t>
      </w:r>
      <w:r>
        <w:rPr>
          <w:w w:val="100"/>
        </w:rPr>
        <w:t>号</w:t>
      </w:r>
      <w:r>
        <w:rPr>
          <w:spacing w:val="-104"/>
          <w:w w:val="100"/>
        </w:rPr>
        <w:t>，</w:t>
      </w:r>
      <w:r>
        <w:rPr>
          <w:w w:val="100"/>
        </w:rPr>
        <w:t>面积</w:t>
      </w:r>
      <w:r>
        <w:rPr>
          <w:spacing w:val="-55"/>
        </w:rPr>
        <w:t> </w:t>
      </w:r>
      <w:r>
        <w:rPr>
          <w:rFonts w:ascii="宋体" w:hAnsi="宋体" w:cs="宋体" w:eastAsia="宋体" w:hint="default"/>
          <w:w w:val="100"/>
        </w:rPr>
        <w:t>64,</w:t>
      </w:r>
      <w:r>
        <w:rPr>
          <w:rFonts w:ascii="宋体" w:hAnsi="宋体" w:cs="宋体" w:eastAsia="宋体" w:hint="default"/>
          <w:spacing w:val="-3"/>
          <w:w w:val="100"/>
        </w:rPr>
        <w:t>44</w:t>
      </w:r>
      <w:r>
        <w:rPr>
          <w:rFonts w:ascii="宋体" w:hAnsi="宋体" w:cs="宋体" w:eastAsia="宋体" w:hint="default"/>
          <w:w w:val="100"/>
        </w:rPr>
        <w:t>1.57</w:t>
      </w:r>
      <w:r>
        <w:rPr>
          <w:rFonts w:ascii="宋体" w:hAnsi="宋体" w:cs="宋体" w:eastAsia="宋体" w:hint="default"/>
          <w:spacing w:val="-55"/>
        </w:rPr>
        <w:t> </w:t>
      </w:r>
      <w:r>
        <w:rPr>
          <w:w w:val="100"/>
        </w:rPr>
        <w:t>平</w:t>
      </w:r>
      <w:r>
        <w:rPr>
          <w:spacing w:val="-3"/>
          <w:w w:val="100"/>
        </w:rPr>
        <w:t>方</w:t>
      </w:r>
      <w:r>
        <w:rPr>
          <w:w w:val="100"/>
        </w:rPr>
        <w:t>米，</w:t>
      </w:r>
      <w:r>
        <w:rPr>
          <w:w w:val="100"/>
        </w:rPr>
        <w:t> 账面</w:t>
      </w:r>
      <w:r>
        <w:rPr>
          <w:spacing w:val="-3"/>
          <w:w w:val="100"/>
        </w:rPr>
        <w:t>原</w:t>
      </w:r>
      <w:r>
        <w:rPr>
          <w:w w:val="100"/>
        </w:rPr>
        <w:t>值</w:t>
      </w:r>
      <w:r>
        <w:rPr>
          <w:spacing w:val="-53"/>
        </w:rPr>
        <w:t> </w:t>
      </w:r>
      <w:r>
        <w:rPr>
          <w:rFonts w:ascii="宋体" w:hAnsi="宋体" w:cs="宋体" w:eastAsia="宋体" w:hint="default"/>
          <w:spacing w:val="-3"/>
          <w:w w:val="100"/>
        </w:rPr>
        <w:t>1</w:t>
      </w:r>
      <w:r>
        <w:rPr>
          <w:rFonts w:ascii="宋体" w:hAnsi="宋体" w:cs="宋体" w:eastAsia="宋体" w:hint="default"/>
          <w:w w:val="100"/>
        </w:rPr>
        <w:t>70,</w:t>
      </w:r>
      <w:r>
        <w:rPr>
          <w:rFonts w:ascii="宋体" w:hAnsi="宋体" w:cs="宋体" w:eastAsia="宋体" w:hint="default"/>
          <w:spacing w:val="-3"/>
          <w:w w:val="100"/>
        </w:rPr>
        <w:t>6</w:t>
      </w:r>
      <w:r>
        <w:rPr>
          <w:rFonts w:ascii="宋体" w:hAnsi="宋体" w:cs="宋体" w:eastAsia="宋体" w:hint="default"/>
          <w:w w:val="100"/>
        </w:rPr>
        <w:t>76</w:t>
      </w:r>
      <w:r>
        <w:rPr>
          <w:rFonts w:ascii="宋体" w:hAnsi="宋体" w:cs="宋体" w:eastAsia="宋体" w:hint="default"/>
          <w:spacing w:val="-1"/>
          <w:w w:val="100"/>
        </w:rPr>
        <w:t>,</w:t>
      </w:r>
      <w:r>
        <w:rPr>
          <w:rFonts w:ascii="宋体" w:hAnsi="宋体" w:cs="宋体" w:eastAsia="宋体" w:hint="default"/>
          <w:spacing w:val="-3"/>
          <w:w w:val="100"/>
        </w:rPr>
        <w:t>4</w:t>
      </w:r>
      <w:r>
        <w:rPr>
          <w:rFonts w:ascii="宋体" w:hAnsi="宋体" w:cs="宋体" w:eastAsia="宋体" w:hint="default"/>
          <w:w w:val="100"/>
        </w:rPr>
        <w:t>27.</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5"/>
        </w:rPr>
        <w:t> </w:t>
      </w:r>
      <w:r>
        <w:rPr>
          <w:w w:val="100"/>
        </w:rPr>
        <w:t>元</w:t>
      </w:r>
      <w:r>
        <w:rPr>
          <w:spacing w:val="-99"/>
          <w:w w:val="100"/>
        </w:rPr>
        <w:t>）</w:t>
      </w:r>
      <w:r>
        <w:rPr>
          <w:spacing w:val="-101"/>
          <w:w w:val="100"/>
        </w:rPr>
        <w:t>，</w:t>
      </w:r>
      <w:r>
        <w:rPr>
          <w:w w:val="100"/>
        </w:rPr>
        <w:t>为</w:t>
      </w:r>
      <w:r>
        <w:rPr>
          <w:spacing w:val="-3"/>
          <w:w w:val="100"/>
        </w:rPr>
        <w:t>科</w:t>
      </w:r>
      <w:r>
        <w:rPr>
          <w:w w:val="100"/>
        </w:rPr>
        <w:t>达</w:t>
      </w:r>
      <w:r>
        <w:rPr>
          <w:spacing w:val="-3"/>
          <w:w w:val="100"/>
        </w:rPr>
        <w:t>集</w:t>
      </w:r>
      <w:r>
        <w:rPr>
          <w:w w:val="100"/>
        </w:rPr>
        <w:t>团</w:t>
      </w:r>
      <w:r>
        <w:rPr>
          <w:spacing w:val="-3"/>
          <w:w w:val="100"/>
        </w:rPr>
        <w:t>股</w:t>
      </w:r>
      <w:r>
        <w:rPr>
          <w:w w:val="100"/>
        </w:rPr>
        <w:t>份</w:t>
      </w:r>
      <w:r>
        <w:rPr>
          <w:spacing w:val="-3"/>
          <w:w w:val="100"/>
        </w:rPr>
        <w:t>有限</w:t>
      </w:r>
      <w:r>
        <w:rPr>
          <w:w w:val="100"/>
        </w:rPr>
        <w:t>公司</w:t>
      </w:r>
      <w:r>
        <w:rPr>
          <w:spacing w:val="-3"/>
          <w:w w:val="100"/>
        </w:rPr>
        <w:t>在</w:t>
      </w:r>
      <w:r>
        <w:rPr>
          <w:w w:val="100"/>
        </w:rPr>
        <w:t>青</w:t>
      </w:r>
      <w:r>
        <w:rPr>
          <w:spacing w:val="-3"/>
          <w:w w:val="100"/>
        </w:rPr>
        <w:t>岛</w:t>
      </w:r>
      <w:r>
        <w:rPr>
          <w:w w:val="100"/>
        </w:rPr>
        <w:t>银</w:t>
      </w:r>
      <w:r>
        <w:rPr>
          <w:spacing w:val="-3"/>
          <w:w w:val="100"/>
        </w:rPr>
        <w:t>行</w:t>
      </w:r>
      <w:r>
        <w:rPr>
          <w:w w:val="100"/>
        </w:rPr>
        <w:t>宁</w:t>
      </w:r>
      <w:r>
        <w:rPr>
          <w:spacing w:val="-3"/>
          <w:w w:val="100"/>
        </w:rPr>
        <w:t>夏</w:t>
      </w:r>
      <w:r>
        <w:rPr>
          <w:w w:val="100"/>
        </w:rPr>
        <w:t>路</w:t>
      </w:r>
      <w:r>
        <w:rPr>
          <w:spacing w:val="-3"/>
          <w:w w:val="100"/>
        </w:rPr>
        <w:t>支</w:t>
      </w:r>
      <w:r>
        <w:rPr>
          <w:w w:val="100"/>
        </w:rPr>
        <w:t>行办</w:t>
      </w:r>
      <w:r>
        <w:rPr>
          <w:spacing w:val="-3"/>
          <w:w w:val="100"/>
        </w:rPr>
        <w:t>理</w:t>
      </w:r>
      <w:r>
        <w:rPr>
          <w:w w:val="100"/>
        </w:rPr>
        <w:t>的</w:t>
      </w:r>
      <w:r>
        <w:rPr>
          <w:spacing w:val="-3"/>
          <w:w w:val="100"/>
        </w:rPr>
        <w:t>借</w:t>
      </w:r>
      <w:r>
        <w:rPr>
          <w:w w:val="100"/>
        </w:rPr>
        <w:t>款</w:t>
      </w:r>
      <w:r>
        <w:rPr>
          <w:spacing w:val="-3"/>
          <w:w w:val="100"/>
        </w:rPr>
        <w:t>抵</w:t>
      </w:r>
      <w:r>
        <w:rPr>
          <w:w w:val="100"/>
        </w:rPr>
        <w:t>押，</w:t>
      </w:r>
    </w:p>
    <w:p>
      <w:pPr>
        <w:pStyle w:val="BodyText"/>
        <w:spacing w:line="240" w:lineRule="auto"/>
        <w:ind w:left="218" w:right="0"/>
        <w:jc w:val="both"/>
      </w:pPr>
      <w:r>
        <w:rPr/>
        <w:t>抵押合同号为</w:t>
      </w:r>
      <w:r>
        <w:rPr>
          <w:spacing w:val="-53"/>
        </w:rPr>
        <w:t> </w:t>
      </w:r>
      <w:r>
        <w:rPr>
          <w:rFonts w:ascii="宋体" w:hAnsi="宋体" w:cs="宋体" w:eastAsia="宋体" w:hint="default"/>
        </w:rPr>
        <w:t>802092012</w:t>
      </w:r>
      <w:r>
        <w:rPr>
          <w:rFonts w:ascii="宋体" w:hAnsi="宋体" w:cs="宋体" w:eastAsia="宋体" w:hint="default"/>
          <w:spacing w:val="-55"/>
        </w:rPr>
        <w:t> </w:t>
      </w:r>
      <w:r>
        <w:rPr/>
        <w:t>高抵字第</w:t>
      </w:r>
      <w:r>
        <w:rPr>
          <w:spacing w:val="-53"/>
        </w:rPr>
        <w:t> </w:t>
      </w:r>
      <w:r>
        <w:rPr>
          <w:rFonts w:ascii="宋体" w:hAnsi="宋体" w:cs="宋体" w:eastAsia="宋体" w:hint="default"/>
        </w:rPr>
        <w:t>00020</w:t>
      </w:r>
      <w:r>
        <w:rPr>
          <w:rFonts w:ascii="宋体" w:hAnsi="宋体" w:cs="宋体" w:eastAsia="宋体" w:hint="default"/>
          <w:spacing w:val="-55"/>
        </w:rPr>
        <w:t> </w:t>
      </w:r>
      <w:r>
        <w:rPr/>
        <w:t>号，抵押金额</w:t>
      </w:r>
      <w:r>
        <w:rPr>
          <w:spacing w:val="-52"/>
        </w:rPr>
        <w:t> </w:t>
      </w:r>
      <w:r>
        <w:rPr>
          <w:rFonts w:ascii="宋体" w:hAnsi="宋体" w:cs="宋体" w:eastAsia="宋体" w:hint="default"/>
        </w:rPr>
        <w:t>10,000</w:t>
      </w:r>
      <w:r>
        <w:rPr>
          <w:rFonts w:ascii="宋体" w:hAnsi="宋体" w:cs="宋体" w:eastAsia="宋体" w:hint="default"/>
          <w:spacing w:val="-53"/>
        </w:rPr>
        <w:t> </w:t>
      </w:r>
      <w:r>
        <w:rPr/>
        <w:t>万元。</w:t>
      </w:r>
    </w:p>
    <w:p>
      <w:pPr>
        <w:pStyle w:val="BodyText"/>
        <w:spacing w:line="314" w:lineRule="auto" w:before="85"/>
        <w:ind w:left="218" w:right="119" w:firstLine="419"/>
        <w:jc w:val="left"/>
      </w:pPr>
      <w:r>
        <w:rPr>
          <w:spacing w:val="-7"/>
        </w:rPr>
        <w:t>土地证号：东开国用（</w:t>
      </w:r>
      <w:r>
        <w:rPr>
          <w:rFonts w:ascii="宋体" w:hAnsi="宋体" w:cs="宋体" w:eastAsia="宋体" w:hint="default"/>
          <w:spacing w:val="-7"/>
        </w:rPr>
        <w:t>2014</w:t>
      </w:r>
      <w:r>
        <w:rPr>
          <w:spacing w:val="-7"/>
        </w:rPr>
        <w:t>）第</w:t>
      </w:r>
      <w:r>
        <w:rPr>
          <w:spacing w:val="-49"/>
        </w:rPr>
        <w:t> </w:t>
      </w:r>
      <w:r>
        <w:rPr>
          <w:rFonts w:ascii="宋体" w:hAnsi="宋体" w:cs="宋体" w:eastAsia="宋体" w:hint="default"/>
        </w:rPr>
        <w:t>045</w:t>
      </w:r>
      <w:r>
        <w:rPr>
          <w:rFonts w:ascii="宋体" w:hAnsi="宋体" w:cs="宋体" w:eastAsia="宋体" w:hint="default"/>
          <w:spacing w:val="-49"/>
        </w:rPr>
        <w:t> </w:t>
      </w:r>
      <w:r>
        <w:rPr>
          <w:spacing w:val="-8"/>
        </w:rPr>
        <w:t>号，面积</w:t>
      </w:r>
      <w:r>
        <w:rPr>
          <w:spacing w:val="-46"/>
        </w:rPr>
        <w:t> </w:t>
      </w:r>
      <w:r>
        <w:rPr>
          <w:rFonts w:ascii="宋体" w:hAnsi="宋体" w:cs="宋体" w:eastAsia="宋体" w:hint="default"/>
        </w:rPr>
        <w:t>67,427.6</w:t>
      </w:r>
      <w:r>
        <w:rPr>
          <w:rFonts w:ascii="宋体" w:hAnsi="宋体" w:cs="宋体" w:eastAsia="宋体" w:hint="default"/>
          <w:spacing w:val="-47"/>
        </w:rPr>
        <w:t> </w:t>
      </w:r>
      <w:r>
        <w:rPr>
          <w:spacing w:val="-5"/>
        </w:rPr>
        <w:t>平方米，账面价值为</w:t>
      </w:r>
      <w:r>
        <w:rPr>
          <w:spacing w:val="-46"/>
        </w:rPr>
        <w:t> </w:t>
      </w:r>
      <w:r>
        <w:rPr>
          <w:rFonts w:ascii="宋体" w:hAnsi="宋体" w:cs="宋体" w:eastAsia="宋体" w:hint="default"/>
        </w:rPr>
        <w:t>304,969,415.06</w:t>
      </w:r>
      <w:r>
        <w:rPr>
          <w:rFonts w:ascii="宋体" w:hAnsi="宋体" w:cs="宋体" w:eastAsia="宋体" w:hint="default"/>
          <w:w w:val="100"/>
        </w:rPr>
        <w:t> </w:t>
      </w:r>
      <w:r>
        <w:rPr/>
        <w:t>元，为科达集团股份有限公司办理的借款抵押。</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6" w:footer="1193" w:top="1280" w:bottom="1380" w:left="1580" w:right="1040"/>
        </w:sectPr>
      </w:pPr>
    </w:p>
    <w:p>
      <w:pPr>
        <w:pStyle w:val="Heading2"/>
        <w:spacing w:line="240" w:lineRule="auto"/>
        <w:ind w:right="-15"/>
        <w:jc w:val="left"/>
        <w:rPr>
          <w:b w:val="0"/>
          <w:bCs w:val="0"/>
        </w:rPr>
      </w:pPr>
      <w:r>
        <w:rPr>
          <w:rFonts w:ascii="宋体" w:hAnsi="宋体" w:cs="宋体" w:eastAsia="宋体" w:hint="default"/>
        </w:rPr>
        <w:t>51</w:t>
      </w:r>
      <w:r>
        <w:rPr/>
        <w:t>、</w:t>
      </w:r>
      <w:r>
        <w:rPr>
          <w:spacing w:val="-24"/>
        </w:rPr>
        <w:t> </w:t>
      </w:r>
      <w:r>
        <w:rPr/>
        <w:t>外币货币性项目</w:t>
      </w:r>
      <w:r>
        <w:rPr>
          <w:b w:val="0"/>
          <w:bCs w:val="0"/>
        </w:rPr>
      </w:r>
    </w:p>
    <w:p>
      <w:pPr>
        <w:pStyle w:val="BodyText"/>
        <w:spacing w:line="240" w:lineRule="auto" w:before="56"/>
        <w:ind w:left="218" w:right="-15"/>
        <w:jc w:val="left"/>
      </w:pPr>
      <w:r>
        <w:rPr/>
        <w:t>√适用</w:t>
      </w:r>
      <w:r>
        <w:rPr>
          <w:spacing w:val="-1"/>
        </w:rPr>
        <w:t> </w:t>
      </w:r>
      <w:r>
        <w:rPr/>
        <w:t>□不适用</w:t>
      </w:r>
    </w:p>
    <w:p>
      <w:pPr>
        <w:pStyle w:val="Heading2"/>
        <w:tabs>
          <w:tab w:pos="918" w:val="left" w:leader="none"/>
        </w:tabs>
        <w:spacing w:line="240" w:lineRule="auto" w:before="59"/>
        <w:ind w:right="-15"/>
        <w:jc w:val="left"/>
        <w:rPr>
          <w:rFonts w:ascii="宋体" w:hAnsi="宋体" w:cs="宋体" w:eastAsia="宋体" w:hint="default"/>
          <w:b w:val="0"/>
          <w:bCs w:val="0"/>
        </w:rPr>
      </w:pP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0"/>
        <w:ind w:left="218" w:right="0"/>
        <w:jc w:val="left"/>
      </w:pPr>
      <w:r>
        <w:rPr/>
        <w:t>单位：元</w:t>
      </w:r>
    </w:p>
    <w:p>
      <w:pPr>
        <w:spacing w:after="0" w:line="240" w:lineRule="auto"/>
        <w:jc w:val="left"/>
        <w:sectPr>
          <w:type w:val="continuous"/>
          <w:pgSz w:w="11910" w:h="16840"/>
          <w:pgMar w:top="1280" w:bottom="1380" w:left="1580" w:right="1040"/>
          <w:cols w:num="2" w:equalWidth="0">
            <w:col w:w="2610" w:space="5386"/>
            <w:col w:w="1294"/>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2048"/>
        <w:gridCol w:w="2059"/>
        <w:gridCol w:w="2045"/>
      </w:tblGrid>
      <w:tr>
        <w:trPr>
          <w:trHeight w:val="55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5,998,920.01</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3" w:right="0"/>
              <w:jc w:val="left"/>
              <w:rPr>
                <w:rFonts w:ascii="宋体" w:hAnsi="宋体" w:cs="宋体" w:eastAsia="宋体" w:hint="default"/>
                <w:sz w:val="21"/>
                <w:szCs w:val="21"/>
              </w:rPr>
            </w:pPr>
            <w:r>
              <w:rPr>
                <w:rFonts w:ascii="宋体"/>
                <w:sz w:val="21"/>
              </w:rPr>
              <w:t>923,820.38</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15" w:right="0"/>
              <w:jc w:val="left"/>
              <w:rPr>
                <w:rFonts w:ascii="宋体" w:hAnsi="宋体" w:cs="宋体" w:eastAsia="宋体" w:hint="default"/>
                <w:sz w:val="21"/>
                <w:szCs w:val="21"/>
              </w:rPr>
            </w:pPr>
            <w:r>
              <w:rPr>
                <w:rFonts w:ascii="宋体"/>
                <w:sz w:val="21"/>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5,998,920.01</w:t>
            </w:r>
          </w:p>
        </w:tc>
      </w:tr>
    </w:tbl>
    <w:p>
      <w:pPr>
        <w:spacing w:line="240" w:lineRule="auto" w:before="2"/>
        <w:rPr>
          <w:rFonts w:ascii="宋体" w:hAnsi="宋体" w:cs="宋体" w:eastAsia="宋体" w:hint="default"/>
          <w:sz w:val="20"/>
          <w:szCs w:val="20"/>
        </w:rPr>
      </w:pPr>
    </w:p>
    <w:p>
      <w:pPr>
        <w:pStyle w:val="Heading2"/>
        <w:tabs>
          <w:tab w:pos="918" w:val="left" w:leader="none"/>
        </w:tabs>
        <w:spacing w:line="272" w:lineRule="exact" w:before="64"/>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34"/>
        <w:ind w:left="218" w:right="2465"/>
        <w:jc w:val="left"/>
      </w:pPr>
      <w:r>
        <w:rPr/>
        <w:t>□适用</w:t>
      </w:r>
      <w:r>
        <w:rPr>
          <w:spacing w:val="-1"/>
        </w:rPr>
        <w:t> </w:t>
      </w:r>
      <w:r>
        <w:rPr/>
        <w:t>√不适用</w:t>
      </w:r>
    </w:p>
    <w:p>
      <w:pPr>
        <w:spacing w:after="0" w:line="240" w:lineRule="auto"/>
        <w:jc w:val="left"/>
        <w:sectPr>
          <w:type w:val="continuous"/>
          <w:pgSz w:w="11910" w:h="16840"/>
          <w:pgMar w:top="1280" w:bottom="1380" w:left="1580" w:right="1040"/>
        </w:sectPr>
      </w:pPr>
    </w:p>
    <w:p>
      <w:pPr>
        <w:spacing w:line="240" w:lineRule="auto" w:before="8"/>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56" w:footer="1193" w:top="1280" w:bottom="1380" w:left="1400" w:right="1040"/>
        </w:sectPr>
      </w:pPr>
    </w:p>
    <w:p>
      <w:pPr>
        <w:pStyle w:val="Heading2"/>
        <w:spacing w:line="240" w:lineRule="auto"/>
        <w:ind w:left="398" w:right="-4"/>
        <w:jc w:val="left"/>
        <w:rPr>
          <w:b w:val="0"/>
          <w:bCs w:val="0"/>
        </w:rPr>
      </w:pPr>
      <w:r>
        <w:rPr/>
        <w:t>八、合并范围的变更</w:t>
      </w:r>
      <w:r>
        <w:rPr>
          <w:b w:val="0"/>
          <w:bCs w:val="0"/>
        </w:rPr>
      </w:r>
    </w:p>
    <w:p>
      <w:pPr>
        <w:pStyle w:val="Heading2"/>
        <w:spacing w:line="240" w:lineRule="auto" w:before="58"/>
        <w:ind w:left="398" w:right="-4"/>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398" w:right="-4"/>
        <w:jc w:val="left"/>
      </w:pPr>
      <w:r>
        <w:rPr/>
        <w:t>√适用</w:t>
      </w:r>
      <w:r>
        <w:rPr>
          <w:spacing w:val="-1"/>
        </w:rPr>
        <w:t> </w:t>
      </w:r>
      <w:r>
        <w:rPr/>
        <w:t>□不适用</w:t>
      </w:r>
    </w:p>
    <w:p>
      <w:pPr>
        <w:pStyle w:val="Heading2"/>
        <w:tabs>
          <w:tab w:pos="1055" w:val="left" w:leader="none"/>
        </w:tabs>
        <w:spacing w:line="240" w:lineRule="auto" w:before="58"/>
        <w:ind w:left="398"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56"/>
        <w:ind w:left="39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449" w:val="left" w:leader="none"/>
        </w:tabs>
        <w:spacing w:line="240" w:lineRule="auto" w:before="0"/>
        <w:ind w:left="398" w:right="0"/>
        <w:jc w:val="left"/>
      </w:pPr>
      <w:r>
        <w:rPr>
          <w:spacing w:val="-1"/>
        </w:rPr>
        <w:t>单位：元</w:t>
        <w:tab/>
      </w:r>
      <w:r>
        <w:rPr>
          <w:spacing w:val="-2"/>
        </w:rPr>
        <w:t>币种：人民币</w:t>
      </w:r>
    </w:p>
    <w:p>
      <w:pPr>
        <w:spacing w:after="0" w:line="240" w:lineRule="auto"/>
        <w:jc w:val="left"/>
        <w:sectPr>
          <w:type w:val="continuous"/>
          <w:pgSz w:w="11910" w:h="16840"/>
          <w:pgMar w:top="1280" w:bottom="1380" w:left="1400" w:right="1040"/>
          <w:cols w:num="2" w:equalWidth="0">
            <w:col w:w="4219" w:space="2305"/>
            <w:col w:w="2946"/>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778"/>
        <w:gridCol w:w="1027"/>
        <w:gridCol w:w="1479"/>
        <w:gridCol w:w="756"/>
        <w:gridCol w:w="785"/>
        <w:gridCol w:w="759"/>
        <w:gridCol w:w="785"/>
        <w:gridCol w:w="1479"/>
        <w:gridCol w:w="1380"/>
      </w:tblGrid>
      <w:tr>
        <w:trPr>
          <w:trHeight w:val="970" w:hRule="exact"/>
        </w:trPr>
        <w:tc>
          <w:tcPr>
            <w:tcW w:w="7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112" w:right="110"/>
              <w:jc w:val="left"/>
              <w:rPr>
                <w:rFonts w:ascii="宋体" w:hAnsi="宋体" w:cs="宋体" w:eastAsia="宋体" w:hint="default"/>
                <w:sz w:val="18"/>
                <w:szCs w:val="18"/>
              </w:rPr>
            </w:pPr>
            <w:r>
              <w:rPr>
                <w:rFonts w:ascii="宋体" w:hAnsi="宋体" w:cs="宋体" w:eastAsia="宋体" w:hint="default"/>
                <w:sz w:val="18"/>
                <w:szCs w:val="18"/>
              </w:rPr>
              <w:t>被购买 方名称</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326" w:right="144"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8" w:right="101"/>
              <w:jc w:val="left"/>
              <w:rPr>
                <w:rFonts w:ascii="宋体" w:hAnsi="宋体" w:cs="宋体" w:eastAsia="宋体" w:hint="default"/>
                <w:sz w:val="18"/>
                <w:szCs w:val="18"/>
              </w:rPr>
            </w:pPr>
            <w:r>
              <w:rPr>
                <w:rFonts w:ascii="宋体" w:hAnsi="宋体" w:cs="宋体" w:eastAsia="宋体" w:hint="default"/>
                <w:sz w:val="18"/>
                <w:szCs w:val="18"/>
              </w:rPr>
              <w:t>股权取 得比例</w:t>
            </w:r>
          </w:p>
          <w:p>
            <w:pPr>
              <w:pStyle w:val="TableParagraph"/>
              <w:spacing w:line="233" w:lineRule="exact"/>
              <w:ind w:left="14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115" w:right="113"/>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9"/>
              <w:ind w:left="115" w:right="113"/>
              <w:jc w:val="both"/>
              <w:rPr>
                <w:rFonts w:ascii="宋体" w:hAnsi="宋体" w:cs="宋体" w:eastAsia="宋体" w:hint="default"/>
                <w:sz w:val="18"/>
                <w:szCs w:val="18"/>
              </w:rPr>
            </w:pPr>
            <w:r>
              <w:rPr>
                <w:rFonts w:ascii="宋体" w:hAnsi="宋体" w:cs="宋体" w:eastAsia="宋体" w:hint="default"/>
                <w:sz w:val="18"/>
                <w:szCs w:val="18"/>
              </w:rPr>
              <w:t>购买日 的确定 依据</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191" w:right="101" w:hanging="92"/>
              <w:jc w:val="left"/>
              <w:rPr>
                <w:rFonts w:ascii="宋体" w:hAnsi="宋体" w:cs="宋体" w:eastAsia="宋体" w:hint="default"/>
                <w:sz w:val="18"/>
                <w:szCs w:val="18"/>
              </w:rPr>
            </w:pPr>
            <w:r>
              <w:rPr>
                <w:rFonts w:ascii="宋体" w:hAnsi="宋体" w:cs="宋体" w:eastAsia="宋体" w:hint="default"/>
                <w:sz w:val="18"/>
                <w:szCs w:val="18"/>
              </w:rPr>
              <w:t>购买日至期末被 购买方的收入</w:t>
            </w: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37" w:lineRule="auto" w:before="99"/>
              <w:ind w:left="141" w:right="144"/>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1184" w:hRule="exact"/>
        </w:trPr>
        <w:tc>
          <w:tcPr>
            <w:tcW w:w="77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北京百</w:t>
            </w:r>
          </w:p>
          <w:p>
            <w:pPr>
              <w:pStyle w:val="TableParagraph"/>
              <w:spacing w:line="237" w:lineRule="auto" w:before="2"/>
              <w:ind w:left="100" w:right="122"/>
              <w:jc w:val="both"/>
              <w:rPr>
                <w:rFonts w:ascii="宋体" w:hAnsi="宋体" w:cs="宋体" w:eastAsia="宋体" w:hint="default"/>
                <w:sz w:val="18"/>
                <w:szCs w:val="18"/>
              </w:rPr>
            </w:pPr>
            <w:r>
              <w:rPr>
                <w:rFonts w:ascii="宋体" w:hAnsi="宋体" w:cs="宋体" w:eastAsia="宋体" w:hint="default"/>
                <w:sz w:val="18"/>
                <w:szCs w:val="18"/>
              </w:rPr>
              <w:t>孚思广 告有限 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2015.8.31</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607,500,000.00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100.00</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发行权</w:t>
            </w:r>
          </w:p>
          <w:p>
            <w:pPr>
              <w:pStyle w:val="TableParagraph"/>
              <w:spacing w:line="237" w:lineRule="auto" w:before="2"/>
              <w:ind w:left="100" w:right="127"/>
              <w:jc w:val="both"/>
              <w:rPr>
                <w:rFonts w:ascii="宋体" w:hAnsi="宋体" w:cs="宋体" w:eastAsia="宋体" w:hint="default"/>
                <w:sz w:val="18"/>
                <w:szCs w:val="18"/>
              </w:rPr>
            </w:pPr>
            <w:r>
              <w:rPr>
                <w:rFonts w:ascii="宋体" w:hAnsi="宋体" w:cs="宋体" w:eastAsia="宋体" w:hint="default"/>
                <w:sz w:val="18"/>
                <w:szCs w:val="18"/>
              </w:rPr>
              <w:t>益性证 券和现 金相结 合</w:t>
            </w:r>
          </w:p>
        </w:tc>
        <w:tc>
          <w:tcPr>
            <w:tcW w:w="7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sz w:val="18"/>
              </w:rPr>
              <w:t>2015.8</w:t>
            </w:r>
          </w:p>
          <w:p>
            <w:pPr>
              <w:pStyle w:val="TableParagraph"/>
              <w:spacing w:line="240" w:lineRule="auto"/>
              <w:ind w:left="98" w:right="0"/>
              <w:jc w:val="left"/>
              <w:rPr>
                <w:rFonts w:ascii="宋体" w:hAnsi="宋体" w:cs="宋体" w:eastAsia="宋体" w:hint="default"/>
                <w:sz w:val="18"/>
                <w:szCs w:val="18"/>
              </w:rPr>
            </w:pPr>
            <w:r>
              <w:rPr>
                <w:rFonts w:ascii="宋体"/>
                <w:sz w:val="18"/>
              </w:rPr>
              <w:t>.31</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股权转</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移</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262,619,344.83</w:t>
            </w: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21,221,763.8</w:t>
            </w:r>
          </w:p>
          <w:p>
            <w:pPr>
              <w:pStyle w:val="TableParagraph"/>
              <w:spacing w:line="240" w:lineRule="auto"/>
              <w:ind w:right="102"/>
              <w:jc w:val="right"/>
              <w:rPr>
                <w:rFonts w:ascii="宋体" w:hAnsi="宋体" w:cs="宋体" w:eastAsia="宋体" w:hint="default"/>
                <w:sz w:val="18"/>
                <w:szCs w:val="18"/>
              </w:rPr>
            </w:pPr>
            <w:r>
              <w:rPr>
                <w:rFonts w:ascii="宋体"/>
                <w:sz w:val="18"/>
              </w:rPr>
              <w:t>4</w:t>
            </w:r>
          </w:p>
        </w:tc>
      </w:tr>
      <w:tr>
        <w:trPr>
          <w:trHeight w:val="1181" w:hRule="exact"/>
        </w:trPr>
        <w:tc>
          <w:tcPr>
            <w:tcW w:w="778"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上海同</w:t>
            </w:r>
          </w:p>
          <w:p>
            <w:pPr>
              <w:pStyle w:val="TableParagraph"/>
              <w:spacing w:line="237" w:lineRule="auto"/>
              <w:ind w:left="100" w:right="122"/>
              <w:jc w:val="both"/>
              <w:rPr>
                <w:rFonts w:ascii="宋体" w:hAnsi="宋体" w:cs="宋体" w:eastAsia="宋体" w:hint="default"/>
                <w:sz w:val="18"/>
                <w:szCs w:val="18"/>
              </w:rPr>
            </w:pPr>
            <w:r>
              <w:rPr>
                <w:rFonts w:ascii="宋体" w:hAnsi="宋体" w:cs="宋体" w:eastAsia="宋体" w:hint="default"/>
                <w:sz w:val="18"/>
                <w:szCs w:val="18"/>
              </w:rPr>
              <w:t>立广告 传播有 限公司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2015.8.31</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445,500,000.00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100.00</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发行权</w:t>
            </w:r>
          </w:p>
          <w:p>
            <w:pPr>
              <w:pStyle w:val="TableParagraph"/>
              <w:spacing w:line="237" w:lineRule="auto"/>
              <w:ind w:left="100" w:right="127"/>
              <w:jc w:val="both"/>
              <w:rPr>
                <w:rFonts w:ascii="宋体" w:hAnsi="宋体" w:cs="宋体" w:eastAsia="宋体" w:hint="default"/>
                <w:sz w:val="18"/>
                <w:szCs w:val="18"/>
              </w:rPr>
            </w:pPr>
            <w:r>
              <w:rPr>
                <w:rFonts w:ascii="宋体" w:hAnsi="宋体" w:cs="宋体" w:eastAsia="宋体" w:hint="default"/>
                <w:sz w:val="18"/>
                <w:szCs w:val="18"/>
              </w:rPr>
              <w:t>益性证 券和现 金相结 合</w:t>
            </w:r>
          </w:p>
        </w:tc>
        <w:tc>
          <w:tcPr>
            <w:tcW w:w="75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sz w:val="18"/>
              </w:rPr>
              <w:t>2015.8</w:t>
            </w:r>
          </w:p>
          <w:p>
            <w:pPr>
              <w:pStyle w:val="TableParagraph"/>
              <w:spacing w:line="234" w:lineRule="exact"/>
              <w:ind w:left="98" w:right="0"/>
              <w:jc w:val="left"/>
              <w:rPr>
                <w:rFonts w:ascii="宋体" w:hAnsi="宋体" w:cs="宋体" w:eastAsia="宋体" w:hint="default"/>
                <w:sz w:val="18"/>
                <w:szCs w:val="18"/>
              </w:rPr>
            </w:pPr>
            <w:r>
              <w:rPr>
                <w:rFonts w:ascii="宋体"/>
                <w:sz w:val="18"/>
              </w:rPr>
              <w:t>.31</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移</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128,868,143.87</w:t>
            </w: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19,427,089.3</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r>
      <w:tr>
        <w:trPr>
          <w:trHeight w:val="1183" w:hRule="exact"/>
        </w:trPr>
        <w:tc>
          <w:tcPr>
            <w:tcW w:w="77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广州华</w:t>
            </w:r>
          </w:p>
          <w:p>
            <w:pPr>
              <w:pStyle w:val="TableParagraph"/>
              <w:spacing w:line="232" w:lineRule="exact" w:before="24"/>
              <w:ind w:left="100" w:right="122"/>
              <w:jc w:val="both"/>
              <w:rPr>
                <w:rFonts w:ascii="宋体" w:hAnsi="宋体" w:cs="宋体" w:eastAsia="宋体" w:hint="default"/>
                <w:sz w:val="18"/>
                <w:szCs w:val="18"/>
              </w:rPr>
            </w:pPr>
            <w:r>
              <w:rPr>
                <w:rFonts w:ascii="宋体" w:hAnsi="宋体" w:cs="宋体" w:eastAsia="宋体" w:hint="default"/>
                <w:sz w:val="18"/>
                <w:szCs w:val="18"/>
              </w:rPr>
              <w:t>邑品牌 数字营 销有限 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2015.8.31</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405,000,000.00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100.00</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发行权</w:t>
            </w:r>
          </w:p>
          <w:p>
            <w:pPr>
              <w:pStyle w:val="TableParagraph"/>
              <w:spacing w:line="232" w:lineRule="exact" w:before="24"/>
              <w:ind w:left="100" w:right="127"/>
              <w:jc w:val="both"/>
              <w:rPr>
                <w:rFonts w:ascii="宋体" w:hAnsi="宋体" w:cs="宋体" w:eastAsia="宋体" w:hint="default"/>
                <w:sz w:val="18"/>
                <w:szCs w:val="18"/>
              </w:rPr>
            </w:pPr>
            <w:r>
              <w:rPr>
                <w:rFonts w:ascii="宋体" w:hAnsi="宋体" w:cs="宋体" w:eastAsia="宋体" w:hint="default"/>
                <w:sz w:val="18"/>
                <w:szCs w:val="18"/>
              </w:rPr>
              <w:t>益性证 券和现 金相结 合</w:t>
            </w:r>
          </w:p>
        </w:tc>
        <w:tc>
          <w:tcPr>
            <w:tcW w:w="7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sz w:val="18"/>
              </w:rPr>
              <w:t>2015.8</w:t>
            </w:r>
          </w:p>
          <w:p>
            <w:pPr>
              <w:pStyle w:val="TableParagraph"/>
              <w:spacing w:line="240" w:lineRule="auto"/>
              <w:ind w:left="98" w:right="0"/>
              <w:jc w:val="left"/>
              <w:rPr>
                <w:rFonts w:ascii="宋体" w:hAnsi="宋体" w:cs="宋体" w:eastAsia="宋体" w:hint="default"/>
                <w:sz w:val="18"/>
                <w:szCs w:val="18"/>
              </w:rPr>
            </w:pPr>
            <w:r>
              <w:rPr>
                <w:rFonts w:ascii="宋体"/>
                <w:sz w:val="18"/>
              </w:rPr>
              <w:t>.31</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股权转</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移</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104,922,704.61</w:t>
            </w: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9,150,140.10</w:t>
            </w:r>
          </w:p>
        </w:tc>
      </w:tr>
      <w:tr>
        <w:trPr>
          <w:trHeight w:val="1181" w:hRule="exact"/>
        </w:trPr>
        <w:tc>
          <w:tcPr>
            <w:tcW w:w="778"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广东雨</w:t>
            </w:r>
          </w:p>
          <w:p>
            <w:pPr>
              <w:pStyle w:val="TableParagraph"/>
              <w:spacing w:line="237" w:lineRule="auto" w:before="1"/>
              <w:ind w:left="100" w:right="122"/>
              <w:jc w:val="both"/>
              <w:rPr>
                <w:rFonts w:ascii="宋体" w:hAnsi="宋体" w:cs="宋体" w:eastAsia="宋体" w:hint="default"/>
                <w:sz w:val="18"/>
                <w:szCs w:val="18"/>
              </w:rPr>
            </w:pPr>
            <w:r>
              <w:rPr>
                <w:rFonts w:ascii="宋体" w:hAnsi="宋体" w:cs="宋体" w:eastAsia="宋体" w:hint="default"/>
                <w:sz w:val="18"/>
                <w:szCs w:val="18"/>
              </w:rPr>
              <w:t>林木风 计算机 科技有 限公司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2015.8.31</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540,000,000.00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100.00</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发行权</w:t>
            </w:r>
          </w:p>
          <w:p>
            <w:pPr>
              <w:pStyle w:val="TableParagraph"/>
              <w:spacing w:line="237" w:lineRule="auto" w:before="1"/>
              <w:ind w:left="100" w:right="127"/>
              <w:jc w:val="both"/>
              <w:rPr>
                <w:rFonts w:ascii="宋体" w:hAnsi="宋体" w:cs="宋体" w:eastAsia="宋体" w:hint="default"/>
                <w:sz w:val="18"/>
                <w:szCs w:val="18"/>
              </w:rPr>
            </w:pPr>
            <w:r>
              <w:rPr>
                <w:rFonts w:ascii="宋体" w:hAnsi="宋体" w:cs="宋体" w:eastAsia="宋体" w:hint="default"/>
                <w:sz w:val="18"/>
                <w:szCs w:val="18"/>
              </w:rPr>
              <w:t>益性证 券和现 金相结 合</w:t>
            </w:r>
          </w:p>
        </w:tc>
        <w:tc>
          <w:tcPr>
            <w:tcW w:w="75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sz w:val="18"/>
              </w:rPr>
              <w:t>2015.8</w:t>
            </w:r>
          </w:p>
          <w:p>
            <w:pPr>
              <w:pStyle w:val="TableParagraph"/>
              <w:spacing w:line="234" w:lineRule="exact"/>
              <w:ind w:left="98" w:right="0"/>
              <w:jc w:val="left"/>
              <w:rPr>
                <w:rFonts w:ascii="宋体" w:hAnsi="宋体" w:cs="宋体" w:eastAsia="宋体" w:hint="default"/>
                <w:sz w:val="18"/>
                <w:szCs w:val="18"/>
              </w:rPr>
            </w:pPr>
            <w:r>
              <w:rPr>
                <w:rFonts w:ascii="宋体"/>
                <w:sz w:val="18"/>
              </w:rPr>
              <w:t>.31</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移</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76,066,683.35</w:t>
            </w: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13,817,162.5</w:t>
            </w:r>
          </w:p>
          <w:p>
            <w:pPr>
              <w:pStyle w:val="TableParagraph"/>
              <w:spacing w:line="234" w:lineRule="exact"/>
              <w:ind w:right="102"/>
              <w:jc w:val="right"/>
              <w:rPr>
                <w:rFonts w:ascii="宋体" w:hAnsi="宋体" w:cs="宋体" w:eastAsia="宋体" w:hint="default"/>
                <w:sz w:val="18"/>
                <w:szCs w:val="18"/>
              </w:rPr>
            </w:pPr>
            <w:r>
              <w:rPr>
                <w:rFonts w:ascii="宋体"/>
                <w:sz w:val="18"/>
              </w:rPr>
              <w:t>9</w:t>
            </w:r>
          </w:p>
        </w:tc>
      </w:tr>
      <w:tr>
        <w:trPr>
          <w:trHeight w:val="1181" w:hRule="exact"/>
        </w:trPr>
        <w:tc>
          <w:tcPr>
            <w:tcW w:w="778" w:type="dxa"/>
            <w:tcBorders>
              <w:top w:val="single" w:sz="6" w:space="0" w:color="000000"/>
              <w:left w:val="single" w:sz="4" w:space="0" w:color="000000"/>
              <w:bottom w:val="single" w:sz="4"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北京派</w:t>
            </w:r>
          </w:p>
          <w:p>
            <w:pPr>
              <w:pStyle w:val="TableParagraph"/>
              <w:spacing w:line="232" w:lineRule="exact" w:before="23"/>
              <w:ind w:left="100" w:right="122"/>
              <w:jc w:val="both"/>
              <w:rPr>
                <w:rFonts w:ascii="宋体" w:hAnsi="宋体" w:cs="宋体" w:eastAsia="宋体" w:hint="default"/>
                <w:sz w:val="18"/>
                <w:szCs w:val="18"/>
              </w:rPr>
            </w:pPr>
            <w:r>
              <w:rPr>
                <w:rFonts w:ascii="宋体" w:hAnsi="宋体" w:cs="宋体" w:eastAsia="宋体" w:hint="default"/>
                <w:sz w:val="18"/>
                <w:szCs w:val="18"/>
              </w:rPr>
              <w:t>瑞威行 广告有 限公司</w:t>
            </w:r>
          </w:p>
        </w:tc>
        <w:tc>
          <w:tcPr>
            <w:tcW w:w="1027"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2015.8.31</w:t>
            </w:r>
          </w:p>
        </w:tc>
        <w:tc>
          <w:tcPr>
            <w:tcW w:w="1479"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945,000,000.00</w:t>
            </w:r>
          </w:p>
        </w:tc>
        <w:tc>
          <w:tcPr>
            <w:tcW w:w="756"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100.00</w:t>
            </w:r>
          </w:p>
        </w:tc>
        <w:tc>
          <w:tcPr>
            <w:tcW w:w="785"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发行权</w:t>
            </w:r>
          </w:p>
          <w:p>
            <w:pPr>
              <w:pStyle w:val="TableParagraph"/>
              <w:spacing w:line="237" w:lineRule="auto"/>
              <w:ind w:left="100" w:right="127"/>
              <w:jc w:val="both"/>
              <w:rPr>
                <w:rFonts w:ascii="宋体" w:hAnsi="宋体" w:cs="宋体" w:eastAsia="宋体" w:hint="default"/>
                <w:sz w:val="18"/>
                <w:szCs w:val="18"/>
              </w:rPr>
            </w:pPr>
            <w:r>
              <w:rPr>
                <w:rFonts w:ascii="宋体" w:hAnsi="宋体" w:cs="宋体" w:eastAsia="宋体" w:hint="default"/>
                <w:sz w:val="18"/>
                <w:szCs w:val="18"/>
              </w:rPr>
              <w:t>益性证 券和现 金相结 合</w:t>
            </w:r>
          </w:p>
        </w:tc>
        <w:tc>
          <w:tcPr>
            <w:tcW w:w="759"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sz w:val="18"/>
              </w:rPr>
              <w:t>2015.8</w:t>
            </w:r>
          </w:p>
          <w:p>
            <w:pPr>
              <w:pStyle w:val="TableParagraph"/>
              <w:spacing w:line="234" w:lineRule="exact"/>
              <w:ind w:left="98" w:right="0"/>
              <w:jc w:val="left"/>
              <w:rPr>
                <w:rFonts w:ascii="宋体" w:hAnsi="宋体" w:cs="宋体" w:eastAsia="宋体" w:hint="default"/>
                <w:sz w:val="18"/>
                <w:szCs w:val="18"/>
              </w:rPr>
            </w:pPr>
            <w:r>
              <w:rPr>
                <w:rFonts w:ascii="宋体"/>
                <w:sz w:val="18"/>
              </w:rPr>
              <w:t>.31</w:t>
            </w:r>
          </w:p>
        </w:tc>
        <w:tc>
          <w:tcPr>
            <w:tcW w:w="785"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移</w:t>
            </w:r>
          </w:p>
        </w:tc>
        <w:tc>
          <w:tcPr>
            <w:tcW w:w="1479"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670,610,968.19</w:t>
            </w:r>
          </w:p>
        </w:tc>
        <w:tc>
          <w:tcPr>
            <w:tcW w:w="1380" w:type="dxa"/>
            <w:tcBorders>
              <w:top w:val="single" w:sz="6" w:space="0" w:color="000000"/>
              <w:left w:val="single" w:sz="6"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42,277,847.4</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280" w:bottom="1380" w:left="1400" w:right="1040"/>
        </w:sectPr>
      </w:pPr>
    </w:p>
    <w:p>
      <w:pPr>
        <w:pStyle w:val="Heading2"/>
        <w:tabs>
          <w:tab w:pos="1055" w:val="left" w:leader="none"/>
        </w:tabs>
        <w:spacing w:line="240" w:lineRule="auto"/>
        <w:ind w:left="398"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6"/>
        <w:ind w:left="39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49" w:val="left" w:leader="none"/>
        </w:tabs>
        <w:spacing w:line="240" w:lineRule="auto" w:before="0"/>
        <w:ind w:left="398" w:right="0"/>
        <w:jc w:val="left"/>
      </w:pPr>
      <w:r>
        <w:rPr>
          <w:spacing w:val="-1"/>
        </w:rPr>
        <w:t>单位：元</w:t>
        <w:tab/>
      </w:r>
      <w:r>
        <w:rPr>
          <w:spacing w:val="-2"/>
        </w:rPr>
        <w:t>币种：人民币</w:t>
      </w:r>
    </w:p>
    <w:p>
      <w:pPr>
        <w:spacing w:after="0" w:line="240" w:lineRule="auto"/>
        <w:jc w:val="left"/>
        <w:sectPr>
          <w:type w:val="continuous"/>
          <w:pgSz w:w="11910" w:h="16840"/>
          <w:pgMar w:top="1280" w:bottom="1380" w:left="1400" w:right="1040"/>
          <w:cols w:num="2" w:equalWidth="0">
            <w:col w:w="2535" w:space="3990"/>
            <w:col w:w="2945"/>
          </w:cols>
        </w:sectPr>
      </w:pPr>
    </w:p>
    <w:p>
      <w:pPr>
        <w:spacing w:line="240" w:lineRule="auto" w:before="4"/>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1670"/>
        <w:gridCol w:w="1477"/>
        <w:gridCol w:w="1476"/>
        <w:gridCol w:w="1476"/>
        <w:gridCol w:w="1477"/>
        <w:gridCol w:w="1476"/>
      </w:tblGrid>
      <w:tr>
        <w:trPr>
          <w:trHeight w:val="715" w:hRule="exact"/>
        </w:trPr>
        <w:tc>
          <w:tcPr>
            <w:tcW w:w="167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北京百孚思广告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上海同立广告传</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播有限公司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广州华邑品牌数</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字营销有限公司</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广东雨林木风计</w:t>
            </w:r>
          </w:p>
          <w:p>
            <w:pPr>
              <w:pStyle w:val="TableParagraph"/>
              <w:spacing w:line="232" w:lineRule="exact" w:before="24"/>
              <w:ind w:left="100" w:right="99"/>
              <w:jc w:val="left"/>
              <w:rPr>
                <w:rFonts w:ascii="宋体" w:hAnsi="宋体" w:cs="宋体" w:eastAsia="宋体" w:hint="default"/>
                <w:sz w:val="18"/>
                <w:szCs w:val="18"/>
              </w:rPr>
            </w:pPr>
            <w:r>
              <w:rPr>
                <w:rFonts w:ascii="宋体" w:hAnsi="宋体" w:cs="宋体" w:eastAsia="宋体" w:hint="default"/>
                <w:sz w:val="18"/>
                <w:szCs w:val="18"/>
              </w:rPr>
              <w:t>算机科技有限公 司</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北京派瑞威行广</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告有限公司</w:t>
            </w:r>
          </w:p>
        </w:tc>
      </w:tr>
      <w:tr>
        <w:trPr>
          <w:trHeight w:val="250" w:hRule="exact"/>
        </w:trPr>
        <w:tc>
          <w:tcPr>
            <w:tcW w:w="167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114,817,500.00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54,054,000.00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56,700,000.00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111,509,950.30</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178,477,014.60</w:t>
            </w:r>
          </w:p>
        </w:tc>
      </w:tr>
      <w:tr>
        <w:trPr>
          <w:trHeight w:val="480" w:hRule="exact"/>
        </w:trPr>
        <w:tc>
          <w:tcPr>
            <w:tcW w:w="167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非现金资产的公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允价值</w:t>
            </w:r>
          </w:p>
        </w:tc>
        <w:tc>
          <w:tcPr>
            <w:tcW w:w="147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4" w:space="0" w:color="000000"/>
            </w:tcBorders>
          </w:tcPr>
          <w:p>
            <w:pPr/>
          </w:p>
        </w:tc>
      </w:tr>
      <w:tr>
        <w:trPr>
          <w:trHeight w:val="482" w:hRule="exact"/>
        </w:trPr>
        <w:tc>
          <w:tcPr>
            <w:tcW w:w="1670"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发行或承担的债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务的公允价值</w:t>
            </w:r>
          </w:p>
        </w:tc>
        <w:tc>
          <w:tcPr>
            <w:tcW w:w="147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4" w:space="0" w:color="000000"/>
            </w:tcBorders>
          </w:tcPr>
          <w:p>
            <w:pPr/>
          </w:p>
        </w:tc>
      </w:tr>
      <w:tr>
        <w:trPr>
          <w:trHeight w:val="482" w:hRule="exact"/>
        </w:trPr>
        <w:tc>
          <w:tcPr>
            <w:tcW w:w="167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发行的权益性证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券的公允价值</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492,682,500.00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391,446,000.00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348,300,000.00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428,490,049.70</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766,522,985.40</w:t>
            </w:r>
          </w:p>
        </w:tc>
      </w:tr>
      <w:tr>
        <w:trPr>
          <w:trHeight w:val="482" w:hRule="exact"/>
        </w:trPr>
        <w:tc>
          <w:tcPr>
            <w:tcW w:w="167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或有对价的公允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47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4" w:space="0" w:color="000000"/>
            </w:tcBorders>
          </w:tcPr>
          <w:p>
            <w:pPr/>
          </w:p>
        </w:tc>
      </w:tr>
      <w:tr>
        <w:trPr>
          <w:trHeight w:val="716" w:hRule="exact"/>
        </w:trPr>
        <w:tc>
          <w:tcPr>
            <w:tcW w:w="167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购买日之前持有</w:t>
            </w:r>
          </w:p>
          <w:p>
            <w:pPr>
              <w:pStyle w:val="TableParagraph"/>
              <w:spacing w:line="232" w:lineRule="exact" w:before="23"/>
              <w:ind w:left="103" w:right="113"/>
              <w:jc w:val="left"/>
              <w:rPr>
                <w:rFonts w:ascii="宋体" w:hAnsi="宋体" w:cs="宋体" w:eastAsia="宋体" w:hint="default"/>
                <w:sz w:val="18"/>
                <w:szCs w:val="18"/>
              </w:rPr>
            </w:pPr>
            <w:r>
              <w:rPr>
                <w:rFonts w:ascii="宋体" w:hAnsi="宋体" w:cs="宋体" w:eastAsia="宋体" w:hint="default"/>
                <w:sz w:val="18"/>
                <w:szCs w:val="18"/>
              </w:rPr>
              <w:t>的股权于购买日的 公允价值</w:t>
            </w:r>
          </w:p>
        </w:tc>
        <w:tc>
          <w:tcPr>
            <w:tcW w:w="147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4" w:space="0" w:color="000000"/>
            </w:tcBorders>
          </w:tcPr>
          <w:p>
            <w:pPr/>
          </w:p>
        </w:tc>
      </w:tr>
      <w:tr>
        <w:trPr>
          <w:trHeight w:val="247" w:hRule="exact"/>
        </w:trPr>
        <w:tc>
          <w:tcPr>
            <w:tcW w:w="167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147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4" w:space="0" w:color="000000"/>
            </w:tcBorders>
          </w:tcPr>
          <w:p>
            <w:pPr/>
          </w:p>
        </w:tc>
      </w:tr>
    </w:tbl>
    <w:p>
      <w:pPr>
        <w:spacing w:after="0"/>
        <w:sectPr>
          <w:type w:val="continuous"/>
          <w:pgSz w:w="11910" w:h="16840"/>
          <w:pgMar w:top="1280" w:bottom="1380" w:left="1400" w:right="1040"/>
        </w:sectPr>
      </w:pPr>
    </w:p>
    <w:p>
      <w:pPr>
        <w:spacing w:line="240" w:lineRule="auto" w:before="13"/>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1670"/>
        <w:gridCol w:w="1477"/>
        <w:gridCol w:w="1476"/>
        <w:gridCol w:w="1476"/>
        <w:gridCol w:w="1477"/>
        <w:gridCol w:w="1476"/>
      </w:tblGrid>
      <w:tr>
        <w:trPr>
          <w:trHeight w:val="250" w:hRule="exact"/>
        </w:trPr>
        <w:tc>
          <w:tcPr>
            <w:tcW w:w="167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607,500,000.00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445,500,000.00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405,000,000.00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540,000,000.00</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945,000,000.00</w:t>
            </w:r>
          </w:p>
        </w:tc>
      </w:tr>
      <w:tr>
        <w:trPr>
          <w:trHeight w:val="715" w:hRule="exact"/>
        </w:trPr>
        <w:tc>
          <w:tcPr>
            <w:tcW w:w="167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减：取得的可辨认</w:t>
            </w:r>
          </w:p>
          <w:p>
            <w:pPr>
              <w:pStyle w:val="TableParagraph"/>
              <w:spacing w:line="240" w:lineRule="auto"/>
              <w:ind w:left="103" w:right="113"/>
              <w:jc w:val="left"/>
              <w:rPr>
                <w:rFonts w:ascii="宋体" w:hAnsi="宋体" w:cs="宋体" w:eastAsia="宋体" w:hint="default"/>
                <w:sz w:val="18"/>
                <w:szCs w:val="18"/>
              </w:rPr>
            </w:pPr>
            <w:r>
              <w:rPr>
                <w:rFonts w:ascii="宋体" w:hAnsi="宋体" w:cs="宋体" w:eastAsia="宋体" w:hint="default"/>
                <w:sz w:val="18"/>
                <w:szCs w:val="18"/>
              </w:rPr>
              <w:t>净资产公允价值份 额</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88,057,215.97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107,444,566.86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72,321,869.21</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113,584,870.58</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117,758,495.58</w:t>
            </w:r>
          </w:p>
        </w:tc>
      </w:tr>
      <w:tr>
        <w:trPr>
          <w:trHeight w:val="946" w:hRule="exact"/>
        </w:trPr>
        <w:tc>
          <w:tcPr>
            <w:tcW w:w="1670" w:type="dxa"/>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合并成本小</w:t>
            </w:r>
          </w:p>
          <w:p>
            <w:pPr>
              <w:pStyle w:val="TableParagraph"/>
              <w:spacing w:line="237" w:lineRule="auto"/>
              <w:ind w:left="103" w:right="113"/>
              <w:jc w:val="both"/>
              <w:rPr>
                <w:rFonts w:ascii="宋体" w:hAnsi="宋体" w:cs="宋体" w:eastAsia="宋体" w:hint="default"/>
                <w:sz w:val="18"/>
                <w:szCs w:val="18"/>
              </w:rPr>
            </w:pPr>
            <w:r>
              <w:rPr>
                <w:rFonts w:ascii="宋体" w:hAnsi="宋体" w:cs="宋体" w:eastAsia="宋体" w:hint="default"/>
                <w:sz w:val="18"/>
                <w:szCs w:val="18"/>
              </w:rPr>
              <w:t>于取得的可辨认净 资产公允价值份额 的金额</w:t>
            </w:r>
          </w:p>
        </w:tc>
        <w:tc>
          <w:tcPr>
            <w:tcW w:w="147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519,442,784.03</w:t>
            </w:r>
          </w:p>
        </w:tc>
        <w:tc>
          <w:tcPr>
            <w:tcW w:w="147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338,055,433.14</w:t>
            </w:r>
          </w:p>
        </w:tc>
        <w:tc>
          <w:tcPr>
            <w:tcW w:w="147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332,678,130.79</w:t>
            </w:r>
          </w:p>
        </w:tc>
        <w:tc>
          <w:tcPr>
            <w:tcW w:w="147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426,415,129.42</w:t>
            </w:r>
          </w:p>
        </w:tc>
        <w:tc>
          <w:tcPr>
            <w:tcW w:w="1476"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827,241,504.42</w:t>
            </w:r>
          </w:p>
        </w:tc>
      </w:tr>
    </w:tbl>
    <w:p>
      <w:pPr>
        <w:spacing w:line="240" w:lineRule="auto" w:before="5"/>
        <w:rPr>
          <w:rFonts w:ascii="宋体" w:hAnsi="宋体" w:cs="宋体" w:eastAsia="宋体" w:hint="default"/>
          <w:sz w:val="21"/>
          <w:szCs w:val="21"/>
        </w:rPr>
      </w:pPr>
    </w:p>
    <w:p>
      <w:pPr>
        <w:pStyle w:val="BodyText"/>
        <w:spacing w:line="314" w:lineRule="auto" w:before="36"/>
        <w:ind w:left="638" w:right="2940"/>
        <w:jc w:val="left"/>
      </w:pPr>
      <w:r>
        <w:rPr>
          <w:spacing w:val="-2"/>
        </w:rPr>
        <w:t>合并成本公允价值的确定方法、或有对价及其变动的说明：</w:t>
      </w:r>
      <w:r>
        <w:rPr>
          <w:spacing w:val="-55"/>
        </w:rPr>
        <w:t> </w:t>
      </w:r>
      <w:r>
        <w:rPr>
          <w:spacing w:val="-55"/>
        </w:rPr>
      </w:r>
      <w:r>
        <w:rPr/>
        <w:t>公允价值的确定方法为依据评估报告。</w:t>
      </w:r>
      <w:r>
        <w:rPr>
          <w:w w:val="100"/>
        </w:rPr>
        <w:t> </w:t>
      </w:r>
      <w:r>
        <w:rPr/>
        <w:t>大额商誉形成的主要原因：</w:t>
      </w:r>
    </w:p>
    <w:p>
      <w:pPr>
        <w:pStyle w:val="BodyText"/>
        <w:spacing w:line="314" w:lineRule="auto"/>
        <w:ind w:left="218" w:right="237" w:firstLine="419"/>
        <w:jc w:val="both"/>
      </w:pPr>
      <w:r>
        <w:rPr>
          <w:spacing w:val="-2"/>
        </w:rPr>
        <w:t>公司按照确定的支付对价作为购买日的合并成本，以该合并成本扣减各被购买方于购买日的</w:t>
      </w:r>
      <w:r>
        <w:rPr>
          <w:w w:val="100"/>
        </w:rPr>
        <w:t> </w:t>
      </w:r>
      <w:r>
        <w:rPr>
          <w:spacing w:val="-2"/>
        </w:rPr>
        <w:t>可辨认净资产公允价值份额确认为财务报表中的商誉。各被购买方可辨认净资产公允价值系以购</w:t>
      </w:r>
      <w:r>
        <w:rPr>
          <w:spacing w:val="-25"/>
        </w:rPr>
        <w:t> </w:t>
      </w:r>
      <w:r>
        <w:rPr>
          <w:spacing w:val="-25"/>
        </w:rPr>
      </w:r>
      <w:r>
        <w:rPr>
          <w:spacing w:val="-2"/>
        </w:rPr>
        <w:t>买日各被购买方账面净资产为基础，考虑评估结果影响后确定。由于公司收购的各被购买方处于</w:t>
      </w:r>
      <w:r>
        <w:rPr>
          <w:spacing w:val="-25"/>
        </w:rPr>
        <w:t> </w:t>
      </w:r>
      <w:r>
        <w:rPr>
          <w:spacing w:val="-25"/>
        </w:rPr>
      </w:r>
      <w:r>
        <w:rPr>
          <w:spacing w:val="-2"/>
        </w:rPr>
        <w:t>互联网行业，均属于“轻资产”行业，各被购买方购买日的可辨认净资产公允价值份额较小，造</w:t>
      </w:r>
      <w:r>
        <w:rPr>
          <w:spacing w:val="-25"/>
        </w:rPr>
        <w:t> </w:t>
      </w:r>
      <w:r>
        <w:rPr>
          <w:spacing w:val="-25"/>
        </w:rPr>
      </w:r>
      <w:r>
        <w:rPr/>
        <w:t>成形成的商誉较大。</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6" w:footer="1193" w:top="1280" w:bottom="1380" w:left="1580" w:right="1040"/>
        </w:sectPr>
      </w:pPr>
    </w:p>
    <w:p>
      <w:pPr>
        <w:pStyle w:val="Heading2"/>
        <w:tabs>
          <w:tab w:pos="875" w:val="left" w:leader="none"/>
        </w:tabs>
        <w:spacing w:line="240" w:lineRule="auto"/>
        <w:ind w:right="-2"/>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58"/>
        <w:ind w:left="21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4251" w:space="227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3"/>
        <w:gridCol w:w="864"/>
        <w:gridCol w:w="865"/>
        <w:gridCol w:w="864"/>
        <w:gridCol w:w="864"/>
        <w:gridCol w:w="867"/>
        <w:gridCol w:w="864"/>
        <w:gridCol w:w="866"/>
        <w:gridCol w:w="865"/>
        <w:gridCol w:w="864"/>
        <w:gridCol w:w="866"/>
      </w:tblGrid>
      <w:tr>
        <w:trPr>
          <w:trHeight w:val="483" w:hRule="exact"/>
        </w:trPr>
        <w:tc>
          <w:tcPr>
            <w:tcW w:w="403" w:type="dxa"/>
            <w:vMerge w:val="restart"/>
            <w:tcBorders>
              <w:top w:val="single" w:sz="6" w:space="0" w:color="000000"/>
              <w:left w:val="single" w:sz="4" w:space="0" w:color="000000"/>
              <w:right w:val="single" w:sz="6" w:space="0" w:color="000000"/>
            </w:tcBorders>
          </w:tcPr>
          <w:p>
            <w:pPr/>
          </w:p>
        </w:tc>
        <w:tc>
          <w:tcPr>
            <w:tcW w:w="17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北京百孚思广告有</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7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上海同立广告传播</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7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27" w:right="0" w:hanging="92"/>
              <w:jc w:val="left"/>
              <w:rPr>
                <w:rFonts w:ascii="宋体" w:hAnsi="宋体" w:cs="宋体" w:eastAsia="宋体" w:hint="default"/>
                <w:sz w:val="18"/>
                <w:szCs w:val="18"/>
              </w:rPr>
            </w:pPr>
            <w:r>
              <w:rPr>
                <w:rFonts w:ascii="宋体" w:hAnsi="宋体" w:cs="宋体" w:eastAsia="宋体" w:hint="default"/>
                <w:sz w:val="18"/>
                <w:szCs w:val="18"/>
              </w:rPr>
              <w:t>广东雨林木风计算</w:t>
            </w:r>
          </w:p>
          <w:p>
            <w:pPr>
              <w:pStyle w:val="TableParagraph"/>
              <w:spacing w:line="234" w:lineRule="exact"/>
              <w:ind w:left="227" w:right="0"/>
              <w:jc w:val="left"/>
              <w:rPr>
                <w:rFonts w:ascii="宋体" w:hAnsi="宋体" w:cs="宋体" w:eastAsia="宋体" w:hint="default"/>
                <w:sz w:val="18"/>
                <w:szCs w:val="18"/>
              </w:rPr>
            </w:pPr>
            <w:r>
              <w:rPr>
                <w:rFonts w:ascii="宋体" w:hAnsi="宋体" w:cs="宋体" w:eastAsia="宋体" w:hint="default"/>
                <w:sz w:val="18"/>
                <w:szCs w:val="18"/>
              </w:rPr>
              <w:t>机科技有限公司</w:t>
            </w:r>
          </w:p>
        </w:tc>
        <w:tc>
          <w:tcPr>
            <w:tcW w:w="17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北京派瑞威行广告</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730" w:type="dxa"/>
            <w:gridSpan w:val="2"/>
            <w:tcBorders>
              <w:top w:val="single" w:sz="6" w:space="0" w:color="000000"/>
              <w:left w:val="single" w:sz="6" w:space="0" w:color="000000"/>
              <w:bottom w:val="single" w:sz="6"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广州华邑品牌数字</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营销有限公司</w:t>
            </w:r>
          </w:p>
        </w:tc>
      </w:tr>
      <w:tr>
        <w:trPr>
          <w:trHeight w:val="1102" w:hRule="exact"/>
        </w:trPr>
        <w:tc>
          <w:tcPr>
            <w:tcW w:w="403" w:type="dxa"/>
            <w:vMerge/>
            <w:tcBorders>
              <w:left w:val="single" w:sz="4"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151" w:right="156"/>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151" w:right="158"/>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151" w:right="156"/>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153" w:right="155"/>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153" w:right="156"/>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153" w:right="155"/>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153" w:right="156"/>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151" w:right="158"/>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153" w:right="155"/>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153" w:right="156"/>
              <w:jc w:val="center"/>
              <w:rPr>
                <w:rFonts w:ascii="宋体" w:hAnsi="宋体" w:cs="宋体" w:eastAsia="宋体" w:hint="default"/>
                <w:sz w:val="18"/>
                <w:szCs w:val="18"/>
              </w:rPr>
            </w:pPr>
            <w:r>
              <w:rPr>
                <w:rFonts w:ascii="宋体" w:hAnsi="宋体" w:cs="宋体" w:eastAsia="宋体" w:hint="default"/>
                <w:sz w:val="18"/>
                <w:szCs w:val="18"/>
              </w:rPr>
              <w:t>购买日 账面价 值</w:t>
            </w:r>
          </w:p>
        </w:tc>
      </w:tr>
      <w:tr>
        <w:trPr>
          <w:trHeight w:val="715"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228606</w:t>
            </w:r>
          </w:p>
          <w:p>
            <w:pPr>
              <w:pStyle w:val="TableParagraph"/>
              <w:spacing w:line="274" w:lineRule="exact"/>
              <w:ind w:left="112" w:right="0"/>
              <w:jc w:val="left"/>
              <w:rPr>
                <w:rFonts w:ascii="宋体" w:hAnsi="宋体" w:cs="宋体" w:eastAsia="宋体" w:hint="default"/>
                <w:sz w:val="21"/>
                <w:szCs w:val="21"/>
              </w:rPr>
            </w:pPr>
            <w:r>
              <w:rPr>
                <w:rFonts w:ascii="宋体"/>
                <w:sz w:val="21"/>
              </w:rPr>
              <w:t>673.66</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228,606</w:t>
            </w:r>
          </w:p>
          <w:p>
            <w:pPr>
              <w:pStyle w:val="TableParagraph"/>
              <w:spacing w:line="240" w:lineRule="auto"/>
              <w:ind w:left="115" w:right="0"/>
              <w:jc w:val="left"/>
              <w:rPr>
                <w:rFonts w:ascii="宋体" w:hAnsi="宋体" w:cs="宋体" w:eastAsia="宋体" w:hint="default"/>
                <w:sz w:val="18"/>
                <w:szCs w:val="18"/>
              </w:rPr>
            </w:pPr>
            <w:r>
              <w:rPr>
                <w:rFonts w:ascii="宋体"/>
                <w:sz w:val="18"/>
              </w:rPr>
              <w:t>,673.66</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168,680</w:t>
            </w:r>
          </w:p>
          <w:p>
            <w:pPr>
              <w:pStyle w:val="TableParagraph"/>
              <w:spacing w:line="240" w:lineRule="auto"/>
              <w:ind w:left="115" w:right="0"/>
              <w:jc w:val="left"/>
              <w:rPr>
                <w:rFonts w:ascii="宋体" w:hAnsi="宋体" w:cs="宋体" w:eastAsia="宋体" w:hint="default"/>
                <w:sz w:val="18"/>
                <w:szCs w:val="18"/>
              </w:rPr>
            </w:pPr>
            <w:r>
              <w:rPr>
                <w:rFonts w:ascii="宋体"/>
                <w:sz w:val="18"/>
              </w:rPr>
              <w:t>,708.77</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168,680</w:t>
            </w:r>
          </w:p>
          <w:p>
            <w:pPr>
              <w:pStyle w:val="TableParagraph"/>
              <w:spacing w:line="240" w:lineRule="auto"/>
              <w:ind w:left="117" w:right="0"/>
              <w:jc w:val="left"/>
              <w:rPr>
                <w:rFonts w:ascii="宋体" w:hAnsi="宋体" w:cs="宋体" w:eastAsia="宋体" w:hint="default"/>
                <w:sz w:val="18"/>
                <w:szCs w:val="18"/>
              </w:rPr>
            </w:pPr>
            <w:r>
              <w:rPr>
                <w:rFonts w:ascii="宋体"/>
                <w:sz w:val="18"/>
              </w:rPr>
              <w:t>,708.77</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128,252</w:t>
            </w:r>
          </w:p>
          <w:p>
            <w:pPr>
              <w:pStyle w:val="TableParagraph"/>
              <w:spacing w:line="240" w:lineRule="auto"/>
              <w:ind w:left="117" w:right="0"/>
              <w:jc w:val="left"/>
              <w:rPr>
                <w:rFonts w:ascii="宋体" w:hAnsi="宋体" w:cs="宋体" w:eastAsia="宋体" w:hint="default"/>
                <w:sz w:val="18"/>
                <w:szCs w:val="18"/>
              </w:rPr>
            </w:pPr>
            <w:r>
              <w:rPr>
                <w:rFonts w:ascii="宋体"/>
                <w:sz w:val="18"/>
              </w:rPr>
              <w:t>,635.46</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128,252</w:t>
            </w:r>
          </w:p>
          <w:p>
            <w:pPr>
              <w:pStyle w:val="TableParagraph"/>
              <w:spacing w:line="240" w:lineRule="auto"/>
              <w:ind w:left="117" w:right="0"/>
              <w:jc w:val="left"/>
              <w:rPr>
                <w:rFonts w:ascii="宋体" w:hAnsi="宋体" w:cs="宋体" w:eastAsia="宋体" w:hint="default"/>
                <w:sz w:val="18"/>
                <w:szCs w:val="18"/>
              </w:rPr>
            </w:pPr>
            <w:r>
              <w:rPr>
                <w:rFonts w:ascii="宋体"/>
                <w:sz w:val="18"/>
              </w:rPr>
              <w:t>,635.46</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545,117</w:t>
            </w:r>
          </w:p>
          <w:p>
            <w:pPr>
              <w:pStyle w:val="TableParagraph"/>
              <w:spacing w:line="240" w:lineRule="auto"/>
              <w:ind w:left="117" w:right="0"/>
              <w:jc w:val="left"/>
              <w:rPr>
                <w:rFonts w:ascii="宋体" w:hAnsi="宋体" w:cs="宋体" w:eastAsia="宋体" w:hint="default"/>
                <w:sz w:val="18"/>
                <w:szCs w:val="18"/>
              </w:rPr>
            </w:pPr>
            <w:r>
              <w:rPr>
                <w:rFonts w:ascii="宋体"/>
                <w:sz w:val="18"/>
              </w:rPr>
              <w:t>,625.39</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544,584</w:t>
            </w:r>
          </w:p>
          <w:p>
            <w:pPr>
              <w:pStyle w:val="TableParagraph"/>
              <w:spacing w:line="240" w:lineRule="auto"/>
              <w:ind w:left="115" w:right="0"/>
              <w:jc w:val="left"/>
              <w:rPr>
                <w:rFonts w:ascii="宋体" w:hAnsi="宋体" w:cs="宋体" w:eastAsia="宋体" w:hint="default"/>
                <w:sz w:val="18"/>
                <w:szCs w:val="18"/>
              </w:rPr>
            </w:pPr>
            <w:r>
              <w:rPr>
                <w:rFonts w:ascii="宋体"/>
                <w:sz w:val="18"/>
              </w:rPr>
              <w:t>,292.06</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117,891</w:t>
            </w:r>
          </w:p>
          <w:p>
            <w:pPr>
              <w:pStyle w:val="TableParagraph"/>
              <w:spacing w:line="240" w:lineRule="auto"/>
              <w:ind w:left="117" w:right="0"/>
              <w:jc w:val="left"/>
              <w:rPr>
                <w:rFonts w:ascii="宋体" w:hAnsi="宋体" w:cs="宋体" w:eastAsia="宋体" w:hint="default"/>
                <w:sz w:val="18"/>
                <w:szCs w:val="18"/>
              </w:rPr>
            </w:pPr>
            <w:r>
              <w:rPr>
                <w:rFonts w:ascii="宋体"/>
                <w:sz w:val="18"/>
              </w:rPr>
              <w:t>,110.52</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117,891</w:t>
            </w:r>
          </w:p>
          <w:p>
            <w:pPr>
              <w:pStyle w:val="TableParagraph"/>
              <w:spacing w:line="240" w:lineRule="auto"/>
              <w:ind w:left="117" w:right="0"/>
              <w:jc w:val="left"/>
              <w:rPr>
                <w:rFonts w:ascii="宋体" w:hAnsi="宋体" w:cs="宋体" w:eastAsia="宋体" w:hint="default"/>
                <w:sz w:val="18"/>
                <w:szCs w:val="18"/>
              </w:rPr>
            </w:pPr>
            <w:r>
              <w:rPr>
                <w:rFonts w:ascii="宋体"/>
                <w:sz w:val="18"/>
              </w:rPr>
              <w:t>,110.52</w:t>
            </w:r>
          </w:p>
        </w:tc>
      </w:tr>
      <w:tr>
        <w:trPr>
          <w:trHeight w:val="950"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货</w:t>
            </w:r>
          </w:p>
          <w:p>
            <w:pPr>
              <w:pStyle w:val="TableParagraph"/>
              <w:spacing w:line="232" w:lineRule="exact" w:before="23"/>
              <w:ind w:left="103" w:right="105"/>
              <w:jc w:val="both"/>
              <w:rPr>
                <w:rFonts w:ascii="宋体" w:hAnsi="宋体" w:cs="宋体" w:eastAsia="宋体" w:hint="default"/>
                <w:sz w:val="18"/>
                <w:szCs w:val="18"/>
              </w:rPr>
            </w:pPr>
            <w:r>
              <w:rPr>
                <w:rFonts w:ascii="宋体" w:hAnsi="宋体" w:cs="宋体" w:eastAsia="宋体" w:hint="default"/>
                <w:sz w:val="18"/>
                <w:szCs w:val="18"/>
              </w:rPr>
              <w:t>币 资 金</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16,196,</w:t>
            </w:r>
          </w:p>
          <w:p>
            <w:pPr>
              <w:pStyle w:val="TableParagraph"/>
              <w:spacing w:line="240" w:lineRule="auto" w:before="31"/>
              <w:ind w:left="206" w:right="0"/>
              <w:jc w:val="left"/>
              <w:rPr>
                <w:rFonts w:ascii="宋体" w:hAnsi="宋体" w:cs="宋体" w:eastAsia="宋体" w:hint="default"/>
                <w:sz w:val="18"/>
                <w:szCs w:val="18"/>
              </w:rPr>
            </w:pPr>
            <w:r>
              <w:rPr>
                <w:rFonts w:ascii="宋体"/>
                <w:sz w:val="18"/>
              </w:rPr>
              <w:t>897.74</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16,196,</w:t>
            </w:r>
          </w:p>
          <w:p>
            <w:pPr>
              <w:pStyle w:val="TableParagraph"/>
              <w:spacing w:line="240" w:lineRule="auto" w:before="31"/>
              <w:ind w:left="206" w:right="0"/>
              <w:jc w:val="left"/>
              <w:rPr>
                <w:rFonts w:ascii="宋体" w:hAnsi="宋体" w:cs="宋体" w:eastAsia="宋体" w:hint="default"/>
                <w:sz w:val="18"/>
                <w:szCs w:val="18"/>
              </w:rPr>
            </w:pPr>
            <w:r>
              <w:rPr>
                <w:rFonts w:ascii="宋体"/>
                <w:sz w:val="18"/>
              </w:rPr>
              <w:t>897.74</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7,708,8</w:t>
            </w:r>
          </w:p>
          <w:p>
            <w:pPr>
              <w:pStyle w:val="TableParagraph"/>
              <w:spacing w:line="240" w:lineRule="auto" w:before="31"/>
              <w:ind w:left="192" w:right="0"/>
              <w:jc w:val="center"/>
              <w:rPr>
                <w:rFonts w:ascii="宋体" w:hAnsi="宋体" w:cs="宋体" w:eastAsia="宋体" w:hint="default"/>
                <w:sz w:val="18"/>
                <w:szCs w:val="18"/>
              </w:rPr>
            </w:pPr>
            <w:r>
              <w:rPr>
                <w:rFonts w:ascii="宋体"/>
                <w:sz w:val="18"/>
              </w:rPr>
              <w:t>45.04</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7,708,8</w:t>
            </w:r>
          </w:p>
          <w:p>
            <w:pPr>
              <w:pStyle w:val="TableParagraph"/>
              <w:spacing w:line="240" w:lineRule="auto" w:before="31"/>
              <w:ind w:left="197" w:right="0"/>
              <w:jc w:val="center"/>
              <w:rPr>
                <w:rFonts w:ascii="宋体" w:hAnsi="宋体" w:cs="宋体" w:eastAsia="宋体" w:hint="default"/>
                <w:sz w:val="18"/>
                <w:szCs w:val="18"/>
              </w:rPr>
            </w:pPr>
            <w:r>
              <w:rPr>
                <w:rFonts w:ascii="宋体"/>
                <w:sz w:val="18"/>
              </w:rPr>
              <w:t>45.04</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88,563,</w:t>
            </w:r>
          </w:p>
          <w:p>
            <w:pPr>
              <w:pStyle w:val="TableParagraph"/>
              <w:spacing w:line="240" w:lineRule="auto" w:before="31"/>
              <w:ind w:left="208" w:right="0"/>
              <w:jc w:val="left"/>
              <w:rPr>
                <w:rFonts w:ascii="宋体" w:hAnsi="宋体" w:cs="宋体" w:eastAsia="宋体" w:hint="default"/>
                <w:sz w:val="18"/>
                <w:szCs w:val="18"/>
              </w:rPr>
            </w:pPr>
            <w:r>
              <w:rPr>
                <w:rFonts w:ascii="宋体"/>
                <w:sz w:val="18"/>
              </w:rPr>
              <w:t>618.64</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88,563,</w:t>
            </w:r>
          </w:p>
          <w:p>
            <w:pPr>
              <w:pStyle w:val="TableParagraph"/>
              <w:spacing w:line="240" w:lineRule="auto" w:before="31"/>
              <w:ind w:left="208" w:right="0"/>
              <w:jc w:val="left"/>
              <w:rPr>
                <w:rFonts w:ascii="宋体" w:hAnsi="宋体" w:cs="宋体" w:eastAsia="宋体" w:hint="default"/>
                <w:sz w:val="18"/>
                <w:szCs w:val="18"/>
              </w:rPr>
            </w:pPr>
            <w:r>
              <w:rPr>
                <w:rFonts w:ascii="宋体"/>
                <w:sz w:val="18"/>
              </w:rPr>
              <w:t>618.64</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137,501</w:t>
            </w:r>
          </w:p>
          <w:p>
            <w:pPr>
              <w:pStyle w:val="TableParagraph"/>
              <w:spacing w:line="240" w:lineRule="auto" w:before="31"/>
              <w:ind w:left="117" w:right="0"/>
              <w:jc w:val="left"/>
              <w:rPr>
                <w:rFonts w:ascii="宋体" w:hAnsi="宋体" w:cs="宋体" w:eastAsia="宋体" w:hint="default"/>
                <w:sz w:val="18"/>
                <w:szCs w:val="18"/>
              </w:rPr>
            </w:pPr>
            <w:r>
              <w:rPr>
                <w:rFonts w:ascii="宋体"/>
                <w:sz w:val="18"/>
              </w:rPr>
              <w:t>,362.91</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137,501</w:t>
            </w:r>
          </w:p>
          <w:p>
            <w:pPr>
              <w:pStyle w:val="TableParagraph"/>
              <w:spacing w:line="240" w:lineRule="auto" w:before="31"/>
              <w:ind w:left="115" w:right="0"/>
              <w:jc w:val="left"/>
              <w:rPr>
                <w:rFonts w:ascii="宋体" w:hAnsi="宋体" w:cs="宋体" w:eastAsia="宋体" w:hint="default"/>
                <w:sz w:val="18"/>
                <w:szCs w:val="18"/>
              </w:rPr>
            </w:pPr>
            <w:r>
              <w:rPr>
                <w:rFonts w:ascii="宋体"/>
                <w:sz w:val="18"/>
              </w:rPr>
              <w:t>,362.91</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32,997,</w:t>
            </w:r>
          </w:p>
          <w:p>
            <w:pPr>
              <w:pStyle w:val="TableParagraph"/>
              <w:spacing w:line="240" w:lineRule="auto" w:before="31"/>
              <w:ind w:left="208" w:right="0"/>
              <w:jc w:val="left"/>
              <w:rPr>
                <w:rFonts w:ascii="宋体" w:hAnsi="宋体" w:cs="宋体" w:eastAsia="宋体" w:hint="default"/>
                <w:sz w:val="18"/>
                <w:szCs w:val="18"/>
              </w:rPr>
            </w:pPr>
            <w:r>
              <w:rPr>
                <w:rFonts w:ascii="宋体"/>
                <w:sz w:val="18"/>
              </w:rPr>
              <w:t>916.11</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32,997,</w:t>
            </w:r>
          </w:p>
          <w:p>
            <w:pPr>
              <w:pStyle w:val="TableParagraph"/>
              <w:spacing w:line="240" w:lineRule="auto" w:before="31"/>
              <w:ind w:left="208" w:right="0"/>
              <w:jc w:val="left"/>
              <w:rPr>
                <w:rFonts w:ascii="宋体" w:hAnsi="宋体" w:cs="宋体" w:eastAsia="宋体" w:hint="default"/>
                <w:sz w:val="18"/>
                <w:szCs w:val="18"/>
              </w:rPr>
            </w:pPr>
            <w:r>
              <w:rPr>
                <w:rFonts w:ascii="宋体"/>
                <w:sz w:val="18"/>
              </w:rPr>
              <w:t>916.11</w:t>
            </w:r>
          </w:p>
        </w:tc>
      </w:tr>
      <w:tr>
        <w:trPr>
          <w:trHeight w:val="949"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应</w:t>
            </w:r>
          </w:p>
          <w:p>
            <w:pPr>
              <w:pStyle w:val="TableParagraph"/>
              <w:spacing w:line="237" w:lineRule="auto" w:before="1"/>
              <w:ind w:left="103" w:right="105"/>
              <w:jc w:val="both"/>
              <w:rPr>
                <w:rFonts w:ascii="宋体" w:hAnsi="宋体" w:cs="宋体" w:eastAsia="宋体" w:hint="default"/>
                <w:sz w:val="18"/>
                <w:szCs w:val="18"/>
              </w:rPr>
            </w:pPr>
            <w:r>
              <w:rPr>
                <w:rFonts w:ascii="宋体" w:hAnsi="宋体" w:cs="宋体" w:eastAsia="宋体" w:hint="default"/>
                <w:sz w:val="18"/>
                <w:szCs w:val="18"/>
              </w:rPr>
              <w:t>收 票 据</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717,117</w:t>
            </w:r>
          </w:p>
          <w:p>
            <w:pPr>
              <w:pStyle w:val="TableParagraph"/>
              <w:spacing w:line="234" w:lineRule="exact"/>
              <w:ind w:left="475" w:right="0"/>
              <w:jc w:val="left"/>
              <w:rPr>
                <w:rFonts w:ascii="宋体" w:hAnsi="宋体" w:cs="宋体" w:eastAsia="宋体" w:hint="default"/>
                <w:sz w:val="18"/>
                <w:szCs w:val="18"/>
              </w:rPr>
            </w:pPr>
            <w:r>
              <w:rPr>
                <w:rFonts w:ascii="宋体"/>
                <w:sz w:val="18"/>
              </w:rPr>
              <w:t>.35</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717,117</w:t>
            </w:r>
          </w:p>
          <w:p>
            <w:pPr>
              <w:pStyle w:val="TableParagraph"/>
              <w:spacing w:line="234" w:lineRule="exact"/>
              <w:ind w:left="475" w:right="0"/>
              <w:jc w:val="left"/>
              <w:rPr>
                <w:rFonts w:ascii="宋体" w:hAnsi="宋体" w:cs="宋体" w:eastAsia="宋体" w:hint="default"/>
                <w:sz w:val="18"/>
                <w:szCs w:val="18"/>
              </w:rPr>
            </w:pPr>
            <w:r>
              <w:rPr>
                <w:rFonts w:ascii="宋体"/>
                <w:sz w:val="18"/>
              </w:rPr>
              <w:t>.35</w:t>
            </w:r>
          </w:p>
        </w:tc>
        <w:tc>
          <w:tcPr>
            <w:tcW w:w="864"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应</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z w:val="18"/>
                <w:szCs w:val="18"/>
              </w:rPr>
              <w:t>收 款 项</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5" w:right="0"/>
              <w:jc w:val="left"/>
              <w:rPr>
                <w:rFonts w:ascii="宋体" w:hAnsi="宋体" w:cs="宋体" w:eastAsia="宋体" w:hint="default"/>
                <w:sz w:val="18"/>
                <w:szCs w:val="18"/>
              </w:rPr>
            </w:pPr>
            <w:r>
              <w:rPr>
                <w:rFonts w:ascii="宋体"/>
                <w:sz w:val="18"/>
              </w:rPr>
              <w:t>171,907</w:t>
            </w:r>
          </w:p>
          <w:p>
            <w:pPr>
              <w:pStyle w:val="TableParagraph"/>
              <w:spacing w:line="240" w:lineRule="auto" w:before="33"/>
              <w:ind w:left="115" w:right="0"/>
              <w:jc w:val="left"/>
              <w:rPr>
                <w:rFonts w:ascii="宋体" w:hAnsi="宋体" w:cs="宋体" w:eastAsia="宋体" w:hint="default"/>
                <w:sz w:val="18"/>
                <w:szCs w:val="18"/>
              </w:rPr>
            </w:pPr>
            <w:r>
              <w:rPr>
                <w:rFonts w:ascii="宋体"/>
                <w:sz w:val="18"/>
              </w:rPr>
              <w:t>,514.97</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5" w:right="0"/>
              <w:jc w:val="left"/>
              <w:rPr>
                <w:rFonts w:ascii="宋体" w:hAnsi="宋体" w:cs="宋体" w:eastAsia="宋体" w:hint="default"/>
                <w:sz w:val="18"/>
                <w:szCs w:val="18"/>
              </w:rPr>
            </w:pPr>
            <w:r>
              <w:rPr>
                <w:rFonts w:ascii="宋体"/>
                <w:sz w:val="18"/>
              </w:rPr>
              <w:t>171,907</w:t>
            </w:r>
          </w:p>
          <w:p>
            <w:pPr>
              <w:pStyle w:val="TableParagraph"/>
              <w:spacing w:line="240" w:lineRule="auto" w:before="33"/>
              <w:ind w:left="115" w:right="0"/>
              <w:jc w:val="left"/>
              <w:rPr>
                <w:rFonts w:ascii="宋体" w:hAnsi="宋体" w:cs="宋体" w:eastAsia="宋体" w:hint="default"/>
                <w:sz w:val="18"/>
                <w:szCs w:val="18"/>
              </w:rPr>
            </w:pPr>
            <w:r>
              <w:rPr>
                <w:rFonts w:ascii="宋体"/>
                <w:sz w:val="18"/>
              </w:rPr>
              <w:t>,514.97</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5" w:right="0"/>
              <w:jc w:val="left"/>
              <w:rPr>
                <w:rFonts w:ascii="宋体" w:hAnsi="宋体" w:cs="宋体" w:eastAsia="宋体" w:hint="default"/>
                <w:sz w:val="18"/>
                <w:szCs w:val="18"/>
              </w:rPr>
            </w:pPr>
            <w:r>
              <w:rPr>
                <w:rFonts w:ascii="宋体"/>
                <w:sz w:val="18"/>
              </w:rPr>
              <w:t>134,857</w:t>
            </w:r>
          </w:p>
          <w:p>
            <w:pPr>
              <w:pStyle w:val="TableParagraph"/>
              <w:spacing w:line="240" w:lineRule="auto" w:before="33"/>
              <w:ind w:left="115" w:right="0"/>
              <w:jc w:val="left"/>
              <w:rPr>
                <w:rFonts w:ascii="宋体" w:hAnsi="宋体" w:cs="宋体" w:eastAsia="宋体" w:hint="default"/>
                <w:sz w:val="18"/>
                <w:szCs w:val="18"/>
              </w:rPr>
            </w:pPr>
            <w:r>
              <w:rPr>
                <w:rFonts w:ascii="宋体"/>
                <w:sz w:val="18"/>
              </w:rPr>
              <w:t>,892.22</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7" w:right="0"/>
              <w:jc w:val="left"/>
              <w:rPr>
                <w:rFonts w:ascii="宋体" w:hAnsi="宋体" w:cs="宋体" w:eastAsia="宋体" w:hint="default"/>
                <w:sz w:val="18"/>
                <w:szCs w:val="18"/>
              </w:rPr>
            </w:pPr>
            <w:r>
              <w:rPr>
                <w:rFonts w:ascii="宋体"/>
                <w:sz w:val="18"/>
              </w:rPr>
              <w:t>134,857</w:t>
            </w:r>
          </w:p>
          <w:p>
            <w:pPr>
              <w:pStyle w:val="TableParagraph"/>
              <w:spacing w:line="240" w:lineRule="auto" w:before="33"/>
              <w:ind w:left="117" w:right="0"/>
              <w:jc w:val="left"/>
              <w:rPr>
                <w:rFonts w:ascii="宋体" w:hAnsi="宋体" w:cs="宋体" w:eastAsia="宋体" w:hint="default"/>
                <w:sz w:val="18"/>
                <w:szCs w:val="18"/>
              </w:rPr>
            </w:pPr>
            <w:r>
              <w:rPr>
                <w:rFonts w:ascii="宋体"/>
                <w:sz w:val="18"/>
              </w:rPr>
              <w:t>,892.22</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7" w:right="0"/>
              <w:jc w:val="left"/>
              <w:rPr>
                <w:rFonts w:ascii="宋体" w:hAnsi="宋体" w:cs="宋体" w:eastAsia="宋体" w:hint="default"/>
                <w:sz w:val="18"/>
                <w:szCs w:val="18"/>
              </w:rPr>
            </w:pPr>
            <w:r>
              <w:rPr>
                <w:rFonts w:ascii="宋体"/>
                <w:sz w:val="18"/>
              </w:rPr>
              <w:t>31,920,</w:t>
            </w:r>
          </w:p>
          <w:p>
            <w:pPr>
              <w:pStyle w:val="TableParagraph"/>
              <w:spacing w:line="240" w:lineRule="auto" w:before="33"/>
              <w:ind w:left="208" w:right="0"/>
              <w:jc w:val="left"/>
              <w:rPr>
                <w:rFonts w:ascii="宋体" w:hAnsi="宋体" w:cs="宋体" w:eastAsia="宋体" w:hint="default"/>
                <w:sz w:val="18"/>
                <w:szCs w:val="18"/>
              </w:rPr>
            </w:pPr>
            <w:r>
              <w:rPr>
                <w:rFonts w:ascii="宋体"/>
                <w:sz w:val="18"/>
              </w:rPr>
              <w:t>710.01</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7" w:right="0"/>
              <w:jc w:val="left"/>
              <w:rPr>
                <w:rFonts w:ascii="宋体" w:hAnsi="宋体" w:cs="宋体" w:eastAsia="宋体" w:hint="default"/>
                <w:sz w:val="18"/>
                <w:szCs w:val="18"/>
              </w:rPr>
            </w:pPr>
            <w:r>
              <w:rPr>
                <w:rFonts w:ascii="宋体"/>
                <w:sz w:val="18"/>
              </w:rPr>
              <w:t>31,920,</w:t>
            </w:r>
          </w:p>
          <w:p>
            <w:pPr>
              <w:pStyle w:val="TableParagraph"/>
              <w:spacing w:line="240" w:lineRule="auto" w:before="33"/>
              <w:ind w:left="208" w:right="0"/>
              <w:jc w:val="left"/>
              <w:rPr>
                <w:rFonts w:ascii="宋体" w:hAnsi="宋体" w:cs="宋体" w:eastAsia="宋体" w:hint="default"/>
                <w:sz w:val="18"/>
                <w:szCs w:val="18"/>
              </w:rPr>
            </w:pPr>
            <w:r>
              <w:rPr>
                <w:rFonts w:ascii="宋体"/>
                <w:sz w:val="18"/>
              </w:rPr>
              <w:t>710.01</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7" w:right="0"/>
              <w:jc w:val="left"/>
              <w:rPr>
                <w:rFonts w:ascii="宋体" w:hAnsi="宋体" w:cs="宋体" w:eastAsia="宋体" w:hint="default"/>
                <w:sz w:val="18"/>
                <w:szCs w:val="18"/>
              </w:rPr>
            </w:pPr>
            <w:r>
              <w:rPr>
                <w:rFonts w:ascii="宋体"/>
                <w:sz w:val="18"/>
              </w:rPr>
              <w:t>333,840</w:t>
            </w:r>
          </w:p>
          <w:p>
            <w:pPr>
              <w:pStyle w:val="TableParagraph"/>
              <w:spacing w:line="240" w:lineRule="auto" w:before="33"/>
              <w:ind w:left="117" w:right="0"/>
              <w:jc w:val="left"/>
              <w:rPr>
                <w:rFonts w:ascii="宋体" w:hAnsi="宋体" w:cs="宋体" w:eastAsia="宋体" w:hint="default"/>
                <w:sz w:val="18"/>
                <w:szCs w:val="18"/>
              </w:rPr>
            </w:pPr>
            <w:r>
              <w:rPr>
                <w:rFonts w:ascii="宋体"/>
                <w:sz w:val="18"/>
              </w:rPr>
              <w:t>,556.37</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5" w:right="0"/>
              <w:jc w:val="left"/>
              <w:rPr>
                <w:rFonts w:ascii="宋体" w:hAnsi="宋体" w:cs="宋体" w:eastAsia="宋体" w:hint="default"/>
                <w:sz w:val="18"/>
                <w:szCs w:val="18"/>
              </w:rPr>
            </w:pPr>
            <w:r>
              <w:rPr>
                <w:rFonts w:ascii="宋体"/>
                <w:sz w:val="18"/>
              </w:rPr>
              <w:t>333,840</w:t>
            </w:r>
          </w:p>
          <w:p>
            <w:pPr>
              <w:pStyle w:val="TableParagraph"/>
              <w:spacing w:line="240" w:lineRule="auto" w:before="33"/>
              <w:ind w:left="115" w:right="0"/>
              <w:jc w:val="left"/>
              <w:rPr>
                <w:rFonts w:ascii="宋体" w:hAnsi="宋体" w:cs="宋体" w:eastAsia="宋体" w:hint="default"/>
                <w:sz w:val="18"/>
                <w:szCs w:val="18"/>
              </w:rPr>
            </w:pPr>
            <w:r>
              <w:rPr>
                <w:rFonts w:ascii="宋体"/>
                <w:sz w:val="18"/>
              </w:rPr>
              <w:t>,556.37</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7" w:right="0"/>
              <w:jc w:val="left"/>
              <w:rPr>
                <w:rFonts w:ascii="宋体" w:hAnsi="宋体" w:cs="宋体" w:eastAsia="宋体" w:hint="default"/>
                <w:sz w:val="18"/>
                <w:szCs w:val="18"/>
              </w:rPr>
            </w:pPr>
            <w:r>
              <w:rPr>
                <w:rFonts w:ascii="宋体"/>
                <w:sz w:val="18"/>
              </w:rPr>
              <w:t>79,762,</w:t>
            </w:r>
          </w:p>
          <w:p>
            <w:pPr>
              <w:pStyle w:val="TableParagraph"/>
              <w:spacing w:line="240" w:lineRule="auto" w:before="33"/>
              <w:ind w:left="208" w:right="0"/>
              <w:jc w:val="left"/>
              <w:rPr>
                <w:rFonts w:ascii="宋体" w:hAnsi="宋体" w:cs="宋体" w:eastAsia="宋体" w:hint="default"/>
                <w:sz w:val="18"/>
                <w:szCs w:val="18"/>
              </w:rPr>
            </w:pPr>
            <w:r>
              <w:rPr>
                <w:rFonts w:ascii="宋体"/>
                <w:sz w:val="18"/>
              </w:rPr>
              <w:t>786.10</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7" w:right="0"/>
              <w:jc w:val="left"/>
              <w:rPr>
                <w:rFonts w:ascii="宋体" w:hAnsi="宋体" w:cs="宋体" w:eastAsia="宋体" w:hint="default"/>
                <w:sz w:val="18"/>
                <w:szCs w:val="18"/>
              </w:rPr>
            </w:pPr>
            <w:r>
              <w:rPr>
                <w:rFonts w:ascii="宋体"/>
                <w:sz w:val="18"/>
              </w:rPr>
              <w:t>79,762,</w:t>
            </w:r>
          </w:p>
          <w:p>
            <w:pPr>
              <w:pStyle w:val="TableParagraph"/>
              <w:spacing w:line="240" w:lineRule="auto" w:before="33"/>
              <w:ind w:left="208" w:right="0"/>
              <w:jc w:val="left"/>
              <w:rPr>
                <w:rFonts w:ascii="宋体" w:hAnsi="宋体" w:cs="宋体" w:eastAsia="宋体" w:hint="default"/>
                <w:sz w:val="18"/>
                <w:szCs w:val="18"/>
              </w:rPr>
            </w:pPr>
            <w:r>
              <w:rPr>
                <w:rFonts w:ascii="宋体"/>
                <w:sz w:val="18"/>
              </w:rPr>
              <w:t>786.10</w:t>
            </w:r>
          </w:p>
        </w:tc>
      </w:tr>
      <w:tr>
        <w:trPr>
          <w:trHeight w:val="950"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预</w:t>
            </w:r>
          </w:p>
          <w:p>
            <w:pPr>
              <w:pStyle w:val="TableParagraph"/>
              <w:spacing w:line="232" w:lineRule="exact" w:before="24"/>
              <w:ind w:left="103" w:right="105"/>
              <w:jc w:val="both"/>
              <w:rPr>
                <w:rFonts w:ascii="宋体" w:hAnsi="宋体" w:cs="宋体" w:eastAsia="宋体" w:hint="default"/>
                <w:sz w:val="18"/>
                <w:szCs w:val="18"/>
              </w:rPr>
            </w:pPr>
            <w:r>
              <w:rPr>
                <w:rFonts w:ascii="宋体" w:hAnsi="宋体" w:cs="宋体" w:eastAsia="宋体" w:hint="default"/>
                <w:sz w:val="18"/>
                <w:szCs w:val="18"/>
              </w:rPr>
              <w:t>付 账 款</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6,977,5</w:t>
            </w:r>
          </w:p>
          <w:p>
            <w:pPr>
              <w:pStyle w:val="TableParagraph"/>
              <w:spacing w:line="240" w:lineRule="auto"/>
              <w:ind w:left="192" w:right="0"/>
              <w:jc w:val="center"/>
              <w:rPr>
                <w:rFonts w:ascii="宋体" w:hAnsi="宋体" w:cs="宋体" w:eastAsia="宋体" w:hint="default"/>
                <w:sz w:val="18"/>
                <w:szCs w:val="18"/>
              </w:rPr>
            </w:pPr>
            <w:r>
              <w:rPr>
                <w:rFonts w:ascii="宋体"/>
                <w:sz w:val="18"/>
              </w:rPr>
              <w:t>93.11</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6,977,5</w:t>
            </w:r>
          </w:p>
          <w:p>
            <w:pPr>
              <w:pStyle w:val="TableParagraph"/>
              <w:spacing w:line="240" w:lineRule="auto"/>
              <w:ind w:left="192" w:right="0"/>
              <w:jc w:val="center"/>
              <w:rPr>
                <w:rFonts w:ascii="宋体" w:hAnsi="宋体" w:cs="宋体" w:eastAsia="宋体" w:hint="default"/>
                <w:sz w:val="18"/>
                <w:szCs w:val="18"/>
              </w:rPr>
            </w:pPr>
            <w:r>
              <w:rPr>
                <w:rFonts w:ascii="宋体"/>
                <w:sz w:val="18"/>
              </w:rPr>
              <w:t>93.11</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2,235,1</w:t>
            </w:r>
          </w:p>
          <w:p>
            <w:pPr>
              <w:pStyle w:val="TableParagraph"/>
              <w:spacing w:line="240" w:lineRule="auto"/>
              <w:ind w:left="192" w:right="0"/>
              <w:jc w:val="center"/>
              <w:rPr>
                <w:rFonts w:ascii="宋体" w:hAnsi="宋体" w:cs="宋体" w:eastAsia="宋体" w:hint="default"/>
                <w:sz w:val="18"/>
                <w:szCs w:val="18"/>
              </w:rPr>
            </w:pPr>
            <w:r>
              <w:rPr>
                <w:rFonts w:ascii="宋体"/>
                <w:sz w:val="18"/>
              </w:rPr>
              <w:t>41.66</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2,235,1</w:t>
            </w:r>
          </w:p>
          <w:p>
            <w:pPr>
              <w:pStyle w:val="TableParagraph"/>
              <w:spacing w:line="240" w:lineRule="auto"/>
              <w:ind w:left="197" w:right="0"/>
              <w:jc w:val="center"/>
              <w:rPr>
                <w:rFonts w:ascii="宋体" w:hAnsi="宋体" w:cs="宋体" w:eastAsia="宋体" w:hint="default"/>
                <w:sz w:val="18"/>
                <w:szCs w:val="18"/>
              </w:rPr>
            </w:pPr>
            <w:r>
              <w:rPr>
                <w:rFonts w:ascii="宋体"/>
                <w:sz w:val="18"/>
              </w:rPr>
              <w:t>41.66</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 w:right="0"/>
              <w:jc w:val="center"/>
              <w:rPr>
                <w:rFonts w:ascii="宋体" w:hAnsi="宋体" w:cs="宋体" w:eastAsia="宋体" w:hint="default"/>
                <w:sz w:val="18"/>
                <w:szCs w:val="18"/>
              </w:rPr>
            </w:pPr>
            <w:r>
              <w:rPr>
                <w:rFonts w:ascii="宋体"/>
                <w:sz w:val="18"/>
              </w:rPr>
              <w:t>5,932,0</w:t>
            </w:r>
          </w:p>
          <w:p>
            <w:pPr>
              <w:pStyle w:val="TableParagraph"/>
              <w:spacing w:line="240" w:lineRule="auto"/>
              <w:ind w:left="194" w:right="0"/>
              <w:jc w:val="center"/>
              <w:rPr>
                <w:rFonts w:ascii="宋体" w:hAnsi="宋体" w:cs="宋体" w:eastAsia="宋体" w:hint="default"/>
                <w:sz w:val="18"/>
                <w:szCs w:val="18"/>
              </w:rPr>
            </w:pPr>
            <w:r>
              <w:rPr>
                <w:rFonts w:ascii="宋体"/>
                <w:sz w:val="18"/>
              </w:rPr>
              <w:t>37.02</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5,932,0</w:t>
            </w:r>
          </w:p>
          <w:p>
            <w:pPr>
              <w:pStyle w:val="TableParagraph"/>
              <w:spacing w:line="240" w:lineRule="auto"/>
              <w:ind w:left="197" w:right="0"/>
              <w:jc w:val="center"/>
              <w:rPr>
                <w:rFonts w:ascii="宋体" w:hAnsi="宋体" w:cs="宋体" w:eastAsia="宋体" w:hint="default"/>
                <w:sz w:val="18"/>
                <w:szCs w:val="18"/>
              </w:rPr>
            </w:pPr>
            <w:r>
              <w:rPr>
                <w:rFonts w:ascii="宋体"/>
                <w:sz w:val="18"/>
              </w:rPr>
              <w:t>37.02</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25,617,</w:t>
            </w:r>
          </w:p>
          <w:p>
            <w:pPr>
              <w:pStyle w:val="TableParagraph"/>
              <w:spacing w:line="240" w:lineRule="auto"/>
              <w:ind w:left="208" w:right="0"/>
              <w:jc w:val="left"/>
              <w:rPr>
                <w:rFonts w:ascii="宋体" w:hAnsi="宋体" w:cs="宋体" w:eastAsia="宋体" w:hint="default"/>
                <w:sz w:val="18"/>
                <w:szCs w:val="18"/>
              </w:rPr>
            </w:pPr>
            <w:r>
              <w:rPr>
                <w:rFonts w:ascii="宋体"/>
                <w:sz w:val="18"/>
              </w:rPr>
              <w:t>389.32</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25,617,</w:t>
            </w:r>
          </w:p>
          <w:p>
            <w:pPr>
              <w:pStyle w:val="TableParagraph"/>
              <w:spacing w:line="240" w:lineRule="auto"/>
              <w:ind w:left="206" w:right="0"/>
              <w:jc w:val="left"/>
              <w:rPr>
                <w:rFonts w:ascii="宋体" w:hAnsi="宋体" w:cs="宋体" w:eastAsia="宋体" w:hint="default"/>
                <w:sz w:val="18"/>
                <w:szCs w:val="18"/>
              </w:rPr>
            </w:pPr>
            <w:r>
              <w:rPr>
                <w:rFonts w:ascii="宋体"/>
                <w:sz w:val="18"/>
              </w:rPr>
              <w:t>389.32</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131,642</w:t>
            </w:r>
          </w:p>
          <w:p>
            <w:pPr>
              <w:pStyle w:val="TableParagraph"/>
              <w:spacing w:line="240" w:lineRule="auto"/>
              <w:ind w:left="477" w:right="0"/>
              <w:jc w:val="left"/>
              <w:rPr>
                <w:rFonts w:ascii="宋体" w:hAnsi="宋体" w:cs="宋体" w:eastAsia="宋体" w:hint="default"/>
                <w:sz w:val="18"/>
                <w:szCs w:val="18"/>
              </w:rPr>
            </w:pPr>
            <w:r>
              <w:rPr>
                <w:rFonts w:ascii="宋体"/>
                <w:sz w:val="18"/>
              </w:rPr>
              <w:t>.00</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131,642</w:t>
            </w:r>
          </w:p>
          <w:p>
            <w:pPr>
              <w:pStyle w:val="TableParagraph"/>
              <w:spacing w:line="240" w:lineRule="auto"/>
              <w:ind w:left="477" w:right="0"/>
              <w:jc w:val="left"/>
              <w:rPr>
                <w:rFonts w:ascii="宋体" w:hAnsi="宋体" w:cs="宋体" w:eastAsia="宋体" w:hint="default"/>
                <w:sz w:val="18"/>
                <w:szCs w:val="18"/>
              </w:rPr>
            </w:pPr>
            <w:r>
              <w:rPr>
                <w:rFonts w:ascii="宋体"/>
                <w:sz w:val="18"/>
              </w:rPr>
              <w:t>.00</w:t>
            </w:r>
          </w:p>
        </w:tc>
      </w:tr>
      <w:tr>
        <w:trPr>
          <w:trHeight w:val="1181"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z w:val="18"/>
                <w:szCs w:val="18"/>
              </w:rPr>
              <w:t>他 应 收 款</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5,705,1</w:t>
            </w:r>
          </w:p>
          <w:p>
            <w:pPr>
              <w:pStyle w:val="TableParagraph"/>
              <w:spacing w:line="234" w:lineRule="exact"/>
              <w:ind w:left="192" w:right="0"/>
              <w:jc w:val="center"/>
              <w:rPr>
                <w:rFonts w:ascii="宋体" w:hAnsi="宋体" w:cs="宋体" w:eastAsia="宋体" w:hint="default"/>
                <w:sz w:val="18"/>
                <w:szCs w:val="18"/>
              </w:rPr>
            </w:pPr>
            <w:r>
              <w:rPr>
                <w:rFonts w:ascii="宋体"/>
                <w:sz w:val="18"/>
              </w:rPr>
              <w:t>01.51</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5,705,1</w:t>
            </w:r>
          </w:p>
          <w:p>
            <w:pPr>
              <w:pStyle w:val="TableParagraph"/>
              <w:spacing w:line="234" w:lineRule="exact"/>
              <w:ind w:left="192" w:right="0"/>
              <w:jc w:val="center"/>
              <w:rPr>
                <w:rFonts w:ascii="宋体" w:hAnsi="宋体" w:cs="宋体" w:eastAsia="宋体" w:hint="default"/>
                <w:sz w:val="18"/>
                <w:szCs w:val="18"/>
              </w:rPr>
            </w:pPr>
            <w:r>
              <w:rPr>
                <w:rFonts w:ascii="宋体"/>
                <w:sz w:val="18"/>
              </w:rPr>
              <w:t>01.51</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5,153,8</w:t>
            </w:r>
          </w:p>
          <w:p>
            <w:pPr>
              <w:pStyle w:val="TableParagraph"/>
              <w:spacing w:line="234" w:lineRule="exact"/>
              <w:ind w:left="192" w:right="0"/>
              <w:jc w:val="center"/>
              <w:rPr>
                <w:rFonts w:ascii="宋体" w:hAnsi="宋体" w:cs="宋体" w:eastAsia="宋体" w:hint="default"/>
                <w:sz w:val="18"/>
                <w:szCs w:val="18"/>
              </w:rPr>
            </w:pPr>
            <w:r>
              <w:rPr>
                <w:rFonts w:ascii="宋体"/>
                <w:sz w:val="18"/>
              </w:rPr>
              <w:t>74.46</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 w:right="0"/>
              <w:jc w:val="center"/>
              <w:rPr>
                <w:rFonts w:ascii="宋体" w:hAnsi="宋体" w:cs="宋体" w:eastAsia="宋体" w:hint="default"/>
                <w:sz w:val="18"/>
                <w:szCs w:val="18"/>
              </w:rPr>
            </w:pPr>
            <w:r>
              <w:rPr>
                <w:rFonts w:ascii="宋体"/>
                <w:sz w:val="18"/>
              </w:rPr>
              <w:t>5,153,8</w:t>
            </w:r>
          </w:p>
          <w:p>
            <w:pPr>
              <w:pStyle w:val="TableParagraph"/>
              <w:spacing w:line="234" w:lineRule="exact"/>
              <w:ind w:left="197" w:right="0"/>
              <w:jc w:val="center"/>
              <w:rPr>
                <w:rFonts w:ascii="宋体" w:hAnsi="宋体" w:cs="宋体" w:eastAsia="宋体" w:hint="default"/>
                <w:sz w:val="18"/>
                <w:szCs w:val="18"/>
              </w:rPr>
            </w:pPr>
            <w:r>
              <w:rPr>
                <w:rFonts w:ascii="宋体"/>
                <w:sz w:val="18"/>
              </w:rPr>
              <w:t>74.46</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 w:right="0"/>
              <w:jc w:val="center"/>
              <w:rPr>
                <w:rFonts w:ascii="宋体" w:hAnsi="宋体" w:cs="宋体" w:eastAsia="宋体" w:hint="default"/>
                <w:sz w:val="18"/>
                <w:szCs w:val="18"/>
              </w:rPr>
            </w:pPr>
            <w:r>
              <w:rPr>
                <w:rFonts w:ascii="宋体"/>
                <w:sz w:val="18"/>
              </w:rPr>
              <w:t>1,431,4</w:t>
            </w:r>
          </w:p>
          <w:p>
            <w:pPr>
              <w:pStyle w:val="TableParagraph"/>
              <w:spacing w:line="234" w:lineRule="exact"/>
              <w:ind w:left="194" w:right="0"/>
              <w:jc w:val="center"/>
              <w:rPr>
                <w:rFonts w:ascii="宋体" w:hAnsi="宋体" w:cs="宋体" w:eastAsia="宋体" w:hint="default"/>
                <w:sz w:val="18"/>
                <w:szCs w:val="18"/>
              </w:rPr>
            </w:pPr>
            <w:r>
              <w:rPr>
                <w:rFonts w:ascii="宋体"/>
                <w:sz w:val="18"/>
              </w:rPr>
              <w:t>43.24</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 w:right="0"/>
              <w:jc w:val="center"/>
              <w:rPr>
                <w:rFonts w:ascii="宋体" w:hAnsi="宋体" w:cs="宋体" w:eastAsia="宋体" w:hint="default"/>
                <w:sz w:val="18"/>
                <w:szCs w:val="18"/>
              </w:rPr>
            </w:pPr>
            <w:r>
              <w:rPr>
                <w:rFonts w:ascii="宋体"/>
                <w:sz w:val="18"/>
              </w:rPr>
              <w:t>1,431,4</w:t>
            </w:r>
          </w:p>
          <w:p>
            <w:pPr>
              <w:pStyle w:val="TableParagraph"/>
              <w:spacing w:line="234" w:lineRule="exact"/>
              <w:ind w:left="197" w:right="0"/>
              <w:jc w:val="center"/>
              <w:rPr>
                <w:rFonts w:ascii="宋体" w:hAnsi="宋体" w:cs="宋体" w:eastAsia="宋体" w:hint="default"/>
                <w:sz w:val="18"/>
                <w:szCs w:val="18"/>
              </w:rPr>
            </w:pPr>
            <w:r>
              <w:rPr>
                <w:rFonts w:ascii="宋体"/>
                <w:sz w:val="18"/>
              </w:rPr>
              <w:t>43.24</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27,948,</w:t>
            </w:r>
          </w:p>
          <w:p>
            <w:pPr>
              <w:pStyle w:val="TableParagraph"/>
              <w:spacing w:line="234" w:lineRule="exact"/>
              <w:ind w:left="208" w:right="0"/>
              <w:jc w:val="left"/>
              <w:rPr>
                <w:rFonts w:ascii="宋体" w:hAnsi="宋体" w:cs="宋体" w:eastAsia="宋体" w:hint="default"/>
                <w:sz w:val="18"/>
                <w:szCs w:val="18"/>
              </w:rPr>
            </w:pPr>
            <w:r>
              <w:rPr>
                <w:rFonts w:ascii="宋体"/>
                <w:sz w:val="18"/>
              </w:rPr>
              <w:t>588.53</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27,948,</w:t>
            </w:r>
          </w:p>
          <w:p>
            <w:pPr>
              <w:pStyle w:val="TableParagraph"/>
              <w:spacing w:line="234" w:lineRule="exact"/>
              <w:ind w:left="206" w:right="0"/>
              <w:jc w:val="left"/>
              <w:rPr>
                <w:rFonts w:ascii="宋体" w:hAnsi="宋体" w:cs="宋体" w:eastAsia="宋体" w:hint="default"/>
                <w:sz w:val="18"/>
                <w:szCs w:val="18"/>
              </w:rPr>
            </w:pPr>
            <w:r>
              <w:rPr>
                <w:rFonts w:ascii="宋体"/>
                <w:sz w:val="18"/>
              </w:rPr>
              <w:t>588.53</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 w:right="0"/>
              <w:jc w:val="center"/>
              <w:rPr>
                <w:rFonts w:ascii="宋体" w:hAnsi="宋体" w:cs="宋体" w:eastAsia="宋体" w:hint="default"/>
                <w:sz w:val="18"/>
                <w:szCs w:val="18"/>
              </w:rPr>
            </w:pPr>
            <w:r>
              <w:rPr>
                <w:rFonts w:ascii="宋体"/>
                <w:sz w:val="18"/>
              </w:rPr>
              <w:t>2,117,8</w:t>
            </w:r>
          </w:p>
          <w:p>
            <w:pPr>
              <w:pStyle w:val="TableParagraph"/>
              <w:spacing w:line="234" w:lineRule="exact"/>
              <w:ind w:left="197" w:right="0"/>
              <w:jc w:val="center"/>
              <w:rPr>
                <w:rFonts w:ascii="宋体" w:hAnsi="宋体" w:cs="宋体" w:eastAsia="宋体" w:hint="default"/>
                <w:sz w:val="18"/>
                <w:szCs w:val="18"/>
              </w:rPr>
            </w:pPr>
            <w:r>
              <w:rPr>
                <w:rFonts w:ascii="宋体"/>
                <w:sz w:val="18"/>
              </w:rPr>
              <w:t>29.19</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5" w:right="0"/>
              <w:jc w:val="center"/>
              <w:rPr>
                <w:rFonts w:ascii="宋体" w:hAnsi="宋体" w:cs="宋体" w:eastAsia="宋体" w:hint="default"/>
                <w:sz w:val="18"/>
                <w:szCs w:val="18"/>
              </w:rPr>
            </w:pPr>
            <w:r>
              <w:rPr>
                <w:rFonts w:ascii="宋体"/>
                <w:sz w:val="18"/>
              </w:rPr>
              <w:t>2,117,8</w:t>
            </w:r>
          </w:p>
          <w:p>
            <w:pPr>
              <w:pStyle w:val="TableParagraph"/>
              <w:spacing w:line="234" w:lineRule="exact"/>
              <w:ind w:left="195" w:right="0"/>
              <w:jc w:val="center"/>
              <w:rPr>
                <w:rFonts w:ascii="宋体" w:hAnsi="宋体" w:cs="宋体" w:eastAsia="宋体" w:hint="default"/>
                <w:sz w:val="18"/>
                <w:szCs w:val="18"/>
              </w:rPr>
            </w:pPr>
            <w:r>
              <w:rPr>
                <w:rFonts w:ascii="宋体"/>
                <w:sz w:val="18"/>
              </w:rPr>
              <w:t>29.19</w:t>
            </w:r>
          </w:p>
        </w:tc>
      </w:tr>
      <w:tr>
        <w:trPr>
          <w:trHeight w:val="283"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存</w:t>
            </w:r>
          </w:p>
        </w:tc>
        <w:tc>
          <w:tcPr>
            <w:tcW w:w="864"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5" w:right="0"/>
              <w:jc w:val="left"/>
              <w:rPr>
                <w:rFonts w:ascii="宋体" w:hAnsi="宋体" w:cs="宋体" w:eastAsia="宋体" w:hint="default"/>
                <w:sz w:val="18"/>
                <w:szCs w:val="18"/>
              </w:rPr>
            </w:pPr>
            <w:r>
              <w:rPr>
                <w:rFonts w:ascii="宋体"/>
                <w:sz w:val="18"/>
              </w:rPr>
              <w:t>7,727,5</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7" w:right="0"/>
              <w:jc w:val="left"/>
              <w:rPr>
                <w:rFonts w:ascii="宋体" w:hAnsi="宋体" w:cs="宋体" w:eastAsia="宋体" w:hint="default"/>
                <w:sz w:val="18"/>
                <w:szCs w:val="18"/>
              </w:rPr>
            </w:pPr>
            <w:r>
              <w:rPr>
                <w:rFonts w:ascii="宋体"/>
                <w:sz w:val="18"/>
              </w:rPr>
              <w:t>7,727,5</w:t>
            </w:r>
          </w:p>
        </w:tc>
        <w:tc>
          <w:tcPr>
            <w:tcW w:w="867"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280" w:bottom="1380" w:left="1580" w:right="1040"/>
        </w:sectPr>
      </w:pPr>
    </w:p>
    <w:p>
      <w:pPr>
        <w:spacing w:line="240" w:lineRule="auto" w:before="5"/>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403"/>
        <w:gridCol w:w="864"/>
        <w:gridCol w:w="865"/>
        <w:gridCol w:w="864"/>
        <w:gridCol w:w="864"/>
        <w:gridCol w:w="867"/>
        <w:gridCol w:w="864"/>
        <w:gridCol w:w="866"/>
        <w:gridCol w:w="865"/>
        <w:gridCol w:w="864"/>
        <w:gridCol w:w="866"/>
      </w:tblGrid>
      <w:tr>
        <w:trPr>
          <w:trHeight w:val="286"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货</w:t>
            </w:r>
          </w:p>
        </w:tc>
        <w:tc>
          <w:tcPr>
            <w:tcW w:w="864"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95" w:right="0"/>
              <w:jc w:val="left"/>
              <w:rPr>
                <w:rFonts w:ascii="宋体" w:hAnsi="宋体" w:cs="宋体" w:eastAsia="宋体" w:hint="default"/>
                <w:sz w:val="18"/>
                <w:szCs w:val="18"/>
              </w:rPr>
            </w:pPr>
            <w:r>
              <w:rPr>
                <w:rFonts w:ascii="宋体"/>
                <w:sz w:val="18"/>
              </w:rPr>
              <w:t>01.97</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97" w:right="0"/>
              <w:jc w:val="left"/>
              <w:rPr>
                <w:rFonts w:ascii="宋体" w:hAnsi="宋体" w:cs="宋体" w:eastAsia="宋体" w:hint="default"/>
                <w:sz w:val="18"/>
                <w:szCs w:val="18"/>
              </w:rPr>
            </w:pPr>
            <w:r>
              <w:rPr>
                <w:rFonts w:ascii="宋体"/>
                <w:sz w:val="18"/>
              </w:rPr>
              <w:t>01.97</w:t>
            </w:r>
          </w:p>
        </w:tc>
        <w:tc>
          <w:tcPr>
            <w:tcW w:w="867"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r>
        <w:trPr>
          <w:trHeight w:val="1414"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z w:val="18"/>
                <w:szCs w:val="18"/>
              </w:rPr>
              <w:t>他 流 动 资 产</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25,067,</w:t>
            </w:r>
          </w:p>
          <w:p>
            <w:pPr>
              <w:pStyle w:val="TableParagraph"/>
              <w:spacing w:line="234" w:lineRule="exact"/>
              <w:ind w:left="206" w:right="0"/>
              <w:jc w:val="left"/>
              <w:rPr>
                <w:rFonts w:ascii="宋体" w:hAnsi="宋体" w:cs="宋体" w:eastAsia="宋体" w:hint="default"/>
                <w:sz w:val="18"/>
                <w:szCs w:val="18"/>
              </w:rPr>
            </w:pPr>
            <w:r>
              <w:rPr>
                <w:rFonts w:ascii="宋体"/>
                <w:sz w:val="18"/>
              </w:rPr>
              <w:t>364.73</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25,067,</w:t>
            </w:r>
          </w:p>
          <w:p>
            <w:pPr>
              <w:pStyle w:val="TableParagraph"/>
              <w:spacing w:line="234" w:lineRule="exact"/>
              <w:ind w:left="206" w:right="0"/>
              <w:jc w:val="left"/>
              <w:rPr>
                <w:rFonts w:ascii="宋体" w:hAnsi="宋体" w:cs="宋体" w:eastAsia="宋体" w:hint="default"/>
                <w:sz w:val="18"/>
                <w:szCs w:val="18"/>
              </w:rPr>
            </w:pPr>
            <w:r>
              <w:rPr>
                <w:rFonts w:ascii="宋体"/>
                <w:sz w:val="18"/>
              </w:rPr>
              <w:t>364.73</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2,035,4</w:t>
            </w:r>
          </w:p>
          <w:p>
            <w:pPr>
              <w:pStyle w:val="TableParagraph"/>
              <w:spacing w:line="234" w:lineRule="exact"/>
              <w:ind w:left="192" w:right="0"/>
              <w:jc w:val="center"/>
              <w:rPr>
                <w:rFonts w:ascii="宋体" w:hAnsi="宋体" w:cs="宋体" w:eastAsia="宋体" w:hint="default"/>
                <w:sz w:val="18"/>
                <w:szCs w:val="18"/>
              </w:rPr>
            </w:pPr>
            <w:r>
              <w:rPr>
                <w:rFonts w:ascii="宋体"/>
                <w:sz w:val="18"/>
              </w:rPr>
              <w:t>26.53</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 w:right="0"/>
              <w:jc w:val="center"/>
              <w:rPr>
                <w:rFonts w:ascii="宋体" w:hAnsi="宋体" w:cs="宋体" w:eastAsia="宋体" w:hint="default"/>
                <w:sz w:val="18"/>
                <w:szCs w:val="18"/>
              </w:rPr>
            </w:pPr>
            <w:r>
              <w:rPr>
                <w:rFonts w:ascii="宋体"/>
                <w:sz w:val="18"/>
              </w:rPr>
              <w:t>2,035,4</w:t>
            </w:r>
          </w:p>
          <w:p>
            <w:pPr>
              <w:pStyle w:val="TableParagraph"/>
              <w:spacing w:line="234" w:lineRule="exact"/>
              <w:ind w:left="197" w:right="0"/>
              <w:jc w:val="center"/>
              <w:rPr>
                <w:rFonts w:ascii="宋体" w:hAnsi="宋体" w:cs="宋体" w:eastAsia="宋体" w:hint="default"/>
                <w:sz w:val="18"/>
                <w:szCs w:val="18"/>
              </w:rPr>
            </w:pPr>
            <w:r>
              <w:rPr>
                <w:rFonts w:ascii="宋体"/>
                <w:sz w:val="18"/>
              </w:rPr>
              <w:t>26.53</w:t>
            </w:r>
          </w:p>
        </w:tc>
        <w:tc>
          <w:tcPr>
            <w:tcW w:w="867"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11,391,</w:t>
            </w:r>
          </w:p>
          <w:p>
            <w:pPr>
              <w:pStyle w:val="TableParagraph"/>
              <w:spacing w:line="234" w:lineRule="exact"/>
              <w:ind w:left="208" w:right="0"/>
              <w:jc w:val="left"/>
              <w:rPr>
                <w:rFonts w:ascii="宋体" w:hAnsi="宋体" w:cs="宋体" w:eastAsia="宋体" w:hint="default"/>
                <w:sz w:val="18"/>
                <w:szCs w:val="18"/>
              </w:rPr>
            </w:pPr>
            <w:r>
              <w:rPr>
                <w:rFonts w:ascii="宋体"/>
                <w:sz w:val="18"/>
              </w:rPr>
              <w:t>758.51</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11,391,</w:t>
            </w:r>
          </w:p>
          <w:p>
            <w:pPr>
              <w:pStyle w:val="TableParagraph"/>
              <w:spacing w:line="234" w:lineRule="exact"/>
              <w:ind w:left="206" w:right="0"/>
              <w:jc w:val="left"/>
              <w:rPr>
                <w:rFonts w:ascii="宋体" w:hAnsi="宋体" w:cs="宋体" w:eastAsia="宋体" w:hint="default"/>
                <w:sz w:val="18"/>
                <w:szCs w:val="18"/>
              </w:rPr>
            </w:pPr>
            <w:r>
              <w:rPr>
                <w:rFonts w:ascii="宋体"/>
                <w:sz w:val="18"/>
              </w:rPr>
              <w:t>758.51</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27,339.</w:t>
            </w:r>
          </w:p>
          <w:p>
            <w:pPr>
              <w:pStyle w:val="TableParagraph"/>
              <w:spacing w:line="234" w:lineRule="exact"/>
              <w:ind w:right="96"/>
              <w:jc w:val="right"/>
              <w:rPr>
                <w:rFonts w:ascii="宋体" w:hAnsi="宋体" w:cs="宋体" w:eastAsia="宋体" w:hint="default"/>
                <w:sz w:val="18"/>
                <w:szCs w:val="18"/>
              </w:rPr>
            </w:pPr>
            <w:r>
              <w:rPr>
                <w:rFonts w:ascii="宋体"/>
                <w:sz w:val="18"/>
              </w:rPr>
              <w:t>86</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27,339.</w:t>
            </w:r>
          </w:p>
          <w:p>
            <w:pPr>
              <w:pStyle w:val="TableParagraph"/>
              <w:spacing w:line="234" w:lineRule="exact"/>
              <w:ind w:right="98"/>
              <w:jc w:val="right"/>
              <w:rPr>
                <w:rFonts w:ascii="宋体" w:hAnsi="宋体" w:cs="宋体" w:eastAsia="宋体" w:hint="default"/>
                <w:sz w:val="18"/>
                <w:szCs w:val="18"/>
              </w:rPr>
            </w:pPr>
            <w:r>
              <w:rPr>
                <w:rFonts w:ascii="宋体"/>
                <w:sz w:val="18"/>
              </w:rPr>
              <w:t>86</w:t>
            </w:r>
          </w:p>
        </w:tc>
      </w:tr>
      <w:tr>
        <w:trPr>
          <w:trHeight w:val="1885"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可</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z w:val="18"/>
                <w:szCs w:val="18"/>
              </w:rPr>
              <w:t>供 出 售 金 融 资 产</w:t>
            </w:r>
          </w:p>
        </w:tc>
        <w:tc>
          <w:tcPr>
            <w:tcW w:w="864"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2" w:right="0"/>
              <w:jc w:val="center"/>
              <w:rPr>
                <w:rFonts w:ascii="宋体" w:hAnsi="宋体" w:cs="宋体" w:eastAsia="宋体" w:hint="default"/>
                <w:sz w:val="18"/>
                <w:szCs w:val="18"/>
              </w:rPr>
            </w:pPr>
            <w:r>
              <w:rPr>
                <w:rFonts w:ascii="宋体"/>
                <w:sz w:val="18"/>
              </w:rPr>
              <w:t>2,400,0</w:t>
            </w:r>
          </w:p>
          <w:p>
            <w:pPr>
              <w:pStyle w:val="TableParagraph"/>
              <w:spacing w:line="234" w:lineRule="exact"/>
              <w:ind w:left="192" w:right="0"/>
              <w:jc w:val="center"/>
              <w:rPr>
                <w:rFonts w:ascii="宋体" w:hAnsi="宋体" w:cs="宋体" w:eastAsia="宋体" w:hint="default"/>
                <w:sz w:val="18"/>
                <w:szCs w:val="18"/>
              </w:rPr>
            </w:pPr>
            <w:r>
              <w:rPr>
                <w:rFonts w:ascii="宋体"/>
                <w:sz w:val="18"/>
              </w:rPr>
              <w:t>00.00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 w:right="0"/>
              <w:jc w:val="center"/>
              <w:rPr>
                <w:rFonts w:ascii="宋体" w:hAnsi="宋体" w:cs="宋体" w:eastAsia="宋体" w:hint="default"/>
                <w:sz w:val="18"/>
                <w:szCs w:val="18"/>
              </w:rPr>
            </w:pPr>
            <w:r>
              <w:rPr>
                <w:rFonts w:ascii="宋体"/>
                <w:sz w:val="18"/>
              </w:rPr>
              <w:t>2,400,0</w:t>
            </w:r>
          </w:p>
          <w:p>
            <w:pPr>
              <w:pStyle w:val="TableParagraph"/>
              <w:spacing w:line="234" w:lineRule="exact"/>
              <w:ind w:left="197" w:right="0"/>
              <w:jc w:val="center"/>
              <w:rPr>
                <w:rFonts w:ascii="宋体" w:hAnsi="宋体" w:cs="宋体" w:eastAsia="宋体" w:hint="default"/>
                <w:sz w:val="18"/>
                <w:szCs w:val="18"/>
              </w:rPr>
            </w:pPr>
            <w:r>
              <w:rPr>
                <w:rFonts w:ascii="宋体"/>
                <w:sz w:val="18"/>
              </w:rPr>
              <w:t>00.00</w:t>
            </w:r>
          </w:p>
        </w:tc>
        <w:tc>
          <w:tcPr>
            <w:tcW w:w="867"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固</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z w:val="18"/>
                <w:szCs w:val="18"/>
              </w:rPr>
              <w:t>定 资 产</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5" w:right="0"/>
              <w:jc w:val="left"/>
              <w:rPr>
                <w:rFonts w:ascii="宋体" w:hAnsi="宋体" w:cs="宋体" w:eastAsia="宋体" w:hint="default"/>
                <w:sz w:val="18"/>
                <w:szCs w:val="18"/>
              </w:rPr>
            </w:pPr>
            <w:r>
              <w:rPr>
                <w:rFonts w:ascii="宋体"/>
                <w:sz w:val="18"/>
              </w:rPr>
              <w:t>880,625</w:t>
            </w:r>
          </w:p>
          <w:p>
            <w:pPr>
              <w:pStyle w:val="TableParagraph"/>
              <w:spacing w:line="240" w:lineRule="auto" w:before="33"/>
              <w:ind w:left="475" w:right="0"/>
              <w:jc w:val="left"/>
              <w:rPr>
                <w:rFonts w:ascii="宋体" w:hAnsi="宋体" w:cs="宋体" w:eastAsia="宋体" w:hint="default"/>
                <w:sz w:val="18"/>
                <w:szCs w:val="18"/>
              </w:rPr>
            </w:pPr>
            <w:r>
              <w:rPr>
                <w:rFonts w:ascii="宋体"/>
                <w:sz w:val="18"/>
              </w:rPr>
              <w:t>.09</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5" w:right="0"/>
              <w:jc w:val="left"/>
              <w:rPr>
                <w:rFonts w:ascii="宋体" w:hAnsi="宋体" w:cs="宋体" w:eastAsia="宋体" w:hint="default"/>
                <w:sz w:val="18"/>
                <w:szCs w:val="18"/>
              </w:rPr>
            </w:pPr>
            <w:r>
              <w:rPr>
                <w:rFonts w:ascii="宋体"/>
                <w:sz w:val="18"/>
              </w:rPr>
              <w:t>880,625</w:t>
            </w:r>
          </w:p>
          <w:p>
            <w:pPr>
              <w:pStyle w:val="TableParagraph"/>
              <w:spacing w:line="240" w:lineRule="auto" w:before="33"/>
              <w:ind w:left="475" w:right="0"/>
              <w:jc w:val="left"/>
              <w:rPr>
                <w:rFonts w:ascii="宋体" w:hAnsi="宋体" w:cs="宋体" w:eastAsia="宋体" w:hint="default"/>
                <w:sz w:val="18"/>
                <w:szCs w:val="18"/>
              </w:rPr>
            </w:pPr>
            <w:r>
              <w:rPr>
                <w:rFonts w:ascii="宋体"/>
                <w:sz w:val="18"/>
              </w:rPr>
              <w:t>.09</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2" w:right="0"/>
              <w:jc w:val="center"/>
              <w:rPr>
                <w:rFonts w:ascii="宋体" w:hAnsi="宋体" w:cs="宋体" w:eastAsia="宋体" w:hint="default"/>
                <w:sz w:val="18"/>
                <w:szCs w:val="18"/>
              </w:rPr>
            </w:pPr>
            <w:r>
              <w:rPr>
                <w:rFonts w:ascii="宋体"/>
                <w:sz w:val="18"/>
              </w:rPr>
              <w:t>4,773,8</w:t>
            </w:r>
          </w:p>
          <w:p>
            <w:pPr>
              <w:pStyle w:val="TableParagraph"/>
              <w:spacing w:line="240" w:lineRule="auto" w:before="33"/>
              <w:ind w:left="192" w:right="0"/>
              <w:jc w:val="center"/>
              <w:rPr>
                <w:rFonts w:ascii="宋体" w:hAnsi="宋体" w:cs="宋体" w:eastAsia="宋体" w:hint="default"/>
                <w:sz w:val="18"/>
                <w:szCs w:val="18"/>
              </w:rPr>
            </w:pPr>
            <w:r>
              <w:rPr>
                <w:rFonts w:ascii="宋体"/>
                <w:sz w:val="18"/>
              </w:rPr>
              <w:t>66.69</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7" w:right="0"/>
              <w:jc w:val="center"/>
              <w:rPr>
                <w:rFonts w:ascii="宋体" w:hAnsi="宋体" w:cs="宋体" w:eastAsia="宋体" w:hint="default"/>
                <w:sz w:val="18"/>
                <w:szCs w:val="18"/>
              </w:rPr>
            </w:pPr>
            <w:r>
              <w:rPr>
                <w:rFonts w:ascii="宋体"/>
                <w:sz w:val="18"/>
              </w:rPr>
              <w:t>4,773,8</w:t>
            </w:r>
          </w:p>
          <w:p>
            <w:pPr>
              <w:pStyle w:val="TableParagraph"/>
              <w:spacing w:line="240" w:lineRule="auto" w:before="33"/>
              <w:ind w:left="197" w:right="0"/>
              <w:jc w:val="center"/>
              <w:rPr>
                <w:rFonts w:ascii="宋体" w:hAnsi="宋体" w:cs="宋体" w:eastAsia="宋体" w:hint="default"/>
                <w:sz w:val="18"/>
                <w:szCs w:val="18"/>
              </w:rPr>
            </w:pPr>
            <w:r>
              <w:rPr>
                <w:rFonts w:ascii="宋体"/>
                <w:sz w:val="18"/>
              </w:rPr>
              <w:t>66.69</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7" w:right="0"/>
              <w:jc w:val="left"/>
              <w:rPr>
                <w:rFonts w:ascii="宋体" w:hAnsi="宋体" w:cs="宋体" w:eastAsia="宋体" w:hint="default"/>
                <w:sz w:val="18"/>
                <w:szCs w:val="18"/>
              </w:rPr>
            </w:pPr>
            <w:r>
              <w:rPr>
                <w:rFonts w:ascii="宋体"/>
                <w:sz w:val="18"/>
              </w:rPr>
              <w:t>244,007</w:t>
            </w:r>
          </w:p>
          <w:p>
            <w:pPr>
              <w:pStyle w:val="TableParagraph"/>
              <w:spacing w:line="240" w:lineRule="auto" w:before="33"/>
              <w:ind w:left="477" w:right="0"/>
              <w:jc w:val="left"/>
              <w:rPr>
                <w:rFonts w:ascii="宋体" w:hAnsi="宋体" w:cs="宋体" w:eastAsia="宋体" w:hint="default"/>
                <w:sz w:val="18"/>
                <w:szCs w:val="18"/>
              </w:rPr>
            </w:pPr>
            <w:r>
              <w:rPr>
                <w:rFonts w:ascii="宋体"/>
                <w:sz w:val="18"/>
              </w:rPr>
              <w:t>.26</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7" w:right="0"/>
              <w:jc w:val="left"/>
              <w:rPr>
                <w:rFonts w:ascii="宋体" w:hAnsi="宋体" w:cs="宋体" w:eastAsia="宋体" w:hint="default"/>
                <w:sz w:val="18"/>
                <w:szCs w:val="18"/>
              </w:rPr>
            </w:pPr>
            <w:r>
              <w:rPr>
                <w:rFonts w:ascii="宋体"/>
                <w:sz w:val="18"/>
              </w:rPr>
              <w:t>244,007</w:t>
            </w:r>
          </w:p>
          <w:p>
            <w:pPr>
              <w:pStyle w:val="TableParagraph"/>
              <w:spacing w:line="240" w:lineRule="auto" w:before="33"/>
              <w:ind w:left="477" w:right="0"/>
              <w:jc w:val="left"/>
              <w:rPr>
                <w:rFonts w:ascii="宋体" w:hAnsi="宋体" w:cs="宋体" w:eastAsia="宋体" w:hint="default"/>
                <w:sz w:val="18"/>
                <w:szCs w:val="18"/>
              </w:rPr>
            </w:pPr>
            <w:r>
              <w:rPr>
                <w:rFonts w:ascii="宋体"/>
                <w:sz w:val="18"/>
              </w:rPr>
              <w:t>.26</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5" w:right="0"/>
              <w:jc w:val="center"/>
              <w:rPr>
                <w:rFonts w:ascii="宋体" w:hAnsi="宋体" w:cs="宋体" w:eastAsia="宋体" w:hint="default"/>
                <w:sz w:val="18"/>
                <w:szCs w:val="18"/>
              </w:rPr>
            </w:pPr>
            <w:r>
              <w:rPr>
                <w:rFonts w:ascii="宋体"/>
                <w:sz w:val="18"/>
              </w:rPr>
              <w:t>2,202,2</w:t>
            </w:r>
          </w:p>
          <w:p>
            <w:pPr>
              <w:pStyle w:val="TableParagraph"/>
              <w:spacing w:line="240" w:lineRule="auto" w:before="33"/>
              <w:ind w:left="195" w:right="0"/>
              <w:jc w:val="center"/>
              <w:rPr>
                <w:rFonts w:ascii="宋体" w:hAnsi="宋体" w:cs="宋体" w:eastAsia="宋体" w:hint="default"/>
                <w:sz w:val="18"/>
                <w:szCs w:val="18"/>
              </w:rPr>
            </w:pPr>
            <w:r>
              <w:rPr>
                <w:rFonts w:ascii="宋体"/>
                <w:sz w:val="18"/>
              </w:rPr>
              <w:t>13.33</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2" w:right="0"/>
              <w:jc w:val="center"/>
              <w:rPr>
                <w:rFonts w:ascii="宋体" w:hAnsi="宋体" w:cs="宋体" w:eastAsia="宋体" w:hint="default"/>
                <w:sz w:val="18"/>
                <w:szCs w:val="18"/>
              </w:rPr>
            </w:pPr>
            <w:r>
              <w:rPr>
                <w:rFonts w:ascii="宋体"/>
                <w:sz w:val="18"/>
              </w:rPr>
              <w:t>2,202,2</w:t>
            </w:r>
          </w:p>
          <w:p>
            <w:pPr>
              <w:pStyle w:val="TableParagraph"/>
              <w:spacing w:line="240" w:lineRule="auto" w:before="33"/>
              <w:ind w:left="192" w:right="0"/>
              <w:jc w:val="center"/>
              <w:rPr>
                <w:rFonts w:ascii="宋体" w:hAnsi="宋体" w:cs="宋体" w:eastAsia="宋体" w:hint="default"/>
                <w:sz w:val="18"/>
                <w:szCs w:val="18"/>
              </w:rPr>
            </w:pPr>
            <w:r>
              <w:rPr>
                <w:rFonts w:ascii="宋体"/>
                <w:sz w:val="18"/>
              </w:rPr>
              <w:t>13.33</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7" w:right="0"/>
              <w:jc w:val="center"/>
              <w:rPr>
                <w:rFonts w:ascii="宋体" w:hAnsi="宋体" w:cs="宋体" w:eastAsia="宋体" w:hint="default"/>
                <w:sz w:val="18"/>
                <w:szCs w:val="18"/>
              </w:rPr>
            </w:pPr>
            <w:r>
              <w:rPr>
                <w:rFonts w:ascii="宋体"/>
                <w:sz w:val="18"/>
              </w:rPr>
              <w:t>1,706,8</w:t>
            </w:r>
          </w:p>
          <w:p>
            <w:pPr>
              <w:pStyle w:val="TableParagraph"/>
              <w:spacing w:line="240" w:lineRule="auto" w:before="33"/>
              <w:ind w:left="197" w:right="0"/>
              <w:jc w:val="center"/>
              <w:rPr>
                <w:rFonts w:ascii="宋体" w:hAnsi="宋体" w:cs="宋体" w:eastAsia="宋体" w:hint="default"/>
                <w:sz w:val="18"/>
                <w:szCs w:val="18"/>
              </w:rPr>
            </w:pPr>
            <w:r>
              <w:rPr>
                <w:rFonts w:ascii="宋体"/>
                <w:sz w:val="18"/>
              </w:rPr>
              <w:t>80.26</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5" w:right="0"/>
              <w:jc w:val="center"/>
              <w:rPr>
                <w:rFonts w:ascii="宋体" w:hAnsi="宋体" w:cs="宋体" w:eastAsia="宋体" w:hint="default"/>
                <w:sz w:val="18"/>
                <w:szCs w:val="18"/>
              </w:rPr>
            </w:pPr>
            <w:r>
              <w:rPr>
                <w:rFonts w:ascii="宋体"/>
                <w:sz w:val="18"/>
              </w:rPr>
              <w:t>1,706,8</w:t>
            </w:r>
          </w:p>
          <w:p>
            <w:pPr>
              <w:pStyle w:val="TableParagraph"/>
              <w:spacing w:line="240" w:lineRule="auto" w:before="33"/>
              <w:ind w:left="195" w:right="0"/>
              <w:jc w:val="center"/>
              <w:rPr>
                <w:rFonts w:ascii="宋体" w:hAnsi="宋体" w:cs="宋体" w:eastAsia="宋体" w:hint="default"/>
                <w:sz w:val="18"/>
                <w:szCs w:val="18"/>
              </w:rPr>
            </w:pPr>
            <w:r>
              <w:rPr>
                <w:rFonts w:ascii="宋体"/>
                <w:sz w:val="18"/>
              </w:rPr>
              <w:t>80.26</w:t>
            </w:r>
          </w:p>
        </w:tc>
      </w:tr>
      <w:tr>
        <w:trPr>
          <w:trHeight w:val="948"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232" w:lineRule="exact" w:before="24"/>
              <w:ind w:left="103" w:right="105"/>
              <w:jc w:val="both"/>
              <w:rPr>
                <w:rFonts w:ascii="宋体" w:hAnsi="宋体" w:cs="宋体" w:eastAsia="宋体" w:hint="default"/>
                <w:sz w:val="18"/>
                <w:szCs w:val="18"/>
              </w:rPr>
            </w:pPr>
            <w:r>
              <w:rPr>
                <w:rFonts w:ascii="宋体" w:hAnsi="宋体" w:cs="宋体" w:eastAsia="宋体" w:hint="default"/>
                <w:sz w:val="18"/>
                <w:szCs w:val="18"/>
              </w:rPr>
              <w:t>形 资 产</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5" w:right="0"/>
              <w:jc w:val="left"/>
              <w:rPr>
                <w:rFonts w:ascii="宋体" w:hAnsi="宋体" w:cs="宋体" w:eastAsia="宋体" w:hint="default"/>
                <w:sz w:val="18"/>
                <w:szCs w:val="18"/>
              </w:rPr>
            </w:pPr>
            <w:r>
              <w:rPr>
                <w:rFonts w:ascii="宋体"/>
                <w:sz w:val="18"/>
              </w:rPr>
              <w:t>21,722.</w:t>
            </w:r>
          </w:p>
          <w:p>
            <w:pPr>
              <w:pStyle w:val="TableParagraph"/>
              <w:spacing w:line="240" w:lineRule="auto" w:before="33"/>
              <w:ind w:left="566" w:right="0"/>
              <w:jc w:val="left"/>
              <w:rPr>
                <w:rFonts w:ascii="宋体" w:hAnsi="宋体" w:cs="宋体" w:eastAsia="宋体" w:hint="default"/>
                <w:sz w:val="18"/>
                <w:szCs w:val="18"/>
              </w:rPr>
            </w:pPr>
            <w:r>
              <w:rPr>
                <w:rFonts w:ascii="宋体"/>
                <w:sz w:val="18"/>
              </w:rPr>
              <w:t>28</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5" w:right="0"/>
              <w:jc w:val="left"/>
              <w:rPr>
                <w:rFonts w:ascii="宋体" w:hAnsi="宋体" w:cs="宋体" w:eastAsia="宋体" w:hint="default"/>
                <w:sz w:val="18"/>
                <w:szCs w:val="18"/>
              </w:rPr>
            </w:pPr>
            <w:r>
              <w:rPr>
                <w:rFonts w:ascii="宋体"/>
                <w:sz w:val="18"/>
              </w:rPr>
              <w:t>21,722.</w:t>
            </w:r>
          </w:p>
          <w:p>
            <w:pPr>
              <w:pStyle w:val="TableParagraph"/>
              <w:spacing w:line="240" w:lineRule="auto" w:before="33"/>
              <w:ind w:left="566" w:right="0"/>
              <w:jc w:val="left"/>
              <w:rPr>
                <w:rFonts w:ascii="宋体" w:hAnsi="宋体" w:cs="宋体" w:eastAsia="宋体" w:hint="default"/>
                <w:sz w:val="18"/>
                <w:szCs w:val="18"/>
              </w:rPr>
            </w:pPr>
            <w:r>
              <w:rPr>
                <w:rFonts w:ascii="宋体"/>
                <w:sz w:val="18"/>
              </w:rPr>
              <w:t>28</w:t>
            </w:r>
          </w:p>
        </w:tc>
        <w:tc>
          <w:tcPr>
            <w:tcW w:w="864"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20,300.</w:t>
            </w:r>
          </w:p>
          <w:p>
            <w:pPr>
              <w:pStyle w:val="TableParagraph"/>
              <w:spacing w:line="240" w:lineRule="auto" w:before="33"/>
              <w:ind w:right="99"/>
              <w:jc w:val="right"/>
              <w:rPr>
                <w:rFonts w:ascii="宋体" w:hAnsi="宋体" w:cs="宋体" w:eastAsia="宋体" w:hint="default"/>
                <w:sz w:val="18"/>
                <w:szCs w:val="18"/>
              </w:rPr>
            </w:pPr>
            <w:r>
              <w:rPr>
                <w:rFonts w:ascii="宋体"/>
                <w:sz w:val="18"/>
              </w:rPr>
              <w:t>11</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宋体" w:hAnsi="宋体" w:cs="宋体" w:eastAsia="宋体" w:hint="default"/>
                <w:sz w:val="18"/>
                <w:szCs w:val="18"/>
              </w:rPr>
            </w:pPr>
            <w:r>
              <w:rPr>
                <w:rFonts w:ascii="宋体"/>
                <w:sz w:val="18"/>
              </w:rPr>
              <w:t>20,300.</w:t>
            </w:r>
          </w:p>
          <w:p>
            <w:pPr>
              <w:pStyle w:val="TableParagraph"/>
              <w:spacing w:line="240" w:lineRule="auto" w:before="33"/>
              <w:ind w:right="96"/>
              <w:jc w:val="right"/>
              <w:rPr>
                <w:rFonts w:ascii="宋体" w:hAnsi="宋体" w:cs="宋体" w:eastAsia="宋体" w:hint="default"/>
                <w:sz w:val="18"/>
                <w:szCs w:val="18"/>
              </w:rPr>
            </w:pPr>
            <w:r>
              <w:rPr>
                <w:rFonts w:ascii="宋体"/>
                <w:sz w:val="18"/>
              </w:rPr>
              <w:t>11</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5" w:right="0"/>
              <w:jc w:val="center"/>
              <w:rPr>
                <w:rFonts w:ascii="宋体" w:hAnsi="宋体" w:cs="宋体" w:eastAsia="宋体" w:hint="default"/>
                <w:sz w:val="18"/>
                <w:szCs w:val="18"/>
              </w:rPr>
            </w:pPr>
            <w:r>
              <w:rPr>
                <w:rFonts w:ascii="宋体"/>
                <w:sz w:val="18"/>
              </w:rPr>
              <w:t>2,798,7</w:t>
            </w:r>
          </w:p>
          <w:p>
            <w:pPr>
              <w:pStyle w:val="TableParagraph"/>
              <w:spacing w:line="240" w:lineRule="auto" w:before="33"/>
              <w:ind w:left="195" w:right="0"/>
              <w:jc w:val="center"/>
              <w:rPr>
                <w:rFonts w:ascii="宋体" w:hAnsi="宋体" w:cs="宋体" w:eastAsia="宋体" w:hint="default"/>
                <w:sz w:val="18"/>
                <w:szCs w:val="18"/>
              </w:rPr>
            </w:pPr>
            <w:r>
              <w:rPr>
                <w:rFonts w:ascii="宋体"/>
                <w:sz w:val="18"/>
              </w:rPr>
              <w:t>05.51</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2" w:right="0"/>
              <w:jc w:val="center"/>
              <w:rPr>
                <w:rFonts w:ascii="宋体" w:hAnsi="宋体" w:cs="宋体" w:eastAsia="宋体" w:hint="default"/>
                <w:sz w:val="18"/>
                <w:szCs w:val="18"/>
              </w:rPr>
            </w:pPr>
            <w:r>
              <w:rPr>
                <w:rFonts w:ascii="宋体"/>
                <w:sz w:val="18"/>
              </w:rPr>
              <w:t>2,265,3</w:t>
            </w:r>
          </w:p>
          <w:p>
            <w:pPr>
              <w:pStyle w:val="TableParagraph"/>
              <w:spacing w:line="240" w:lineRule="auto" w:before="33"/>
              <w:ind w:left="192" w:right="0"/>
              <w:jc w:val="center"/>
              <w:rPr>
                <w:rFonts w:ascii="宋体" w:hAnsi="宋体" w:cs="宋体" w:eastAsia="宋体" w:hint="default"/>
                <w:sz w:val="18"/>
                <w:szCs w:val="18"/>
              </w:rPr>
            </w:pPr>
            <w:r>
              <w:rPr>
                <w:rFonts w:ascii="宋体"/>
                <w:sz w:val="18"/>
              </w:rPr>
              <w:t>72.18</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宋体" w:hAnsi="宋体" w:cs="宋体" w:eastAsia="宋体" w:hint="default"/>
                <w:sz w:val="18"/>
                <w:szCs w:val="18"/>
              </w:rPr>
            </w:pPr>
            <w:r>
              <w:rPr>
                <w:rFonts w:ascii="宋体"/>
                <w:sz w:val="18"/>
              </w:rPr>
              <w:t>11,728.</w:t>
            </w:r>
          </w:p>
          <w:p>
            <w:pPr>
              <w:pStyle w:val="TableParagraph"/>
              <w:spacing w:line="240" w:lineRule="auto" w:before="33"/>
              <w:ind w:right="96"/>
              <w:jc w:val="right"/>
              <w:rPr>
                <w:rFonts w:ascii="宋体" w:hAnsi="宋体" w:cs="宋体" w:eastAsia="宋体" w:hint="default"/>
                <w:sz w:val="18"/>
                <w:szCs w:val="18"/>
              </w:rPr>
            </w:pPr>
            <w:r>
              <w:rPr>
                <w:rFonts w:ascii="宋体"/>
                <w:sz w:val="18"/>
              </w:rPr>
              <w:t>14</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0"/>
              <w:jc w:val="right"/>
              <w:rPr>
                <w:rFonts w:ascii="宋体" w:hAnsi="宋体" w:cs="宋体" w:eastAsia="宋体" w:hint="default"/>
                <w:sz w:val="18"/>
                <w:szCs w:val="18"/>
              </w:rPr>
            </w:pPr>
            <w:r>
              <w:rPr>
                <w:rFonts w:ascii="宋体"/>
                <w:sz w:val="18"/>
              </w:rPr>
              <w:t>11,728.</w:t>
            </w:r>
          </w:p>
          <w:p>
            <w:pPr>
              <w:pStyle w:val="TableParagraph"/>
              <w:spacing w:line="240" w:lineRule="auto" w:before="33"/>
              <w:ind w:right="98"/>
              <w:jc w:val="right"/>
              <w:rPr>
                <w:rFonts w:ascii="宋体" w:hAnsi="宋体" w:cs="宋体" w:eastAsia="宋体" w:hint="default"/>
                <w:sz w:val="18"/>
                <w:szCs w:val="18"/>
              </w:rPr>
            </w:pPr>
            <w:r>
              <w:rPr>
                <w:rFonts w:ascii="宋体"/>
                <w:sz w:val="18"/>
              </w:rPr>
              <w:t>14</w:t>
            </w:r>
          </w:p>
        </w:tc>
      </w:tr>
      <w:tr>
        <w:trPr>
          <w:trHeight w:val="1416"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长</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z w:val="18"/>
                <w:szCs w:val="18"/>
              </w:rPr>
              <w:t>期 待 摊 费 用</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204,187</w:t>
            </w:r>
          </w:p>
          <w:p>
            <w:pPr>
              <w:pStyle w:val="TableParagraph"/>
              <w:spacing w:line="234" w:lineRule="exact"/>
              <w:ind w:left="475" w:right="0"/>
              <w:jc w:val="left"/>
              <w:rPr>
                <w:rFonts w:ascii="宋体" w:hAnsi="宋体" w:cs="宋体" w:eastAsia="宋体" w:hint="default"/>
                <w:sz w:val="18"/>
                <w:szCs w:val="18"/>
              </w:rPr>
            </w:pPr>
            <w:r>
              <w:rPr>
                <w:rFonts w:ascii="宋体"/>
                <w:sz w:val="18"/>
              </w:rPr>
              <w:t>.99</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204,187</w:t>
            </w:r>
          </w:p>
          <w:p>
            <w:pPr>
              <w:pStyle w:val="TableParagraph"/>
              <w:spacing w:line="234" w:lineRule="exact"/>
              <w:ind w:left="475" w:right="0"/>
              <w:jc w:val="left"/>
              <w:rPr>
                <w:rFonts w:ascii="宋体" w:hAnsi="宋体" w:cs="宋体" w:eastAsia="宋体" w:hint="default"/>
                <w:sz w:val="18"/>
                <w:szCs w:val="18"/>
              </w:rPr>
            </w:pPr>
            <w:r>
              <w:rPr>
                <w:rFonts w:ascii="宋体"/>
                <w:sz w:val="18"/>
              </w:rPr>
              <w:t>.99</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363,618</w:t>
            </w:r>
          </w:p>
          <w:p>
            <w:pPr>
              <w:pStyle w:val="TableParagraph"/>
              <w:spacing w:line="234" w:lineRule="exact"/>
              <w:ind w:left="475" w:right="0"/>
              <w:jc w:val="left"/>
              <w:rPr>
                <w:rFonts w:ascii="宋体" w:hAnsi="宋体" w:cs="宋体" w:eastAsia="宋体" w:hint="default"/>
                <w:sz w:val="18"/>
                <w:szCs w:val="18"/>
              </w:rPr>
            </w:pPr>
            <w:r>
              <w:rPr>
                <w:rFonts w:ascii="宋体"/>
                <w:sz w:val="18"/>
              </w:rPr>
              <w:t>.86</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363,618</w:t>
            </w:r>
          </w:p>
          <w:p>
            <w:pPr>
              <w:pStyle w:val="TableParagraph"/>
              <w:spacing w:line="234" w:lineRule="exact"/>
              <w:ind w:left="477" w:right="0"/>
              <w:jc w:val="left"/>
              <w:rPr>
                <w:rFonts w:ascii="宋体" w:hAnsi="宋体" w:cs="宋体" w:eastAsia="宋体" w:hint="default"/>
                <w:sz w:val="18"/>
                <w:szCs w:val="18"/>
              </w:rPr>
            </w:pPr>
            <w:r>
              <w:rPr>
                <w:rFonts w:ascii="宋体"/>
                <w:sz w:val="18"/>
              </w:rPr>
              <w:t>.86</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44,444.</w:t>
            </w:r>
          </w:p>
          <w:p>
            <w:pPr>
              <w:pStyle w:val="TableParagraph"/>
              <w:spacing w:line="234" w:lineRule="exact"/>
              <w:ind w:right="99"/>
              <w:jc w:val="right"/>
              <w:rPr>
                <w:rFonts w:ascii="宋体" w:hAnsi="宋体" w:cs="宋体" w:eastAsia="宋体" w:hint="default"/>
                <w:sz w:val="18"/>
                <w:szCs w:val="18"/>
              </w:rPr>
            </w:pPr>
            <w:r>
              <w:rPr>
                <w:rFonts w:ascii="宋体"/>
                <w:sz w:val="18"/>
              </w:rPr>
              <w:t>33</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44,444.</w:t>
            </w:r>
          </w:p>
          <w:p>
            <w:pPr>
              <w:pStyle w:val="TableParagraph"/>
              <w:spacing w:line="234" w:lineRule="exact"/>
              <w:ind w:right="96"/>
              <w:jc w:val="right"/>
              <w:rPr>
                <w:rFonts w:ascii="宋体" w:hAnsi="宋体" w:cs="宋体" w:eastAsia="宋体" w:hint="default"/>
                <w:sz w:val="18"/>
                <w:szCs w:val="18"/>
              </w:rPr>
            </w:pPr>
            <w:r>
              <w:rPr>
                <w:rFonts w:ascii="宋体"/>
                <w:sz w:val="18"/>
              </w:rPr>
              <w:t>33</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5" w:right="0"/>
              <w:jc w:val="center"/>
              <w:rPr>
                <w:rFonts w:ascii="宋体" w:hAnsi="宋体" w:cs="宋体" w:eastAsia="宋体" w:hint="default"/>
                <w:sz w:val="18"/>
                <w:szCs w:val="18"/>
              </w:rPr>
            </w:pPr>
            <w:r>
              <w:rPr>
                <w:rFonts w:ascii="宋体"/>
                <w:sz w:val="18"/>
              </w:rPr>
              <w:t>1,366,3</w:t>
            </w:r>
          </w:p>
          <w:p>
            <w:pPr>
              <w:pStyle w:val="TableParagraph"/>
              <w:spacing w:line="234" w:lineRule="exact"/>
              <w:ind w:left="195" w:right="0"/>
              <w:jc w:val="center"/>
              <w:rPr>
                <w:rFonts w:ascii="宋体" w:hAnsi="宋体" w:cs="宋体" w:eastAsia="宋体" w:hint="default"/>
                <w:sz w:val="18"/>
                <w:szCs w:val="18"/>
              </w:rPr>
            </w:pPr>
            <w:r>
              <w:rPr>
                <w:rFonts w:ascii="宋体"/>
                <w:sz w:val="18"/>
              </w:rPr>
              <w:t>92.22</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2" w:right="0"/>
              <w:jc w:val="center"/>
              <w:rPr>
                <w:rFonts w:ascii="宋体" w:hAnsi="宋体" w:cs="宋体" w:eastAsia="宋体" w:hint="default"/>
                <w:sz w:val="18"/>
                <w:szCs w:val="18"/>
              </w:rPr>
            </w:pPr>
            <w:r>
              <w:rPr>
                <w:rFonts w:ascii="宋体"/>
                <w:sz w:val="18"/>
              </w:rPr>
              <w:t>1,366,3</w:t>
            </w:r>
          </w:p>
          <w:p>
            <w:pPr>
              <w:pStyle w:val="TableParagraph"/>
              <w:spacing w:line="234" w:lineRule="exact"/>
              <w:ind w:left="192" w:right="0"/>
              <w:jc w:val="center"/>
              <w:rPr>
                <w:rFonts w:ascii="宋体" w:hAnsi="宋体" w:cs="宋体" w:eastAsia="宋体" w:hint="default"/>
                <w:sz w:val="18"/>
                <w:szCs w:val="18"/>
              </w:rPr>
            </w:pPr>
            <w:r>
              <w:rPr>
                <w:rFonts w:ascii="宋体"/>
                <w:sz w:val="18"/>
              </w:rPr>
              <w:t>92.22</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776,260</w:t>
            </w:r>
          </w:p>
          <w:p>
            <w:pPr>
              <w:pStyle w:val="TableParagraph"/>
              <w:spacing w:line="234" w:lineRule="exact"/>
              <w:ind w:left="477" w:right="0"/>
              <w:jc w:val="left"/>
              <w:rPr>
                <w:rFonts w:ascii="宋体" w:hAnsi="宋体" w:cs="宋体" w:eastAsia="宋体" w:hint="default"/>
                <w:sz w:val="18"/>
                <w:szCs w:val="18"/>
              </w:rPr>
            </w:pPr>
            <w:r>
              <w:rPr>
                <w:rFonts w:ascii="宋体"/>
                <w:sz w:val="18"/>
              </w:rPr>
              <w:t>.44</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776,260</w:t>
            </w:r>
          </w:p>
          <w:p>
            <w:pPr>
              <w:pStyle w:val="TableParagraph"/>
              <w:spacing w:line="234" w:lineRule="exact"/>
              <w:ind w:left="477" w:right="0"/>
              <w:jc w:val="left"/>
              <w:rPr>
                <w:rFonts w:ascii="宋体" w:hAnsi="宋体" w:cs="宋体" w:eastAsia="宋体" w:hint="default"/>
                <w:sz w:val="18"/>
                <w:szCs w:val="18"/>
              </w:rPr>
            </w:pPr>
            <w:r>
              <w:rPr>
                <w:rFonts w:ascii="宋体"/>
                <w:sz w:val="18"/>
              </w:rPr>
              <w:t>.44</w:t>
            </w:r>
          </w:p>
        </w:tc>
      </w:tr>
      <w:tr>
        <w:trPr>
          <w:trHeight w:val="1649"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递</w:t>
            </w:r>
          </w:p>
          <w:p>
            <w:pPr>
              <w:pStyle w:val="TableParagraph"/>
              <w:spacing w:line="237" w:lineRule="auto" w:before="2"/>
              <w:ind w:left="103" w:right="105"/>
              <w:jc w:val="both"/>
              <w:rPr>
                <w:rFonts w:ascii="宋体" w:hAnsi="宋体" w:cs="宋体" w:eastAsia="宋体" w:hint="default"/>
                <w:sz w:val="18"/>
                <w:szCs w:val="18"/>
              </w:rPr>
            </w:pPr>
            <w:r>
              <w:rPr>
                <w:rFonts w:ascii="宋体" w:hAnsi="宋体" w:cs="宋体" w:eastAsia="宋体" w:hint="default"/>
                <w:sz w:val="18"/>
                <w:szCs w:val="18"/>
              </w:rPr>
              <w:t>延 所 得 税 资 产</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450,548</w:t>
            </w:r>
          </w:p>
          <w:p>
            <w:pPr>
              <w:pStyle w:val="TableParagraph"/>
              <w:spacing w:line="240" w:lineRule="auto"/>
              <w:ind w:left="475" w:right="0"/>
              <w:jc w:val="left"/>
              <w:rPr>
                <w:rFonts w:ascii="宋体" w:hAnsi="宋体" w:cs="宋体" w:eastAsia="宋体" w:hint="default"/>
                <w:sz w:val="18"/>
                <w:szCs w:val="18"/>
              </w:rPr>
            </w:pPr>
            <w:r>
              <w:rPr>
                <w:rFonts w:ascii="宋体"/>
                <w:sz w:val="18"/>
              </w:rPr>
              <w:t>.89</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450,548</w:t>
            </w:r>
          </w:p>
          <w:p>
            <w:pPr>
              <w:pStyle w:val="TableParagraph"/>
              <w:spacing w:line="240" w:lineRule="auto"/>
              <w:ind w:left="475" w:right="0"/>
              <w:jc w:val="left"/>
              <w:rPr>
                <w:rFonts w:ascii="宋体" w:hAnsi="宋体" w:cs="宋体" w:eastAsia="宋体" w:hint="default"/>
                <w:sz w:val="18"/>
                <w:szCs w:val="18"/>
              </w:rPr>
            </w:pPr>
            <w:r>
              <w:rPr>
                <w:rFonts w:ascii="宋体"/>
                <w:sz w:val="18"/>
              </w:rPr>
              <w:t>.89</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1,424,5</w:t>
            </w:r>
          </w:p>
          <w:p>
            <w:pPr>
              <w:pStyle w:val="TableParagraph"/>
              <w:spacing w:line="240" w:lineRule="auto"/>
              <w:ind w:left="192" w:right="0"/>
              <w:jc w:val="center"/>
              <w:rPr>
                <w:rFonts w:ascii="宋体" w:hAnsi="宋体" w:cs="宋体" w:eastAsia="宋体" w:hint="default"/>
                <w:sz w:val="18"/>
                <w:szCs w:val="18"/>
              </w:rPr>
            </w:pPr>
            <w:r>
              <w:rPr>
                <w:rFonts w:ascii="宋体"/>
                <w:sz w:val="18"/>
              </w:rPr>
              <w:t>41.34</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1,424,5</w:t>
            </w:r>
          </w:p>
          <w:p>
            <w:pPr>
              <w:pStyle w:val="TableParagraph"/>
              <w:spacing w:line="240" w:lineRule="auto"/>
              <w:ind w:left="197" w:right="0"/>
              <w:jc w:val="center"/>
              <w:rPr>
                <w:rFonts w:ascii="宋体" w:hAnsi="宋体" w:cs="宋体" w:eastAsia="宋体" w:hint="default"/>
                <w:sz w:val="18"/>
                <w:szCs w:val="18"/>
              </w:rPr>
            </w:pPr>
            <w:r>
              <w:rPr>
                <w:rFonts w:ascii="宋体"/>
                <w:sz w:val="18"/>
              </w:rPr>
              <w:t>41.34</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96,074.</w:t>
            </w:r>
          </w:p>
          <w:p>
            <w:pPr>
              <w:pStyle w:val="TableParagraph"/>
              <w:spacing w:line="240" w:lineRule="auto"/>
              <w:ind w:right="99"/>
              <w:jc w:val="right"/>
              <w:rPr>
                <w:rFonts w:ascii="宋体" w:hAnsi="宋体" w:cs="宋体" w:eastAsia="宋体" w:hint="default"/>
                <w:sz w:val="18"/>
                <w:szCs w:val="18"/>
              </w:rPr>
            </w:pPr>
            <w:r>
              <w:rPr>
                <w:rFonts w:ascii="宋体"/>
                <w:sz w:val="18"/>
              </w:rPr>
              <w:t>85</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96,074.</w:t>
            </w:r>
          </w:p>
          <w:p>
            <w:pPr>
              <w:pStyle w:val="TableParagraph"/>
              <w:spacing w:line="240" w:lineRule="auto"/>
              <w:ind w:right="96"/>
              <w:jc w:val="right"/>
              <w:rPr>
                <w:rFonts w:ascii="宋体" w:hAnsi="宋体" w:cs="宋体" w:eastAsia="宋体" w:hint="default"/>
                <w:sz w:val="18"/>
                <w:szCs w:val="18"/>
              </w:rPr>
            </w:pPr>
            <w:r>
              <w:rPr>
                <w:rFonts w:ascii="宋体"/>
                <w:sz w:val="18"/>
              </w:rPr>
              <w:t>85</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 w:right="0"/>
              <w:jc w:val="center"/>
              <w:rPr>
                <w:rFonts w:ascii="宋体" w:hAnsi="宋体" w:cs="宋体" w:eastAsia="宋体" w:hint="default"/>
                <w:sz w:val="18"/>
                <w:szCs w:val="18"/>
              </w:rPr>
            </w:pPr>
            <w:r>
              <w:rPr>
                <w:rFonts w:ascii="宋体"/>
                <w:sz w:val="18"/>
              </w:rPr>
              <w:t>2,450,6</w:t>
            </w:r>
          </w:p>
          <w:p>
            <w:pPr>
              <w:pStyle w:val="TableParagraph"/>
              <w:spacing w:line="240" w:lineRule="auto"/>
              <w:ind w:left="195" w:right="0"/>
              <w:jc w:val="center"/>
              <w:rPr>
                <w:rFonts w:ascii="宋体" w:hAnsi="宋体" w:cs="宋体" w:eastAsia="宋体" w:hint="default"/>
                <w:sz w:val="18"/>
                <w:szCs w:val="18"/>
              </w:rPr>
            </w:pPr>
            <w:r>
              <w:rPr>
                <w:rFonts w:ascii="宋体"/>
                <w:sz w:val="18"/>
              </w:rPr>
              <w:t>58.69</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2,450,6</w:t>
            </w:r>
          </w:p>
          <w:p>
            <w:pPr>
              <w:pStyle w:val="TableParagraph"/>
              <w:spacing w:line="240" w:lineRule="auto"/>
              <w:ind w:left="192" w:right="0"/>
              <w:jc w:val="center"/>
              <w:rPr>
                <w:rFonts w:ascii="宋体" w:hAnsi="宋体" w:cs="宋体" w:eastAsia="宋体" w:hint="default"/>
                <w:sz w:val="18"/>
                <w:szCs w:val="18"/>
              </w:rPr>
            </w:pPr>
            <w:r>
              <w:rPr>
                <w:rFonts w:ascii="宋体"/>
                <w:sz w:val="18"/>
              </w:rPr>
              <w:t>58.69</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358,728</w:t>
            </w:r>
          </w:p>
          <w:p>
            <w:pPr>
              <w:pStyle w:val="TableParagraph"/>
              <w:spacing w:line="240" w:lineRule="auto"/>
              <w:ind w:left="477" w:right="0"/>
              <w:jc w:val="left"/>
              <w:rPr>
                <w:rFonts w:ascii="宋体" w:hAnsi="宋体" w:cs="宋体" w:eastAsia="宋体" w:hint="default"/>
                <w:sz w:val="18"/>
                <w:szCs w:val="18"/>
              </w:rPr>
            </w:pPr>
            <w:r>
              <w:rPr>
                <w:rFonts w:ascii="宋体"/>
                <w:sz w:val="18"/>
              </w:rPr>
              <w:t>.42</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358,728</w:t>
            </w:r>
          </w:p>
          <w:p>
            <w:pPr>
              <w:pStyle w:val="TableParagraph"/>
              <w:spacing w:line="240" w:lineRule="auto"/>
              <w:ind w:left="477" w:right="0"/>
              <w:jc w:val="left"/>
              <w:rPr>
                <w:rFonts w:ascii="宋体" w:hAnsi="宋体" w:cs="宋体" w:eastAsia="宋体" w:hint="default"/>
                <w:sz w:val="18"/>
                <w:szCs w:val="18"/>
              </w:rPr>
            </w:pPr>
            <w:r>
              <w:rPr>
                <w:rFonts w:ascii="宋体"/>
                <w:sz w:val="18"/>
              </w:rPr>
              <w:t>.42</w:t>
            </w:r>
          </w:p>
        </w:tc>
      </w:tr>
      <w:tr>
        <w:trPr>
          <w:trHeight w:val="1649"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z w:val="18"/>
                <w:szCs w:val="18"/>
              </w:rPr>
              <w:t>他 非 流 动 资 产</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478,000</w:t>
            </w:r>
          </w:p>
          <w:p>
            <w:pPr>
              <w:pStyle w:val="TableParagraph"/>
              <w:spacing w:line="234" w:lineRule="exact"/>
              <w:ind w:left="475" w:right="0"/>
              <w:jc w:val="left"/>
              <w:rPr>
                <w:rFonts w:ascii="宋体" w:hAnsi="宋体" w:cs="宋体" w:eastAsia="宋体" w:hint="default"/>
                <w:sz w:val="18"/>
                <w:szCs w:val="18"/>
              </w:rPr>
            </w:pPr>
            <w:r>
              <w:rPr>
                <w:rFonts w:ascii="宋体"/>
                <w:sz w:val="18"/>
              </w:rPr>
              <w:t>.00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478,000</w:t>
            </w:r>
          </w:p>
          <w:p>
            <w:pPr>
              <w:pStyle w:val="TableParagraph"/>
              <w:spacing w:line="234" w:lineRule="exact"/>
              <w:ind w:left="475" w:right="0"/>
              <w:jc w:val="left"/>
              <w:rPr>
                <w:rFonts w:ascii="宋体" w:hAnsi="宋体" w:cs="宋体" w:eastAsia="宋体" w:hint="default"/>
                <w:sz w:val="18"/>
                <w:szCs w:val="18"/>
              </w:rPr>
            </w:pPr>
            <w:r>
              <w:rPr>
                <w:rFonts w:ascii="宋体"/>
                <w:sz w:val="18"/>
              </w:rPr>
              <w:t>.00</w:t>
            </w:r>
          </w:p>
        </w:tc>
        <w:tc>
          <w:tcPr>
            <w:tcW w:w="864"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负</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140,549</w:t>
            </w:r>
          </w:p>
          <w:p>
            <w:pPr>
              <w:pStyle w:val="TableParagraph"/>
              <w:spacing w:line="234" w:lineRule="exact"/>
              <w:ind w:left="115" w:right="0"/>
              <w:jc w:val="left"/>
              <w:rPr>
                <w:rFonts w:ascii="宋体" w:hAnsi="宋体" w:cs="宋体" w:eastAsia="宋体" w:hint="default"/>
                <w:sz w:val="18"/>
                <w:szCs w:val="18"/>
              </w:rPr>
            </w:pPr>
            <w:r>
              <w:rPr>
                <w:rFonts w:ascii="宋体"/>
                <w:sz w:val="18"/>
              </w:rPr>
              <w:t>,457.69</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140,549</w:t>
            </w:r>
          </w:p>
          <w:p>
            <w:pPr>
              <w:pStyle w:val="TableParagraph"/>
              <w:spacing w:line="234" w:lineRule="exact"/>
              <w:ind w:left="115" w:right="0"/>
              <w:jc w:val="left"/>
              <w:rPr>
                <w:rFonts w:ascii="宋体" w:hAnsi="宋体" w:cs="宋体" w:eastAsia="宋体" w:hint="default"/>
                <w:sz w:val="18"/>
                <w:szCs w:val="18"/>
              </w:rPr>
            </w:pPr>
            <w:r>
              <w:rPr>
                <w:rFonts w:ascii="宋体"/>
                <w:sz w:val="18"/>
              </w:rPr>
              <w:t>,457.69</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59,885,</w:t>
            </w:r>
          </w:p>
          <w:p>
            <w:pPr>
              <w:pStyle w:val="TableParagraph"/>
              <w:spacing w:line="234" w:lineRule="exact"/>
              <w:ind w:left="206" w:right="0"/>
              <w:jc w:val="left"/>
              <w:rPr>
                <w:rFonts w:ascii="宋体" w:hAnsi="宋体" w:cs="宋体" w:eastAsia="宋体" w:hint="default"/>
                <w:sz w:val="18"/>
                <w:szCs w:val="18"/>
              </w:rPr>
            </w:pPr>
            <w:r>
              <w:rPr>
                <w:rFonts w:ascii="宋体"/>
                <w:sz w:val="18"/>
              </w:rPr>
              <w:t>037.13</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59,885,</w:t>
            </w:r>
          </w:p>
          <w:p>
            <w:pPr>
              <w:pStyle w:val="TableParagraph"/>
              <w:spacing w:line="234" w:lineRule="exact"/>
              <w:ind w:left="208" w:right="0"/>
              <w:jc w:val="left"/>
              <w:rPr>
                <w:rFonts w:ascii="宋体" w:hAnsi="宋体" w:cs="宋体" w:eastAsia="宋体" w:hint="default"/>
                <w:sz w:val="18"/>
                <w:szCs w:val="18"/>
              </w:rPr>
            </w:pPr>
            <w:r>
              <w:rPr>
                <w:rFonts w:ascii="宋体"/>
                <w:sz w:val="18"/>
              </w:rPr>
              <w:t>037.13</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14,667,</w:t>
            </w:r>
          </w:p>
          <w:p>
            <w:pPr>
              <w:pStyle w:val="TableParagraph"/>
              <w:spacing w:line="234" w:lineRule="exact"/>
              <w:ind w:left="208" w:right="0"/>
              <w:jc w:val="left"/>
              <w:rPr>
                <w:rFonts w:ascii="宋体" w:hAnsi="宋体" w:cs="宋体" w:eastAsia="宋体" w:hint="default"/>
                <w:sz w:val="18"/>
                <w:szCs w:val="18"/>
              </w:rPr>
            </w:pPr>
            <w:r>
              <w:rPr>
                <w:rFonts w:ascii="宋体"/>
                <w:sz w:val="18"/>
              </w:rPr>
              <w:t>764.88</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14,667,</w:t>
            </w:r>
          </w:p>
          <w:p>
            <w:pPr>
              <w:pStyle w:val="TableParagraph"/>
              <w:spacing w:line="234" w:lineRule="exact"/>
              <w:ind w:left="208" w:right="0"/>
              <w:jc w:val="left"/>
              <w:rPr>
                <w:rFonts w:ascii="宋体" w:hAnsi="宋体" w:cs="宋体" w:eastAsia="宋体" w:hint="default"/>
                <w:sz w:val="18"/>
                <w:szCs w:val="18"/>
              </w:rPr>
            </w:pPr>
            <w:r>
              <w:rPr>
                <w:rFonts w:ascii="宋体"/>
                <w:sz w:val="18"/>
              </w:rPr>
              <w:t>764.88</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427,359</w:t>
            </w:r>
          </w:p>
          <w:p>
            <w:pPr>
              <w:pStyle w:val="TableParagraph"/>
              <w:spacing w:line="234" w:lineRule="exact"/>
              <w:ind w:left="117" w:right="0"/>
              <w:jc w:val="left"/>
              <w:rPr>
                <w:rFonts w:ascii="宋体" w:hAnsi="宋体" w:cs="宋体" w:eastAsia="宋体" w:hint="default"/>
                <w:sz w:val="18"/>
                <w:szCs w:val="18"/>
              </w:rPr>
            </w:pPr>
            <w:r>
              <w:rPr>
                <w:rFonts w:ascii="宋体"/>
                <w:sz w:val="18"/>
              </w:rPr>
              <w:t>,129.81</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427,225</w:t>
            </w:r>
          </w:p>
          <w:p>
            <w:pPr>
              <w:pStyle w:val="TableParagraph"/>
              <w:spacing w:line="234" w:lineRule="exact"/>
              <w:ind w:left="115" w:right="0"/>
              <w:jc w:val="left"/>
              <w:rPr>
                <w:rFonts w:ascii="宋体" w:hAnsi="宋体" w:cs="宋体" w:eastAsia="宋体" w:hint="default"/>
                <w:sz w:val="18"/>
                <w:szCs w:val="18"/>
              </w:rPr>
            </w:pPr>
            <w:r>
              <w:rPr>
                <w:rFonts w:ascii="宋体"/>
                <w:sz w:val="18"/>
              </w:rPr>
              <w:t>,796.48</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45,569,</w:t>
            </w:r>
          </w:p>
          <w:p>
            <w:pPr>
              <w:pStyle w:val="TableParagraph"/>
              <w:spacing w:line="234" w:lineRule="exact"/>
              <w:ind w:left="208" w:right="0"/>
              <w:jc w:val="left"/>
              <w:rPr>
                <w:rFonts w:ascii="宋体" w:hAnsi="宋体" w:cs="宋体" w:eastAsia="宋体" w:hint="default"/>
                <w:sz w:val="18"/>
                <w:szCs w:val="18"/>
              </w:rPr>
            </w:pPr>
            <w:r>
              <w:rPr>
                <w:rFonts w:ascii="宋体"/>
                <w:sz w:val="18"/>
              </w:rPr>
              <w:t>241.31</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45,569,</w:t>
            </w:r>
          </w:p>
          <w:p>
            <w:pPr>
              <w:pStyle w:val="TableParagraph"/>
              <w:spacing w:line="234" w:lineRule="exact"/>
              <w:ind w:left="208" w:right="0"/>
              <w:jc w:val="left"/>
              <w:rPr>
                <w:rFonts w:ascii="宋体" w:hAnsi="宋体" w:cs="宋体" w:eastAsia="宋体" w:hint="default"/>
                <w:sz w:val="18"/>
                <w:szCs w:val="18"/>
              </w:rPr>
            </w:pPr>
            <w:r>
              <w:rPr>
                <w:rFonts w:ascii="宋体"/>
                <w:sz w:val="18"/>
              </w:rPr>
              <w:t>241.31</w:t>
            </w:r>
          </w:p>
        </w:tc>
      </w:tr>
      <w:tr>
        <w:trPr>
          <w:trHeight w:val="552"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11,000,</w:t>
            </w:r>
          </w:p>
          <w:p>
            <w:pPr>
              <w:pStyle w:val="TableParagraph"/>
              <w:spacing w:line="240" w:lineRule="auto" w:before="33"/>
              <w:ind w:left="206" w:right="0"/>
              <w:jc w:val="left"/>
              <w:rPr>
                <w:rFonts w:ascii="宋体" w:hAnsi="宋体" w:cs="宋体" w:eastAsia="宋体" w:hint="default"/>
                <w:sz w:val="18"/>
                <w:szCs w:val="18"/>
              </w:rPr>
            </w:pPr>
            <w:r>
              <w:rPr>
                <w:rFonts w:ascii="宋体"/>
                <w:sz w:val="18"/>
              </w:rPr>
              <w:t>000.00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11,000,</w:t>
            </w:r>
          </w:p>
          <w:p>
            <w:pPr>
              <w:pStyle w:val="TableParagraph"/>
              <w:spacing w:line="240" w:lineRule="auto" w:before="33"/>
              <w:ind w:left="206" w:right="0"/>
              <w:jc w:val="left"/>
              <w:rPr>
                <w:rFonts w:ascii="宋体" w:hAnsi="宋体" w:cs="宋体" w:eastAsia="宋体" w:hint="default"/>
                <w:sz w:val="18"/>
                <w:szCs w:val="18"/>
              </w:rPr>
            </w:pPr>
            <w:r>
              <w:rPr>
                <w:rFonts w:ascii="宋体"/>
                <w:sz w:val="18"/>
              </w:rPr>
              <w:t>000.00</w:t>
            </w:r>
          </w:p>
        </w:tc>
        <w:tc>
          <w:tcPr>
            <w:tcW w:w="864"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应</w:t>
            </w:r>
          </w:p>
          <w:p>
            <w:pPr>
              <w:pStyle w:val="TableParagraph"/>
              <w:spacing w:line="232" w:lineRule="exact" w:before="23"/>
              <w:ind w:left="103" w:right="105"/>
              <w:jc w:val="both"/>
              <w:rPr>
                <w:rFonts w:ascii="宋体" w:hAnsi="宋体" w:cs="宋体" w:eastAsia="宋体" w:hint="default"/>
                <w:sz w:val="18"/>
                <w:szCs w:val="18"/>
              </w:rPr>
            </w:pPr>
            <w:r>
              <w:rPr>
                <w:rFonts w:ascii="宋体" w:hAnsi="宋体" w:cs="宋体" w:eastAsia="宋体" w:hint="default"/>
                <w:sz w:val="18"/>
                <w:szCs w:val="18"/>
              </w:rPr>
              <w:t>付 款 项</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117,104</w:t>
            </w:r>
          </w:p>
          <w:p>
            <w:pPr>
              <w:pStyle w:val="TableParagraph"/>
              <w:spacing w:line="240" w:lineRule="auto" w:before="33"/>
              <w:ind w:left="115" w:right="0"/>
              <w:jc w:val="left"/>
              <w:rPr>
                <w:rFonts w:ascii="宋体" w:hAnsi="宋体" w:cs="宋体" w:eastAsia="宋体" w:hint="default"/>
                <w:sz w:val="18"/>
                <w:szCs w:val="18"/>
              </w:rPr>
            </w:pPr>
            <w:r>
              <w:rPr>
                <w:rFonts w:ascii="宋体"/>
                <w:sz w:val="18"/>
              </w:rPr>
              <w:t>,532.00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117,104</w:t>
            </w:r>
          </w:p>
          <w:p>
            <w:pPr>
              <w:pStyle w:val="TableParagraph"/>
              <w:spacing w:line="240" w:lineRule="auto" w:before="33"/>
              <w:ind w:left="115" w:right="0"/>
              <w:jc w:val="left"/>
              <w:rPr>
                <w:rFonts w:ascii="宋体" w:hAnsi="宋体" w:cs="宋体" w:eastAsia="宋体" w:hint="default"/>
                <w:sz w:val="18"/>
                <w:szCs w:val="18"/>
              </w:rPr>
            </w:pPr>
            <w:r>
              <w:rPr>
                <w:rFonts w:ascii="宋体"/>
                <w:sz w:val="18"/>
              </w:rPr>
              <w:t>,532.00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53,766,</w:t>
            </w:r>
          </w:p>
          <w:p>
            <w:pPr>
              <w:pStyle w:val="TableParagraph"/>
              <w:spacing w:line="240" w:lineRule="auto" w:before="33"/>
              <w:ind w:left="206" w:right="0"/>
              <w:jc w:val="left"/>
              <w:rPr>
                <w:rFonts w:ascii="宋体" w:hAnsi="宋体" w:cs="宋体" w:eastAsia="宋体" w:hint="default"/>
                <w:sz w:val="18"/>
                <w:szCs w:val="18"/>
              </w:rPr>
            </w:pPr>
            <w:r>
              <w:rPr>
                <w:rFonts w:ascii="宋体"/>
                <w:sz w:val="18"/>
              </w:rPr>
              <w:t>914.95</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53,766,</w:t>
            </w:r>
          </w:p>
          <w:p>
            <w:pPr>
              <w:pStyle w:val="TableParagraph"/>
              <w:spacing w:line="240" w:lineRule="auto" w:before="33"/>
              <w:ind w:left="208" w:right="0"/>
              <w:jc w:val="left"/>
              <w:rPr>
                <w:rFonts w:ascii="宋体" w:hAnsi="宋体" w:cs="宋体" w:eastAsia="宋体" w:hint="default"/>
                <w:sz w:val="18"/>
                <w:szCs w:val="18"/>
              </w:rPr>
            </w:pPr>
            <w:r>
              <w:rPr>
                <w:rFonts w:ascii="宋体"/>
                <w:sz w:val="18"/>
              </w:rPr>
              <w:t>914.95</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 w:right="0"/>
              <w:jc w:val="center"/>
              <w:rPr>
                <w:rFonts w:ascii="宋体" w:hAnsi="宋体" w:cs="宋体" w:eastAsia="宋体" w:hint="default"/>
                <w:sz w:val="18"/>
                <w:szCs w:val="18"/>
              </w:rPr>
            </w:pPr>
            <w:r>
              <w:rPr>
                <w:rFonts w:ascii="宋体"/>
                <w:sz w:val="18"/>
              </w:rPr>
              <w:t>6,424,6</w:t>
            </w:r>
          </w:p>
          <w:p>
            <w:pPr>
              <w:pStyle w:val="TableParagraph"/>
              <w:spacing w:line="240" w:lineRule="auto" w:before="33"/>
              <w:ind w:left="194" w:right="0"/>
              <w:jc w:val="center"/>
              <w:rPr>
                <w:rFonts w:ascii="宋体" w:hAnsi="宋体" w:cs="宋体" w:eastAsia="宋体" w:hint="default"/>
                <w:sz w:val="18"/>
                <w:szCs w:val="18"/>
              </w:rPr>
            </w:pPr>
            <w:r>
              <w:rPr>
                <w:rFonts w:ascii="宋体"/>
                <w:sz w:val="18"/>
              </w:rPr>
              <w:t>54.43</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6,424,6</w:t>
            </w:r>
          </w:p>
          <w:p>
            <w:pPr>
              <w:pStyle w:val="TableParagraph"/>
              <w:spacing w:line="240" w:lineRule="auto" w:before="33"/>
              <w:ind w:left="197" w:right="0"/>
              <w:jc w:val="center"/>
              <w:rPr>
                <w:rFonts w:ascii="宋体" w:hAnsi="宋体" w:cs="宋体" w:eastAsia="宋体" w:hint="default"/>
                <w:sz w:val="18"/>
                <w:szCs w:val="18"/>
              </w:rPr>
            </w:pPr>
            <w:r>
              <w:rPr>
                <w:rFonts w:ascii="宋体"/>
                <w:sz w:val="18"/>
              </w:rPr>
              <w:t>54.43</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347,926</w:t>
            </w:r>
          </w:p>
          <w:p>
            <w:pPr>
              <w:pStyle w:val="TableParagraph"/>
              <w:spacing w:line="240" w:lineRule="auto" w:before="33"/>
              <w:ind w:left="117" w:right="0"/>
              <w:jc w:val="left"/>
              <w:rPr>
                <w:rFonts w:ascii="宋体" w:hAnsi="宋体" w:cs="宋体" w:eastAsia="宋体" w:hint="default"/>
                <w:sz w:val="18"/>
                <w:szCs w:val="18"/>
              </w:rPr>
            </w:pPr>
            <w:r>
              <w:rPr>
                <w:rFonts w:ascii="宋体"/>
                <w:sz w:val="18"/>
              </w:rPr>
              <w:t>,403.20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347,926</w:t>
            </w:r>
          </w:p>
          <w:p>
            <w:pPr>
              <w:pStyle w:val="TableParagraph"/>
              <w:spacing w:line="240" w:lineRule="auto" w:before="33"/>
              <w:ind w:left="115" w:right="0"/>
              <w:jc w:val="left"/>
              <w:rPr>
                <w:rFonts w:ascii="宋体" w:hAnsi="宋体" w:cs="宋体" w:eastAsia="宋体" w:hint="default"/>
                <w:sz w:val="18"/>
                <w:szCs w:val="18"/>
              </w:rPr>
            </w:pPr>
            <w:r>
              <w:rPr>
                <w:rFonts w:ascii="宋体"/>
                <w:sz w:val="18"/>
              </w:rPr>
              <w:t>,403.20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29,073,</w:t>
            </w:r>
          </w:p>
          <w:p>
            <w:pPr>
              <w:pStyle w:val="TableParagraph"/>
              <w:spacing w:line="240" w:lineRule="auto" w:before="33"/>
              <w:ind w:left="208" w:right="0"/>
              <w:jc w:val="left"/>
              <w:rPr>
                <w:rFonts w:ascii="宋体" w:hAnsi="宋体" w:cs="宋体" w:eastAsia="宋体" w:hint="default"/>
                <w:sz w:val="18"/>
                <w:szCs w:val="18"/>
              </w:rPr>
            </w:pPr>
            <w:r>
              <w:rPr>
                <w:rFonts w:ascii="宋体"/>
                <w:sz w:val="18"/>
              </w:rPr>
              <w:t>294.07</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29,073,</w:t>
            </w:r>
          </w:p>
          <w:p>
            <w:pPr>
              <w:pStyle w:val="TableParagraph"/>
              <w:spacing w:line="240" w:lineRule="auto" w:before="33"/>
              <w:ind w:left="208" w:right="0"/>
              <w:jc w:val="left"/>
              <w:rPr>
                <w:rFonts w:ascii="宋体" w:hAnsi="宋体" w:cs="宋体" w:eastAsia="宋体" w:hint="default"/>
                <w:sz w:val="18"/>
                <w:szCs w:val="18"/>
              </w:rPr>
            </w:pPr>
            <w:r>
              <w:rPr>
                <w:rFonts w:ascii="宋体"/>
                <w:sz w:val="18"/>
              </w:rPr>
              <w:t>294.07</w:t>
            </w:r>
          </w:p>
        </w:tc>
      </w:tr>
      <w:tr>
        <w:trPr>
          <w:trHeight w:val="948"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预</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z w:val="18"/>
                <w:szCs w:val="18"/>
              </w:rPr>
              <w:t>收 款 项</w:t>
            </w:r>
          </w:p>
        </w:tc>
        <w:tc>
          <w:tcPr>
            <w:tcW w:w="864"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3,255,2</w:t>
            </w:r>
          </w:p>
          <w:p>
            <w:pPr>
              <w:pStyle w:val="TableParagraph"/>
              <w:spacing w:line="234" w:lineRule="exact"/>
              <w:ind w:left="192" w:right="0"/>
              <w:jc w:val="center"/>
              <w:rPr>
                <w:rFonts w:ascii="宋体" w:hAnsi="宋体" w:cs="宋体" w:eastAsia="宋体" w:hint="default"/>
                <w:sz w:val="18"/>
                <w:szCs w:val="18"/>
              </w:rPr>
            </w:pPr>
            <w:r>
              <w:rPr>
                <w:rFonts w:ascii="宋体"/>
                <w:sz w:val="18"/>
              </w:rPr>
              <w:t>49.80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 w:right="0"/>
              <w:jc w:val="center"/>
              <w:rPr>
                <w:rFonts w:ascii="宋体" w:hAnsi="宋体" w:cs="宋体" w:eastAsia="宋体" w:hint="default"/>
                <w:sz w:val="18"/>
                <w:szCs w:val="18"/>
              </w:rPr>
            </w:pPr>
            <w:r>
              <w:rPr>
                <w:rFonts w:ascii="宋体"/>
                <w:sz w:val="18"/>
              </w:rPr>
              <w:t>3,255,2</w:t>
            </w:r>
          </w:p>
          <w:p>
            <w:pPr>
              <w:pStyle w:val="TableParagraph"/>
              <w:spacing w:line="234" w:lineRule="exact"/>
              <w:ind w:left="197" w:right="0"/>
              <w:jc w:val="center"/>
              <w:rPr>
                <w:rFonts w:ascii="宋体" w:hAnsi="宋体" w:cs="宋体" w:eastAsia="宋体" w:hint="default"/>
                <w:sz w:val="18"/>
                <w:szCs w:val="18"/>
              </w:rPr>
            </w:pPr>
            <w:r>
              <w:rPr>
                <w:rFonts w:ascii="宋体"/>
                <w:sz w:val="18"/>
              </w:rPr>
              <w:t>49.80</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 w:right="0"/>
              <w:jc w:val="center"/>
              <w:rPr>
                <w:rFonts w:ascii="宋体" w:hAnsi="宋体" w:cs="宋体" w:eastAsia="宋体" w:hint="default"/>
                <w:sz w:val="18"/>
                <w:szCs w:val="18"/>
              </w:rPr>
            </w:pPr>
            <w:r>
              <w:rPr>
                <w:rFonts w:ascii="宋体"/>
                <w:sz w:val="18"/>
              </w:rPr>
              <w:t>4,460,7</w:t>
            </w:r>
          </w:p>
          <w:p>
            <w:pPr>
              <w:pStyle w:val="TableParagraph"/>
              <w:spacing w:line="234" w:lineRule="exact"/>
              <w:ind w:left="194" w:right="0"/>
              <w:jc w:val="center"/>
              <w:rPr>
                <w:rFonts w:ascii="宋体" w:hAnsi="宋体" w:cs="宋体" w:eastAsia="宋体" w:hint="default"/>
                <w:sz w:val="18"/>
                <w:szCs w:val="18"/>
              </w:rPr>
            </w:pPr>
            <w:r>
              <w:rPr>
                <w:rFonts w:ascii="宋体"/>
                <w:sz w:val="18"/>
              </w:rPr>
              <w:t>08.36</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 w:right="0"/>
              <w:jc w:val="center"/>
              <w:rPr>
                <w:rFonts w:ascii="宋体" w:hAnsi="宋体" w:cs="宋体" w:eastAsia="宋体" w:hint="default"/>
                <w:sz w:val="18"/>
                <w:szCs w:val="18"/>
              </w:rPr>
            </w:pPr>
            <w:r>
              <w:rPr>
                <w:rFonts w:ascii="宋体"/>
                <w:sz w:val="18"/>
              </w:rPr>
              <w:t>4,460,7</w:t>
            </w:r>
          </w:p>
          <w:p>
            <w:pPr>
              <w:pStyle w:val="TableParagraph"/>
              <w:spacing w:line="234" w:lineRule="exact"/>
              <w:ind w:left="197" w:right="0"/>
              <w:jc w:val="center"/>
              <w:rPr>
                <w:rFonts w:ascii="宋体" w:hAnsi="宋体" w:cs="宋体" w:eastAsia="宋体" w:hint="default"/>
                <w:sz w:val="18"/>
                <w:szCs w:val="18"/>
              </w:rPr>
            </w:pPr>
            <w:r>
              <w:rPr>
                <w:rFonts w:ascii="宋体"/>
                <w:sz w:val="18"/>
              </w:rPr>
              <w:t>08.36</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42,691,</w:t>
            </w:r>
          </w:p>
          <w:p>
            <w:pPr>
              <w:pStyle w:val="TableParagraph"/>
              <w:spacing w:line="234" w:lineRule="exact"/>
              <w:ind w:left="208" w:right="0"/>
              <w:jc w:val="left"/>
              <w:rPr>
                <w:rFonts w:ascii="宋体" w:hAnsi="宋体" w:cs="宋体" w:eastAsia="宋体" w:hint="default"/>
                <w:sz w:val="18"/>
                <w:szCs w:val="18"/>
              </w:rPr>
            </w:pPr>
            <w:r>
              <w:rPr>
                <w:rFonts w:ascii="宋体"/>
                <w:sz w:val="18"/>
              </w:rPr>
              <w:t>666.33</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42,691,</w:t>
            </w:r>
          </w:p>
          <w:p>
            <w:pPr>
              <w:pStyle w:val="TableParagraph"/>
              <w:spacing w:line="234" w:lineRule="exact"/>
              <w:ind w:left="206" w:right="0"/>
              <w:jc w:val="left"/>
              <w:rPr>
                <w:rFonts w:ascii="宋体" w:hAnsi="宋体" w:cs="宋体" w:eastAsia="宋体" w:hint="default"/>
                <w:sz w:val="18"/>
                <w:szCs w:val="18"/>
              </w:rPr>
            </w:pPr>
            <w:r>
              <w:rPr>
                <w:rFonts w:ascii="宋体"/>
                <w:sz w:val="18"/>
              </w:rPr>
              <w:t>666.33</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 w:right="0"/>
              <w:jc w:val="center"/>
              <w:rPr>
                <w:rFonts w:ascii="宋体" w:hAnsi="宋体" w:cs="宋体" w:eastAsia="宋体" w:hint="default"/>
                <w:sz w:val="18"/>
                <w:szCs w:val="18"/>
              </w:rPr>
            </w:pPr>
            <w:r>
              <w:rPr>
                <w:rFonts w:ascii="宋体"/>
                <w:sz w:val="18"/>
              </w:rPr>
              <w:t>9,473,4</w:t>
            </w:r>
          </w:p>
          <w:p>
            <w:pPr>
              <w:pStyle w:val="TableParagraph"/>
              <w:spacing w:line="234" w:lineRule="exact"/>
              <w:ind w:left="197" w:right="0"/>
              <w:jc w:val="center"/>
              <w:rPr>
                <w:rFonts w:ascii="宋体" w:hAnsi="宋体" w:cs="宋体" w:eastAsia="宋体" w:hint="default"/>
                <w:sz w:val="18"/>
                <w:szCs w:val="18"/>
              </w:rPr>
            </w:pPr>
            <w:r>
              <w:rPr>
                <w:rFonts w:ascii="宋体"/>
                <w:sz w:val="18"/>
              </w:rPr>
              <w:t>02.94</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5" w:right="0"/>
              <w:jc w:val="center"/>
              <w:rPr>
                <w:rFonts w:ascii="宋体" w:hAnsi="宋体" w:cs="宋体" w:eastAsia="宋体" w:hint="default"/>
                <w:sz w:val="18"/>
                <w:szCs w:val="18"/>
              </w:rPr>
            </w:pPr>
            <w:r>
              <w:rPr>
                <w:rFonts w:ascii="宋体"/>
                <w:sz w:val="18"/>
              </w:rPr>
              <w:t>9,473,4</w:t>
            </w:r>
          </w:p>
          <w:p>
            <w:pPr>
              <w:pStyle w:val="TableParagraph"/>
              <w:spacing w:line="234" w:lineRule="exact"/>
              <w:ind w:left="195" w:right="0"/>
              <w:jc w:val="center"/>
              <w:rPr>
                <w:rFonts w:ascii="宋体" w:hAnsi="宋体" w:cs="宋体" w:eastAsia="宋体" w:hint="default"/>
                <w:sz w:val="18"/>
                <w:szCs w:val="18"/>
              </w:rPr>
            </w:pPr>
            <w:r>
              <w:rPr>
                <w:rFonts w:ascii="宋体"/>
                <w:sz w:val="18"/>
              </w:rPr>
              <w:t>02.94</w:t>
            </w:r>
          </w:p>
        </w:tc>
      </w:tr>
      <w:tr>
        <w:trPr>
          <w:trHeight w:val="482"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付</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2,030,4</w:t>
            </w:r>
          </w:p>
          <w:p>
            <w:pPr>
              <w:pStyle w:val="TableParagraph"/>
              <w:spacing w:line="240" w:lineRule="auto"/>
              <w:ind w:left="192" w:right="0"/>
              <w:jc w:val="center"/>
              <w:rPr>
                <w:rFonts w:ascii="宋体" w:hAnsi="宋体" w:cs="宋体" w:eastAsia="宋体" w:hint="default"/>
                <w:sz w:val="18"/>
                <w:szCs w:val="18"/>
              </w:rPr>
            </w:pPr>
            <w:r>
              <w:rPr>
                <w:rFonts w:ascii="宋体"/>
                <w:sz w:val="18"/>
              </w:rPr>
              <w:t>51.47</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2,030,4</w:t>
            </w:r>
          </w:p>
          <w:p>
            <w:pPr>
              <w:pStyle w:val="TableParagraph"/>
              <w:spacing w:line="240" w:lineRule="auto"/>
              <w:ind w:left="192" w:right="0"/>
              <w:jc w:val="center"/>
              <w:rPr>
                <w:rFonts w:ascii="宋体" w:hAnsi="宋体" w:cs="宋体" w:eastAsia="宋体" w:hint="default"/>
                <w:sz w:val="18"/>
                <w:szCs w:val="18"/>
              </w:rPr>
            </w:pPr>
            <w:r>
              <w:rPr>
                <w:rFonts w:ascii="宋体"/>
                <w:sz w:val="18"/>
              </w:rPr>
              <w:t>51.47</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1,047,5</w:t>
            </w:r>
          </w:p>
          <w:p>
            <w:pPr>
              <w:pStyle w:val="TableParagraph"/>
              <w:spacing w:line="240" w:lineRule="auto"/>
              <w:ind w:left="192" w:right="0"/>
              <w:jc w:val="center"/>
              <w:rPr>
                <w:rFonts w:ascii="宋体" w:hAnsi="宋体" w:cs="宋体" w:eastAsia="宋体" w:hint="default"/>
                <w:sz w:val="18"/>
                <w:szCs w:val="18"/>
              </w:rPr>
            </w:pPr>
            <w:r>
              <w:rPr>
                <w:rFonts w:ascii="宋体"/>
                <w:sz w:val="18"/>
              </w:rPr>
              <w:t>33.86</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1,047,5</w:t>
            </w:r>
          </w:p>
          <w:p>
            <w:pPr>
              <w:pStyle w:val="TableParagraph"/>
              <w:spacing w:line="240" w:lineRule="auto"/>
              <w:ind w:left="197" w:right="0"/>
              <w:jc w:val="center"/>
              <w:rPr>
                <w:rFonts w:ascii="宋体" w:hAnsi="宋体" w:cs="宋体" w:eastAsia="宋体" w:hint="default"/>
                <w:sz w:val="18"/>
                <w:szCs w:val="18"/>
              </w:rPr>
            </w:pPr>
            <w:r>
              <w:rPr>
                <w:rFonts w:ascii="宋体"/>
                <w:sz w:val="18"/>
              </w:rPr>
              <w:t>33.86</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608,400</w:t>
            </w:r>
          </w:p>
          <w:p>
            <w:pPr>
              <w:pStyle w:val="TableParagraph"/>
              <w:spacing w:line="240" w:lineRule="auto"/>
              <w:ind w:left="477" w:right="0"/>
              <w:jc w:val="left"/>
              <w:rPr>
                <w:rFonts w:ascii="宋体" w:hAnsi="宋体" w:cs="宋体" w:eastAsia="宋体" w:hint="default"/>
                <w:sz w:val="18"/>
                <w:szCs w:val="18"/>
              </w:rPr>
            </w:pPr>
            <w:r>
              <w:rPr>
                <w:rFonts w:ascii="宋体"/>
                <w:sz w:val="18"/>
              </w:rPr>
              <w:t>.14</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608,400</w:t>
            </w:r>
          </w:p>
          <w:p>
            <w:pPr>
              <w:pStyle w:val="TableParagraph"/>
              <w:spacing w:line="240" w:lineRule="auto"/>
              <w:ind w:left="477" w:right="0"/>
              <w:jc w:val="left"/>
              <w:rPr>
                <w:rFonts w:ascii="宋体" w:hAnsi="宋体" w:cs="宋体" w:eastAsia="宋体" w:hint="default"/>
                <w:sz w:val="18"/>
                <w:szCs w:val="18"/>
              </w:rPr>
            </w:pPr>
            <w:r>
              <w:rPr>
                <w:rFonts w:ascii="宋体"/>
                <w:sz w:val="18"/>
              </w:rPr>
              <w:t>.14</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 w:right="0"/>
              <w:jc w:val="center"/>
              <w:rPr>
                <w:rFonts w:ascii="宋体" w:hAnsi="宋体" w:cs="宋体" w:eastAsia="宋体" w:hint="default"/>
                <w:sz w:val="18"/>
                <w:szCs w:val="18"/>
              </w:rPr>
            </w:pPr>
            <w:r>
              <w:rPr>
                <w:rFonts w:ascii="宋体"/>
                <w:sz w:val="18"/>
              </w:rPr>
              <w:t>2,581,5</w:t>
            </w:r>
          </w:p>
          <w:p>
            <w:pPr>
              <w:pStyle w:val="TableParagraph"/>
              <w:spacing w:line="240" w:lineRule="auto"/>
              <w:ind w:left="195" w:right="0"/>
              <w:jc w:val="center"/>
              <w:rPr>
                <w:rFonts w:ascii="宋体" w:hAnsi="宋体" w:cs="宋体" w:eastAsia="宋体" w:hint="default"/>
                <w:sz w:val="18"/>
                <w:szCs w:val="18"/>
              </w:rPr>
            </w:pPr>
            <w:r>
              <w:rPr>
                <w:rFonts w:ascii="宋体"/>
                <w:sz w:val="18"/>
              </w:rPr>
              <w:t>68.40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2,581,5</w:t>
            </w:r>
          </w:p>
          <w:p>
            <w:pPr>
              <w:pStyle w:val="TableParagraph"/>
              <w:spacing w:line="240" w:lineRule="auto"/>
              <w:ind w:left="192" w:right="0"/>
              <w:jc w:val="center"/>
              <w:rPr>
                <w:rFonts w:ascii="宋体" w:hAnsi="宋体" w:cs="宋体" w:eastAsia="宋体" w:hint="default"/>
                <w:sz w:val="18"/>
                <w:szCs w:val="18"/>
              </w:rPr>
            </w:pPr>
            <w:r>
              <w:rPr>
                <w:rFonts w:ascii="宋体"/>
                <w:sz w:val="18"/>
              </w:rPr>
              <w:t>68.40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2,543,8</w:t>
            </w:r>
          </w:p>
          <w:p>
            <w:pPr>
              <w:pStyle w:val="TableParagraph"/>
              <w:spacing w:line="240" w:lineRule="auto"/>
              <w:ind w:left="197" w:right="0"/>
              <w:jc w:val="center"/>
              <w:rPr>
                <w:rFonts w:ascii="宋体" w:hAnsi="宋体" w:cs="宋体" w:eastAsia="宋体" w:hint="default"/>
                <w:sz w:val="18"/>
                <w:szCs w:val="18"/>
              </w:rPr>
            </w:pPr>
            <w:r>
              <w:rPr>
                <w:rFonts w:ascii="宋体"/>
                <w:sz w:val="18"/>
              </w:rPr>
              <w:t>50.99</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 w:right="0"/>
              <w:jc w:val="center"/>
              <w:rPr>
                <w:rFonts w:ascii="宋体" w:hAnsi="宋体" w:cs="宋体" w:eastAsia="宋体" w:hint="default"/>
                <w:sz w:val="18"/>
                <w:szCs w:val="18"/>
              </w:rPr>
            </w:pPr>
            <w:r>
              <w:rPr>
                <w:rFonts w:ascii="宋体"/>
                <w:sz w:val="18"/>
              </w:rPr>
              <w:t>2,543,8</w:t>
            </w:r>
          </w:p>
          <w:p>
            <w:pPr>
              <w:pStyle w:val="TableParagraph"/>
              <w:spacing w:line="240" w:lineRule="auto"/>
              <w:ind w:left="195" w:right="0"/>
              <w:jc w:val="center"/>
              <w:rPr>
                <w:rFonts w:ascii="宋体" w:hAnsi="宋体" w:cs="宋体" w:eastAsia="宋体" w:hint="default"/>
                <w:sz w:val="18"/>
                <w:szCs w:val="18"/>
              </w:rPr>
            </w:pPr>
            <w:r>
              <w:rPr>
                <w:rFonts w:ascii="宋体"/>
                <w:sz w:val="18"/>
              </w:rPr>
              <w:t>50.99</w:t>
            </w:r>
          </w:p>
        </w:tc>
      </w:tr>
    </w:tbl>
    <w:p>
      <w:pPr>
        <w:spacing w:after="0" w:line="240" w:lineRule="auto"/>
        <w:jc w:val="center"/>
        <w:rPr>
          <w:rFonts w:ascii="宋体" w:hAnsi="宋体" w:cs="宋体" w:eastAsia="宋体" w:hint="default"/>
          <w:sz w:val="18"/>
          <w:szCs w:val="18"/>
        </w:rPr>
        <w:sectPr>
          <w:footerReference w:type="default" r:id="rId57"/>
          <w:pgSz w:w="11910" w:h="16840"/>
          <w:pgMar w:footer="1193" w:header="856" w:top="1280" w:bottom="1380" w:left="1580" w:right="1040"/>
        </w:sectPr>
      </w:pPr>
    </w:p>
    <w:p>
      <w:pPr>
        <w:spacing w:line="240" w:lineRule="auto" w:before="5"/>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403"/>
        <w:gridCol w:w="864"/>
        <w:gridCol w:w="865"/>
        <w:gridCol w:w="864"/>
        <w:gridCol w:w="864"/>
        <w:gridCol w:w="867"/>
        <w:gridCol w:w="864"/>
        <w:gridCol w:w="866"/>
        <w:gridCol w:w="865"/>
        <w:gridCol w:w="864"/>
        <w:gridCol w:w="866"/>
      </w:tblGrid>
      <w:tr>
        <w:trPr>
          <w:trHeight w:val="951"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职</w:t>
            </w:r>
          </w:p>
          <w:p>
            <w:pPr>
              <w:pStyle w:val="TableParagraph"/>
              <w:spacing w:line="232" w:lineRule="exact" w:before="23"/>
              <w:ind w:left="103" w:right="105"/>
              <w:jc w:val="both"/>
              <w:rPr>
                <w:rFonts w:ascii="宋体" w:hAnsi="宋体" w:cs="宋体" w:eastAsia="宋体" w:hint="default"/>
                <w:sz w:val="18"/>
                <w:szCs w:val="18"/>
              </w:rPr>
            </w:pPr>
            <w:r>
              <w:rPr>
                <w:rFonts w:ascii="宋体" w:hAnsi="宋体" w:cs="宋体" w:eastAsia="宋体" w:hint="default"/>
                <w:sz w:val="18"/>
                <w:szCs w:val="18"/>
              </w:rPr>
              <w:t>工 薪 酬</w:t>
            </w:r>
          </w:p>
        </w:tc>
        <w:tc>
          <w:tcPr>
            <w:tcW w:w="864"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应</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z w:val="18"/>
                <w:szCs w:val="18"/>
              </w:rPr>
              <w:t>交 税 费</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9,200,7</w:t>
            </w:r>
          </w:p>
          <w:p>
            <w:pPr>
              <w:pStyle w:val="TableParagraph"/>
              <w:spacing w:line="234" w:lineRule="exact"/>
              <w:ind w:left="192" w:right="0"/>
              <w:jc w:val="center"/>
              <w:rPr>
                <w:rFonts w:ascii="宋体" w:hAnsi="宋体" w:cs="宋体" w:eastAsia="宋体" w:hint="default"/>
                <w:sz w:val="18"/>
                <w:szCs w:val="18"/>
              </w:rPr>
            </w:pPr>
            <w:r>
              <w:rPr>
                <w:rFonts w:ascii="宋体"/>
                <w:sz w:val="18"/>
              </w:rPr>
              <w:t>47.71</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9,200,7</w:t>
            </w:r>
          </w:p>
          <w:p>
            <w:pPr>
              <w:pStyle w:val="TableParagraph"/>
              <w:spacing w:line="234" w:lineRule="exact"/>
              <w:ind w:left="192" w:right="0"/>
              <w:jc w:val="center"/>
              <w:rPr>
                <w:rFonts w:ascii="宋体" w:hAnsi="宋体" w:cs="宋体" w:eastAsia="宋体" w:hint="default"/>
                <w:sz w:val="18"/>
                <w:szCs w:val="18"/>
              </w:rPr>
            </w:pPr>
            <w:r>
              <w:rPr>
                <w:rFonts w:ascii="宋体"/>
                <w:sz w:val="18"/>
              </w:rPr>
              <w:t>47.71</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1,589,1</w:t>
            </w:r>
          </w:p>
          <w:p>
            <w:pPr>
              <w:pStyle w:val="TableParagraph"/>
              <w:spacing w:line="234" w:lineRule="exact"/>
              <w:ind w:left="192" w:right="0"/>
              <w:jc w:val="center"/>
              <w:rPr>
                <w:rFonts w:ascii="宋体" w:hAnsi="宋体" w:cs="宋体" w:eastAsia="宋体" w:hint="default"/>
                <w:sz w:val="18"/>
                <w:szCs w:val="18"/>
              </w:rPr>
            </w:pPr>
            <w:r>
              <w:rPr>
                <w:rFonts w:ascii="宋体"/>
                <w:sz w:val="18"/>
              </w:rPr>
              <w:t>42.44</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 w:right="0"/>
              <w:jc w:val="center"/>
              <w:rPr>
                <w:rFonts w:ascii="宋体" w:hAnsi="宋体" w:cs="宋体" w:eastAsia="宋体" w:hint="default"/>
                <w:sz w:val="18"/>
                <w:szCs w:val="18"/>
              </w:rPr>
            </w:pPr>
            <w:r>
              <w:rPr>
                <w:rFonts w:ascii="宋体"/>
                <w:sz w:val="18"/>
              </w:rPr>
              <w:t>1,589,1</w:t>
            </w:r>
          </w:p>
          <w:p>
            <w:pPr>
              <w:pStyle w:val="TableParagraph"/>
              <w:spacing w:line="234" w:lineRule="exact"/>
              <w:ind w:left="197" w:right="0"/>
              <w:jc w:val="center"/>
              <w:rPr>
                <w:rFonts w:ascii="宋体" w:hAnsi="宋体" w:cs="宋体" w:eastAsia="宋体" w:hint="default"/>
                <w:sz w:val="18"/>
                <w:szCs w:val="18"/>
              </w:rPr>
            </w:pPr>
            <w:r>
              <w:rPr>
                <w:rFonts w:ascii="宋体"/>
                <w:sz w:val="18"/>
              </w:rPr>
              <w:t>42.44</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 w:right="0"/>
              <w:jc w:val="center"/>
              <w:rPr>
                <w:rFonts w:ascii="宋体" w:hAnsi="宋体" w:cs="宋体" w:eastAsia="宋体" w:hint="default"/>
                <w:sz w:val="18"/>
                <w:szCs w:val="18"/>
              </w:rPr>
            </w:pPr>
            <w:r>
              <w:rPr>
                <w:rFonts w:ascii="宋体"/>
                <w:sz w:val="18"/>
              </w:rPr>
              <w:t>2,047,9</w:t>
            </w:r>
          </w:p>
          <w:p>
            <w:pPr>
              <w:pStyle w:val="TableParagraph"/>
              <w:spacing w:line="234" w:lineRule="exact"/>
              <w:ind w:left="194" w:right="0"/>
              <w:jc w:val="center"/>
              <w:rPr>
                <w:rFonts w:ascii="宋体" w:hAnsi="宋体" w:cs="宋体" w:eastAsia="宋体" w:hint="default"/>
                <w:sz w:val="18"/>
                <w:szCs w:val="18"/>
              </w:rPr>
            </w:pPr>
            <w:r>
              <w:rPr>
                <w:rFonts w:ascii="宋体"/>
                <w:sz w:val="18"/>
              </w:rPr>
              <w:t>67.32</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 w:right="0"/>
              <w:jc w:val="center"/>
              <w:rPr>
                <w:rFonts w:ascii="宋体" w:hAnsi="宋体" w:cs="宋体" w:eastAsia="宋体" w:hint="default"/>
                <w:sz w:val="18"/>
                <w:szCs w:val="18"/>
              </w:rPr>
            </w:pPr>
            <w:r>
              <w:rPr>
                <w:rFonts w:ascii="宋体"/>
                <w:sz w:val="18"/>
              </w:rPr>
              <w:t>2,047,9</w:t>
            </w:r>
          </w:p>
          <w:p>
            <w:pPr>
              <w:pStyle w:val="TableParagraph"/>
              <w:spacing w:line="234" w:lineRule="exact"/>
              <w:ind w:left="197" w:right="0"/>
              <w:jc w:val="center"/>
              <w:rPr>
                <w:rFonts w:ascii="宋体" w:hAnsi="宋体" w:cs="宋体" w:eastAsia="宋体" w:hint="default"/>
                <w:sz w:val="18"/>
                <w:szCs w:val="18"/>
              </w:rPr>
            </w:pPr>
            <w:r>
              <w:rPr>
                <w:rFonts w:ascii="宋体"/>
                <w:sz w:val="18"/>
              </w:rPr>
              <w:t>67.32</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5" w:right="0"/>
              <w:jc w:val="center"/>
              <w:rPr>
                <w:rFonts w:ascii="宋体" w:hAnsi="宋体" w:cs="宋体" w:eastAsia="宋体" w:hint="default"/>
                <w:sz w:val="18"/>
                <w:szCs w:val="18"/>
              </w:rPr>
            </w:pPr>
            <w:r>
              <w:rPr>
                <w:rFonts w:ascii="宋体"/>
                <w:sz w:val="18"/>
              </w:rPr>
              <w:t>4,485,2</w:t>
            </w:r>
          </w:p>
          <w:p>
            <w:pPr>
              <w:pStyle w:val="TableParagraph"/>
              <w:spacing w:line="234" w:lineRule="exact"/>
              <w:ind w:left="195" w:right="0"/>
              <w:jc w:val="center"/>
              <w:rPr>
                <w:rFonts w:ascii="宋体" w:hAnsi="宋体" w:cs="宋体" w:eastAsia="宋体" w:hint="default"/>
                <w:sz w:val="18"/>
                <w:szCs w:val="18"/>
              </w:rPr>
            </w:pPr>
            <w:r>
              <w:rPr>
                <w:rFonts w:ascii="宋体"/>
                <w:sz w:val="18"/>
              </w:rPr>
              <w:t>09.06</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4,485,2</w:t>
            </w:r>
          </w:p>
          <w:p>
            <w:pPr>
              <w:pStyle w:val="TableParagraph"/>
              <w:spacing w:line="234" w:lineRule="exact"/>
              <w:ind w:left="192" w:right="0"/>
              <w:jc w:val="center"/>
              <w:rPr>
                <w:rFonts w:ascii="宋体" w:hAnsi="宋体" w:cs="宋体" w:eastAsia="宋体" w:hint="default"/>
                <w:sz w:val="18"/>
                <w:szCs w:val="18"/>
              </w:rPr>
            </w:pPr>
            <w:r>
              <w:rPr>
                <w:rFonts w:ascii="宋体"/>
                <w:sz w:val="18"/>
              </w:rPr>
              <w:t>09.06</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 w:right="0"/>
              <w:jc w:val="center"/>
              <w:rPr>
                <w:rFonts w:ascii="宋体" w:hAnsi="宋体" w:cs="宋体" w:eastAsia="宋体" w:hint="default"/>
                <w:sz w:val="18"/>
                <w:szCs w:val="18"/>
              </w:rPr>
            </w:pPr>
            <w:r>
              <w:rPr>
                <w:rFonts w:ascii="宋体"/>
                <w:sz w:val="18"/>
              </w:rPr>
              <w:t>4,251,7</w:t>
            </w:r>
          </w:p>
          <w:p>
            <w:pPr>
              <w:pStyle w:val="TableParagraph"/>
              <w:spacing w:line="234" w:lineRule="exact"/>
              <w:ind w:left="197" w:right="0"/>
              <w:jc w:val="center"/>
              <w:rPr>
                <w:rFonts w:ascii="宋体" w:hAnsi="宋体" w:cs="宋体" w:eastAsia="宋体" w:hint="default"/>
                <w:sz w:val="18"/>
                <w:szCs w:val="18"/>
              </w:rPr>
            </w:pPr>
            <w:r>
              <w:rPr>
                <w:rFonts w:ascii="宋体"/>
                <w:sz w:val="18"/>
              </w:rPr>
              <w:t>87.84</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5" w:right="0"/>
              <w:jc w:val="center"/>
              <w:rPr>
                <w:rFonts w:ascii="宋体" w:hAnsi="宋体" w:cs="宋体" w:eastAsia="宋体" w:hint="default"/>
                <w:sz w:val="18"/>
                <w:szCs w:val="18"/>
              </w:rPr>
            </w:pPr>
            <w:r>
              <w:rPr>
                <w:rFonts w:ascii="宋体"/>
                <w:sz w:val="18"/>
              </w:rPr>
              <w:t>4,251,7</w:t>
            </w:r>
          </w:p>
          <w:p>
            <w:pPr>
              <w:pStyle w:val="TableParagraph"/>
              <w:spacing w:line="234" w:lineRule="exact"/>
              <w:ind w:left="195" w:right="0"/>
              <w:jc w:val="center"/>
              <w:rPr>
                <w:rFonts w:ascii="宋体" w:hAnsi="宋体" w:cs="宋体" w:eastAsia="宋体" w:hint="default"/>
                <w:sz w:val="18"/>
                <w:szCs w:val="18"/>
              </w:rPr>
            </w:pPr>
            <w:r>
              <w:rPr>
                <w:rFonts w:ascii="宋体"/>
                <w:sz w:val="18"/>
              </w:rPr>
              <w:t>87.84</w:t>
            </w:r>
          </w:p>
        </w:tc>
      </w:tr>
      <w:tr>
        <w:trPr>
          <w:trHeight w:val="948"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应</w:t>
            </w:r>
          </w:p>
          <w:p>
            <w:pPr>
              <w:pStyle w:val="TableParagraph"/>
              <w:spacing w:line="232" w:lineRule="exact" w:before="24"/>
              <w:ind w:left="103" w:right="105"/>
              <w:jc w:val="both"/>
              <w:rPr>
                <w:rFonts w:ascii="宋体" w:hAnsi="宋体" w:cs="宋体" w:eastAsia="宋体" w:hint="default"/>
                <w:sz w:val="18"/>
                <w:szCs w:val="18"/>
              </w:rPr>
            </w:pPr>
            <w:r>
              <w:rPr>
                <w:rFonts w:ascii="宋体" w:hAnsi="宋体" w:cs="宋体" w:eastAsia="宋体" w:hint="default"/>
                <w:sz w:val="18"/>
                <w:szCs w:val="18"/>
              </w:rPr>
              <w:t>付 股 利</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295,218</w:t>
            </w:r>
          </w:p>
          <w:p>
            <w:pPr>
              <w:pStyle w:val="TableParagraph"/>
              <w:spacing w:line="240" w:lineRule="auto"/>
              <w:ind w:left="475" w:right="0"/>
              <w:jc w:val="left"/>
              <w:rPr>
                <w:rFonts w:ascii="宋体" w:hAnsi="宋体" w:cs="宋体" w:eastAsia="宋体" w:hint="default"/>
                <w:sz w:val="18"/>
                <w:szCs w:val="18"/>
              </w:rPr>
            </w:pPr>
            <w:r>
              <w:rPr>
                <w:rFonts w:ascii="宋体"/>
                <w:sz w:val="18"/>
              </w:rPr>
              <w:t>.30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295,218</w:t>
            </w:r>
          </w:p>
          <w:p>
            <w:pPr>
              <w:pStyle w:val="TableParagraph"/>
              <w:spacing w:line="240" w:lineRule="auto"/>
              <w:ind w:left="475" w:right="0"/>
              <w:jc w:val="left"/>
              <w:rPr>
                <w:rFonts w:ascii="宋体" w:hAnsi="宋体" w:cs="宋体" w:eastAsia="宋体" w:hint="default"/>
                <w:sz w:val="18"/>
                <w:szCs w:val="18"/>
              </w:rPr>
            </w:pPr>
            <w:r>
              <w:rPr>
                <w:rFonts w:ascii="宋体"/>
                <w:sz w:val="18"/>
              </w:rPr>
              <w:t>.30</w:t>
            </w:r>
          </w:p>
        </w:tc>
        <w:tc>
          <w:tcPr>
            <w:tcW w:w="864"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r>
        <w:trPr>
          <w:trHeight w:val="1184"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z w:val="18"/>
                <w:szCs w:val="18"/>
              </w:rPr>
              <w:t>他 应 付 款</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918,508</w:t>
            </w:r>
          </w:p>
          <w:p>
            <w:pPr>
              <w:pStyle w:val="TableParagraph"/>
              <w:spacing w:line="234" w:lineRule="exact"/>
              <w:ind w:left="475" w:right="0"/>
              <w:jc w:val="left"/>
              <w:rPr>
                <w:rFonts w:ascii="宋体" w:hAnsi="宋体" w:cs="宋体" w:eastAsia="宋体" w:hint="default"/>
                <w:sz w:val="18"/>
                <w:szCs w:val="18"/>
              </w:rPr>
            </w:pPr>
            <w:r>
              <w:rPr>
                <w:rFonts w:ascii="宋体"/>
                <w:sz w:val="18"/>
              </w:rPr>
              <w:t>.21</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918,508</w:t>
            </w:r>
          </w:p>
          <w:p>
            <w:pPr>
              <w:pStyle w:val="TableParagraph"/>
              <w:spacing w:line="234" w:lineRule="exact"/>
              <w:ind w:left="475" w:right="0"/>
              <w:jc w:val="left"/>
              <w:rPr>
                <w:rFonts w:ascii="宋体" w:hAnsi="宋体" w:cs="宋体" w:eastAsia="宋体" w:hint="default"/>
                <w:sz w:val="18"/>
                <w:szCs w:val="18"/>
              </w:rPr>
            </w:pPr>
            <w:r>
              <w:rPr>
                <w:rFonts w:ascii="宋体"/>
                <w:sz w:val="18"/>
              </w:rPr>
              <w:t>.21</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226,196</w:t>
            </w:r>
          </w:p>
          <w:p>
            <w:pPr>
              <w:pStyle w:val="TableParagraph"/>
              <w:spacing w:line="234" w:lineRule="exact"/>
              <w:ind w:left="475" w:right="0"/>
              <w:jc w:val="left"/>
              <w:rPr>
                <w:rFonts w:ascii="宋体" w:hAnsi="宋体" w:cs="宋体" w:eastAsia="宋体" w:hint="default"/>
                <w:sz w:val="18"/>
                <w:szCs w:val="18"/>
              </w:rPr>
            </w:pPr>
            <w:r>
              <w:rPr>
                <w:rFonts w:ascii="宋体"/>
                <w:sz w:val="18"/>
              </w:rPr>
              <w:t>.08</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226,196</w:t>
            </w:r>
          </w:p>
          <w:p>
            <w:pPr>
              <w:pStyle w:val="TableParagraph"/>
              <w:spacing w:line="234" w:lineRule="exact"/>
              <w:ind w:left="477" w:right="0"/>
              <w:jc w:val="left"/>
              <w:rPr>
                <w:rFonts w:ascii="宋体" w:hAnsi="宋体" w:cs="宋体" w:eastAsia="宋体" w:hint="default"/>
                <w:sz w:val="18"/>
                <w:szCs w:val="18"/>
              </w:rPr>
            </w:pPr>
            <w:r>
              <w:rPr>
                <w:rFonts w:ascii="宋体"/>
                <w:sz w:val="18"/>
              </w:rPr>
              <w:t>.08</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4" w:right="0"/>
              <w:jc w:val="center"/>
              <w:rPr>
                <w:rFonts w:ascii="宋体" w:hAnsi="宋体" w:cs="宋体" w:eastAsia="宋体" w:hint="default"/>
                <w:sz w:val="18"/>
                <w:szCs w:val="18"/>
              </w:rPr>
            </w:pPr>
            <w:r>
              <w:rPr>
                <w:rFonts w:ascii="宋体"/>
                <w:sz w:val="18"/>
              </w:rPr>
              <w:t>1,126,0</w:t>
            </w:r>
          </w:p>
          <w:p>
            <w:pPr>
              <w:pStyle w:val="TableParagraph"/>
              <w:spacing w:line="234" w:lineRule="exact"/>
              <w:ind w:left="194" w:right="0"/>
              <w:jc w:val="center"/>
              <w:rPr>
                <w:rFonts w:ascii="宋体" w:hAnsi="宋体" w:cs="宋体" w:eastAsia="宋体" w:hint="default"/>
                <w:sz w:val="18"/>
                <w:szCs w:val="18"/>
              </w:rPr>
            </w:pPr>
            <w:r>
              <w:rPr>
                <w:rFonts w:ascii="宋体"/>
                <w:sz w:val="18"/>
              </w:rPr>
              <w:t>34.63</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 w:right="0"/>
              <w:jc w:val="center"/>
              <w:rPr>
                <w:rFonts w:ascii="宋体" w:hAnsi="宋体" w:cs="宋体" w:eastAsia="宋体" w:hint="default"/>
                <w:sz w:val="18"/>
                <w:szCs w:val="18"/>
              </w:rPr>
            </w:pPr>
            <w:r>
              <w:rPr>
                <w:rFonts w:ascii="宋体"/>
                <w:sz w:val="18"/>
              </w:rPr>
              <w:t>1,126,0</w:t>
            </w:r>
          </w:p>
          <w:p>
            <w:pPr>
              <w:pStyle w:val="TableParagraph"/>
              <w:spacing w:line="234" w:lineRule="exact"/>
              <w:ind w:left="197" w:right="0"/>
              <w:jc w:val="center"/>
              <w:rPr>
                <w:rFonts w:ascii="宋体" w:hAnsi="宋体" w:cs="宋体" w:eastAsia="宋体" w:hint="default"/>
                <w:sz w:val="18"/>
                <w:szCs w:val="18"/>
              </w:rPr>
            </w:pPr>
            <w:r>
              <w:rPr>
                <w:rFonts w:ascii="宋体"/>
                <w:sz w:val="18"/>
              </w:rPr>
              <w:t>34.63</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29,540,</w:t>
            </w:r>
          </w:p>
          <w:p>
            <w:pPr>
              <w:pStyle w:val="TableParagraph"/>
              <w:spacing w:line="234" w:lineRule="exact"/>
              <w:ind w:left="208" w:right="0"/>
              <w:jc w:val="left"/>
              <w:rPr>
                <w:rFonts w:ascii="宋体" w:hAnsi="宋体" w:cs="宋体" w:eastAsia="宋体" w:hint="default"/>
                <w:sz w:val="18"/>
                <w:szCs w:val="18"/>
              </w:rPr>
            </w:pPr>
            <w:r>
              <w:rPr>
                <w:rFonts w:ascii="宋体"/>
                <w:sz w:val="18"/>
              </w:rPr>
              <w:t>949.49</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29,540,</w:t>
            </w:r>
          </w:p>
          <w:p>
            <w:pPr>
              <w:pStyle w:val="TableParagraph"/>
              <w:spacing w:line="234" w:lineRule="exact"/>
              <w:ind w:left="206" w:right="0"/>
              <w:jc w:val="left"/>
              <w:rPr>
                <w:rFonts w:ascii="宋体" w:hAnsi="宋体" w:cs="宋体" w:eastAsia="宋体" w:hint="default"/>
                <w:sz w:val="18"/>
                <w:szCs w:val="18"/>
              </w:rPr>
            </w:pPr>
            <w:r>
              <w:rPr>
                <w:rFonts w:ascii="宋体"/>
                <w:sz w:val="18"/>
              </w:rPr>
              <w:t>949.49</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226,905</w:t>
            </w:r>
          </w:p>
          <w:p>
            <w:pPr>
              <w:pStyle w:val="TableParagraph"/>
              <w:spacing w:line="234" w:lineRule="exact"/>
              <w:ind w:left="477" w:right="0"/>
              <w:jc w:val="left"/>
              <w:rPr>
                <w:rFonts w:ascii="宋体" w:hAnsi="宋体" w:cs="宋体" w:eastAsia="宋体" w:hint="default"/>
                <w:sz w:val="18"/>
                <w:szCs w:val="18"/>
              </w:rPr>
            </w:pPr>
            <w:r>
              <w:rPr>
                <w:rFonts w:ascii="宋体"/>
                <w:sz w:val="18"/>
              </w:rPr>
              <w:t>.47</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226,905</w:t>
            </w:r>
          </w:p>
          <w:p>
            <w:pPr>
              <w:pStyle w:val="TableParagraph"/>
              <w:spacing w:line="234" w:lineRule="exact"/>
              <w:ind w:left="477" w:right="0"/>
              <w:jc w:val="left"/>
              <w:rPr>
                <w:rFonts w:ascii="宋体" w:hAnsi="宋体" w:cs="宋体" w:eastAsia="宋体" w:hint="default"/>
                <w:sz w:val="18"/>
                <w:szCs w:val="18"/>
              </w:rPr>
            </w:pPr>
            <w:r>
              <w:rPr>
                <w:rFonts w:ascii="宋体"/>
                <w:sz w:val="18"/>
              </w:rPr>
              <w:t>.47</w:t>
            </w:r>
          </w:p>
        </w:tc>
      </w:tr>
      <w:tr>
        <w:trPr>
          <w:trHeight w:val="1649"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递</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z w:val="18"/>
                <w:szCs w:val="18"/>
              </w:rPr>
              <w:t>延 所 得 税 负 债</w:t>
            </w:r>
          </w:p>
        </w:tc>
        <w:tc>
          <w:tcPr>
            <w:tcW w:w="864"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133,333</w:t>
            </w:r>
          </w:p>
          <w:p>
            <w:pPr>
              <w:pStyle w:val="TableParagraph"/>
              <w:spacing w:line="234" w:lineRule="exact"/>
              <w:ind w:left="477" w:right="0"/>
              <w:jc w:val="left"/>
              <w:rPr>
                <w:rFonts w:ascii="宋体" w:hAnsi="宋体" w:cs="宋体" w:eastAsia="宋体" w:hint="default"/>
                <w:sz w:val="18"/>
                <w:szCs w:val="18"/>
              </w:rPr>
            </w:pPr>
            <w:r>
              <w:rPr>
                <w:rFonts w:ascii="宋体"/>
                <w:sz w:val="18"/>
              </w:rPr>
              <w:t>.33</w:t>
            </w:r>
          </w:p>
        </w:tc>
        <w:tc>
          <w:tcPr>
            <w:tcW w:w="86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净</w:t>
            </w:r>
          </w:p>
          <w:p>
            <w:pPr>
              <w:pStyle w:val="TableParagraph"/>
              <w:spacing w:line="232" w:lineRule="exact" w:before="24"/>
              <w:ind w:left="105" w:right="103"/>
              <w:jc w:val="left"/>
              <w:rPr>
                <w:rFonts w:ascii="宋体" w:hAnsi="宋体" w:cs="宋体" w:eastAsia="宋体" w:hint="default"/>
                <w:sz w:val="18"/>
                <w:szCs w:val="18"/>
              </w:rPr>
            </w:pPr>
            <w:r>
              <w:rPr>
                <w:rFonts w:ascii="宋体" w:hAnsi="宋体" w:cs="宋体" w:eastAsia="宋体" w:hint="default"/>
                <w:sz w:val="18"/>
                <w:szCs w:val="18"/>
              </w:rPr>
              <w:t>资 产</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88,057,</w:t>
            </w:r>
          </w:p>
          <w:p>
            <w:pPr>
              <w:pStyle w:val="TableParagraph"/>
              <w:spacing w:line="240" w:lineRule="auto"/>
              <w:ind w:left="206" w:right="0"/>
              <w:jc w:val="left"/>
              <w:rPr>
                <w:rFonts w:ascii="宋体" w:hAnsi="宋体" w:cs="宋体" w:eastAsia="宋体" w:hint="default"/>
                <w:sz w:val="18"/>
                <w:szCs w:val="18"/>
              </w:rPr>
            </w:pPr>
            <w:r>
              <w:rPr>
                <w:rFonts w:ascii="宋体"/>
                <w:sz w:val="18"/>
              </w:rPr>
              <w:t>215.97</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88,057,</w:t>
            </w:r>
          </w:p>
          <w:p>
            <w:pPr>
              <w:pStyle w:val="TableParagraph"/>
              <w:spacing w:line="240" w:lineRule="auto"/>
              <w:ind w:left="206" w:right="0"/>
              <w:jc w:val="left"/>
              <w:rPr>
                <w:rFonts w:ascii="宋体" w:hAnsi="宋体" w:cs="宋体" w:eastAsia="宋体" w:hint="default"/>
                <w:sz w:val="18"/>
                <w:szCs w:val="18"/>
              </w:rPr>
            </w:pPr>
            <w:r>
              <w:rPr>
                <w:rFonts w:ascii="宋体"/>
                <w:sz w:val="18"/>
              </w:rPr>
              <w:t>215.97</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108,795</w:t>
            </w:r>
          </w:p>
          <w:p>
            <w:pPr>
              <w:pStyle w:val="TableParagraph"/>
              <w:spacing w:line="240" w:lineRule="auto"/>
              <w:ind w:left="115" w:right="0"/>
              <w:jc w:val="left"/>
              <w:rPr>
                <w:rFonts w:ascii="宋体" w:hAnsi="宋体" w:cs="宋体" w:eastAsia="宋体" w:hint="default"/>
                <w:sz w:val="18"/>
                <w:szCs w:val="18"/>
              </w:rPr>
            </w:pPr>
            <w:r>
              <w:rPr>
                <w:rFonts w:ascii="宋体"/>
                <w:sz w:val="18"/>
              </w:rPr>
              <w:t>,671.64</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108,795</w:t>
            </w:r>
          </w:p>
          <w:p>
            <w:pPr>
              <w:pStyle w:val="TableParagraph"/>
              <w:spacing w:line="240" w:lineRule="auto"/>
              <w:ind w:left="117" w:right="0"/>
              <w:jc w:val="left"/>
              <w:rPr>
                <w:rFonts w:ascii="宋体" w:hAnsi="宋体" w:cs="宋体" w:eastAsia="宋体" w:hint="default"/>
                <w:sz w:val="18"/>
                <w:szCs w:val="18"/>
              </w:rPr>
            </w:pPr>
            <w:r>
              <w:rPr>
                <w:rFonts w:ascii="宋体"/>
                <w:sz w:val="18"/>
              </w:rPr>
              <w:t>,671.64</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113,584</w:t>
            </w:r>
          </w:p>
          <w:p>
            <w:pPr>
              <w:pStyle w:val="TableParagraph"/>
              <w:spacing w:line="240" w:lineRule="auto"/>
              <w:ind w:left="117" w:right="0"/>
              <w:jc w:val="left"/>
              <w:rPr>
                <w:rFonts w:ascii="宋体" w:hAnsi="宋体" w:cs="宋体" w:eastAsia="宋体" w:hint="default"/>
                <w:sz w:val="18"/>
                <w:szCs w:val="18"/>
              </w:rPr>
            </w:pPr>
            <w:r>
              <w:rPr>
                <w:rFonts w:ascii="宋体"/>
                <w:sz w:val="18"/>
              </w:rPr>
              <w:t>,870.58</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113,584</w:t>
            </w:r>
          </w:p>
          <w:p>
            <w:pPr>
              <w:pStyle w:val="TableParagraph"/>
              <w:spacing w:line="240" w:lineRule="auto"/>
              <w:ind w:left="117" w:right="0"/>
              <w:jc w:val="left"/>
              <w:rPr>
                <w:rFonts w:ascii="宋体" w:hAnsi="宋体" w:cs="宋体" w:eastAsia="宋体" w:hint="default"/>
                <w:sz w:val="18"/>
                <w:szCs w:val="18"/>
              </w:rPr>
            </w:pPr>
            <w:r>
              <w:rPr>
                <w:rFonts w:ascii="宋体"/>
                <w:sz w:val="18"/>
              </w:rPr>
              <w:t>,870.58</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117,758</w:t>
            </w:r>
          </w:p>
          <w:p>
            <w:pPr>
              <w:pStyle w:val="TableParagraph"/>
              <w:spacing w:line="240" w:lineRule="auto"/>
              <w:ind w:left="117" w:right="0"/>
              <w:jc w:val="left"/>
              <w:rPr>
                <w:rFonts w:ascii="宋体" w:hAnsi="宋体" w:cs="宋体" w:eastAsia="宋体" w:hint="default"/>
                <w:sz w:val="18"/>
                <w:szCs w:val="18"/>
              </w:rPr>
            </w:pPr>
            <w:r>
              <w:rPr>
                <w:rFonts w:ascii="宋体"/>
                <w:sz w:val="18"/>
              </w:rPr>
              <w:t>,495.58</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117,358</w:t>
            </w:r>
          </w:p>
          <w:p>
            <w:pPr>
              <w:pStyle w:val="TableParagraph"/>
              <w:spacing w:line="240" w:lineRule="auto"/>
              <w:ind w:left="115" w:right="0"/>
              <w:jc w:val="left"/>
              <w:rPr>
                <w:rFonts w:ascii="宋体" w:hAnsi="宋体" w:cs="宋体" w:eastAsia="宋体" w:hint="default"/>
                <w:sz w:val="18"/>
                <w:szCs w:val="18"/>
              </w:rPr>
            </w:pPr>
            <w:r>
              <w:rPr>
                <w:rFonts w:ascii="宋体"/>
                <w:sz w:val="18"/>
              </w:rPr>
              <w:t>,495.58</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72,321,</w:t>
            </w:r>
          </w:p>
          <w:p>
            <w:pPr>
              <w:pStyle w:val="TableParagraph"/>
              <w:spacing w:line="240" w:lineRule="auto"/>
              <w:ind w:left="208" w:right="0"/>
              <w:jc w:val="left"/>
              <w:rPr>
                <w:rFonts w:ascii="宋体" w:hAnsi="宋体" w:cs="宋体" w:eastAsia="宋体" w:hint="default"/>
                <w:sz w:val="18"/>
                <w:szCs w:val="18"/>
              </w:rPr>
            </w:pPr>
            <w:r>
              <w:rPr>
                <w:rFonts w:ascii="宋体"/>
                <w:sz w:val="18"/>
              </w:rPr>
              <w:t>869.21</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72,321,</w:t>
            </w:r>
          </w:p>
          <w:p>
            <w:pPr>
              <w:pStyle w:val="TableParagraph"/>
              <w:spacing w:line="240" w:lineRule="auto"/>
              <w:ind w:left="208" w:right="0"/>
              <w:jc w:val="left"/>
              <w:rPr>
                <w:rFonts w:ascii="宋体" w:hAnsi="宋体" w:cs="宋体" w:eastAsia="宋体" w:hint="default"/>
                <w:sz w:val="18"/>
                <w:szCs w:val="18"/>
              </w:rPr>
            </w:pPr>
            <w:r>
              <w:rPr>
                <w:rFonts w:ascii="宋体"/>
                <w:sz w:val="18"/>
              </w:rPr>
              <w:t>869.21</w:t>
            </w:r>
          </w:p>
        </w:tc>
      </w:tr>
      <w:tr>
        <w:trPr>
          <w:trHeight w:val="1882" w:hRule="exact"/>
        </w:trPr>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before="2"/>
              <w:ind w:left="105" w:right="103"/>
              <w:jc w:val="both"/>
              <w:rPr>
                <w:rFonts w:ascii="宋体" w:hAnsi="宋体" w:cs="宋体" w:eastAsia="宋体" w:hint="default"/>
                <w:sz w:val="18"/>
                <w:szCs w:val="18"/>
              </w:rPr>
            </w:pPr>
            <w:r>
              <w:rPr>
                <w:rFonts w:ascii="宋体" w:hAnsi="宋体" w:cs="宋体" w:eastAsia="宋体" w:hint="default"/>
                <w:sz w:val="18"/>
                <w:szCs w:val="18"/>
              </w:rPr>
              <w:t>： 少 数 股 东 权 益</w:t>
            </w:r>
          </w:p>
        </w:tc>
        <w:tc>
          <w:tcPr>
            <w:tcW w:w="864"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1,351,1</w:t>
            </w:r>
          </w:p>
          <w:p>
            <w:pPr>
              <w:pStyle w:val="TableParagraph"/>
              <w:spacing w:line="240" w:lineRule="auto"/>
              <w:ind w:left="192" w:right="0"/>
              <w:jc w:val="center"/>
              <w:rPr>
                <w:rFonts w:ascii="宋体" w:hAnsi="宋体" w:cs="宋体" w:eastAsia="宋体" w:hint="default"/>
                <w:sz w:val="18"/>
                <w:szCs w:val="18"/>
              </w:rPr>
            </w:pPr>
            <w:r>
              <w:rPr>
                <w:rFonts w:ascii="宋体"/>
                <w:sz w:val="18"/>
              </w:rPr>
              <w:t>04.78</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1,351,1</w:t>
            </w:r>
          </w:p>
          <w:p>
            <w:pPr>
              <w:pStyle w:val="TableParagraph"/>
              <w:spacing w:line="240" w:lineRule="auto"/>
              <w:ind w:left="197" w:right="0"/>
              <w:jc w:val="center"/>
              <w:rPr>
                <w:rFonts w:ascii="宋体" w:hAnsi="宋体" w:cs="宋体" w:eastAsia="宋体" w:hint="default"/>
                <w:sz w:val="18"/>
                <w:szCs w:val="18"/>
              </w:rPr>
            </w:pPr>
            <w:r>
              <w:rPr>
                <w:rFonts w:ascii="宋体"/>
                <w:sz w:val="18"/>
              </w:rPr>
              <w:t>04.78</w:t>
            </w:r>
          </w:p>
        </w:tc>
        <w:tc>
          <w:tcPr>
            <w:tcW w:w="867"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r>
        <w:trPr>
          <w:trHeight w:val="1414" w:hRule="exact"/>
        </w:trPr>
        <w:tc>
          <w:tcPr>
            <w:tcW w:w="403" w:type="dxa"/>
            <w:tcBorders>
              <w:top w:val="single" w:sz="6" w:space="0" w:color="000000"/>
              <w:left w:val="single" w:sz="4" w:space="0" w:color="000000"/>
              <w:bottom w:val="single" w:sz="4" w:space="0" w:color="000000"/>
              <w:right w:val="single" w:sz="6" w:space="0" w:color="000000"/>
            </w:tcBorders>
          </w:tcPr>
          <w:p>
            <w:pPr>
              <w:pStyle w:val="TableParagraph"/>
              <w:spacing w:line="206" w:lineRule="exact"/>
              <w:ind w:left="105" w:right="0"/>
              <w:jc w:val="both"/>
              <w:rPr>
                <w:rFonts w:ascii="宋体" w:hAnsi="宋体" w:cs="宋体" w:eastAsia="宋体" w:hint="default"/>
                <w:sz w:val="18"/>
                <w:szCs w:val="18"/>
              </w:rPr>
            </w:pPr>
            <w:r>
              <w:rPr>
                <w:rFonts w:ascii="宋体" w:hAnsi="宋体" w:cs="宋体" w:eastAsia="宋体" w:hint="default"/>
                <w:sz w:val="18"/>
                <w:szCs w:val="18"/>
              </w:rPr>
              <w:t>取</w:t>
            </w:r>
          </w:p>
          <w:p>
            <w:pPr>
              <w:pStyle w:val="TableParagraph"/>
              <w:spacing w:line="237" w:lineRule="auto"/>
              <w:ind w:left="105" w:right="103"/>
              <w:jc w:val="both"/>
              <w:rPr>
                <w:rFonts w:ascii="宋体" w:hAnsi="宋体" w:cs="宋体" w:eastAsia="宋体" w:hint="default"/>
                <w:sz w:val="18"/>
                <w:szCs w:val="18"/>
              </w:rPr>
            </w:pPr>
            <w:r>
              <w:rPr>
                <w:rFonts w:ascii="宋体" w:hAnsi="宋体" w:cs="宋体" w:eastAsia="宋体" w:hint="default"/>
                <w:sz w:val="18"/>
                <w:szCs w:val="18"/>
              </w:rPr>
              <w:t>得 的 净 资 产</w:t>
            </w:r>
          </w:p>
        </w:tc>
        <w:tc>
          <w:tcPr>
            <w:tcW w:w="864"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88,057,</w:t>
            </w:r>
          </w:p>
          <w:p>
            <w:pPr>
              <w:pStyle w:val="TableParagraph"/>
              <w:spacing w:line="234" w:lineRule="exact"/>
              <w:ind w:left="206" w:right="0"/>
              <w:jc w:val="left"/>
              <w:rPr>
                <w:rFonts w:ascii="宋体" w:hAnsi="宋体" w:cs="宋体" w:eastAsia="宋体" w:hint="default"/>
                <w:sz w:val="18"/>
                <w:szCs w:val="18"/>
              </w:rPr>
            </w:pPr>
            <w:r>
              <w:rPr>
                <w:rFonts w:ascii="宋体"/>
                <w:sz w:val="18"/>
              </w:rPr>
              <w:t>215.97</w:t>
            </w:r>
          </w:p>
        </w:tc>
        <w:tc>
          <w:tcPr>
            <w:tcW w:w="865"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88,057,</w:t>
            </w:r>
          </w:p>
          <w:p>
            <w:pPr>
              <w:pStyle w:val="TableParagraph"/>
              <w:spacing w:line="234" w:lineRule="exact"/>
              <w:ind w:left="206" w:right="0"/>
              <w:jc w:val="left"/>
              <w:rPr>
                <w:rFonts w:ascii="宋体" w:hAnsi="宋体" w:cs="宋体" w:eastAsia="宋体" w:hint="default"/>
                <w:sz w:val="18"/>
                <w:szCs w:val="18"/>
              </w:rPr>
            </w:pPr>
            <w:r>
              <w:rPr>
                <w:rFonts w:ascii="宋体"/>
                <w:sz w:val="18"/>
              </w:rPr>
              <w:t>215.97</w:t>
            </w:r>
          </w:p>
        </w:tc>
        <w:tc>
          <w:tcPr>
            <w:tcW w:w="864"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107,444</w:t>
            </w:r>
          </w:p>
          <w:p>
            <w:pPr>
              <w:pStyle w:val="TableParagraph"/>
              <w:spacing w:line="234" w:lineRule="exact"/>
              <w:ind w:left="115" w:right="0"/>
              <w:jc w:val="left"/>
              <w:rPr>
                <w:rFonts w:ascii="宋体" w:hAnsi="宋体" w:cs="宋体" w:eastAsia="宋体" w:hint="default"/>
                <w:sz w:val="18"/>
                <w:szCs w:val="18"/>
              </w:rPr>
            </w:pPr>
            <w:r>
              <w:rPr>
                <w:rFonts w:ascii="宋体"/>
                <w:sz w:val="18"/>
              </w:rPr>
              <w:t>,566.86</w:t>
            </w:r>
          </w:p>
        </w:tc>
        <w:tc>
          <w:tcPr>
            <w:tcW w:w="864"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107,444</w:t>
            </w:r>
          </w:p>
          <w:p>
            <w:pPr>
              <w:pStyle w:val="TableParagraph"/>
              <w:spacing w:line="234" w:lineRule="exact"/>
              <w:ind w:left="117" w:right="0"/>
              <w:jc w:val="left"/>
              <w:rPr>
                <w:rFonts w:ascii="宋体" w:hAnsi="宋体" w:cs="宋体" w:eastAsia="宋体" w:hint="default"/>
                <w:sz w:val="18"/>
                <w:szCs w:val="18"/>
              </w:rPr>
            </w:pPr>
            <w:r>
              <w:rPr>
                <w:rFonts w:ascii="宋体"/>
                <w:sz w:val="18"/>
              </w:rPr>
              <w:t>,566.86</w:t>
            </w:r>
          </w:p>
        </w:tc>
        <w:tc>
          <w:tcPr>
            <w:tcW w:w="867"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113,584</w:t>
            </w:r>
          </w:p>
          <w:p>
            <w:pPr>
              <w:pStyle w:val="TableParagraph"/>
              <w:spacing w:line="234" w:lineRule="exact"/>
              <w:ind w:left="117" w:right="0"/>
              <w:jc w:val="left"/>
              <w:rPr>
                <w:rFonts w:ascii="宋体" w:hAnsi="宋体" w:cs="宋体" w:eastAsia="宋体" w:hint="default"/>
                <w:sz w:val="18"/>
                <w:szCs w:val="18"/>
              </w:rPr>
            </w:pPr>
            <w:r>
              <w:rPr>
                <w:rFonts w:ascii="宋体"/>
                <w:sz w:val="18"/>
              </w:rPr>
              <w:t>,870.58</w:t>
            </w:r>
          </w:p>
        </w:tc>
        <w:tc>
          <w:tcPr>
            <w:tcW w:w="864"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113,584</w:t>
            </w:r>
          </w:p>
          <w:p>
            <w:pPr>
              <w:pStyle w:val="TableParagraph"/>
              <w:spacing w:line="234" w:lineRule="exact"/>
              <w:ind w:left="117" w:right="0"/>
              <w:jc w:val="left"/>
              <w:rPr>
                <w:rFonts w:ascii="宋体" w:hAnsi="宋体" w:cs="宋体" w:eastAsia="宋体" w:hint="default"/>
                <w:sz w:val="18"/>
                <w:szCs w:val="18"/>
              </w:rPr>
            </w:pPr>
            <w:r>
              <w:rPr>
                <w:rFonts w:ascii="宋体"/>
                <w:sz w:val="18"/>
              </w:rPr>
              <w:t>,870.58</w:t>
            </w:r>
          </w:p>
        </w:tc>
        <w:tc>
          <w:tcPr>
            <w:tcW w:w="866"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117,758</w:t>
            </w:r>
          </w:p>
          <w:p>
            <w:pPr>
              <w:pStyle w:val="TableParagraph"/>
              <w:spacing w:line="234" w:lineRule="exact"/>
              <w:ind w:left="117" w:right="0"/>
              <w:jc w:val="left"/>
              <w:rPr>
                <w:rFonts w:ascii="宋体" w:hAnsi="宋体" w:cs="宋体" w:eastAsia="宋体" w:hint="default"/>
                <w:sz w:val="18"/>
                <w:szCs w:val="18"/>
              </w:rPr>
            </w:pPr>
            <w:r>
              <w:rPr>
                <w:rFonts w:ascii="宋体"/>
                <w:sz w:val="18"/>
              </w:rPr>
              <w:t>,495.58</w:t>
            </w:r>
          </w:p>
        </w:tc>
        <w:tc>
          <w:tcPr>
            <w:tcW w:w="865"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117,358</w:t>
            </w:r>
          </w:p>
          <w:p>
            <w:pPr>
              <w:pStyle w:val="TableParagraph"/>
              <w:spacing w:line="234" w:lineRule="exact"/>
              <w:ind w:left="115" w:right="0"/>
              <w:jc w:val="left"/>
              <w:rPr>
                <w:rFonts w:ascii="宋体" w:hAnsi="宋体" w:cs="宋体" w:eastAsia="宋体" w:hint="default"/>
                <w:sz w:val="18"/>
                <w:szCs w:val="18"/>
              </w:rPr>
            </w:pPr>
            <w:r>
              <w:rPr>
                <w:rFonts w:ascii="宋体"/>
                <w:sz w:val="18"/>
              </w:rPr>
              <w:t>,495.58</w:t>
            </w:r>
          </w:p>
        </w:tc>
        <w:tc>
          <w:tcPr>
            <w:tcW w:w="864"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72,321,</w:t>
            </w:r>
          </w:p>
          <w:p>
            <w:pPr>
              <w:pStyle w:val="TableParagraph"/>
              <w:spacing w:line="234" w:lineRule="exact"/>
              <w:ind w:left="208" w:right="0"/>
              <w:jc w:val="left"/>
              <w:rPr>
                <w:rFonts w:ascii="宋体" w:hAnsi="宋体" w:cs="宋体" w:eastAsia="宋体" w:hint="default"/>
                <w:sz w:val="18"/>
                <w:szCs w:val="18"/>
              </w:rPr>
            </w:pPr>
            <w:r>
              <w:rPr>
                <w:rFonts w:ascii="宋体"/>
                <w:sz w:val="18"/>
              </w:rPr>
              <w:t>869.21</w:t>
            </w:r>
          </w:p>
        </w:tc>
        <w:tc>
          <w:tcPr>
            <w:tcW w:w="866"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72,321,</w:t>
            </w:r>
          </w:p>
          <w:p>
            <w:pPr>
              <w:pStyle w:val="TableParagraph"/>
              <w:spacing w:line="234" w:lineRule="exact"/>
              <w:ind w:left="208" w:right="0"/>
              <w:jc w:val="left"/>
              <w:rPr>
                <w:rFonts w:ascii="宋体" w:hAnsi="宋体" w:cs="宋体" w:eastAsia="宋体" w:hint="default"/>
                <w:sz w:val="18"/>
                <w:szCs w:val="18"/>
              </w:rPr>
            </w:pPr>
            <w:r>
              <w:rPr>
                <w:rFonts w:ascii="宋体"/>
                <w:sz w:val="18"/>
              </w:rPr>
              <w:t>869.21</w:t>
            </w:r>
          </w:p>
        </w:tc>
      </w:tr>
    </w:tbl>
    <w:p>
      <w:pPr>
        <w:spacing w:line="240" w:lineRule="auto" w:before="11"/>
        <w:rPr>
          <w:rFonts w:ascii="Times New Roman" w:hAnsi="Times New Roman" w:cs="Times New Roman" w:eastAsia="Times New Roman" w:hint="default"/>
          <w:sz w:val="22"/>
          <w:szCs w:val="22"/>
        </w:rPr>
      </w:pPr>
    </w:p>
    <w:p>
      <w:pPr>
        <w:pStyle w:val="BodyText"/>
        <w:spacing w:line="290" w:lineRule="auto" w:before="36"/>
        <w:ind w:left="218" w:right="5042"/>
        <w:jc w:val="left"/>
      </w:pPr>
      <w:r>
        <w:rPr>
          <w:spacing w:val="-2"/>
        </w:rPr>
        <w:t>可辨认资产、负债公允价值的确定方法：</w:t>
      </w:r>
      <w:r>
        <w:rPr>
          <w:spacing w:val="-69"/>
        </w:rPr>
        <w:t> </w:t>
      </w:r>
      <w:r>
        <w:rPr>
          <w:spacing w:val="-69"/>
        </w:rPr>
      </w:r>
      <w:r>
        <w:rPr/>
        <w:t>依据评估报告。</w:t>
      </w:r>
    </w:p>
    <w:p>
      <w:pPr>
        <w:spacing w:line="240" w:lineRule="auto" w:before="6"/>
        <w:rPr>
          <w:rFonts w:ascii="宋体" w:hAnsi="宋体" w:cs="宋体" w:eastAsia="宋体" w:hint="default"/>
          <w:sz w:val="26"/>
          <w:szCs w:val="26"/>
        </w:rPr>
      </w:pPr>
    </w:p>
    <w:p>
      <w:pPr>
        <w:pStyle w:val="Heading2"/>
        <w:spacing w:line="240" w:lineRule="auto" w:before="0"/>
        <w:ind w:right="2465"/>
        <w:jc w:val="left"/>
        <w:rPr>
          <w:b w:val="0"/>
          <w:bCs w:val="0"/>
        </w:rPr>
      </w:pPr>
      <w:r>
        <w:rPr>
          <w:rFonts w:ascii="宋体" w:hAnsi="宋体" w:cs="宋体" w:eastAsia="宋体" w:hint="default"/>
        </w:rPr>
        <w:t>2</w:t>
      </w:r>
      <w:r>
        <w:rPr/>
        <w:t>、</w:t>
      </w:r>
      <w:r>
        <w:rPr>
          <w:spacing w:val="-2"/>
        </w:rPr>
        <w:t> </w:t>
      </w:r>
      <w:r>
        <w:rPr/>
        <w:t>反向购买</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25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40" w:lineRule="auto" w:before="31"/>
        <w:ind w:left="638" w:right="119"/>
        <w:jc w:val="left"/>
      </w:pPr>
      <w:r>
        <w:rPr>
          <w:spacing w:val="-5"/>
        </w:rPr>
        <w:t>链动（杭州）投资有限公司成立于</w:t>
      </w:r>
      <w:r>
        <w:rPr>
          <w:spacing w:val="-44"/>
        </w:rPr>
        <w:t> </w:t>
      </w:r>
      <w:r>
        <w:rPr>
          <w:rFonts w:ascii="宋体" w:hAnsi="宋体" w:cs="宋体" w:eastAsia="宋体" w:hint="default"/>
        </w:rPr>
        <w:t>2015</w:t>
      </w:r>
      <w:r>
        <w:rPr>
          <w:rFonts w:ascii="宋体" w:hAnsi="宋体" w:cs="宋体" w:eastAsia="宋体" w:hint="default"/>
          <w:spacing w:val="-47"/>
        </w:rPr>
        <w:t> </w:t>
      </w:r>
      <w:r>
        <w:rPr/>
        <w:t>年</w:t>
      </w:r>
      <w:r>
        <w:rPr>
          <w:spacing w:val="-44"/>
        </w:rPr>
        <w:t> </w:t>
      </w:r>
      <w:r>
        <w:rPr>
          <w:rFonts w:ascii="宋体" w:hAnsi="宋体" w:cs="宋体" w:eastAsia="宋体" w:hint="default"/>
        </w:rPr>
        <w:t>9</w:t>
      </w:r>
      <w:r>
        <w:rPr>
          <w:rFonts w:ascii="宋体" w:hAnsi="宋体" w:cs="宋体" w:eastAsia="宋体" w:hint="default"/>
          <w:spacing w:val="-47"/>
        </w:rPr>
        <w:t> </w:t>
      </w:r>
      <w:r>
        <w:rPr/>
        <w:t>月</w:t>
      </w:r>
      <w:r>
        <w:rPr>
          <w:spacing w:val="-43"/>
        </w:rPr>
        <w:t> </w:t>
      </w:r>
      <w:r>
        <w:rPr>
          <w:rFonts w:ascii="宋体" w:hAnsi="宋体" w:cs="宋体" w:eastAsia="宋体" w:hint="default"/>
        </w:rPr>
        <w:t>7</w:t>
      </w:r>
      <w:r>
        <w:rPr>
          <w:rFonts w:ascii="宋体" w:hAnsi="宋体" w:cs="宋体" w:eastAsia="宋体" w:hint="default"/>
          <w:spacing w:val="-47"/>
        </w:rPr>
        <w:t> </w:t>
      </w:r>
      <w:r>
        <w:rPr>
          <w:spacing w:val="-4"/>
        </w:rPr>
        <w:t>日，为公司新设立的全资子公司，注册资本</w:t>
      </w:r>
    </w:p>
    <w:p>
      <w:pPr>
        <w:pStyle w:val="BodyText"/>
        <w:spacing w:line="240" w:lineRule="auto" w:before="85"/>
        <w:ind w:left="218" w:right="2465"/>
        <w:jc w:val="left"/>
      </w:pPr>
      <w:r>
        <w:rPr>
          <w:rFonts w:ascii="宋体" w:hAnsi="宋体" w:cs="宋体" w:eastAsia="宋体" w:hint="default"/>
        </w:rPr>
        <w:t>5,000</w:t>
      </w:r>
      <w:r>
        <w:rPr>
          <w:rFonts w:ascii="宋体" w:hAnsi="宋体" w:cs="宋体" w:eastAsia="宋体" w:hint="default"/>
          <w:spacing w:val="-55"/>
        </w:rPr>
        <w:t> </w:t>
      </w:r>
      <w:r>
        <w:rPr/>
        <w:t>万元人民币，实收资本</w:t>
      </w:r>
      <w:r>
        <w:rPr>
          <w:spacing w:val="-52"/>
        </w:rPr>
        <w:t> </w:t>
      </w:r>
      <w:r>
        <w:rPr>
          <w:rFonts w:ascii="宋体" w:hAnsi="宋体" w:cs="宋体" w:eastAsia="宋体" w:hint="default"/>
        </w:rPr>
        <w:t>2,000</w:t>
      </w:r>
      <w:r>
        <w:rPr>
          <w:rFonts w:ascii="宋体" w:hAnsi="宋体" w:cs="宋体" w:eastAsia="宋体" w:hint="default"/>
          <w:spacing w:val="-55"/>
        </w:rPr>
        <w:t> </w:t>
      </w:r>
      <w:r>
        <w:rPr/>
        <w:t>万元人民币。</w:t>
      </w:r>
    </w:p>
    <w:p>
      <w:pPr>
        <w:spacing w:after="0" w:line="240" w:lineRule="auto"/>
        <w:jc w:val="left"/>
        <w:sectPr>
          <w:footerReference w:type="default" r:id="rId58"/>
          <w:pgSz w:w="11910" w:h="16840"/>
          <w:pgMar w:footer="1193" w:header="856" w:top="1280" w:bottom="1380" w:left="1580" w:right="1040"/>
          <w:pgNumType w:start="131"/>
        </w:sectPr>
      </w:pPr>
    </w:p>
    <w:p>
      <w:pPr>
        <w:spacing w:line="240" w:lineRule="auto" w:before="8"/>
        <w:rPr>
          <w:rFonts w:ascii="宋体" w:hAnsi="宋体" w:cs="宋体" w:eastAsia="宋体" w:hint="default"/>
          <w:sz w:val="12"/>
          <w:szCs w:val="12"/>
        </w:rPr>
      </w:pPr>
    </w:p>
    <w:p>
      <w:pPr>
        <w:pStyle w:val="Heading2"/>
        <w:spacing w:line="290" w:lineRule="auto"/>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 在子公司中的权益</w:t>
      </w:r>
      <w:r>
        <w:rPr>
          <w:b w:val="0"/>
          <w:bCs w:val="0"/>
        </w:rPr>
      </w:r>
    </w:p>
    <w:p>
      <w:pPr>
        <w:pStyle w:val="BodyText"/>
        <w:spacing w:line="240" w:lineRule="auto" w:before="12"/>
        <w:ind w:left="218" w:right="2465"/>
        <w:jc w:val="left"/>
      </w:pPr>
      <w:r>
        <w:rPr/>
        <w:t>√适用</w:t>
      </w:r>
      <w:r>
        <w:rPr>
          <w:spacing w:val="-1"/>
        </w:rPr>
        <w:t> </w:t>
      </w:r>
      <w:r>
        <w:rPr/>
        <w:t>□不适用</w:t>
      </w:r>
    </w:p>
    <w:p>
      <w:pPr>
        <w:pStyle w:val="Heading2"/>
        <w:tabs>
          <w:tab w:pos="861" w:val="left" w:leader="none"/>
        </w:tabs>
        <w:spacing w:line="240" w:lineRule="auto" w:before="58"/>
        <w:ind w:right="2465"/>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8"/>
      </w:tblGrid>
      <w:tr>
        <w:trPr>
          <w:trHeight w:val="259" w:hRule="exact"/>
        </w:trPr>
        <w:tc>
          <w:tcPr>
            <w:tcW w:w="1200" w:type="dxa"/>
            <w:vMerge w:val="restart"/>
            <w:tcBorders>
              <w:top w:val="single" w:sz="4" w:space="0" w:color="000000"/>
              <w:left w:val="single" w:sz="4" w:space="0" w:color="000000"/>
              <w:right w:val="single" w:sz="6" w:space="0" w:color="000000"/>
            </w:tcBorders>
          </w:tcPr>
          <w:p>
            <w:pPr>
              <w:pStyle w:val="TableParagraph"/>
              <w:spacing w:line="232" w:lineRule="exact" w:before="32"/>
              <w:ind w:left="415" w:right="323"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1287" w:type="dxa"/>
            <w:vMerge w:val="restart"/>
            <w:tcBorders>
              <w:top w:val="single" w:sz="4" w:space="0" w:color="000000"/>
              <w:left w:val="single" w:sz="6" w:space="0" w:color="000000"/>
              <w:right w:val="single" w:sz="6" w:space="0" w:color="000000"/>
            </w:tcBorders>
          </w:tcPr>
          <w:p>
            <w:pPr>
              <w:pStyle w:val="TableParagraph"/>
              <w:spacing w:line="240" w:lineRule="auto" w:before="123"/>
              <w:ind w:left="18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72" w:type="dxa"/>
            <w:vMerge w:val="restart"/>
            <w:tcBorders>
              <w:top w:val="single" w:sz="4" w:space="0" w:color="000000"/>
              <w:left w:val="single" w:sz="6" w:space="0" w:color="000000"/>
              <w:right w:val="single" w:sz="6" w:space="0" w:color="000000"/>
            </w:tcBorders>
          </w:tcPr>
          <w:p>
            <w:pPr>
              <w:pStyle w:val="TableParagraph"/>
              <w:spacing w:line="240" w:lineRule="auto" w:before="123"/>
              <w:ind w:left="35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01" w:type="dxa"/>
            <w:vMerge w:val="restart"/>
            <w:tcBorders>
              <w:top w:val="single" w:sz="4" w:space="0" w:color="000000"/>
              <w:left w:val="single" w:sz="6" w:space="0" w:color="000000"/>
              <w:right w:val="single" w:sz="6" w:space="0" w:color="000000"/>
            </w:tcBorders>
          </w:tcPr>
          <w:p>
            <w:pPr>
              <w:pStyle w:val="TableParagraph"/>
              <w:spacing w:line="240" w:lineRule="auto" w:before="123"/>
              <w:ind w:left="28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573" w:type="dxa"/>
            <w:gridSpan w:val="2"/>
            <w:tcBorders>
              <w:top w:val="single" w:sz="4" w:space="0" w:color="000000"/>
              <w:left w:val="single" w:sz="6" w:space="0" w:color="000000"/>
              <w:bottom w:val="single" w:sz="6" w:space="0" w:color="000000"/>
              <w:right w:val="single" w:sz="6" w:space="0" w:color="000000"/>
            </w:tcBorders>
          </w:tcPr>
          <w:p>
            <w:pPr>
              <w:pStyle w:val="TableParagraph"/>
              <w:spacing w:line="213" w:lineRule="exact"/>
              <w:ind w:left="78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418" w:type="dxa"/>
            <w:vMerge w:val="restart"/>
            <w:tcBorders>
              <w:top w:val="single" w:sz="4" w:space="0" w:color="000000"/>
              <w:left w:val="single" w:sz="6" w:space="0" w:color="000000"/>
              <w:right w:val="single" w:sz="4" w:space="0" w:color="000000"/>
            </w:tcBorders>
          </w:tcPr>
          <w:p>
            <w:pPr>
              <w:pStyle w:val="TableParagraph"/>
              <w:spacing w:line="232" w:lineRule="exact" w:before="32"/>
              <w:ind w:left="520" w:right="523"/>
              <w:jc w:val="center"/>
              <w:rPr>
                <w:rFonts w:ascii="宋体" w:hAnsi="宋体" w:cs="宋体" w:eastAsia="宋体" w:hint="default"/>
                <w:sz w:val="18"/>
                <w:szCs w:val="18"/>
              </w:rPr>
            </w:pPr>
            <w:r>
              <w:rPr>
                <w:rFonts w:ascii="宋体" w:hAnsi="宋体" w:cs="宋体" w:eastAsia="宋体" w:hint="default"/>
                <w:sz w:val="18"/>
                <w:szCs w:val="18"/>
              </w:rPr>
              <w:t>取得 方式</w:t>
            </w:r>
          </w:p>
        </w:tc>
      </w:tr>
      <w:tr>
        <w:trPr>
          <w:trHeight w:val="293" w:hRule="exact"/>
        </w:trPr>
        <w:tc>
          <w:tcPr>
            <w:tcW w:w="1200" w:type="dxa"/>
            <w:vMerge/>
            <w:tcBorders>
              <w:left w:val="single" w:sz="4" w:space="0" w:color="000000"/>
              <w:bottom w:val="single" w:sz="6" w:space="0" w:color="000000"/>
              <w:right w:val="single" w:sz="6" w:space="0" w:color="000000"/>
            </w:tcBorders>
          </w:tcPr>
          <w:p>
            <w:pPr/>
          </w:p>
        </w:tc>
        <w:tc>
          <w:tcPr>
            <w:tcW w:w="1287" w:type="dxa"/>
            <w:vMerge/>
            <w:tcBorders>
              <w:left w:val="single" w:sz="6" w:space="0" w:color="000000"/>
              <w:bottom w:val="single" w:sz="6" w:space="0" w:color="000000"/>
              <w:right w:val="single" w:sz="6" w:space="0" w:color="000000"/>
            </w:tcBorders>
          </w:tcPr>
          <w:p>
            <w:pPr/>
          </w:p>
        </w:tc>
        <w:tc>
          <w:tcPr>
            <w:tcW w:w="1272" w:type="dxa"/>
            <w:vMerge/>
            <w:tcBorders>
              <w:left w:val="single" w:sz="6" w:space="0" w:color="000000"/>
              <w:bottom w:val="single" w:sz="6" w:space="0" w:color="000000"/>
              <w:right w:val="single" w:sz="6" w:space="0" w:color="000000"/>
            </w:tcBorders>
          </w:tcPr>
          <w:p>
            <w:pPr/>
          </w:p>
        </w:tc>
        <w:tc>
          <w:tcPr>
            <w:tcW w:w="1301" w:type="dxa"/>
            <w:vMerge/>
            <w:tcBorders>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418" w:type="dxa"/>
            <w:vMerge/>
            <w:tcBorders>
              <w:left w:val="single" w:sz="6" w:space="0" w:color="000000"/>
              <w:bottom w:val="single" w:sz="6" w:space="0" w:color="000000"/>
              <w:right w:val="single" w:sz="4" w:space="0" w:color="000000"/>
            </w:tcBorders>
          </w:tcPr>
          <w:p>
            <w:pPr/>
          </w:p>
        </w:tc>
      </w:tr>
      <w:tr>
        <w:trPr>
          <w:trHeight w:val="482"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东营科英置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东营</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东营市东城</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经济开发区</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房地产开发、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54.55</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5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科达半导体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东营</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山东省东营</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市东营区黄 </w:t>
            </w:r>
            <w:r>
              <w:rPr>
                <w:rFonts w:ascii="宋体" w:hAnsi="宋体" w:cs="宋体" w:eastAsia="宋体" w:hint="default"/>
                <w:spacing w:val="-4"/>
                <w:sz w:val="18"/>
                <w:szCs w:val="18"/>
              </w:rPr>
              <w:t>河路以北、规</w:t>
            </w:r>
            <w:r>
              <w:rPr>
                <w:rFonts w:ascii="宋体" w:hAnsi="宋体" w:cs="宋体" w:eastAsia="宋体" w:hint="default"/>
                <w:sz w:val="18"/>
                <w:szCs w:val="18"/>
              </w:rPr>
              <w:t> 划五路以西</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设计、生产、</w:t>
            </w:r>
          </w:p>
          <w:p>
            <w:pPr>
              <w:pStyle w:val="TableParagraph"/>
              <w:spacing w:line="232" w:lineRule="exact" w:before="23"/>
              <w:ind w:left="100" w:right="105"/>
              <w:jc w:val="left"/>
              <w:rPr>
                <w:rFonts w:ascii="宋体" w:hAnsi="宋体" w:cs="宋体" w:eastAsia="宋体" w:hint="default"/>
                <w:sz w:val="18"/>
                <w:szCs w:val="18"/>
              </w:rPr>
            </w:pPr>
            <w:r>
              <w:rPr>
                <w:rFonts w:ascii="宋体" w:hAnsi="宋体" w:cs="宋体" w:eastAsia="宋体" w:hint="default"/>
                <w:sz w:val="18"/>
                <w:szCs w:val="18"/>
              </w:rPr>
              <w:t>销售半导体元 器件</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60.00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9"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青岛科达置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青岛胶南市</w:t>
            </w:r>
          </w:p>
          <w:p>
            <w:pPr>
              <w:pStyle w:val="TableParagraph"/>
              <w:spacing w:line="237" w:lineRule="auto"/>
              <w:ind w:left="100" w:right="253"/>
              <w:jc w:val="both"/>
              <w:rPr>
                <w:rFonts w:ascii="宋体" w:hAnsi="宋体" w:cs="宋体" w:eastAsia="宋体" w:hint="default"/>
                <w:sz w:val="18"/>
                <w:szCs w:val="18"/>
              </w:rPr>
            </w:pPr>
            <w:r>
              <w:rPr>
                <w:rFonts w:ascii="宋体" w:hAnsi="宋体" w:cs="宋体" w:eastAsia="宋体" w:hint="default"/>
                <w:sz w:val="18"/>
                <w:szCs w:val="18"/>
              </w:rPr>
              <w:t>灵山卫街道 办事处驻地 </w:t>
            </w:r>
            <w:r>
              <w:rPr>
                <w:rFonts w:ascii="宋体" w:hAnsi="宋体" w:cs="宋体" w:eastAsia="宋体" w:hint="default"/>
                <w:sz w:val="18"/>
                <w:szCs w:val="18"/>
              </w:rPr>
              <w:t>(</w:t>
            </w:r>
            <w:r>
              <w:rPr>
                <w:rFonts w:ascii="宋体" w:hAnsi="宋体" w:cs="宋体" w:eastAsia="宋体" w:hint="default"/>
                <w:sz w:val="18"/>
                <w:szCs w:val="18"/>
              </w:rPr>
              <w:t>顺捷宾馆</w:t>
            </w:r>
            <w:r>
              <w:rPr>
                <w:rFonts w:ascii="宋体" w:hAnsi="宋体" w:cs="宋体" w:eastAsia="宋体" w:hint="default"/>
                <w:sz w:val="18"/>
                <w:szCs w:val="18"/>
              </w:rPr>
              <w:t>)</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房地产开发、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8"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滨州市科达</w:t>
            </w:r>
          </w:p>
          <w:p>
            <w:pPr>
              <w:pStyle w:val="TableParagraph"/>
              <w:spacing w:line="240" w:lineRule="auto"/>
              <w:ind w:left="103" w:right="182"/>
              <w:jc w:val="left"/>
              <w:rPr>
                <w:rFonts w:ascii="宋体" w:hAnsi="宋体" w:cs="宋体" w:eastAsia="宋体" w:hint="default"/>
                <w:sz w:val="18"/>
                <w:szCs w:val="18"/>
              </w:rPr>
            </w:pPr>
            <w:r>
              <w:rPr>
                <w:rFonts w:ascii="宋体" w:hAnsi="宋体" w:cs="宋体" w:eastAsia="宋体" w:hint="default"/>
                <w:sz w:val="18"/>
                <w:szCs w:val="18"/>
              </w:rPr>
              <w:t>置业有限公 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滨州</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滨州高新区</w:t>
            </w:r>
          </w:p>
          <w:p>
            <w:pPr>
              <w:pStyle w:val="TableParagraph"/>
              <w:spacing w:line="237" w:lineRule="auto"/>
              <w:ind w:left="100" w:right="254"/>
              <w:jc w:val="both"/>
              <w:rPr>
                <w:rFonts w:ascii="宋体" w:hAnsi="宋体" w:cs="宋体" w:eastAsia="宋体" w:hint="default"/>
                <w:sz w:val="18"/>
                <w:szCs w:val="18"/>
              </w:rPr>
            </w:pPr>
            <w:r>
              <w:rPr>
                <w:rFonts w:ascii="宋体" w:hAnsi="宋体" w:cs="宋体" w:eastAsia="宋体" w:hint="default"/>
                <w:sz w:val="18"/>
                <w:szCs w:val="18"/>
              </w:rPr>
              <w:t>小营办事处 驻地广青路 南侧</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房地产开发、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链动（杭州）</w:t>
            </w:r>
          </w:p>
          <w:p>
            <w:pPr>
              <w:pStyle w:val="TableParagraph"/>
              <w:spacing w:line="232" w:lineRule="exact" w:before="24"/>
              <w:ind w:left="103" w:right="182"/>
              <w:jc w:val="left"/>
              <w:rPr>
                <w:rFonts w:ascii="宋体" w:hAnsi="宋体" w:cs="宋体" w:eastAsia="宋体" w:hint="default"/>
                <w:sz w:val="18"/>
                <w:szCs w:val="18"/>
              </w:rPr>
            </w:pPr>
            <w:r>
              <w:rPr>
                <w:rFonts w:ascii="宋体" w:hAnsi="宋体" w:cs="宋体" w:eastAsia="宋体" w:hint="default"/>
                <w:sz w:val="18"/>
                <w:szCs w:val="18"/>
              </w:rPr>
              <w:t>投资有限公 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杭州市上城</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区白云路</w:t>
            </w:r>
            <w:r>
              <w:rPr>
                <w:rFonts w:ascii="宋体" w:hAnsi="宋体" w:cs="宋体" w:eastAsia="宋体" w:hint="default"/>
                <w:spacing w:val="-43"/>
                <w:sz w:val="18"/>
                <w:szCs w:val="18"/>
              </w:rPr>
              <w:t> </w:t>
            </w:r>
            <w:r>
              <w:rPr>
                <w:rFonts w:ascii="宋体" w:hAnsi="宋体" w:cs="宋体" w:eastAsia="宋体" w:hint="default"/>
                <w:sz w:val="18"/>
                <w:szCs w:val="18"/>
              </w:rPr>
              <w:t>24</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238</w:t>
            </w:r>
            <w:r>
              <w:rPr>
                <w:rFonts w:ascii="宋体" w:hAnsi="宋体" w:cs="宋体" w:eastAsia="宋体" w:hint="default"/>
                <w:spacing w:val="-45"/>
                <w:sz w:val="18"/>
                <w:szCs w:val="18"/>
              </w:rPr>
              <w:t> </w:t>
            </w:r>
            <w:r>
              <w:rPr>
                <w:rFonts w:ascii="宋体" w:hAnsi="宋体" w:cs="宋体" w:eastAsia="宋体" w:hint="default"/>
                <w:sz w:val="18"/>
                <w:szCs w:val="18"/>
              </w:rPr>
              <w:t>室</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链动数据技</w:t>
            </w:r>
          </w:p>
          <w:p>
            <w:pPr>
              <w:pStyle w:val="TableParagraph"/>
              <w:spacing w:line="232" w:lineRule="exact" w:before="23"/>
              <w:ind w:left="103" w:right="182"/>
              <w:jc w:val="left"/>
              <w:rPr>
                <w:rFonts w:ascii="宋体" w:hAnsi="宋体" w:cs="宋体" w:eastAsia="宋体" w:hint="default"/>
                <w:sz w:val="18"/>
                <w:szCs w:val="18"/>
              </w:rPr>
            </w:pPr>
            <w:r>
              <w:rPr>
                <w:rFonts w:ascii="宋体" w:hAnsi="宋体" w:cs="宋体" w:eastAsia="宋体" w:hint="default"/>
                <w:sz w:val="18"/>
                <w:szCs w:val="18"/>
              </w:rPr>
              <w:t>术（北京） 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技术开发、技</w:t>
            </w:r>
          </w:p>
          <w:p>
            <w:pPr>
              <w:pStyle w:val="TableParagraph"/>
              <w:spacing w:line="232" w:lineRule="exact" w:before="23"/>
              <w:ind w:left="100" w:right="105"/>
              <w:jc w:val="left"/>
              <w:rPr>
                <w:rFonts w:ascii="宋体" w:hAnsi="宋体" w:cs="宋体" w:eastAsia="宋体" w:hint="default"/>
                <w:sz w:val="18"/>
                <w:szCs w:val="18"/>
              </w:rPr>
            </w:pPr>
            <w:r>
              <w:rPr>
                <w:rFonts w:ascii="宋体" w:hAnsi="宋体" w:cs="宋体" w:eastAsia="宋体" w:hint="default"/>
                <w:sz w:val="18"/>
                <w:szCs w:val="18"/>
              </w:rPr>
              <w:t>术咨询、技术 服务</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100.00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北京派瑞威</w:t>
            </w:r>
          </w:p>
          <w:p>
            <w:pPr>
              <w:pStyle w:val="TableParagraph"/>
              <w:spacing w:line="232" w:lineRule="exact" w:before="23"/>
              <w:ind w:left="103" w:right="182"/>
              <w:jc w:val="left"/>
              <w:rPr>
                <w:rFonts w:ascii="宋体" w:hAnsi="宋体" w:cs="宋体" w:eastAsia="宋体" w:hint="default"/>
                <w:sz w:val="18"/>
                <w:szCs w:val="18"/>
              </w:rPr>
            </w:pPr>
            <w:r>
              <w:rPr>
                <w:rFonts w:ascii="宋体" w:hAnsi="宋体" w:cs="宋体" w:eastAsia="宋体" w:hint="default"/>
                <w:sz w:val="18"/>
                <w:szCs w:val="18"/>
              </w:rPr>
              <w:t>行广告有限 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设计、制作、</w:t>
            </w:r>
          </w:p>
          <w:p>
            <w:pPr>
              <w:pStyle w:val="TableParagraph"/>
              <w:spacing w:line="232" w:lineRule="exact" w:before="23"/>
              <w:ind w:left="100" w:right="105"/>
              <w:jc w:val="left"/>
              <w:rPr>
                <w:rFonts w:ascii="宋体" w:hAnsi="宋体" w:cs="宋体" w:eastAsia="宋体" w:hint="default"/>
                <w:sz w:val="18"/>
                <w:szCs w:val="18"/>
              </w:rPr>
            </w:pPr>
            <w:r>
              <w:rPr>
                <w:rFonts w:ascii="宋体" w:hAnsi="宋体" w:cs="宋体" w:eastAsia="宋体" w:hint="default"/>
                <w:sz w:val="18"/>
                <w:szCs w:val="18"/>
              </w:rPr>
              <w:t>代理、发布广 告</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5"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上海同立广</w:t>
            </w:r>
          </w:p>
          <w:p>
            <w:pPr>
              <w:pStyle w:val="TableParagraph"/>
              <w:spacing w:line="232" w:lineRule="exact" w:before="23"/>
              <w:ind w:left="103" w:right="182"/>
              <w:jc w:val="left"/>
              <w:rPr>
                <w:rFonts w:ascii="宋体" w:hAnsi="宋体" w:cs="宋体" w:eastAsia="宋体" w:hint="default"/>
                <w:sz w:val="18"/>
                <w:szCs w:val="18"/>
              </w:rPr>
            </w:pPr>
            <w:r>
              <w:rPr>
                <w:rFonts w:ascii="宋体" w:hAnsi="宋体" w:cs="宋体" w:eastAsia="宋体" w:hint="default"/>
                <w:sz w:val="18"/>
                <w:szCs w:val="18"/>
              </w:rPr>
              <w:t>告传播有限 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广告服务业</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5"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广东雨林木</w:t>
            </w:r>
          </w:p>
          <w:p>
            <w:pPr>
              <w:pStyle w:val="TableParagraph"/>
              <w:spacing w:line="232" w:lineRule="exact" w:before="23"/>
              <w:ind w:left="103" w:right="182"/>
              <w:jc w:val="left"/>
              <w:rPr>
                <w:rFonts w:ascii="宋体" w:hAnsi="宋体" w:cs="宋体" w:eastAsia="宋体" w:hint="default"/>
                <w:sz w:val="18"/>
                <w:szCs w:val="18"/>
              </w:rPr>
            </w:pPr>
            <w:r>
              <w:rPr>
                <w:rFonts w:ascii="宋体" w:hAnsi="宋体" w:cs="宋体" w:eastAsia="宋体" w:hint="default"/>
                <w:sz w:val="18"/>
                <w:szCs w:val="18"/>
              </w:rPr>
              <w:t>风计算机科 技有限公司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计算机软硬件</w:t>
            </w:r>
          </w:p>
          <w:p>
            <w:pPr>
              <w:pStyle w:val="TableParagraph"/>
              <w:spacing w:line="232" w:lineRule="exact" w:before="23"/>
              <w:ind w:left="100" w:right="105"/>
              <w:jc w:val="left"/>
              <w:rPr>
                <w:rFonts w:ascii="宋体" w:hAnsi="宋体" w:cs="宋体" w:eastAsia="宋体" w:hint="default"/>
                <w:sz w:val="18"/>
                <w:szCs w:val="18"/>
              </w:rPr>
            </w:pPr>
            <w:r>
              <w:rPr>
                <w:rFonts w:ascii="宋体" w:hAnsi="宋体" w:cs="宋体" w:eastAsia="宋体" w:hint="default"/>
                <w:sz w:val="18"/>
                <w:szCs w:val="18"/>
              </w:rPr>
              <w:t>及网络设备的 研究、开发</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5"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北京百孚思</w:t>
            </w:r>
          </w:p>
          <w:p>
            <w:pPr>
              <w:pStyle w:val="TableParagraph"/>
              <w:spacing w:line="232" w:lineRule="exact" w:before="23"/>
              <w:ind w:left="103" w:right="182"/>
              <w:jc w:val="left"/>
              <w:rPr>
                <w:rFonts w:ascii="宋体" w:hAnsi="宋体" w:cs="宋体" w:eastAsia="宋体" w:hint="default"/>
                <w:sz w:val="18"/>
                <w:szCs w:val="18"/>
              </w:rPr>
            </w:pPr>
            <w:r>
              <w:rPr>
                <w:rFonts w:ascii="宋体" w:hAnsi="宋体" w:cs="宋体" w:eastAsia="宋体" w:hint="default"/>
                <w:sz w:val="18"/>
                <w:szCs w:val="18"/>
              </w:rPr>
              <w:t>广告有限公 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广告服务业</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8"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广州华邑品</w:t>
            </w:r>
          </w:p>
          <w:p>
            <w:pPr>
              <w:pStyle w:val="TableParagraph"/>
              <w:spacing w:line="232" w:lineRule="exact" w:before="23"/>
              <w:ind w:left="103" w:right="182"/>
              <w:jc w:val="left"/>
              <w:rPr>
                <w:rFonts w:ascii="宋体" w:hAnsi="宋体" w:cs="宋体" w:eastAsia="宋体" w:hint="default"/>
                <w:sz w:val="18"/>
                <w:szCs w:val="18"/>
              </w:rPr>
            </w:pPr>
            <w:r>
              <w:rPr>
                <w:rFonts w:ascii="宋体" w:hAnsi="宋体" w:cs="宋体" w:eastAsia="宋体" w:hint="default"/>
                <w:sz w:val="18"/>
                <w:szCs w:val="18"/>
              </w:rPr>
              <w:t>牌数字营销 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策划创意服务</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5"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广州华邑誉</w:t>
            </w:r>
          </w:p>
          <w:p>
            <w:pPr>
              <w:pStyle w:val="TableParagraph"/>
              <w:spacing w:line="232" w:lineRule="exact" w:before="23"/>
              <w:ind w:left="103" w:right="182"/>
              <w:jc w:val="left"/>
              <w:rPr>
                <w:rFonts w:ascii="宋体" w:hAnsi="宋体" w:cs="宋体" w:eastAsia="宋体" w:hint="default"/>
                <w:sz w:val="18"/>
                <w:szCs w:val="18"/>
              </w:rPr>
            </w:pPr>
            <w:r>
              <w:rPr>
                <w:rFonts w:ascii="宋体" w:hAnsi="宋体" w:cs="宋体" w:eastAsia="宋体" w:hint="default"/>
                <w:sz w:val="18"/>
                <w:szCs w:val="18"/>
              </w:rPr>
              <w:t>同公关顾问 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948"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华邑聚同国</w:t>
            </w:r>
          </w:p>
          <w:p>
            <w:pPr>
              <w:pStyle w:val="TableParagraph"/>
              <w:spacing w:line="237" w:lineRule="auto"/>
              <w:ind w:left="103" w:right="181"/>
              <w:jc w:val="both"/>
              <w:rPr>
                <w:rFonts w:ascii="宋体" w:hAnsi="宋体" w:cs="宋体" w:eastAsia="宋体" w:hint="default"/>
                <w:sz w:val="18"/>
                <w:szCs w:val="18"/>
              </w:rPr>
            </w:pPr>
            <w:r>
              <w:rPr>
                <w:rFonts w:ascii="宋体" w:hAnsi="宋体" w:cs="宋体" w:eastAsia="宋体" w:hint="default"/>
                <w:sz w:val="18"/>
                <w:szCs w:val="18"/>
              </w:rPr>
              <w:t>际品牌管理 顾问</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 </w:t>
            </w:r>
            <w:r>
              <w:rPr>
                <w:rFonts w:ascii="宋体" w:hAnsi="宋体" w:cs="宋体" w:eastAsia="宋体" w:hint="default"/>
                <w:sz w:val="18"/>
                <w:szCs w:val="18"/>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5"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上海因克派</w:t>
            </w:r>
          </w:p>
          <w:p>
            <w:pPr>
              <w:pStyle w:val="TableParagraph"/>
              <w:spacing w:line="240" w:lineRule="auto"/>
              <w:ind w:left="103" w:right="182"/>
              <w:jc w:val="left"/>
              <w:rPr>
                <w:rFonts w:ascii="宋体" w:hAnsi="宋体" w:cs="宋体" w:eastAsia="宋体" w:hint="default"/>
                <w:sz w:val="18"/>
                <w:szCs w:val="18"/>
              </w:rPr>
            </w:pPr>
            <w:r>
              <w:rPr>
                <w:rFonts w:ascii="宋体" w:hAnsi="宋体" w:cs="宋体" w:eastAsia="宋体" w:hint="default"/>
                <w:sz w:val="18"/>
                <w:szCs w:val="18"/>
              </w:rPr>
              <w:t>文化传播有 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6"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上海同立会</w:t>
            </w:r>
          </w:p>
          <w:p>
            <w:pPr>
              <w:pStyle w:val="TableParagraph"/>
              <w:spacing w:line="240" w:lineRule="auto"/>
              <w:ind w:left="103" w:right="182"/>
              <w:jc w:val="left"/>
              <w:rPr>
                <w:rFonts w:ascii="宋体" w:hAnsi="宋体" w:cs="宋体" w:eastAsia="宋体" w:hint="default"/>
                <w:sz w:val="18"/>
                <w:szCs w:val="18"/>
              </w:rPr>
            </w:pPr>
            <w:r>
              <w:rPr>
                <w:rFonts w:ascii="宋体" w:hAnsi="宋体" w:cs="宋体" w:eastAsia="宋体" w:hint="default"/>
                <w:sz w:val="18"/>
                <w:szCs w:val="18"/>
              </w:rPr>
              <w:t>展服务有限 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广告服务业</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80" w:hRule="exact"/>
        </w:trPr>
        <w:tc>
          <w:tcPr>
            <w:tcW w:w="1200"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北京同立广</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告传播有限</w:t>
            </w:r>
          </w:p>
        </w:tc>
        <w:tc>
          <w:tcPr>
            <w:tcW w:w="128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27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广告服务业</w:t>
            </w:r>
          </w:p>
        </w:tc>
        <w:tc>
          <w:tcPr>
            <w:tcW w:w="1286" w:type="dxa"/>
            <w:tcBorders>
              <w:top w:val="single" w:sz="6" w:space="0" w:color="000000"/>
              <w:left w:val="single" w:sz="6" w:space="0" w:color="000000"/>
              <w:bottom w:val="single" w:sz="4" w:space="0" w:color="000000"/>
              <w:right w:val="single" w:sz="6" w:space="0" w:color="000000"/>
            </w:tcBorders>
          </w:tcPr>
          <w:p>
            <w:pPr/>
          </w:p>
        </w:tc>
        <w:tc>
          <w:tcPr>
            <w:tcW w:w="128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75.00</w:t>
            </w:r>
          </w:p>
        </w:tc>
        <w:tc>
          <w:tcPr>
            <w:tcW w:w="1418"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after="0" w:line="240" w:lineRule="auto"/>
        <w:jc w:val="left"/>
        <w:rPr>
          <w:rFonts w:ascii="宋体" w:hAnsi="宋体" w:cs="宋体" w:eastAsia="宋体" w:hint="default"/>
          <w:sz w:val="18"/>
          <w:szCs w:val="18"/>
        </w:rPr>
        <w:sectPr>
          <w:pgSz w:w="11910" w:h="16840"/>
          <w:pgMar w:header="856" w:footer="1193" w:top="1280" w:bottom="1380" w:left="1580" w:right="1040"/>
        </w:sectPr>
      </w:pPr>
    </w:p>
    <w:p>
      <w:pPr>
        <w:spacing w:line="240" w:lineRule="auto" w:before="13"/>
        <w:rPr>
          <w:rFonts w:ascii="宋体" w:hAnsi="宋体" w:cs="宋体" w:eastAsia="宋体" w:hint="default"/>
          <w:b/>
          <w:bCs/>
          <w:sz w:val="17"/>
          <w:szCs w:val="17"/>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8"/>
      </w:tblGrid>
      <w:tr>
        <w:trPr>
          <w:trHeight w:val="25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87"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4" w:space="0" w:color="000000"/>
            </w:tcBorders>
          </w:tcPr>
          <w:p>
            <w:pPr/>
          </w:p>
        </w:tc>
      </w:tr>
      <w:tr>
        <w:trPr>
          <w:trHeight w:val="482"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广州同立广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告有限公司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广告服务业</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75.00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5"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上海睿吉会</w:t>
            </w:r>
          </w:p>
          <w:p>
            <w:pPr>
              <w:pStyle w:val="TableParagraph"/>
              <w:spacing w:line="232" w:lineRule="exact" w:before="23"/>
              <w:ind w:left="103" w:right="182"/>
              <w:jc w:val="left"/>
              <w:rPr>
                <w:rFonts w:ascii="宋体" w:hAnsi="宋体" w:cs="宋体" w:eastAsia="宋体" w:hint="default"/>
                <w:sz w:val="18"/>
                <w:szCs w:val="18"/>
              </w:rPr>
            </w:pPr>
            <w:r>
              <w:rPr>
                <w:rFonts w:ascii="宋体" w:hAnsi="宋体" w:cs="宋体" w:eastAsia="宋体" w:hint="default"/>
                <w:sz w:val="18"/>
                <w:szCs w:val="18"/>
              </w:rPr>
              <w:t>展服务有限 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广告服务业</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5"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上海集熠市</w:t>
            </w:r>
          </w:p>
          <w:p>
            <w:pPr>
              <w:pStyle w:val="TableParagraph"/>
              <w:spacing w:line="240" w:lineRule="auto"/>
              <w:ind w:left="103" w:right="182"/>
              <w:jc w:val="left"/>
              <w:rPr>
                <w:rFonts w:ascii="宋体" w:hAnsi="宋体" w:cs="宋体" w:eastAsia="宋体" w:hint="default"/>
                <w:sz w:val="18"/>
                <w:szCs w:val="18"/>
              </w:rPr>
            </w:pPr>
            <w:r>
              <w:rPr>
                <w:rFonts w:ascii="宋体" w:hAnsi="宋体" w:cs="宋体" w:eastAsia="宋体" w:hint="default"/>
                <w:sz w:val="18"/>
                <w:szCs w:val="18"/>
              </w:rPr>
              <w:t>场营销策划 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广告服务业</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65.00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5"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厦门同立天</w:t>
            </w:r>
          </w:p>
          <w:p>
            <w:pPr>
              <w:pStyle w:val="TableParagraph"/>
              <w:spacing w:line="240" w:lineRule="auto"/>
              <w:ind w:left="103" w:right="182"/>
              <w:jc w:val="left"/>
              <w:rPr>
                <w:rFonts w:ascii="宋体" w:hAnsi="宋体" w:cs="宋体" w:eastAsia="宋体" w:hint="default"/>
                <w:sz w:val="18"/>
                <w:szCs w:val="18"/>
              </w:rPr>
            </w:pPr>
            <w:r>
              <w:rPr>
                <w:rFonts w:ascii="宋体" w:hAnsi="宋体" w:cs="宋体" w:eastAsia="宋体" w:hint="default"/>
                <w:sz w:val="18"/>
                <w:szCs w:val="18"/>
              </w:rPr>
              <w:t>得广告有限 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广告服务业</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70.00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6"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杭州同领立</w:t>
            </w:r>
          </w:p>
          <w:p>
            <w:pPr>
              <w:pStyle w:val="TableParagraph"/>
              <w:spacing w:line="240" w:lineRule="auto"/>
              <w:ind w:left="103" w:right="182"/>
              <w:jc w:val="left"/>
              <w:rPr>
                <w:rFonts w:ascii="宋体" w:hAnsi="宋体" w:cs="宋体" w:eastAsia="宋体" w:hint="default"/>
                <w:sz w:val="18"/>
                <w:szCs w:val="18"/>
              </w:rPr>
            </w:pPr>
            <w:r>
              <w:rPr>
                <w:rFonts w:ascii="宋体" w:hAnsi="宋体" w:cs="宋体" w:eastAsia="宋体" w:hint="default"/>
                <w:sz w:val="18"/>
                <w:szCs w:val="18"/>
              </w:rPr>
              <w:t>胜营销策划 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广告服务业</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40.00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5"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上海百孚思</w:t>
            </w:r>
          </w:p>
          <w:p>
            <w:pPr>
              <w:pStyle w:val="TableParagraph"/>
              <w:spacing w:line="240" w:lineRule="auto"/>
              <w:ind w:left="103" w:right="182"/>
              <w:jc w:val="left"/>
              <w:rPr>
                <w:rFonts w:ascii="宋体" w:hAnsi="宋体" w:cs="宋体" w:eastAsia="宋体" w:hint="default"/>
                <w:sz w:val="18"/>
                <w:szCs w:val="18"/>
              </w:rPr>
            </w:pPr>
            <w:r>
              <w:rPr>
                <w:rFonts w:ascii="宋体" w:hAnsi="宋体" w:cs="宋体" w:eastAsia="宋体" w:hint="default"/>
                <w:sz w:val="18"/>
                <w:szCs w:val="18"/>
              </w:rPr>
              <w:t>文化传媒有 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广告服务业</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5"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武汉百孚思</w:t>
            </w:r>
          </w:p>
          <w:p>
            <w:pPr>
              <w:pStyle w:val="TableParagraph"/>
              <w:spacing w:line="240" w:lineRule="auto"/>
              <w:ind w:left="103" w:right="182"/>
              <w:jc w:val="left"/>
              <w:rPr>
                <w:rFonts w:ascii="宋体" w:hAnsi="宋体" w:cs="宋体" w:eastAsia="宋体" w:hint="default"/>
                <w:sz w:val="18"/>
                <w:szCs w:val="18"/>
              </w:rPr>
            </w:pPr>
            <w:r>
              <w:rPr>
                <w:rFonts w:ascii="宋体" w:hAnsi="宋体" w:cs="宋体" w:eastAsia="宋体" w:hint="default"/>
                <w:sz w:val="18"/>
                <w:szCs w:val="18"/>
              </w:rPr>
              <w:t>数字技术有 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广告服务业</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51.00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5"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北京传实互</w:t>
            </w:r>
          </w:p>
          <w:p>
            <w:pPr>
              <w:pStyle w:val="TableParagraph"/>
              <w:spacing w:line="232" w:lineRule="exact" w:before="24"/>
              <w:ind w:left="103" w:right="182"/>
              <w:jc w:val="left"/>
              <w:rPr>
                <w:rFonts w:ascii="宋体" w:hAnsi="宋体" w:cs="宋体" w:eastAsia="宋体" w:hint="default"/>
                <w:sz w:val="18"/>
                <w:szCs w:val="18"/>
              </w:rPr>
            </w:pPr>
            <w:r>
              <w:rPr>
                <w:rFonts w:ascii="宋体" w:hAnsi="宋体" w:cs="宋体" w:eastAsia="宋体" w:hint="default"/>
                <w:sz w:val="18"/>
                <w:szCs w:val="18"/>
              </w:rPr>
              <w:t>动广告有限 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广告服务业</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82"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上海玺梵广</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告有限公司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广告服务业</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3" w:hRule="exact"/>
        </w:trPr>
        <w:tc>
          <w:tcPr>
            <w:tcW w:w="1200" w:type="dxa"/>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北京鑫宇创</w:t>
            </w:r>
          </w:p>
          <w:p>
            <w:pPr>
              <w:pStyle w:val="TableParagraph"/>
              <w:spacing w:line="240" w:lineRule="auto"/>
              <w:ind w:left="103" w:right="182"/>
              <w:jc w:val="left"/>
              <w:rPr>
                <w:rFonts w:ascii="宋体" w:hAnsi="宋体" w:cs="宋体" w:eastAsia="宋体" w:hint="default"/>
                <w:sz w:val="18"/>
                <w:szCs w:val="18"/>
              </w:rPr>
            </w:pPr>
            <w:r>
              <w:rPr>
                <w:rFonts w:ascii="宋体" w:hAnsi="宋体" w:cs="宋体" w:eastAsia="宋体" w:hint="default"/>
                <w:sz w:val="18"/>
                <w:szCs w:val="18"/>
              </w:rPr>
              <w:t>世科技有限 公司</w:t>
            </w:r>
          </w:p>
        </w:tc>
        <w:tc>
          <w:tcPr>
            <w:tcW w:w="128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广告服务业</w:t>
            </w:r>
          </w:p>
        </w:tc>
        <w:tc>
          <w:tcPr>
            <w:tcW w:w="1286" w:type="dxa"/>
            <w:tcBorders>
              <w:top w:val="single" w:sz="6" w:space="0" w:color="000000"/>
              <w:left w:val="single" w:sz="6" w:space="0" w:color="000000"/>
              <w:bottom w:val="single" w:sz="4" w:space="0" w:color="000000"/>
              <w:right w:val="single" w:sz="6" w:space="0" w:color="000000"/>
            </w:tcBorders>
          </w:tcPr>
          <w:p>
            <w:pPr/>
          </w:p>
        </w:tc>
        <w:tc>
          <w:tcPr>
            <w:tcW w:w="128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1418" w:type="dxa"/>
            <w:tcBorders>
              <w:top w:val="single" w:sz="6" w:space="0" w:color="000000"/>
              <w:left w:val="single" w:sz="6"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tabs>
          <w:tab w:pos="861" w:val="left" w:leader="none"/>
        </w:tabs>
        <w:spacing w:line="240" w:lineRule="auto"/>
        <w:ind w:right="2465"/>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6" w:val="left" w:leader="none"/>
        </w:tabs>
        <w:spacing w:line="240" w:lineRule="auto" w:before="56"/>
        <w:ind w:left="0" w:right="227"/>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5"/>
        <w:gridCol w:w="1742"/>
      </w:tblGrid>
      <w:tr>
        <w:trPr>
          <w:trHeight w:val="557" w:hRule="exact"/>
        </w:trPr>
        <w:tc>
          <w:tcPr>
            <w:tcW w:w="161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5"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7" w:hRule="exact"/>
        </w:trPr>
        <w:tc>
          <w:tcPr>
            <w:tcW w:w="161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东营科英置业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171" w:right="0"/>
              <w:jc w:val="left"/>
              <w:rPr>
                <w:rFonts w:ascii="宋体" w:hAnsi="宋体" w:cs="宋体" w:eastAsia="宋体" w:hint="default"/>
                <w:sz w:val="21"/>
                <w:szCs w:val="21"/>
              </w:rPr>
            </w:pPr>
            <w:r>
              <w:rPr>
                <w:rFonts w:ascii="宋体"/>
                <w:sz w:val="21"/>
              </w:rPr>
              <w:t>45.45</w:t>
            </w:r>
          </w:p>
        </w:tc>
        <w:tc>
          <w:tcPr>
            <w:tcW w:w="193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sz w:val="21"/>
              </w:rPr>
              <w:t>5,544,228.89</w:t>
            </w:r>
          </w:p>
        </w:tc>
        <w:tc>
          <w:tcPr>
            <w:tcW w:w="1945" w:type="dxa"/>
            <w:tcBorders>
              <w:top w:val="single" w:sz="6" w:space="0" w:color="000000"/>
              <w:left w:val="single" w:sz="6" w:space="0" w:color="000000"/>
              <w:bottom w:val="single" w:sz="4" w:space="0" w:color="000000"/>
              <w:right w:val="single" w:sz="6" w:space="0" w:color="000000"/>
            </w:tcBorders>
          </w:tcPr>
          <w:p>
            <w:pPr/>
          </w:p>
        </w:tc>
        <w:tc>
          <w:tcPr>
            <w:tcW w:w="174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sz w:val="21"/>
              </w:rPr>
              <w:t>32,459,641.38</w:t>
            </w:r>
          </w:p>
        </w:tc>
      </w:tr>
    </w:tbl>
    <w:p>
      <w:pPr>
        <w:spacing w:line="240" w:lineRule="auto" w:before="2"/>
        <w:rPr>
          <w:rFonts w:ascii="宋体" w:hAnsi="宋体" w:cs="宋体" w:eastAsia="宋体" w:hint="default"/>
          <w:sz w:val="20"/>
          <w:szCs w:val="20"/>
        </w:rPr>
      </w:pPr>
    </w:p>
    <w:p>
      <w:pPr>
        <w:pStyle w:val="Heading2"/>
        <w:tabs>
          <w:tab w:pos="861" w:val="left" w:leader="none"/>
        </w:tabs>
        <w:spacing w:line="240" w:lineRule="auto"/>
        <w:ind w:right="2465"/>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6" w:val="left" w:leader="none"/>
        </w:tabs>
        <w:spacing w:line="240" w:lineRule="auto" w:before="57"/>
        <w:ind w:left="0" w:right="227"/>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3"/>
        <w:gridCol w:w="739"/>
        <w:gridCol w:w="701"/>
        <w:gridCol w:w="740"/>
        <w:gridCol w:w="739"/>
        <w:gridCol w:w="701"/>
        <w:gridCol w:w="739"/>
        <w:gridCol w:w="739"/>
        <w:gridCol w:w="703"/>
        <w:gridCol w:w="814"/>
        <w:gridCol w:w="740"/>
        <w:gridCol w:w="665"/>
        <w:gridCol w:w="739"/>
      </w:tblGrid>
      <w:tr>
        <w:trPr>
          <w:trHeight w:val="252" w:hRule="exact"/>
        </w:trPr>
        <w:tc>
          <w:tcPr>
            <w:tcW w:w="293" w:type="dxa"/>
            <w:vMerge w:val="restart"/>
            <w:tcBorders>
              <w:top w:val="single" w:sz="4" w:space="0" w:color="000000"/>
              <w:left w:val="single" w:sz="4"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子</w:t>
            </w:r>
          </w:p>
          <w:p>
            <w:pPr>
              <w:pStyle w:val="TableParagraph"/>
              <w:spacing w:line="237" w:lineRule="auto"/>
              <w:ind w:left="103" w:right="-3"/>
              <w:jc w:val="both"/>
              <w:rPr>
                <w:rFonts w:ascii="宋体" w:hAnsi="宋体" w:cs="宋体" w:eastAsia="宋体" w:hint="default"/>
                <w:sz w:val="18"/>
                <w:szCs w:val="18"/>
              </w:rPr>
            </w:pPr>
            <w:r>
              <w:rPr>
                <w:rFonts w:ascii="宋体" w:hAnsi="宋体" w:cs="宋体" w:eastAsia="宋体" w:hint="default"/>
                <w:sz w:val="18"/>
                <w:szCs w:val="18"/>
              </w:rPr>
              <w:t>公 司 名 称</w:t>
            </w:r>
          </w:p>
        </w:tc>
        <w:tc>
          <w:tcPr>
            <w:tcW w:w="4359" w:type="dxa"/>
            <w:gridSpan w:val="6"/>
            <w:tcBorders>
              <w:top w:val="single" w:sz="4" w:space="0" w:color="000000"/>
              <w:left w:val="single" w:sz="6" w:space="0" w:color="000000"/>
              <w:bottom w:val="single" w:sz="6" w:space="0" w:color="000000"/>
              <w:right w:val="single" w:sz="6" w:space="0" w:color="000000"/>
            </w:tcBorders>
          </w:tcPr>
          <w:p>
            <w:pPr>
              <w:pStyle w:val="TableParagraph"/>
              <w:spacing w:line="210" w:lineRule="exact"/>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0" w:type="dxa"/>
            <w:gridSpan w:val="6"/>
            <w:tcBorders>
              <w:top w:val="single" w:sz="4" w:space="0" w:color="000000"/>
              <w:left w:val="single" w:sz="6" w:space="0" w:color="000000"/>
              <w:bottom w:val="single" w:sz="6" w:space="0" w:color="000000"/>
              <w:right w:val="single" w:sz="4" w:space="0" w:color="000000"/>
            </w:tcBorders>
          </w:tcPr>
          <w:p>
            <w:pPr>
              <w:pStyle w:val="TableParagraph"/>
              <w:spacing w:line="210" w:lineRule="exact"/>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926" w:hRule="exact"/>
        </w:trPr>
        <w:tc>
          <w:tcPr>
            <w:tcW w:w="293" w:type="dxa"/>
            <w:vMerge/>
            <w:tcBorders>
              <w:left w:val="single" w:sz="4" w:space="0" w:color="000000"/>
              <w:bottom w:val="single" w:sz="6" w:space="0" w:color="000000"/>
              <w:right w:val="single" w:sz="6" w:space="0" w:color="000000"/>
            </w:tcBorders>
          </w:tcPr>
          <w:p>
            <w:pP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9"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9" w:right="47" w:hanging="92"/>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2" w:right="182"/>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2" w:right="43"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2" w:right="180"/>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1" w:right="47" w:hanging="92"/>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9" w:right="127"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2" w:right="24"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2" w:right="182"/>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2348" w:hRule="exact"/>
        </w:trPr>
        <w:tc>
          <w:tcPr>
            <w:tcW w:w="293" w:type="dxa"/>
            <w:tcBorders>
              <w:top w:val="single" w:sz="6" w:space="0" w:color="000000"/>
              <w:left w:val="single" w:sz="4" w:space="0" w:color="000000"/>
              <w:bottom w:val="single" w:sz="4" w:space="0" w:color="000000"/>
              <w:right w:val="single" w:sz="6"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东</w:t>
            </w:r>
          </w:p>
          <w:p>
            <w:pPr>
              <w:pStyle w:val="TableParagraph"/>
              <w:spacing w:line="237" w:lineRule="auto"/>
              <w:ind w:left="103" w:right="-3"/>
              <w:jc w:val="both"/>
              <w:rPr>
                <w:rFonts w:ascii="宋体" w:hAnsi="宋体" w:cs="宋体" w:eastAsia="宋体" w:hint="default"/>
                <w:sz w:val="18"/>
                <w:szCs w:val="18"/>
              </w:rPr>
            </w:pPr>
            <w:r>
              <w:rPr>
                <w:rFonts w:ascii="宋体" w:hAnsi="宋体" w:cs="宋体" w:eastAsia="宋体" w:hint="default"/>
                <w:sz w:val="18"/>
                <w:szCs w:val="18"/>
              </w:rPr>
              <w:t>营 科 英 置 业 有 限 公 司</w:t>
            </w:r>
          </w:p>
        </w:tc>
        <w:tc>
          <w:tcPr>
            <w:tcW w:w="739"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821,9</w:t>
            </w:r>
          </w:p>
          <w:p>
            <w:pPr>
              <w:pStyle w:val="TableParagraph"/>
              <w:spacing w:line="233" w:lineRule="exact"/>
              <w:ind w:left="170" w:right="0"/>
              <w:jc w:val="left"/>
              <w:rPr>
                <w:rFonts w:ascii="宋体" w:hAnsi="宋体" w:cs="宋体" w:eastAsia="宋体" w:hint="default"/>
                <w:sz w:val="18"/>
                <w:szCs w:val="18"/>
              </w:rPr>
            </w:pPr>
            <w:r>
              <w:rPr>
                <w:rFonts w:ascii="宋体"/>
                <w:sz w:val="18"/>
              </w:rPr>
              <w:t>17,06</w:t>
            </w:r>
          </w:p>
          <w:p>
            <w:pPr>
              <w:pStyle w:val="TableParagraph"/>
              <w:spacing w:line="234" w:lineRule="exact"/>
              <w:ind w:left="261" w:right="0"/>
              <w:jc w:val="left"/>
              <w:rPr>
                <w:rFonts w:ascii="宋体" w:hAnsi="宋体" w:cs="宋体" w:eastAsia="宋体" w:hint="default"/>
                <w:sz w:val="18"/>
                <w:szCs w:val="18"/>
              </w:rPr>
            </w:pPr>
            <w:r>
              <w:rPr>
                <w:rFonts w:ascii="宋体"/>
                <w:sz w:val="18"/>
              </w:rPr>
              <w:t>0.49</w:t>
            </w:r>
          </w:p>
        </w:tc>
        <w:tc>
          <w:tcPr>
            <w:tcW w:w="701"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34" w:right="0"/>
              <w:jc w:val="center"/>
              <w:rPr>
                <w:rFonts w:ascii="宋体" w:hAnsi="宋体" w:cs="宋体" w:eastAsia="宋体" w:hint="default"/>
                <w:sz w:val="18"/>
                <w:szCs w:val="18"/>
              </w:rPr>
            </w:pPr>
            <w:r>
              <w:rPr>
                <w:rFonts w:ascii="宋体"/>
                <w:sz w:val="18"/>
              </w:rPr>
              <w:t>92,24</w:t>
            </w:r>
          </w:p>
          <w:p>
            <w:pPr>
              <w:pStyle w:val="TableParagraph"/>
              <w:spacing w:line="233" w:lineRule="exact"/>
              <w:ind w:left="34" w:right="0"/>
              <w:jc w:val="center"/>
              <w:rPr>
                <w:rFonts w:ascii="宋体" w:hAnsi="宋体" w:cs="宋体" w:eastAsia="宋体" w:hint="default"/>
                <w:sz w:val="18"/>
                <w:szCs w:val="18"/>
              </w:rPr>
            </w:pPr>
            <w:r>
              <w:rPr>
                <w:rFonts w:ascii="宋体"/>
                <w:sz w:val="18"/>
              </w:rPr>
              <w:t>4,566</w:t>
            </w:r>
          </w:p>
          <w:p>
            <w:pPr>
              <w:pStyle w:val="TableParagraph"/>
              <w:spacing w:line="234" w:lineRule="exact"/>
              <w:ind w:left="216" w:right="0"/>
              <w:jc w:val="center"/>
              <w:rPr>
                <w:rFonts w:ascii="宋体" w:hAnsi="宋体" w:cs="宋体" w:eastAsia="宋体" w:hint="default"/>
                <w:sz w:val="18"/>
                <w:szCs w:val="18"/>
              </w:rPr>
            </w:pPr>
            <w:r>
              <w:rPr>
                <w:rFonts w:ascii="宋体"/>
                <w:sz w:val="18"/>
              </w:rPr>
              <w:t>.45</w:t>
            </w:r>
          </w:p>
        </w:tc>
        <w:tc>
          <w:tcPr>
            <w:tcW w:w="740"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914,1</w:t>
            </w:r>
          </w:p>
          <w:p>
            <w:pPr>
              <w:pStyle w:val="TableParagraph"/>
              <w:spacing w:line="233" w:lineRule="exact"/>
              <w:ind w:left="172" w:right="0"/>
              <w:jc w:val="left"/>
              <w:rPr>
                <w:rFonts w:ascii="宋体" w:hAnsi="宋体" w:cs="宋体" w:eastAsia="宋体" w:hint="default"/>
                <w:sz w:val="18"/>
                <w:szCs w:val="18"/>
              </w:rPr>
            </w:pPr>
            <w:r>
              <w:rPr>
                <w:rFonts w:ascii="宋体"/>
                <w:sz w:val="18"/>
              </w:rPr>
              <w:t>61,62</w:t>
            </w:r>
          </w:p>
          <w:p>
            <w:pPr>
              <w:pStyle w:val="TableParagraph"/>
              <w:spacing w:line="234" w:lineRule="exact"/>
              <w:ind w:left="263" w:right="0"/>
              <w:jc w:val="left"/>
              <w:rPr>
                <w:rFonts w:ascii="宋体" w:hAnsi="宋体" w:cs="宋体" w:eastAsia="宋体" w:hint="default"/>
                <w:sz w:val="18"/>
                <w:szCs w:val="18"/>
              </w:rPr>
            </w:pPr>
            <w:r>
              <w:rPr>
                <w:rFonts w:ascii="宋体"/>
                <w:sz w:val="18"/>
              </w:rPr>
              <w:t>6.94</w:t>
            </w:r>
          </w:p>
        </w:tc>
        <w:tc>
          <w:tcPr>
            <w:tcW w:w="739"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823,5</w:t>
            </w:r>
          </w:p>
          <w:p>
            <w:pPr>
              <w:pStyle w:val="TableParagraph"/>
              <w:spacing w:line="233" w:lineRule="exact"/>
              <w:ind w:left="172" w:right="0"/>
              <w:jc w:val="left"/>
              <w:rPr>
                <w:rFonts w:ascii="宋体" w:hAnsi="宋体" w:cs="宋体" w:eastAsia="宋体" w:hint="default"/>
                <w:sz w:val="18"/>
                <w:szCs w:val="18"/>
              </w:rPr>
            </w:pPr>
            <w:r>
              <w:rPr>
                <w:rFonts w:ascii="宋体"/>
                <w:sz w:val="18"/>
              </w:rPr>
              <w:t>91,92</w:t>
            </w:r>
          </w:p>
          <w:p>
            <w:pPr>
              <w:pStyle w:val="TableParagraph"/>
              <w:spacing w:line="234" w:lineRule="exact"/>
              <w:ind w:left="263" w:right="0"/>
              <w:jc w:val="left"/>
              <w:rPr>
                <w:rFonts w:ascii="宋体" w:hAnsi="宋体" w:cs="宋体" w:eastAsia="宋体" w:hint="default"/>
                <w:sz w:val="18"/>
                <w:szCs w:val="18"/>
              </w:rPr>
            </w:pPr>
            <w:r>
              <w:rPr>
                <w:rFonts w:ascii="宋体"/>
                <w:sz w:val="18"/>
              </w:rPr>
              <w:t>3.52</w:t>
            </w:r>
          </w:p>
        </w:tc>
        <w:tc>
          <w:tcPr>
            <w:tcW w:w="701"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39" w:right="0"/>
              <w:jc w:val="center"/>
              <w:rPr>
                <w:rFonts w:ascii="宋体" w:hAnsi="宋体" w:cs="宋体" w:eastAsia="宋体" w:hint="default"/>
                <w:sz w:val="18"/>
                <w:szCs w:val="18"/>
              </w:rPr>
            </w:pPr>
            <w:r>
              <w:rPr>
                <w:rFonts w:ascii="宋体"/>
                <w:sz w:val="18"/>
              </w:rPr>
              <w:t>13,08</w:t>
            </w:r>
          </w:p>
          <w:p>
            <w:pPr>
              <w:pStyle w:val="TableParagraph"/>
              <w:spacing w:line="233" w:lineRule="exact"/>
              <w:ind w:left="39" w:right="0"/>
              <w:jc w:val="center"/>
              <w:rPr>
                <w:rFonts w:ascii="宋体" w:hAnsi="宋体" w:cs="宋体" w:eastAsia="宋体" w:hint="default"/>
                <w:sz w:val="18"/>
                <w:szCs w:val="18"/>
              </w:rPr>
            </w:pPr>
            <w:r>
              <w:rPr>
                <w:rFonts w:ascii="宋体"/>
                <w:sz w:val="18"/>
              </w:rPr>
              <w:t>4,896</w:t>
            </w:r>
          </w:p>
          <w:p>
            <w:pPr>
              <w:pStyle w:val="TableParagraph"/>
              <w:spacing w:line="234" w:lineRule="exact"/>
              <w:ind w:left="220" w:right="0"/>
              <w:jc w:val="center"/>
              <w:rPr>
                <w:rFonts w:ascii="宋体" w:hAnsi="宋体" w:cs="宋体" w:eastAsia="宋体" w:hint="default"/>
                <w:sz w:val="18"/>
                <w:szCs w:val="18"/>
              </w:rPr>
            </w:pPr>
            <w:r>
              <w:rPr>
                <w:rFonts w:ascii="宋体"/>
                <w:sz w:val="18"/>
              </w:rPr>
              <w:t>.44</w:t>
            </w:r>
          </w:p>
        </w:tc>
        <w:tc>
          <w:tcPr>
            <w:tcW w:w="739"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836,6</w:t>
            </w:r>
          </w:p>
          <w:p>
            <w:pPr>
              <w:pStyle w:val="TableParagraph"/>
              <w:spacing w:line="233" w:lineRule="exact"/>
              <w:ind w:left="172" w:right="0"/>
              <w:jc w:val="left"/>
              <w:rPr>
                <w:rFonts w:ascii="宋体" w:hAnsi="宋体" w:cs="宋体" w:eastAsia="宋体" w:hint="default"/>
                <w:sz w:val="18"/>
                <w:szCs w:val="18"/>
              </w:rPr>
            </w:pPr>
            <w:r>
              <w:rPr>
                <w:rFonts w:ascii="宋体"/>
                <w:sz w:val="18"/>
              </w:rPr>
              <w:t>76,81</w:t>
            </w:r>
          </w:p>
          <w:p>
            <w:pPr>
              <w:pStyle w:val="TableParagraph"/>
              <w:spacing w:line="234" w:lineRule="exact"/>
              <w:ind w:left="263" w:right="0"/>
              <w:jc w:val="left"/>
              <w:rPr>
                <w:rFonts w:ascii="宋体" w:hAnsi="宋体" w:cs="宋体" w:eastAsia="宋体" w:hint="default"/>
                <w:sz w:val="18"/>
                <w:szCs w:val="18"/>
              </w:rPr>
            </w:pPr>
            <w:r>
              <w:rPr>
                <w:rFonts w:ascii="宋体"/>
                <w:sz w:val="18"/>
              </w:rPr>
              <w:t>9.96</w:t>
            </w:r>
          </w:p>
        </w:tc>
        <w:tc>
          <w:tcPr>
            <w:tcW w:w="739"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919,0</w:t>
            </w:r>
          </w:p>
          <w:p>
            <w:pPr>
              <w:pStyle w:val="TableParagraph"/>
              <w:spacing w:line="233" w:lineRule="exact"/>
              <w:ind w:left="172" w:right="0"/>
              <w:jc w:val="left"/>
              <w:rPr>
                <w:rFonts w:ascii="宋体" w:hAnsi="宋体" w:cs="宋体" w:eastAsia="宋体" w:hint="default"/>
                <w:sz w:val="18"/>
                <w:szCs w:val="18"/>
              </w:rPr>
            </w:pPr>
            <w:r>
              <w:rPr>
                <w:rFonts w:ascii="宋体"/>
                <w:sz w:val="18"/>
              </w:rPr>
              <w:t>03,01</w:t>
            </w:r>
          </w:p>
          <w:p>
            <w:pPr>
              <w:pStyle w:val="TableParagraph"/>
              <w:spacing w:line="234" w:lineRule="exact"/>
              <w:ind w:left="263" w:right="0"/>
              <w:jc w:val="left"/>
              <w:rPr>
                <w:rFonts w:ascii="宋体" w:hAnsi="宋体" w:cs="宋体" w:eastAsia="宋体" w:hint="default"/>
                <w:sz w:val="18"/>
                <w:szCs w:val="18"/>
              </w:rPr>
            </w:pPr>
            <w:r>
              <w:rPr>
                <w:rFonts w:ascii="宋体"/>
                <w:sz w:val="18"/>
              </w:rPr>
              <w:t>3.19</w:t>
            </w:r>
          </w:p>
        </w:tc>
        <w:tc>
          <w:tcPr>
            <w:tcW w:w="703"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36" w:right="0"/>
              <w:jc w:val="center"/>
              <w:rPr>
                <w:rFonts w:ascii="宋体" w:hAnsi="宋体" w:cs="宋体" w:eastAsia="宋体" w:hint="default"/>
                <w:sz w:val="18"/>
                <w:szCs w:val="18"/>
              </w:rPr>
            </w:pPr>
            <w:r>
              <w:rPr>
                <w:rFonts w:ascii="宋体"/>
                <w:sz w:val="18"/>
              </w:rPr>
              <w:t>92,11</w:t>
            </w:r>
          </w:p>
          <w:p>
            <w:pPr>
              <w:pStyle w:val="TableParagraph"/>
              <w:spacing w:line="233" w:lineRule="exact"/>
              <w:ind w:left="36" w:right="0"/>
              <w:jc w:val="center"/>
              <w:rPr>
                <w:rFonts w:ascii="宋体" w:hAnsi="宋体" w:cs="宋体" w:eastAsia="宋体" w:hint="default"/>
                <w:sz w:val="18"/>
                <w:szCs w:val="18"/>
              </w:rPr>
            </w:pPr>
            <w:r>
              <w:rPr>
                <w:rFonts w:ascii="宋体"/>
                <w:sz w:val="18"/>
              </w:rPr>
              <w:t>7,393</w:t>
            </w:r>
          </w:p>
          <w:p>
            <w:pPr>
              <w:pStyle w:val="TableParagraph"/>
              <w:spacing w:line="234" w:lineRule="exact"/>
              <w:ind w:left="218" w:right="0"/>
              <w:jc w:val="center"/>
              <w:rPr>
                <w:rFonts w:ascii="宋体" w:hAnsi="宋体" w:cs="宋体" w:eastAsia="宋体" w:hint="default"/>
                <w:sz w:val="18"/>
                <w:szCs w:val="18"/>
              </w:rPr>
            </w:pPr>
            <w:r>
              <w:rPr>
                <w:rFonts w:ascii="宋体"/>
                <w:sz w:val="18"/>
              </w:rPr>
              <w:t>.22</w:t>
            </w:r>
          </w:p>
        </w:tc>
        <w:tc>
          <w:tcPr>
            <w:tcW w:w="814"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58" w:right="0"/>
              <w:jc w:val="center"/>
              <w:rPr>
                <w:rFonts w:ascii="宋体" w:hAnsi="宋体" w:cs="宋体" w:eastAsia="宋体" w:hint="default"/>
                <w:sz w:val="18"/>
                <w:szCs w:val="18"/>
              </w:rPr>
            </w:pPr>
            <w:r>
              <w:rPr>
                <w:rFonts w:ascii="宋体"/>
                <w:sz w:val="18"/>
              </w:rPr>
              <w:t>1,011,</w:t>
            </w:r>
          </w:p>
          <w:p>
            <w:pPr>
              <w:pStyle w:val="TableParagraph"/>
              <w:spacing w:line="233" w:lineRule="exact"/>
              <w:ind w:left="58" w:right="0"/>
              <w:jc w:val="center"/>
              <w:rPr>
                <w:rFonts w:ascii="宋体" w:hAnsi="宋体" w:cs="宋体" w:eastAsia="宋体" w:hint="default"/>
                <w:sz w:val="18"/>
                <w:szCs w:val="18"/>
              </w:rPr>
            </w:pPr>
            <w:r>
              <w:rPr>
                <w:rFonts w:ascii="宋体"/>
                <w:sz w:val="18"/>
              </w:rPr>
              <w:t>120,40</w:t>
            </w:r>
          </w:p>
          <w:p>
            <w:pPr>
              <w:pStyle w:val="TableParagraph"/>
              <w:spacing w:line="234" w:lineRule="exact"/>
              <w:ind w:left="238" w:right="0"/>
              <w:jc w:val="center"/>
              <w:rPr>
                <w:rFonts w:ascii="宋体" w:hAnsi="宋体" w:cs="宋体" w:eastAsia="宋体" w:hint="default"/>
                <w:sz w:val="18"/>
                <w:szCs w:val="18"/>
              </w:rPr>
            </w:pPr>
            <w:r>
              <w:rPr>
                <w:rFonts w:ascii="宋体"/>
                <w:sz w:val="18"/>
              </w:rPr>
              <w:t>6.41</w:t>
            </w:r>
          </w:p>
        </w:tc>
        <w:tc>
          <w:tcPr>
            <w:tcW w:w="740"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938,4</w:t>
            </w:r>
          </w:p>
          <w:p>
            <w:pPr>
              <w:pStyle w:val="TableParagraph"/>
              <w:spacing w:line="233" w:lineRule="exact"/>
              <w:ind w:left="172" w:right="0"/>
              <w:jc w:val="left"/>
              <w:rPr>
                <w:rFonts w:ascii="宋体" w:hAnsi="宋体" w:cs="宋体" w:eastAsia="宋体" w:hint="default"/>
                <w:sz w:val="18"/>
                <w:szCs w:val="18"/>
              </w:rPr>
            </w:pPr>
            <w:r>
              <w:rPr>
                <w:rFonts w:ascii="宋体"/>
                <w:sz w:val="18"/>
              </w:rPr>
              <w:t>60,09</w:t>
            </w:r>
          </w:p>
          <w:p>
            <w:pPr>
              <w:pStyle w:val="TableParagraph"/>
              <w:spacing w:line="234" w:lineRule="exact"/>
              <w:ind w:left="263" w:right="0"/>
              <w:jc w:val="left"/>
              <w:rPr>
                <w:rFonts w:ascii="宋体" w:hAnsi="宋体" w:cs="宋体" w:eastAsia="宋体" w:hint="default"/>
                <w:sz w:val="18"/>
                <w:szCs w:val="18"/>
              </w:rPr>
            </w:pPr>
            <w:r>
              <w:rPr>
                <w:rFonts w:ascii="宋体"/>
                <w:sz w:val="18"/>
              </w:rPr>
              <w:t>5.03</w:t>
            </w:r>
          </w:p>
        </w:tc>
        <w:tc>
          <w:tcPr>
            <w:tcW w:w="665"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sz w:val="18"/>
              </w:rPr>
              <w:t>7,40</w:t>
            </w:r>
          </w:p>
          <w:p>
            <w:pPr>
              <w:pStyle w:val="TableParagraph"/>
              <w:spacing w:line="233" w:lineRule="exact"/>
              <w:ind w:left="189" w:right="0"/>
              <w:jc w:val="left"/>
              <w:rPr>
                <w:rFonts w:ascii="宋体" w:hAnsi="宋体" w:cs="宋体" w:eastAsia="宋体" w:hint="default"/>
                <w:sz w:val="18"/>
                <w:szCs w:val="18"/>
              </w:rPr>
            </w:pPr>
            <w:r>
              <w:rPr>
                <w:rFonts w:ascii="宋体"/>
                <w:sz w:val="18"/>
              </w:rPr>
              <w:t>6,44</w:t>
            </w:r>
          </w:p>
          <w:p>
            <w:pPr>
              <w:pStyle w:val="TableParagraph"/>
              <w:spacing w:line="234" w:lineRule="exact"/>
              <w:ind w:left="189" w:right="0"/>
              <w:jc w:val="left"/>
              <w:rPr>
                <w:rFonts w:ascii="宋体" w:hAnsi="宋体" w:cs="宋体" w:eastAsia="宋体" w:hint="default"/>
                <w:sz w:val="18"/>
                <w:szCs w:val="18"/>
              </w:rPr>
            </w:pPr>
            <w:r>
              <w:rPr>
                <w:rFonts w:ascii="宋体"/>
                <w:sz w:val="18"/>
              </w:rPr>
              <w:t>0.42</w:t>
            </w:r>
          </w:p>
        </w:tc>
        <w:tc>
          <w:tcPr>
            <w:tcW w:w="739" w:type="dxa"/>
            <w:tcBorders>
              <w:top w:val="single" w:sz="6" w:space="0" w:color="000000"/>
              <w:left w:val="single" w:sz="6" w:space="0" w:color="000000"/>
              <w:bottom w:val="single" w:sz="4" w:space="0" w:color="000000"/>
              <w:right w:val="single" w:sz="4"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945,8</w:t>
            </w:r>
          </w:p>
          <w:p>
            <w:pPr>
              <w:pStyle w:val="TableParagraph"/>
              <w:spacing w:line="233" w:lineRule="exact"/>
              <w:ind w:left="172" w:right="0"/>
              <w:jc w:val="left"/>
              <w:rPr>
                <w:rFonts w:ascii="宋体" w:hAnsi="宋体" w:cs="宋体" w:eastAsia="宋体" w:hint="default"/>
                <w:sz w:val="18"/>
                <w:szCs w:val="18"/>
              </w:rPr>
            </w:pPr>
            <w:r>
              <w:rPr>
                <w:rFonts w:ascii="宋体"/>
                <w:sz w:val="18"/>
              </w:rPr>
              <w:t>66,53</w:t>
            </w:r>
          </w:p>
          <w:p>
            <w:pPr>
              <w:pStyle w:val="TableParagraph"/>
              <w:spacing w:line="234" w:lineRule="exact"/>
              <w:ind w:left="264" w:right="0"/>
              <w:jc w:val="left"/>
              <w:rPr>
                <w:rFonts w:ascii="宋体" w:hAnsi="宋体" w:cs="宋体" w:eastAsia="宋体" w:hint="default"/>
                <w:sz w:val="18"/>
                <w:szCs w:val="18"/>
              </w:rPr>
            </w:pPr>
            <w:r>
              <w:rPr>
                <w:rFonts w:ascii="宋体"/>
                <w:sz w:val="18"/>
              </w:rPr>
              <w:t>5.45</w:t>
            </w:r>
          </w:p>
        </w:tc>
      </w:tr>
    </w:tbl>
    <w:p>
      <w:pPr>
        <w:spacing w:after="0" w:line="234" w:lineRule="exact"/>
        <w:jc w:val="left"/>
        <w:rPr>
          <w:rFonts w:ascii="宋体" w:hAnsi="宋体" w:cs="宋体" w:eastAsia="宋体" w:hint="default"/>
          <w:sz w:val="18"/>
          <w:szCs w:val="18"/>
        </w:rPr>
        <w:sectPr>
          <w:pgSz w:w="11910" w:h="16840"/>
          <w:pgMar w:header="856" w:footer="1193" w:top="128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84"/>
        <w:gridCol w:w="1387"/>
        <w:gridCol w:w="1301"/>
        <w:gridCol w:w="384"/>
        <w:gridCol w:w="1304"/>
        <w:gridCol w:w="1219"/>
        <w:gridCol w:w="1304"/>
        <w:gridCol w:w="382"/>
        <w:gridCol w:w="1387"/>
      </w:tblGrid>
      <w:tr>
        <w:trPr>
          <w:trHeight w:val="281" w:hRule="exact"/>
        </w:trPr>
        <w:tc>
          <w:tcPr>
            <w:tcW w:w="384" w:type="dxa"/>
            <w:vMerge w:val="restart"/>
            <w:tcBorders>
              <w:top w:val="single" w:sz="4" w:space="0" w:color="000000"/>
              <w:left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73" w:lineRule="auto"/>
              <w:ind w:left="105" w:right="84"/>
              <w:jc w:val="both"/>
              <w:rPr>
                <w:rFonts w:ascii="宋体" w:hAnsi="宋体" w:cs="宋体" w:eastAsia="宋体" w:hint="default"/>
                <w:sz w:val="18"/>
                <w:szCs w:val="18"/>
              </w:rPr>
            </w:pPr>
            <w:r>
              <w:rPr>
                <w:rFonts w:ascii="宋体" w:hAnsi="宋体" w:cs="宋体" w:eastAsia="宋体" w:hint="default"/>
                <w:sz w:val="18"/>
                <w:szCs w:val="18"/>
              </w:rPr>
              <w:t>子 公 司 名 称</w:t>
            </w:r>
          </w:p>
        </w:tc>
        <w:tc>
          <w:tcPr>
            <w:tcW w:w="4376" w:type="dxa"/>
            <w:gridSpan w:val="4"/>
            <w:tcBorders>
              <w:top w:val="single" w:sz="4" w:space="0" w:color="000000"/>
              <w:left w:val="single" w:sz="6" w:space="0" w:color="000000"/>
              <w:bottom w:val="single" w:sz="6" w:space="0" w:color="000000"/>
              <w:right w:val="single" w:sz="6" w:space="0" w:color="000000"/>
            </w:tcBorders>
          </w:tcPr>
          <w:p>
            <w:pPr>
              <w:pStyle w:val="TableParagraph"/>
              <w:spacing w:line="203" w:lineRule="exact"/>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92" w:type="dxa"/>
            <w:gridSpan w:val="4"/>
            <w:tcBorders>
              <w:top w:val="single" w:sz="4" w:space="0" w:color="000000"/>
              <w:left w:val="single" w:sz="6" w:space="0" w:color="000000"/>
              <w:bottom w:val="single" w:sz="6" w:space="0" w:color="000000"/>
              <w:right w:val="single" w:sz="4" w:space="0" w:color="000000"/>
            </w:tcBorders>
          </w:tcPr>
          <w:p>
            <w:pPr>
              <w:pStyle w:val="TableParagraph"/>
              <w:spacing w:line="203" w:lineRule="exact"/>
              <w:ind w:left="1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625" w:hRule="exact"/>
        </w:trPr>
        <w:tc>
          <w:tcPr>
            <w:tcW w:w="384" w:type="dxa"/>
            <w:vMerge/>
            <w:tcBorders>
              <w:left w:val="single" w:sz="4"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both"/>
              <w:rPr>
                <w:rFonts w:ascii="宋体" w:hAnsi="宋体" w:cs="宋体" w:eastAsia="宋体" w:hint="default"/>
                <w:sz w:val="18"/>
                <w:szCs w:val="18"/>
              </w:rPr>
            </w:pPr>
            <w:r>
              <w:rPr>
                <w:rFonts w:ascii="宋体" w:hAnsi="宋体" w:cs="宋体" w:eastAsia="宋体" w:hint="default"/>
                <w:sz w:val="18"/>
                <w:szCs w:val="18"/>
              </w:rPr>
              <w:t>综</w:t>
            </w:r>
          </w:p>
          <w:p>
            <w:pPr>
              <w:pStyle w:val="TableParagraph"/>
              <w:spacing w:line="273" w:lineRule="auto" w:before="33"/>
              <w:ind w:left="100" w:right="86"/>
              <w:jc w:val="both"/>
              <w:rPr>
                <w:rFonts w:ascii="宋体" w:hAnsi="宋体" w:cs="宋体" w:eastAsia="宋体" w:hint="default"/>
                <w:sz w:val="18"/>
                <w:szCs w:val="18"/>
              </w:rPr>
            </w:pPr>
            <w:r>
              <w:rPr>
                <w:rFonts w:ascii="宋体" w:hAnsi="宋体" w:cs="宋体" w:eastAsia="宋体" w:hint="default"/>
                <w:sz w:val="18"/>
                <w:szCs w:val="18"/>
              </w:rPr>
              <w:t>合 收 益 总 额</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73" w:lineRule="auto"/>
              <w:ind w:left="463" w:right="105"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8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both"/>
              <w:rPr>
                <w:rFonts w:ascii="宋体" w:hAnsi="宋体" w:cs="宋体" w:eastAsia="宋体" w:hint="default"/>
                <w:sz w:val="18"/>
                <w:szCs w:val="18"/>
              </w:rPr>
            </w:pPr>
            <w:r>
              <w:rPr>
                <w:rFonts w:ascii="宋体" w:hAnsi="宋体" w:cs="宋体" w:eastAsia="宋体" w:hint="default"/>
                <w:sz w:val="18"/>
                <w:szCs w:val="18"/>
              </w:rPr>
              <w:t>综</w:t>
            </w:r>
          </w:p>
          <w:p>
            <w:pPr>
              <w:pStyle w:val="TableParagraph"/>
              <w:spacing w:line="273" w:lineRule="auto" w:before="33"/>
              <w:ind w:left="100" w:right="84"/>
              <w:jc w:val="both"/>
              <w:rPr>
                <w:rFonts w:ascii="宋体" w:hAnsi="宋体" w:cs="宋体" w:eastAsia="宋体" w:hint="default"/>
                <w:sz w:val="18"/>
                <w:szCs w:val="18"/>
              </w:rPr>
            </w:pPr>
            <w:r>
              <w:rPr>
                <w:rFonts w:ascii="宋体" w:hAnsi="宋体" w:cs="宋体" w:eastAsia="宋体" w:hint="default"/>
                <w:sz w:val="18"/>
                <w:szCs w:val="18"/>
              </w:rPr>
              <w:t>合 收 益 总 额</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73" w:lineRule="auto"/>
              <w:ind w:left="506" w:right="146"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r>
      <w:tr>
        <w:trPr>
          <w:trHeight w:val="2698" w:hRule="exact"/>
        </w:trPr>
        <w:tc>
          <w:tcPr>
            <w:tcW w:w="384"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东</w:t>
            </w:r>
          </w:p>
          <w:p>
            <w:pPr>
              <w:pStyle w:val="TableParagraph"/>
              <w:spacing w:line="273" w:lineRule="auto" w:before="31"/>
              <w:ind w:left="103" w:right="86"/>
              <w:jc w:val="both"/>
              <w:rPr>
                <w:rFonts w:ascii="宋体" w:hAnsi="宋体" w:cs="宋体" w:eastAsia="宋体" w:hint="default"/>
                <w:sz w:val="18"/>
                <w:szCs w:val="18"/>
              </w:rPr>
            </w:pPr>
            <w:r>
              <w:rPr>
                <w:rFonts w:ascii="宋体" w:hAnsi="宋体" w:cs="宋体" w:eastAsia="宋体" w:hint="default"/>
                <w:sz w:val="18"/>
                <w:szCs w:val="18"/>
              </w:rPr>
              <w:t>营 科 英 置 业 有 限 公 司</w:t>
            </w:r>
          </w:p>
        </w:tc>
        <w:tc>
          <w:tcPr>
            <w:tcW w:w="138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333,738,674.2</w:t>
            </w:r>
          </w:p>
          <w:p>
            <w:pPr>
              <w:pStyle w:val="TableParagraph"/>
              <w:spacing w:line="240" w:lineRule="auto" w:before="31"/>
              <w:ind w:right="101"/>
              <w:jc w:val="right"/>
              <w:rPr>
                <w:rFonts w:ascii="宋体" w:hAnsi="宋体" w:cs="宋体" w:eastAsia="宋体" w:hint="default"/>
                <w:sz w:val="18"/>
                <w:szCs w:val="18"/>
              </w:rPr>
            </w:pPr>
            <w:r>
              <w:rPr>
                <w:rFonts w:ascii="宋体"/>
                <w:sz w:val="18"/>
              </w:rPr>
              <w:t>9</w:t>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12,230,936.0</w:t>
            </w:r>
          </w:p>
          <w:p>
            <w:pPr>
              <w:pStyle w:val="TableParagraph"/>
              <w:spacing w:line="240" w:lineRule="auto" w:before="31"/>
              <w:ind w:right="101"/>
              <w:jc w:val="right"/>
              <w:rPr>
                <w:rFonts w:ascii="宋体" w:hAnsi="宋体" w:cs="宋体" w:eastAsia="宋体" w:hint="default"/>
                <w:sz w:val="18"/>
                <w:szCs w:val="18"/>
              </w:rPr>
            </w:pPr>
            <w:r>
              <w:rPr>
                <w:rFonts w:ascii="宋体"/>
                <w:sz w:val="18"/>
              </w:rPr>
              <w:t>2</w:t>
            </w:r>
          </w:p>
        </w:tc>
        <w:tc>
          <w:tcPr>
            <w:tcW w:w="384" w:type="dxa"/>
            <w:tcBorders>
              <w:top w:val="single" w:sz="6" w:space="0" w:color="000000"/>
              <w:left w:val="single" w:sz="6" w:space="0" w:color="000000"/>
              <w:bottom w:val="single" w:sz="4" w:space="0" w:color="000000"/>
              <w:right w:val="single" w:sz="6" w:space="0" w:color="000000"/>
            </w:tcBorders>
          </w:tcPr>
          <w:p>
            <w:pPr/>
          </w:p>
        </w:tc>
        <w:tc>
          <w:tcPr>
            <w:tcW w:w="130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89,875,356.9</w:t>
            </w:r>
          </w:p>
          <w:p>
            <w:pPr>
              <w:pStyle w:val="TableParagraph"/>
              <w:spacing w:line="240" w:lineRule="auto" w:before="31"/>
              <w:ind w:right="100"/>
              <w:jc w:val="right"/>
              <w:rPr>
                <w:rFonts w:ascii="宋体" w:hAnsi="宋体" w:cs="宋体" w:eastAsia="宋体" w:hint="default"/>
                <w:sz w:val="18"/>
                <w:szCs w:val="18"/>
              </w:rPr>
            </w:pPr>
            <w:r>
              <w:rPr>
                <w:rFonts w:ascii="宋体"/>
                <w:sz w:val="18"/>
              </w:rPr>
              <w:t>1</w:t>
            </w:r>
          </w:p>
        </w:tc>
        <w:tc>
          <w:tcPr>
            <w:tcW w:w="1219"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8,692,133.4</w:t>
            </w:r>
          </w:p>
          <w:p>
            <w:pPr>
              <w:pStyle w:val="TableParagraph"/>
              <w:spacing w:line="240" w:lineRule="auto" w:before="31"/>
              <w:ind w:right="101"/>
              <w:jc w:val="right"/>
              <w:rPr>
                <w:rFonts w:ascii="宋体" w:hAnsi="宋体" w:cs="宋体" w:eastAsia="宋体" w:hint="default"/>
                <w:sz w:val="18"/>
                <w:szCs w:val="18"/>
              </w:rPr>
            </w:pPr>
            <w:r>
              <w:rPr>
                <w:rFonts w:ascii="宋体"/>
                <w:sz w:val="18"/>
              </w:rPr>
              <w:t>6</w:t>
            </w:r>
          </w:p>
        </w:tc>
        <w:tc>
          <w:tcPr>
            <w:tcW w:w="130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-7,128,746.4</w:t>
            </w:r>
          </w:p>
          <w:p>
            <w:pPr>
              <w:pStyle w:val="TableParagraph"/>
              <w:spacing w:line="240" w:lineRule="auto" w:before="31"/>
              <w:ind w:right="100"/>
              <w:jc w:val="right"/>
              <w:rPr>
                <w:rFonts w:ascii="宋体" w:hAnsi="宋体" w:cs="宋体" w:eastAsia="宋体" w:hint="default"/>
                <w:sz w:val="18"/>
                <w:szCs w:val="18"/>
              </w:rPr>
            </w:pPr>
            <w:r>
              <w:rPr>
                <w:rFonts w:ascii="宋体"/>
                <w:sz w:val="18"/>
              </w:rPr>
              <w:t>0</w:t>
            </w:r>
          </w:p>
        </w:tc>
        <w:tc>
          <w:tcPr>
            <w:tcW w:w="382" w:type="dxa"/>
            <w:tcBorders>
              <w:top w:val="single" w:sz="6" w:space="0" w:color="000000"/>
              <w:left w:val="single" w:sz="6" w:space="0" w:color="000000"/>
              <w:bottom w:val="single" w:sz="4" w:space="0" w:color="000000"/>
              <w:right w:val="single" w:sz="6" w:space="0" w:color="000000"/>
            </w:tcBorders>
          </w:tcPr>
          <w:p>
            <w:pPr/>
          </w:p>
        </w:tc>
        <w:tc>
          <w:tcPr>
            <w:tcW w:w="1387"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-53,867,522.2</w:t>
            </w:r>
          </w:p>
          <w:p>
            <w:pPr>
              <w:pStyle w:val="TableParagraph"/>
              <w:spacing w:line="240" w:lineRule="auto" w:before="31"/>
              <w:ind w:right="102"/>
              <w:jc w:val="right"/>
              <w:rPr>
                <w:rFonts w:ascii="宋体" w:hAnsi="宋体" w:cs="宋体" w:eastAsia="宋体" w:hint="default"/>
                <w:sz w:val="18"/>
                <w:szCs w:val="18"/>
              </w:rPr>
            </w:pPr>
            <w:r>
              <w:rPr>
                <w:rFonts w:ascii="宋体"/>
                <w:sz w:val="18"/>
              </w:rPr>
              <w:t>5</w:t>
            </w:r>
          </w:p>
        </w:tc>
      </w:tr>
    </w:tbl>
    <w:p>
      <w:pPr>
        <w:spacing w:line="240" w:lineRule="auto" w:before="2"/>
        <w:rPr>
          <w:rFonts w:ascii="宋体" w:hAnsi="宋体" w:cs="宋体" w:eastAsia="宋体" w:hint="default"/>
          <w:sz w:val="20"/>
          <w:szCs w:val="20"/>
        </w:rPr>
      </w:pPr>
    </w:p>
    <w:p>
      <w:pPr>
        <w:pStyle w:val="Heading2"/>
        <w:tabs>
          <w:tab w:pos="861" w:val="left" w:leader="none"/>
        </w:tabs>
        <w:spacing w:line="290" w:lineRule="auto"/>
        <w:ind w:right="3574"/>
        <w:jc w:val="left"/>
        <w:rPr>
          <w:rFonts w:ascii="宋体" w:hAnsi="宋体" w:cs="宋体" w:eastAsia="宋体" w:hint="default"/>
          <w:b w:val="0"/>
          <w:bCs w:val="0"/>
        </w:rPr>
      </w:pPr>
      <w:r>
        <w:rPr>
          <w:rFonts w:ascii="宋体" w:hAnsi="宋体" w:cs="宋体" w:eastAsia="宋体" w:hint="default"/>
          <w:w w:val="95"/>
        </w:rPr>
        <w:t>(4).</w:t>
        <w:tab/>
      </w:r>
      <w:r>
        <w:rPr>
          <w:spacing w:val="-1"/>
        </w:rPr>
        <w:t>使用企业集团资产和清偿企业集团债务的重大限制：</w:t>
      </w:r>
      <w:r>
        <w:rPr>
          <w:spacing w:val="-87"/>
        </w:rPr>
        <w:t> </w:t>
      </w:r>
      <w:r>
        <w:rPr>
          <w:spacing w:val="-87"/>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40" w:lineRule="auto" w:before="0"/>
        <w:ind w:right="0"/>
        <w:jc w:val="both"/>
        <w:rPr>
          <w:b w:val="0"/>
          <w:bCs w:val="0"/>
        </w:rPr>
      </w:pPr>
      <w:r>
        <w:rPr>
          <w:rFonts w:ascii="宋体" w:hAnsi="宋体" w:cs="宋体" w:eastAsia="宋体" w:hint="default"/>
        </w:rPr>
        <w:t>2</w:t>
      </w:r>
      <w:r>
        <w:rPr/>
        <w:t>、</w:t>
      </w:r>
      <w:r>
        <w:rPr>
          <w:spacing w:val="-4"/>
        </w:rPr>
        <w:t> </w:t>
      </w:r>
      <w:r>
        <w:rPr/>
        <w:t>在合营企业或联营企业中的权益</w:t>
      </w:r>
      <w:r>
        <w:rPr>
          <w:b w:val="0"/>
          <w:bCs w:val="0"/>
        </w:rPr>
      </w:r>
    </w:p>
    <w:p>
      <w:pPr>
        <w:pStyle w:val="BodyText"/>
        <w:spacing w:line="240" w:lineRule="auto" w:before="59"/>
        <w:ind w:left="21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right="0"/>
        <w:jc w:val="both"/>
        <w:rPr>
          <w:b w:val="0"/>
          <w:bCs w:val="0"/>
        </w:rPr>
      </w:pPr>
      <w:r>
        <w:rPr>
          <w:rFonts w:ascii="宋体" w:hAnsi="宋体" w:cs="宋体" w:eastAsia="宋体" w:hint="default"/>
        </w:rPr>
        <w:t>3</w:t>
      </w:r>
      <w:r>
        <w:rPr/>
        <w:t>、</w:t>
      </w:r>
      <w:r>
        <w:rPr>
          <w:spacing w:val="-1"/>
        </w:rPr>
        <w:t> </w:t>
      </w:r>
      <w:r>
        <w:rPr/>
        <w:t>重要的共同经营</w:t>
      </w:r>
      <w:r>
        <w:rPr>
          <w:b w:val="0"/>
          <w:bCs w:val="0"/>
        </w:rPr>
      </w:r>
    </w:p>
    <w:p>
      <w:pPr>
        <w:pStyle w:val="BodyText"/>
        <w:spacing w:line="240" w:lineRule="auto" w:before="58"/>
        <w:ind w:left="21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right="0"/>
        <w:jc w:val="both"/>
        <w:rPr>
          <w:b w:val="0"/>
          <w:bCs w:val="0"/>
        </w:rPr>
      </w:pPr>
      <w:r>
        <w:rPr>
          <w:rFonts w:ascii="宋体" w:hAnsi="宋体" w:cs="宋体" w:eastAsia="宋体" w:hint="default"/>
        </w:rPr>
        <w:t>4</w:t>
      </w:r>
      <w:r>
        <w:rPr/>
        <w:t>、</w:t>
      </w:r>
      <w:r>
        <w:rPr>
          <w:spacing w:val="-4"/>
        </w:rPr>
        <w:t> </w:t>
      </w:r>
      <w:r>
        <w:rPr/>
        <w:t>在未纳入合并财务报表范围的结构化主体中的权益</w:t>
      </w:r>
      <w:r>
        <w:rPr>
          <w:b w:val="0"/>
          <w:bCs w:val="0"/>
        </w:rPr>
      </w:r>
    </w:p>
    <w:p>
      <w:pPr>
        <w:pStyle w:val="BodyText"/>
        <w:spacing w:line="240" w:lineRule="auto" w:before="56"/>
        <w:ind w:left="218" w:right="3987"/>
        <w:jc w:val="left"/>
      </w:pPr>
      <w:r>
        <w:rPr>
          <w:spacing w:val="-2"/>
        </w:rPr>
        <w:t>未纳入合并财务报表范围的结构化主体的相关说明：</w:t>
      </w:r>
      <w:r>
        <w:rPr>
          <w:spacing w:val="-62"/>
        </w:rPr>
        <w:t> </w:t>
      </w:r>
      <w:r>
        <w:rPr>
          <w:spacing w:val="-62"/>
        </w:rPr>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t>十、与金融工具相关的风险</w:t>
      </w:r>
      <w:r>
        <w:rPr>
          <w:b w:val="0"/>
          <w:bCs w:val="0"/>
        </w:rPr>
      </w:r>
    </w:p>
    <w:p>
      <w:pPr>
        <w:pStyle w:val="BodyText"/>
        <w:spacing w:line="307" w:lineRule="auto" w:before="56"/>
        <w:ind w:left="638" w:right="250" w:hanging="420"/>
        <w:jc w:val="left"/>
      </w:pPr>
      <w:r>
        <w:rPr/>
        <w:t>√适用</w:t>
      </w:r>
      <w:r>
        <w:rPr>
          <w:spacing w:val="-2"/>
        </w:rPr>
        <w:t> </w:t>
      </w:r>
      <w:r>
        <w:rPr/>
        <w:t>□不适用</w:t>
      </w:r>
      <w:r>
        <w:rPr>
          <w:w w:val="100"/>
        </w:rPr>
        <w:t> </w:t>
      </w:r>
      <w:r>
        <w:rPr>
          <w:spacing w:val="-2"/>
        </w:rPr>
        <w:t>本公司的主要金融工具包括股权投资、借款、应收账款、其他应收款、应付账款等，各项金</w:t>
      </w:r>
    </w:p>
    <w:p>
      <w:pPr>
        <w:pStyle w:val="BodyText"/>
        <w:spacing w:line="314" w:lineRule="auto" w:before="26"/>
        <w:ind w:left="218" w:right="237"/>
        <w:jc w:val="both"/>
      </w:pPr>
      <w:r>
        <w:rPr>
          <w:spacing w:val="-2"/>
        </w:rPr>
        <w:t>融工具的详细情况说明见本附注五相关项目。与这些金融工具有关的风险，以及本公司为降低这</w:t>
      </w:r>
      <w:r>
        <w:rPr>
          <w:spacing w:val="-25"/>
        </w:rPr>
        <w:t> </w:t>
      </w:r>
      <w:r>
        <w:rPr>
          <w:spacing w:val="-25"/>
        </w:rPr>
      </w:r>
      <w:r>
        <w:rPr>
          <w:spacing w:val="-2"/>
        </w:rPr>
        <w:t>些风险所采取的风险管理政策如下所述。本公司管理层对这些风险敞口进行管理和监控以确保将</w:t>
      </w:r>
      <w:r>
        <w:rPr>
          <w:spacing w:val="-26"/>
        </w:rPr>
        <w:t> </w:t>
      </w:r>
      <w:r>
        <w:rPr>
          <w:spacing w:val="-26"/>
        </w:rPr>
      </w:r>
      <w:r>
        <w:rPr/>
        <w:t>上述风险控制在限定的范围之内。</w:t>
      </w:r>
    </w:p>
    <w:p>
      <w:pPr>
        <w:pStyle w:val="BodyText"/>
        <w:spacing w:line="314" w:lineRule="auto"/>
        <w:ind w:left="218" w:right="237" w:firstLine="419"/>
        <w:jc w:val="both"/>
      </w:pPr>
      <w:r>
        <w:rPr>
          <w:spacing w:val="-2"/>
        </w:rPr>
        <w:t>本公司采用敏感性分析技术分析风险变量的合理、可能变化对当期损益或股东权益可能产生</w:t>
      </w:r>
      <w:r>
        <w:rPr>
          <w:w w:val="100"/>
        </w:rPr>
        <w:t> </w:t>
      </w:r>
      <w:r>
        <w:rPr>
          <w:spacing w:val="-2"/>
        </w:rPr>
        <w:t>的影响。由于任何风险变量很少孤立地发生变化，而变量之间存在的相关性对某一风险变量的变</w:t>
      </w:r>
      <w:r>
        <w:rPr>
          <w:spacing w:val="-25"/>
        </w:rPr>
        <w:t> </w:t>
      </w:r>
      <w:r>
        <w:rPr>
          <w:spacing w:val="-25"/>
        </w:rPr>
      </w:r>
      <w:r>
        <w:rPr>
          <w:spacing w:val="-2"/>
        </w:rPr>
        <w:t>化的最终影响金额将产生重大作用，因此下述内容是在假设每一变量的变化是在独立的情况下进</w:t>
      </w:r>
      <w:r>
        <w:rPr>
          <w:spacing w:val="-25"/>
        </w:rPr>
        <w:t> </w:t>
      </w:r>
      <w:r>
        <w:rPr>
          <w:spacing w:val="-25"/>
        </w:rPr>
      </w:r>
      <w:r>
        <w:rPr/>
        <w:t>行的。</w:t>
      </w:r>
    </w:p>
    <w:p>
      <w:pPr>
        <w:pStyle w:val="Heading2"/>
        <w:spacing w:line="240" w:lineRule="auto" w:before="20"/>
        <w:ind w:left="0" w:right="5473"/>
        <w:jc w:val="center"/>
        <w:rPr>
          <w:b w:val="0"/>
          <w:bCs w:val="0"/>
        </w:rPr>
      </w:pPr>
      <w:r>
        <w:rPr/>
        <w:t>（一）风险管理目标和政策</w:t>
      </w:r>
      <w:r>
        <w:rPr>
          <w:b w:val="0"/>
          <w:bCs w:val="0"/>
        </w:rPr>
      </w:r>
    </w:p>
    <w:p>
      <w:pPr>
        <w:spacing w:after="0" w:line="240" w:lineRule="auto"/>
        <w:jc w:val="center"/>
        <w:sectPr>
          <w:pgSz w:w="11910" w:h="16840"/>
          <w:pgMar w:header="856" w:footer="1193" w:top="1280" w:bottom="1380" w:left="1580" w:right="1040"/>
        </w:sectPr>
      </w:pPr>
    </w:p>
    <w:p>
      <w:pPr>
        <w:spacing w:line="240" w:lineRule="auto" w:before="7"/>
        <w:rPr>
          <w:rFonts w:ascii="宋体" w:hAnsi="宋体" w:cs="宋体" w:eastAsia="宋体" w:hint="default"/>
          <w:b/>
          <w:bCs/>
          <w:sz w:val="18"/>
          <w:szCs w:val="18"/>
        </w:rPr>
      </w:pPr>
    </w:p>
    <w:p>
      <w:pPr>
        <w:pStyle w:val="BodyText"/>
        <w:spacing w:line="314" w:lineRule="auto" w:before="36"/>
        <w:ind w:left="218" w:right="237" w:firstLine="419"/>
        <w:jc w:val="both"/>
      </w:pPr>
      <w:r>
        <w:rPr>
          <w:spacing w:val="-2"/>
        </w:rPr>
        <w:t>本公司从事风险管理的目标是在风险和收益之间取得适当的平衡，将风险对本公司经营业绩</w:t>
      </w:r>
      <w:r>
        <w:rPr>
          <w:w w:val="100"/>
        </w:rPr>
        <w:t> </w:t>
      </w:r>
      <w:r>
        <w:rPr>
          <w:spacing w:val="-2"/>
        </w:rPr>
        <w:t>的负面影响降低到最低水平，使股东及其他权益投资者的利益最大化。基于该风险管理目标，本</w:t>
      </w:r>
      <w:r>
        <w:rPr>
          <w:spacing w:val="-25"/>
        </w:rPr>
        <w:t> </w:t>
      </w:r>
      <w:r>
        <w:rPr>
          <w:spacing w:val="-25"/>
        </w:rPr>
      </w:r>
      <w:r>
        <w:rPr>
          <w:spacing w:val="-2"/>
        </w:rPr>
        <w:t>公司风险管理的基本策略是确定和分析本公司所面临的各种风险，建立适当的风险承受底线和进</w:t>
      </w:r>
      <w:r>
        <w:rPr>
          <w:spacing w:val="-25"/>
        </w:rPr>
        <w:t> </w:t>
      </w:r>
      <w:r>
        <w:rPr>
          <w:spacing w:val="-25"/>
        </w:rPr>
      </w:r>
      <w:r>
        <w:rPr/>
        <w:t>行风险管理，并及时可靠地对各种风险进行监督，将风险控制在限定的范围之内。</w:t>
      </w:r>
    </w:p>
    <w:p>
      <w:pPr>
        <w:pStyle w:val="Heading2"/>
        <w:spacing w:line="240" w:lineRule="auto" w:before="20"/>
        <w:ind w:left="640" w:right="2465"/>
        <w:jc w:val="left"/>
        <w:rPr>
          <w:b w:val="0"/>
          <w:bCs w:val="0"/>
        </w:rPr>
      </w:pPr>
      <w:r>
        <w:rPr>
          <w:rFonts w:ascii="宋体" w:hAnsi="宋体" w:cs="宋体" w:eastAsia="宋体" w:hint="default"/>
        </w:rPr>
        <w:t>1</w:t>
      </w:r>
      <w:r>
        <w:rPr/>
        <w:t>、市场风险</w:t>
      </w:r>
      <w:r>
        <w:rPr>
          <w:b w:val="0"/>
          <w:bCs w:val="0"/>
        </w:rPr>
      </w:r>
    </w:p>
    <w:p>
      <w:pPr>
        <w:pStyle w:val="BodyText"/>
        <w:spacing w:line="314" w:lineRule="auto" w:before="85"/>
        <w:ind w:left="638" w:right="250"/>
        <w:jc w:val="left"/>
      </w:pPr>
      <w:r>
        <w:rPr/>
        <w:t>（</w:t>
      </w:r>
      <w:r>
        <w:rPr>
          <w:rFonts w:ascii="宋体" w:hAnsi="宋体" w:cs="宋体" w:eastAsia="宋体" w:hint="default"/>
        </w:rPr>
        <w:t>1</w:t>
      </w:r>
      <w:r>
        <w:rPr/>
        <w:t>）外汇风险</w:t>
      </w:r>
      <w:r>
        <w:rPr>
          <w:w w:val="100"/>
        </w:rPr>
        <w:t> </w:t>
      </w:r>
      <w:r>
        <w:rPr>
          <w:spacing w:val="-2"/>
        </w:rPr>
        <w:t>外汇风险指因汇率变动产生损失的风险。本公司承受外汇风险主要与美元有关，本公司的主</w:t>
      </w:r>
    </w:p>
    <w:p>
      <w:pPr>
        <w:pStyle w:val="BodyText"/>
        <w:spacing w:line="314" w:lineRule="auto"/>
        <w:ind w:left="218" w:right="292"/>
        <w:jc w:val="both"/>
      </w:pPr>
      <w:r>
        <w:rPr/>
        <w:t>要业务活动以人民币计价结算。外币金融资产和负债占总资产比重较小，</w:t>
      </w:r>
      <w:r>
        <w:rPr>
          <w:rFonts w:ascii="宋体" w:hAnsi="宋体" w:cs="宋体" w:eastAsia="宋体" w:hint="default"/>
        </w:rPr>
        <w:t>2015</w:t>
      </w:r>
      <w:r>
        <w:rPr>
          <w:rFonts w:ascii="宋体" w:hAnsi="宋体" w:cs="宋体" w:eastAsia="宋体" w:hint="default"/>
          <w:spacing w:val="-54"/>
        </w:rPr>
        <w:t> </w:t>
      </w:r>
      <w:r>
        <w:rPr/>
        <w:t>年度及</w:t>
      </w:r>
      <w:r>
        <w:rPr>
          <w:spacing w:val="-55"/>
        </w:rPr>
        <w:t> </w:t>
      </w:r>
      <w:r>
        <w:rPr>
          <w:rFonts w:ascii="宋体" w:hAnsi="宋体" w:cs="宋体" w:eastAsia="宋体" w:hint="default"/>
        </w:rPr>
        <w:t>2014</w:t>
      </w:r>
      <w:r>
        <w:rPr>
          <w:rFonts w:ascii="宋体" w:hAnsi="宋体" w:cs="宋体" w:eastAsia="宋体" w:hint="default"/>
          <w:spacing w:val="-57"/>
        </w:rPr>
        <w:t> </w:t>
      </w:r>
      <w:r>
        <w:rPr/>
        <w:t>年度</w:t>
      </w:r>
      <w:r>
        <w:rPr>
          <w:w w:val="100"/>
        </w:rPr>
        <w:t> </w:t>
      </w:r>
      <w:r>
        <w:rPr/>
        <w:t>本公司未签署任何远期外汇合约或货币互换合约。</w:t>
      </w:r>
    </w:p>
    <w:p>
      <w:pPr>
        <w:pStyle w:val="BodyText"/>
        <w:spacing w:line="314" w:lineRule="auto"/>
        <w:ind w:left="638" w:right="250"/>
        <w:jc w:val="left"/>
      </w:pPr>
      <w:r>
        <w:rPr/>
        <w:t>（</w:t>
      </w:r>
      <w:r>
        <w:rPr>
          <w:rFonts w:ascii="宋体" w:hAnsi="宋体" w:cs="宋体" w:eastAsia="宋体" w:hint="default"/>
        </w:rPr>
        <w:t>2</w:t>
      </w:r>
      <w:r>
        <w:rPr/>
        <w:t>）利率风险－现金流量变动风险</w:t>
      </w:r>
      <w:r>
        <w:rPr>
          <w:w w:val="100"/>
        </w:rPr>
        <w:t> </w:t>
      </w:r>
      <w:r>
        <w:rPr>
          <w:spacing w:val="-2"/>
        </w:rPr>
        <w:t>利率风险，是指金融工具的公允价值或未来现金流量因市场利率变动而发生波动的风险。本</w:t>
      </w:r>
    </w:p>
    <w:p>
      <w:pPr>
        <w:pStyle w:val="BodyText"/>
        <w:spacing w:line="314" w:lineRule="auto"/>
        <w:ind w:left="218" w:right="237"/>
        <w:jc w:val="both"/>
      </w:pPr>
      <w:r>
        <w:rPr>
          <w:spacing w:val="-2"/>
        </w:rPr>
        <w:t>公司面临的利率风险主要来源于银行借款。公司通过建立良好的银企关系，对授信额度、授信品</w:t>
      </w:r>
      <w:r>
        <w:rPr>
          <w:spacing w:val="-25"/>
        </w:rPr>
        <w:t> </w:t>
      </w:r>
      <w:r>
        <w:rPr>
          <w:spacing w:val="-25"/>
        </w:rPr>
      </w:r>
      <w:r>
        <w:rPr>
          <w:spacing w:val="-2"/>
        </w:rPr>
        <w:t>种以及授信期限进行合理的设计，保障银行授信额度充足，满足公司各类短期融资需求。并且通</w:t>
      </w:r>
      <w:r>
        <w:rPr>
          <w:spacing w:val="-26"/>
        </w:rPr>
        <w:t> </w:t>
      </w:r>
      <w:r>
        <w:rPr>
          <w:spacing w:val="-26"/>
        </w:rPr>
      </w:r>
      <w:r>
        <w:rPr/>
        <w:t>过缩短单笔借款的期限，特别约定提前还款条款，合理降低利率波动风险。</w:t>
      </w:r>
    </w:p>
    <w:p>
      <w:pPr>
        <w:pStyle w:val="BodyText"/>
        <w:spacing w:line="314" w:lineRule="auto"/>
        <w:ind w:left="638" w:right="250" w:firstLine="2"/>
        <w:jc w:val="left"/>
      </w:pPr>
      <w:r>
        <w:rPr>
          <w:rFonts w:ascii="宋体" w:hAnsi="宋体" w:cs="宋体" w:eastAsia="宋体" w:hint="default"/>
          <w:b/>
          <w:bCs/>
        </w:rPr>
        <w:t>2</w:t>
      </w:r>
      <w:r>
        <w:rPr>
          <w:rFonts w:ascii="宋体" w:hAnsi="宋体" w:cs="宋体" w:eastAsia="宋体" w:hint="default"/>
          <w:b/>
          <w:bCs/>
        </w:rPr>
        <w:t>、信用风险</w:t>
      </w:r>
      <w:r>
        <w:rPr>
          <w:rFonts w:ascii="宋体" w:hAnsi="宋体" w:cs="宋体" w:eastAsia="宋体" w:hint="default"/>
          <w:b/>
          <w:bCs/>
          <w:w w:val="100"/>
        </w:rPr>
        <w:t> </w:t>
      </w:r>
      <w:r>
        <w:rPr>
          <w:spacing w:val="-2"/>
        </w:rPr>
        <w:t>信用风险是指金融工具的一方不履行义务，造成另一方发生财务损失的风险。本公司主要面</w:t>
      </w:r>
    </w:p>
    <w:p>
      <w:pPr>
        <w:pStyle w:val="BodyText"/>
        <w:spacing w:line="314" w:lineRule="auto"/>
        <w:ind w:left="218" w:right="237"/>
        <w:jc w:val="both"/>
      </w:pPr>
      <w:r>
        <w:rPr>
          <w:spacing w:val="-2"/>
        </w:rPr>
        <w:t>临赊销导致的客户信用风险。在签订新合同之前，本公司会对新客户的信用风险进行评估，包括</w:t>
      </w:r>
      <w:r>
        <w:rPr>
          <w:spacing w:val="-25"/>
        </w:rPr>
        <w:t> </w:t>
      </w:r>
      <w:r>
        <w:rPr>
          <w:spacing w:val="-25"/>
        </w:rPr>
      </w:r>
      <w:r>
        <w:rPr>
          <w:spacing w:val="-2"/>
        </w:rPr>
        <w:t>外部信用评级和在某些情况下的银行资信证明（当此信息可获取时）。公司对每一客户均设置了</w:t>
      </w:r>
      <w:r>
        <w:rPr>
          <w:spacing w:val="-25"/>
        </w:rPr>
        <w:t> </w:t>
      </w:r>
      <w:r>
        <w:rPr>
          <w:spacing w:val="-25"/>
        </w:rPr>
      </w:r>
      <w:r>
        <w:rPr/>
        <w:t>赊销限额，该限额为无需获得额外批准的最大额度。</w:t>
      </w:r>
    </w:p>
    <w:p>
      <w:pPr>
        <w:pStyle w:val="BodyText"/>
        <w:spacing w:line="302" w:lineRule="auto"/>
        <w:ind w:left="218" w:right="225" w:firstLine="419"/>
        <w:jc w:val="both"/>
      </w:pPr>
      <w:r>
        <w:rPr>
          <w:spacing w:val="-2"/>
        </w:rPr>
        <w:t>公司通过对已有客户信用评级的季度监控以及应收账款账龄分析的月度审核来确保公司的整</w:t>
      </w:r>
      <w:r>
        <w:rPr>
          <w:w w:val="100"/>
        </w:rPr>
        <w:t> </w:t>
      </w:r>
      <w:r>
        <w:rPr>
          <w:spacing w:val="-8"/>
          <w:w w:val="100"/>
        </w:rPr>
        <w:t>体信用风险在可控的范围内。在监控客户的信用风险时，按照客户的信用特征对其分组。被评为</w:t>
      </w:r>
      <w:r>
        <w:rPr>
          <w:rFonts w:ascii="Arial" w:hAnsi="Arial" w:cs="Arial" w:eastAsia="Arial" w:hint="default"/>
          <w:spacing w:val="-8"/>
          <w:w w:val="100"/>
        </w:rPr>
        <w:t>“</w:t>
      </w:r>
      <w:r>
        <w:rPr>
          <w:spacing w:val="-8"/>
          <w:w w:val="100"/>
        </w:rPr>
        <w:t>高</w:t>
      </w:r>
      <w:r>
        <w:rPr>
          <w:spacing w:val="-83"/>
          <w:w w:val="100"/>
        </w:rPr>
        <w:t> </w:t>
      </w:r>
      <w:r>
        <w:rPr>
          <w:spacing w:val="-3"/>
        </w:rPr>
        <w:t>风险</w:t>
      </w:r>
      <w:r>
        <w:rPr>
          <w:rFonts w:ascii="Arial" w:hAnsi="Arial" w:cs="Arial" w:eastAsia="Arial" w:hint="default"/>
          <w:spacing w:val="-3"/>
        </w:rPr>
        <w:t>”</w:t>
      </w:r>
      <w:r>
        <w:rPr>
          <w:spacing w:val="-3"/>
        </w:rPr>
        <w:t>级别的客户会放在受限制客户名单里并且只有在额外批准的前提下，公司才可在未来期间内</w:t>
      </w:r>
      <w:r>
        <w:rPr>
          <w:spacing w:val="-39"/>
        </w:rPr>
        <w:t> </w:t>
      </w:r>
      <w:r>
        <w:rPr>
          <w:spacing w:val="-39"/>
        </w:rPr>
      </w:r>
      <w:r>
        <w:rPr/>
        <w:t>对其赊销，否则必须要求其提前支付相应款项。</w:t>
      </w:r>
    </w:p>
    <w:p>
      <w:pPr>
        <w:pStyle w:val="BodyText"/>
        <w:spacing w:line="314" w:lineRule="auto" w:before="30"/>
        <w:ind w:left="218" w:right="119" w:firstLine="422"/>
        <w:jc w:val="left"/>
      </w:pP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b/>
          <w:bCs/>
          <w:w w:val="100"/>
        </w:rPr>
        <w:t> </w:t>
      </w:r>
      <w:r>
        <w:rPr>
          <w:spacing w:val="-4"/>
          <w:w w:val="100"/>
        </w:rPr>
        <w:t>流动风险，是指企业在履行以交付现金或其他金融资产的方式结算的义务时发生资金短缺的风险。</w:t>
      </w:r>
      <w:r>
        <w:rPr>
          <w:spacing w:val="-82"/>
          <w:w w:val="100"/>
        </w:rPr>
        <w:t> </w:t>
      </w:r>
      <w:r>
        <w:rPr>
          <w:spacing w:val="-82"/>
          <w:w w:val="100"/>
        </w:rPr>
      </w:r>
      <w:r>
        <w:rPr>
          <w:spacing w:val="-4"/>
          <w:w w:val="100"/>
        </w:rPr>
        <w:t>本公司的政策是确保拥有充足的现金以偿还到期债务。流动性风险由本公司的财务部门集中控制。</w:t>
      </w:r>
      <w:r>
        <w:rPr>
          <w:spacing w:val="-83"/>
          <w:w w:val="100"/>
        </w:rPr>
        <w:t> </w:t>
      </w:r>
      <w:r>
        <w:rPr>
          <w:spacing w:val="-83"/>
          <w:w w:val="100"/>
        </w:rPr>
      </w:r>
      <w:r>
        <w:rPr/>
        <w:t>财务部门通过监控现金余额、可随时变现的有价证券以及对未来</w:t>
      </w:r>
      <w:r>
        <w:rPr>
          <w:spacing w:val="-56"/>
        </w:rPr>
        <w:t> </w:t>
      </w:r>
      <w:r>
        <w:rPr>
          <w:rFonts w:ascii="Courier New" w:hAnsi="Courier New" w:cs="Courier New" w:eastAsia="Courier New" w:hint="default"/>
        </w:rPr>
        <w:t>12</w:t>
      </w:r>
      <w:r>
        <w:rPr>
          <w:rFonts w:ascii="Courier New" w:hAnsi="Courier New" w:cs="Courier New" w:eastAsia="Courier New" w:hint="default"/>
          <w:spacing w:val="-77"/>
        </w:rPr>
        <w:t> </w:t>
      </w:r>
      <w:r>
        <w:rPr/>
        <w:t>个月现金流量的滚动预测，</w:t>
      </w:r>
    </w:p>
    <w:p>
      <w:pPr>
        <w:pStyle w:val="BodyText"/>
        <w:spacing w:line="252" w:lineRule="exact" w:before="0"/>
        <w:ind w:left="218" w:right="0"/>
        <w:jc w:val="both"/>
      </w:pPr>
      <w:r>
        <w:rPr/>
        <w:t>确保公司在所有合理预测的情况下拥有充足的资金偿还债务。</w:t>
      </w:r>
    </w:p>
    <w:p>
      <w:pPr>
        <w:spacing w:line="240" w:lineRule="auto" w:before="2"/>
        <w:rPr>
          <w:rFonts w:ascii="宋体" w:hAnsi="宋体" w:cs="宋体" w:eastAsia="宋体" w:hint="default"/>
          <w:sz w:val="26"/>
          <w:szCs w:val="26"/>
        </w:rPr>
      </w:pPr>
    </w:p>
    <w:p>
      <w:pPr>
        <w:pStyle w:val="Heading2"/>
        <w:spacing w:line="240" w:lineRule="auto" w:before="0"/>
        <w:ind w:right="0"/>
        <w:jc w:val="both"/>
        <w:rPr>
          <w:b w:val="0"/>
          <w:bCs w:val="0"/>
        </w:rPr>
      </w:pPr>
      <w:r>
        <w:rPr/>
        <w:t>十一、</w:t>
      </w:r>
      <w:r>
        <w:rPr>
          <w:spacing w:val="103"/>
        </w:rPr>
        <w:t> </w:t>
      </w:r>
      <w:r>
        <w:rPr/>
        <w:t>公允价值的披露</w:t>
      </w:r>
      <w:r>
        <w:rPr>
          <w:b w:val="0"/>
          <w:bCs w:val="0"/>
        </w:rPr>
      </w:r>
    </w:p>
    <w:p>
      <w:pPr>
        <w:pStyle w:val="BodyText"/>
        <w:spacing w:line="240" w:lineRule="auto" w:before="56"/>
        <w:ind w:left="218" w:right="0"/>
        <w:jc w:val="both"/>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6" w:footer="1193" w:top="1280" w:bottom="1380" w:left="1580" w:right="1040"/>
        </w:sectPr>
      </w:pPr>
    </w:p>
    <w:p>
      <w:pPr>
        <w:pStyle w:val="Heading2"/>
        <w:tabs>
          <w:tab w:pos="1057" w:val="left" w:leader="none"/>
        </w:tabs>
        <w:spacing w:line="290" w:lineRule="auto"/>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80" w:val="left" w:leader="none"/>
        </w:tabs>
        <w:spacing w:line="240" w:lineRule="auto" w:before="177"/>
        <w:ind w:left="218" w:right="0"/>
        <w:jc w:val="left"/>
      </w:pPr>
      <w:r>
        <w:rPr>
          <w:spacing w:val="-1"/>
        </w:rPr>
        <w:t>单位：万元</w:t>
        <w:tab/>
      </w:r>
      <w:r>
        <w:rPr>
          <w:spacing w:val="-2"/>
        </w:rPr>
        <w:t>币种：人民币</w:t>
      </w:r>
    </w:p>
    <w:p>
      <w:pPr>
        <w:spacing w:after="0" w:line="240" w:lineRule="auto"/>
        <w:jc w:val="left"/>
        <w:sectPr>
          <w:type w:val="continuous"/>
          <w:pgSz w:w="11910" w:h="16840"/>
          <w:pgMar w:top="1280" w:bottom="1380" w:left="1580" w:right="1040"/>
          <w:cols w:num="2" w:equalWidth="0">
            <w:col w:w="2748" w:space="3565"/>
            <w:col w:w="297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7"/>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204" w:right="204"/>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55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广饶县大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王镇</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sz w:val="21"/>
              </w:rPr>
              <w:t>9,497.80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sz w:val="21"/>
              </w:rPr>
              <w:t>15.86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sz w:val="21"/>
              </w:rPr>
              <w:t>15.86</w:t>
            </w:r>
          </w:p>
        </w:tc>
      </w:tr>
    </w:tbl>
    <w:p>
      <w:pPr>
        <w:spacing w:after="0" w:line="241" w:lineRule="exact"/>
        <w:jc w:val="left"/>
        <w:rPr>
          <w:rFonts w:ascii="宋体" w:hAnsi="宋体" w:cs="宋体" w:eastAsia="宋体" w:hint="default"/>
          <w:sz w:val="21"/>
          <w:szCs w:val="21"/>
        </w:rPr>
        <w:sectPr>
          <w:type w:val="continuous"/>
          <w:pgSz w:w="11910" w:h="16840"/>
          <w:pgMar w:top="1280" w:bottom="1380" w:left="1580" w:right="1040"/>
        </w:sectPr>
      </w:pPr>
    </w:p>
    <w:p>
      <w:pPr>
        <w:spacing w:line="240" w:lineRule="auto" w:before="8"/>
        <w:rPr>
          <w:rFonts w:ascii="宋体" w:hAnsi="宋体" w:cs="宋体" w:eastAsia="宋体" w:hint="default"/>
          <w:sz w:val="12"/>
          <w:szCs w:val="12"/>
        </w:rPr>
      </w:pPr>
    </w:p>
    <w:p>
      <w:pPr>
        <w:spacing w:line="290" w:lineRule="auto" w:before="36"/>
        <w:ind w:left="218" w:right="6251" w:firstLine="0"/>
        <w:jc w:val="left"/>
        <w:rPr>
          <w:rFonts w:ascii="宋体" w:hAnsi="宋体" w:cs="宋体" w:eastAsia="宋体" w:hint="default"/>
          <w:sz w:val="21"/>
          <w:szCs w:val="21"/>
        </w:rPr>
      </w:pPr>
      <w:r>
        <w:rPr>
          <w:rFonts w:ascii="宋体" w:hAnsi="宋体" w:cs="宋体" w:eastAsia="宋体" w:hint="default"/>
          <w:sz w:val="21"/>
          <w:szCs w:val="21"/>
        </w:rPr>
        <w:t>本企业最终控制方是刘双珉</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pStyle w:val="BodyText"/>
        <w:spacing w:line="240" w:lineRule="auto" w:before="12"/>
        <w:ind w:left="218" w:right="6251"/>
        <w:jc w:val="left"/>
        <w:rPr>
          <w:rFonts w:ascii="宋体" w:hAnsi="宋体" w:cs="宋体" w:eastAsia="宋体" w:hint="default"/>
        </w:rPr>
      </w:pPr>
      <w:r>
        <w:rPr>
          <w:spacing w:val="-2"/>
        </w:rPr>
        <w:t>本企业子公司的情况详见附注</w:t>
      </w:r>
      <w:r>
        <w:rPr>
          <w:spacing w:val="-79"/>
        </w:rPr>
        <w:t> </w:t>
      </w:r>
      <w:r>
        <w:rPr>
          <w:spacing w:val="-79"/>
        </w:rPr>
      </w:r>
      <w:r>
        <w:rPr/>
        <w:t>九</w:t>
      </w:r>
      <w:r>
        <w:rPr>
          <w:rFonts w:ascii="宋体" w:hAnsi="宋体" w:cs="宋体" w:eastAsia="宋体" w:hint="default"/>
        </w:rPr>
        <w:t>.1</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3</w:t>
      </w:r>
      <w:r>
        <w:rPr/>
        <w:t>、 本企业合营和联营企业情况</w:t>
      </w:r>
      <w:r>
        <w:rPr>
          <w:b w:val="0"/>
          <w:bCs w:val="0"/>
        </w:rPr>
      </w:r>
    </w:p>
    <w:p>
      <w:pPr>
        <w:pStyle w:val="BodyText"/>
        <w:spacing w:line="240" w:lineRule="auto" w:before="56"/>
        <w:ind w:left="218" w:right="5342"/>
        <w:jc w:val="left"/>
        <w:rPr>
          <w:rFonts w:ascii="宋体" w:hAnsi="宋体" w:cs="宋体" w:eastAsia="宋体" w:hint="default"/>
        </w:rPr>
      </w:pPr>
      <w:r>
        <w:rPr>
          <w:spacing w:val="-2"/>
        </w:rPr>
        <w:t>本企业重要的合营或联营企业详见附注</w:t>
      </w:r>
      <w:r>
        <w:rPr>
          <w:spacing w:val="-72"/>
        </w:rPr>
        <w:t> </w:t>
      </w:r>
      <w:r>
        <w:rPr>
          <w:spacing w:val="-72"/>
        </w:rPr>
      </w:r>
      <w:r>
        <w:rPr/>
        <w:t>九</w:t>
      </w:r>
      <w:r>
        <w:rPr>
          <w:rFonts w:ascii="宋体" w:hAnsi="宋体" w:cs="宋体" w:eastAsia="宋体" w:hint="default"/>
        </w:rPr>
        <w:t>.1</w:t>
      </w:r>
    </w:p>
    <w:p>
      <w:pPr>
        <w:pStyle w:val="Heading2"/>
        <w:spacing w:line="240" w:lineRule="auto" w:before="56"/>
        <w:ind w:right="246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2"/>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山东科达物业服务有限责任公司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广饶县金桥小额贷款股份有限公司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山东中科园区发展有限公司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东营黄河大桥有限责任公司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北京百仕成投资管理中心（普通合伙）</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北京百仕成广告传媒有限公司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3" w:top="1280" w:bottom="1380" w:left="1580" w:right="1040"/>
        </w:sectPr>
      </w:pPr>
    </w:p>
    <w:p>
      <w:pPr>
        <w:pStyle w:val="Heading2"/>
        <w:spacing w:line="240" w:lineRule="auto"/>
        <w:ind w:right="-18"/>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40" w:lineRule="auto" w:before="56"/>
        <w:ind w:left="218" w:right="258"/>
        <w:jc w:val="left"/>
      </w:pPr>
      <w:r>
        <w:rPr/>
        <w:t>√适用</w:t>
      </w:r>
      <w:r>
        <w:rPr>
          <w:spacing w:val="-2"/>
        </w:rPr>
        <w:t> </w:t>
      </w:r>
      <w:r>
        <w:rPr/>
        <w:t>□不适用</w:t>
      </w:r>
      <w:r>
        <w:rPr>
          <w:w w:val="100"/>
        </w:rPr>
        <w:t> </w:t>
      </w: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4421" w:space="2103"/>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山东科达物业服务有限责</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sz w:val="21"/>
              </w:rPr>
              <w:t>2,962,257.50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sz w:val="21"/>
              </w:rPr>
              <w:t>1,520,424.33</w:t>
            </w:r>
          </w:p>
        </w:tc>
      </w:tr>
    </w:tbl>
    <w:p>
      <w:pPr>
        <w:spacing w:line="240" w:lineRule="auto" w:before="7"/>
        <w:rPr>
          <w:rFonts w:ascii="宋体" w:hAnsi="宋体" w:cs="宋体" w:eastAsia="宋体" w:hint="default"/>
          <w:sz w:val="15"/>
          <w:szCs w:val="15"/>
        </w:rPr>
      </w:pPr>
    </w:p>
    <w:p>
      <w:pPr>
        <w:pStyle w:val="BodyText"/>
        <w:spacing w:line="273" w:lineRule="exact" w:before="36"/>
        <w:ind w:left="218" w:right="2465"/>
        <w:jc w:val="left"/>
      </w:pPr>
      <w:r>
        <w:rPr/>
        <w:t>出售商品</w:t>
      </w:r>
      <w:r>
        <w:rPr>
          <w:rFonts w:ascii="宋体" w:hAnsi="宋体" w:cs="宋体" w:eastAsia="宋体" w:hint="default"/>
        </w:rPr>
        <w:t>/</w:t>
      </w:r>
      <w:r>
        <w:rPr/>
        <w:t>提供劳务情况表</w:t>
      </w:r>
    </w:p>
    <w:p>
      <w:pPr>
        <w:pStyle w:val="BodyText"/>
        <w:tabs>
          <w:tab w:pos="1051" w:val="left" w:leader="none"/>
        </w:tabs>
        <w:spacing w:line="273" w:lineRule="exact" w:before="0"/>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东营黄河公路大桥有限责</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销售房产</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4,277,205.00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东营黄河公路大桥有限责</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养护工程、桥面维修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33,517,514.10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5,700,997.18</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山东中科园区发展有限公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3,054,178.75</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山东中科园区发展有限公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设计费</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271,020.34</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东营黄河公路大桥有限责</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设计费</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225,242.72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280" w:bottom="1380" w:left="1580" w:right="1040"/>
        </w:sectPr>
      </w:pPr>
    </w:p>
    <w:p>
      <w:pPr>
        <w:pStyle w:val="Heading2"/>
        <w:spacing w:line="240" w:lineRule="auto"/>
        <w:ind w:right="-10"/>
        <w:jc w:val="left"/>
        <w:rPr>
          <w:b w:val="0"/>
          <w:bCs w:val="0"/>
        </w:rPr>
      </w:pPr>
      <w:r>
        <w:rPr>
          <w:rFonts w:ascii="宋体" w:hAnsi="宋体" w:cs="宋体" w:eastAsia="宋体" w:hint="default"/>
        </w:rPr>
        <w:t>(2).</w:t>
      </w:r>
      <w:r>
        <w:rPr>
          <w:rFonts w:ascii="宋体" w:hAnsi="宋体" w:cs="宋体" w:eastAsia="宋体" w:hint="default"/>
          <w:spacing w:val="89"/>
        </w:rPr>
        <w:t> </w:t>
      </w:r>
      <w:r>
        <w:rPr/>
        <w:t>关联租赁情况</w:t>
      </w:r>
      <w:r>
        <w:rPr>
          <w:b w:val="0"/>
          <w:bCs w:val="0"/>
        </w:rPr>
      </w:r>
    </w:p>
    <w:p>
      <w:pPr>
        <w:pStyle w:val="BodyText"/>
        <w:spacing w:line="240" w:lineRule="auto" w:before="56"/>
        <w:ind w:left="218" w:right="-8"/>
        <w:jc w:val="left"/>
      </w:pPr>
      <w:r>
        <w:rPr/>
        <w:t>√适用</w:t>
      </w:r>
      <w:r>
        <w:rPr>
          <w:spacing w:val="-2"/>
        </w:rPr>
        <w:t> </w:t>
      </w:r>
      <w:r>
        <w:rPr/>
        <w:t>□不适用</w:t>
      </w:r>
      <w:r>
        <w:rPr>
          <w:w w:val="100"/>
        </w:rPr>
        <w:t> </w:t>
      </w:r>
      <w:r>
        <w:rPr>
          <w:spacing w:val="-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2112" w:space="4412"/>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
              <w:jc w:val="center"/>
              <w:rPr>
                <w:rFonts w:ascii="宋体" w:hAnsi="宋体" w:cs="宋体" w:eastAsia="宋体" w:hint="default"/>
                <w:sz w:val="21"/>
                <w:szCs w:val="21"/>
              </w:rPr>
            </w:pPr>
            <w:r>
              <w:rPr>
                <w:rFonts w:ascii="宋体" w:hAnsi="宋体" w:cs="宋体" w:eastAsia="宋体" w:hint="default"/>
                <w:sz w:val="21"/>
                <w:szCs w:val="21"/>
              </w:rPr>
              <w:t>广饶县金桥小额贷</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7" w:right="0"/>
              <w:jc w:val="left"/>
              <w:rPr>
                <w:rFonts w:ascii="宋体" w:hAnsi="宋体" w:cs="宋体" w:eastAsia="宋体" w:hint="default"/>
                <w:sz w:val="21"/>
                <w:szCs w:val="21"/>
              </w:rPr>
            </w:pPr>
            <w:r>
              <w:rPr>
                <w:rFonts w:ascii="宋体"/>
                <w:sz w:val="21"/>
              </w:rPr>
              <w:t>100,000.00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7" w:right="0"/>
              <w:jc w:val="left"/>
              <w:rPr>
                <w:rFonts w:ascii="宋体" w:hAnsi="宋体" w:cs="宋体" w:eastAsia="宋体" w:hint="default"/>
                <w:sz w:val="21"/>
                <w:szCs w:val="21"/>
              </w:rPr>
            </w:pPr>
            <w:r>
              <w:rPr>
                <w:rFonts w:ascii="宋体"/>
                <w:sz w:val="21"/>
              </w:rPr>
              <w:t>100,000.00</w:t>
            </w:r>
          </w:p>
        </w:tc>
      </w:tr>
    </w:tbl>
    <w:p>
      <w:pPr>
        <w:spacing w:after="0" w:line="241" w:lineRule="exact"/>
        <w:jc w:val="left"/>
        <w:rPr>
          <w:rFonts w:ascii="宋体" w:hAnsi="宋体" w:cs="宋体" w:eastAsia="宋体" w:hint="default"/>
          <w:sz w:val="21"/>
          <w:szCs w:val="21"/>
        </w:rPr>
        <w:sectPr>
          <w:type w:val="continuous"/>
          <w:pgSz w:w="11910" w:h="16840"/>
          <w:pgMar w:top="1280" w:bottom="1380" w:left="1580" w:right="1040"/>
        </w:sectPr>
      </w:pPr>
    </w:p>
    <w:p>
      <w:pPr>
        <w:spacing w:line="240" w:lineRule="auto" w:before="13"/>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28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款股份有限公司</w:t>
            </w:r>
          </w:p>
        </w:tc>
        <w:tc>
          <w:tcPr>
            <w:tcW w:w="1983"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北京百仕成投资管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理中心</w:t>
            </w:r>
            <w:r>
              <w:rPr>
                <w:rFonts w:ascii="宋体" w:hAnsi="宋体" w:cs="宋体" w:eastAsia="宋体" w:hint="default"/>
                <w:sz w:val="21"/>
                <w:szCs w:val="21"/>
              </w:rPr>
              <w:t>(</w:t>
            </w:r>
            <w:r>
              <w:rPr>
                <w:rFonts w:ascii="宋体" w:hAnsi="宋体" w:cs="宋体" w:eastAsia="宋体" w:hint="default"/>
                <w:sz w:val="21"/>
                <w:szCs w:val="21"/>
              </w:rPr>
              <w:t>普通合伙</w:t>
            </w:r>
            <w:r>
              <w:rPr>
                <w:rFonts w:ascii="宋体" w:hAnsi="宋体" w:cs="宋体" w:eastAsia="宋体" w:hint="default"/>
                <w:sz w:val="21"/>
                <w:szCs w:val="21"/>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156,280.01</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北京百仕成广告传</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156,280.01</w:t>
            </w: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3" w:top="1280" w:bottom="1380" w:left="1660" w:right="1120"/>
        </w:sectPr>
      </w:pPr>
    </w:p>
    <w:p>
      <w:pPr>
        <w:pStyle w:val="Heading2"/>
        <w:spacing w:line="240" w:lineRule="auto"/>
        <w:ind w:left="138" w:right="-10"/>
        <w:jc w:val="left"/>
        <w:rPr>
          <w:b w:val="0"/>
          <w:bCs w:val="0"/>
        </w:rPr>
      </w:pPr>
      <w:r>
        <w:rPr>
          <w:rFonts w:ascii="宋体" w:hAnsi="宋体" w:cs="宋体" w:eastAsia="宋体" w:hint="default"/>
        </w:rPr>
        <w:t>(3).</w:t>
      </w:r>
      <w:r>
        <w:rPr>
          <w:rFonts w:ascii="宋体" w:hAnsi="宋体" w:cs="宋体" w:eastAsia="宋体" w:hint="default"/>
          <w:spacing w:val="89"/>
        </w:rPr>
        <w:t> </w:t>
      </w:r>
      <w:r>
        <w:rPr/>
        <w:t>关联担保情况</w:t>
      </w:r>
      <w:r>
        <w:rPr>
          <w:b w:val="0"/>
          <w:bCs w:val="0"/>
        </w:rPr>
      </w:r>
    </w:p>
    <w:p>
      <w:pPr>
        <w:pStyle w:val="BodyText"/>
        <w:spacing w:line="240" w:lineRule="auto" w:before="56"/>
        <w:ind w:right="-8"/>
        <w:jc w:val="left"/>
      </w:pPr>
      <w:r>
        <w:rPr/>
        <w:t>√适用</w:t>
      </w:r>
      <w:r>
        <w:rPr>
          <w:spacing w:val="-2"/>
        </w:rPr>
        <w:t> </w:t>
      </w:r>
      <w:r>
        <w:rPr/>
        <w:t>□不适用</w:t>
      </w:r>
      <w:r>
        <w:rPr>
          <w:w w:val="100"/>
        </w:rPr>
        <w:t> </w:t>
      </w:r>
      <w:r>
        <w:rPr>
          <w:spacing w:val="-1"/>
        </w:rPr>
        <w:t>本公司作为被担保方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187" w:val="left" w:leader="none"/>
        </w:tabs>
        <w:spacing w:line="240" w:lineRule="auto" w:before="0"/>
        <w:ind w:right="0"/>
        <w:jc w:val="left"/>
      </w:pPr>
      <w:r>
        <w:rPr>
          <w:spacing w:val="-1"/>
        </w:rPr>
        <w:t>单位：元</w:t>
        <w:tab/>
        <w:t>币种：人民币</w:t>
      </w:r>
    </w:p>
    <w:p>
      <w:pPr>
        <w:spacing w:after="0" w:line="240" w:lineRule="auto"/>
        <w:jc w:val="left"/>
        <w:sectPr>
          <w:type w:val="continuous"/>
          <w:pgSz w:w="11910" w:h="16840"/>
          <w:pgMar w:top="1280" w:bottom="1380" w:left="1660" w:right="1120"/>
          <w:cols w:num="2" w:equalWidth="0">
            <w:col w:w="2032" w:space="4492"/>
            <w:col w:w="260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2"/>
        <w:gridCol w:w="1654"/>
        <w:gridCol w:w="1805"/>
        <w:gridCol w:w="1790"/>
        <w:gridCol w:w="2074"/>
      </w:tblGrid>
      <w:tr>
        <w:trPr>
          <w:trHeight w:val="55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2014-2-17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2015-1-16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2015-1-13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2015-12-12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2015-12-8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2016-12-8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2014-2-17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2015-1-13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2015-1-16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2015-12-15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2015-12-3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2016-12-3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2014-9-17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2015-9-5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2015-8-25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2016-8-25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2014-9-17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2015-9-17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2015-6-30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2016-6-30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2014-10-22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2015-10-22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2014-12-9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2015-6-9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2015-5-28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2016-5-28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2015-5-28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2016-5-28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2015-3-27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2016-3-24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2014-9-28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2015-9-28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2015-7-31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2016-1-31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2015-9-7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2016-9-7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山东科达集团有</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2015-1-31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2015-7-31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1" w:lineRule="exact"/>
        <w:jc w:val="left"/>
        <w:rPr>
          <w:rFonts w:ascii="宋体" w:hAnsi="宋体" w:cs="宋体" w:eastAsia="宋体" w:hint="default"/>
          <w:sz w:val="21"/>
          <w:szCs w:val="21"/>
        </w:rPr>
        <w:sectPr>
          <w:type w:val="continuous"/>
          <w:pgSz w:w="11910" w:h="16840"/>
          <w:pgMar w:top="1280" w:bottom="1380" w:left="1660" w:right="1120"/>
        </w:sectPr>
      </w:pPr>
    </w:p>
    <w:p>
      <w:pPr>
        <w:spacing w:line="240" w:lineRule="auto" w:before="13"/>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1572"/>
        <w:gridCol w:w="1654"/>
        <w:gridCol w:w="1805"/>
        <w:gridCol w:w="1790"/>
        <w:gridCol w:w="2074"/>
      </w:tblGrid>
      <w:tr>
        <w:trPr>
          <w:trHeight w:val="28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138" w:right="0"/>
        <w:jc w:val="left"/>
        <w:rPr>
          <w:b w:val="0"/>
          <w:bCs w:val="0"/>
        </w:rPr>
      </w:pPr>
      <w:r>
        <w:rPr>
          <w:rFonts w:ascii="宋体" w:hAnsi="宋体" w:cs="宋体" w:eastAsia="宋体" w:hint="default"/>
        </w:rPr>
        <w:t>(4).</w:t>
      </w:r>
      <w:r>
        <w:rPr>
          <w:rFonts w:ascii="宋体" w:hAnsi="宋体" w:cs="宋体" w:eastAsia="宋体" w:hint="default"/>
          <w:spacing w:val="89"/>
        </w:rPr>
        <w:t> </w:t>
      </w:r>
      <w:r>
        <w:rPr/>
        <w:t>其他关联交易</w:t>
      </w:r>
      <w:r>
        <w:rPr>
          <w:b w:val="0"/>
          <w:bCs w:val="0"/>
        </w:rPr>
      </w:r>
    </w:p>
    <w:p>
      <w:pPr>
        <w:pStyle w:val="BodyText"/>
        <w:tabs>
          <w:tab w:pos="1006" w:val="left" w:leader="none"/>
        </w:tabs>
        <w:spacing w:line="240" w:lineRule="auto" w:before="58"/>
        <w:ind w:left="0" w:right="630"/>
        <w:jc w:val="right"/>
      </w:pPr>
      <w:r>
        <w:rPr>
          <w:spacing w:val="-13"/>
        </w:rPr>
        <w:t>单位：元</w:t>
        <w:tab/>
      </w:r>
      <w:r>
        <w:rPr>
          <w:spacing w:val="-9"/>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46"/>
        <w:gridCol w:w="1807"/>
        <w:gridCol w:w="1659"/>
        <w:gridCol w:w="1659"/>
        <w:gridCol w:w="1507"/>
      </w:tblGrid>
      <w:tr>
        <w:trPr>
          <w:trHeight w:val="389" w:hRule="exact"/>
        </w:trPr>
        <w:tc>
          <w:tcPr>
            <w:tcW w:w="274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8"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07" w:type="dxa"/>
            <w:vMerge w:val="restart"/>
            <w:tcBorders>
              <w:top w:val="single" w:sz="4" w:space="0" w:color="000000"/>
              <w:left w:val="single" w:sz="4" w:space="0" w:color="000000"/>
              <w:right w:val="single" w:sz="4" w:space="0" w:color="000000"/>
            </w:tcBorders>
          </w:tcPr>
          <w:p>
            <w:pPr>
              <w:pStyle w:val="TableParagraph"/>
              <w:spacing w:line="312" w:lineRule="auto" w:before="82"/>
              <w:ind w:left="717" w:right="539"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659" w:type="dxa"/>
            <w:vMerge w:val="restart"/>
            <w:tcBorders>
              <w:top w:val="single" w:sz="4" w:space="0" w:color="000000"/>
              <w:left w:val="single" w:sz="4" w:space="0" w:color="000000"/>
              <w:right w:val="single" w:sz="4" w:space="0" w:color="000000"/>
            </w:tcBorders>
          </w:tcPr>
          <w:p>
            <w:pPr>
              <w:pStyle w:val="TableParagraph"/>
              <w:spacing w:line="240" w:lineRule="auto" w:before="118"/>
              <w:ind w:left="372" w:right="103" w:hanging="269"/>
              <w:jc w:val="left"/>
              <w:rPr>
                <w:rFonts w:ascii="宋体" w:hAnsi="宋体" w:cs="宋体" w:eastAsia="宋体" w:hint="default"/>
                <w:sz w:val="18"/>
                <w:szCs w:val="18"/>
              </w:rPr>
            </w:pPr>
            <w:r>
              <w:rPr>
                <w:rFonts w:ascii="宋体" w:hAnsi="宋体" w:cs="宋体" w:eastAsia="宋体" w:hint="default"/>
                <w:sz w:val="18"/>
                <w:szCs w:val="18"/>
              </w:rPr>
              <w:t>关联交易定价方式 及决策程序</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6" w:hRule="exact"/>
        </w:trPr>
        <w:tc>
          <w:tcPr>
            <w:tcW w:w="2746" w:type="dxa"/>
            <w:vMerge/>
            <w:tcBorders>
              <w:left w:val="single" w:sz="4" w:space="0" w:color="000000"/>
              <w:bottom w:val="single" w:sz="4" w:space="0" w:color="000000"/>
              <w:right w:val="single" w:sz="4" w:space="0" w:color="000000"/>
            </w:tcBorders>
          </w:tcPr>
          <w:p>
            <w:pPr/>
          </w:p>
        </w:tc>
        <w:tc>
          <w:tcPr>
            <w:tcW w:w="1807" w:type="dxa"/>
            <w:vMerge/>
            <w:tcBorders>
              <w:left w:val="single" w:sz="4" w:space="0" w:color="000000"/>
              <w:bottom w:val="single" w:sz="4" w:space="0" w:color="000000"/>
              <w:right w:val="single" w:sz="4" w:space="0" w:color="000000"/>
            </w:tcBorders>
          </w:tcPr>
          <w:p>
            <w:pPr/>
          </w:p>
        </w:tc>
        <w:tc>
          <w:tcPr>
            <w:tcW w:w="1659" w:type="dxa"/>
            <w:vMerge/>
            <w:tcBorders>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82"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 w:right="0"/>
              <w:jc w:val="left"/>
              <w:rPr>
                <w:rFonts w:ascii="宋体" w:hAnsi="宋体" w:cs="宋体" w:eastAsia="宋体" w:hint="default"/>
                <w:sz w:val="18"/>
                <w:szCs w:val="18"/>
              </w:rPr>
            </w:pPr>
            <w:r>
              <w:rPr>
                <w:rFonts w:ascii="宋体" w:hAnsi="宋体" w:cs="宋体" w:eastAsia="宋体" w:hint="default"/>
                <w:sz w:val="18"/>
                <w:szCs w:val="18"/>
              </w:rPr>
              <w:t>山东科达集团有限公司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购置资产</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71" w:right="0"/>
              <w:jc w:val="left"/>
              <w:rPr>
                <w:rFonts w:ascii="宋体" w:hAnsi="宋体" w:cs="宋体" w:eastAsia="宋体" w:hint="default"/>
                <w:sz w:val="18"/>
                <w:szCs w:val="18"/>
              </w:rPr>
            </w:pPr>
            <w:r>
              <w:rPr>
                <w:rFonts w:ascii="宋体"/>
                <w:sz w:val="18"/>
              </w:rPr>
              <w:t>749,611.70</w:t>
            </w:r>
          </w:p>
        </w:tc>
      </w:tr>
      <w:tr>
        <w:trPr>
          <w:trHeight w:val="485"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宋体" w:hAnsi="宋体" w:cs="宋体" w:eastAsia="宋体" w:hint="default"/>
                <w:sz w:val="18"/>
                <w:szCs w:val="18"/>
              </w:rPr>
            </w:pPr>
            <w:r>
              <w:rPr>
                <w:rFonts w:ascii="宋体" w:hAnsi="宋体" w:cs="宋体" w:eastAsia="宋体" w:hint="default"/>
                <w:sz w:val="18"/>
                <w:szCs w:val="18"/>
              </w:rPr>
              <w:t>山东科达集团有限公司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
              <w:jc w:val="center"/>
              <w:rPr>
                <w:rFonts w:ascii="宋体" w:hAnsi="宋体" w:cs="宋体" w:eastAsia="宋体" w:hint="default"/>
                <w:sz w:val="20"/>
                <w:szCs w:val="20"/>
              </w:rPr>
            </w:pPr>
            <w:r>
              <w:rPr>
                <w:rFonts w:ascii="宋体" w:hAnsi="宋体" w:cs="宋体" w:eastAsia="宋体" w:hint="default"/>
                <w:sz w:val="20"/>
                <w:szCs w:val="20"/>
              </w:rPr>
              <w:t>股权转让</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宋体" w:hAnsi="宋体" w:cs="宋体" w:eastAsia="宋体" w:hint="default"/>
                <w:sz w:val="18"/>
                <w:szCs w:val="18"/>
              </w:rPr>
            </w:pPr>
            <w:r>
              <w:rPr>
                <w:rFonts w:ascii="宋体"/>
                <w:spacing w:val="-1"/>
                <w:sz w:val="18"/>
              </w:rPr>
              <w:t>237,070,000.00</w:t>
            </w: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483"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6" w:right="0"/>
              <w:jc w:val="left"/>
              <w:rPr>
                <w:rFonts w:ascii="宋体" w:hAnsi="宋体" w:cs="宋体" w:eastAsia="宋体" w:hint="default"/>
                <w:sz w:val="18"/>
                <w:szCs w:val="18"/>
              </w:rPr>
            </w:pPr>
            <w:r>
              <w:rPr>
                <w:rFonts w:ascii="宋体" w:hAnsi="宋体" w:cs="宋体" w:eastAsia="宋体" w:hint="default"/>
                <w:sz w:val="18"/>
                <w:szCs w:val="18"/>
              </w:rPr>
              <w:t>东营黄河公路大桥有限责任公司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宋体" w:hAnsi="宋体" w:cs="宋体" w:eastAsia="宋体" w:hint="default"/>
                <w:sz w:val="18"/>
                <w:szCs w:val="18"/>
              </w:rPr>
            </w:pPr>
            <w:r>
              <w:rPr>
                <w:rFonts w:ascii="宋体"/>
                <w:spacing w:val="-1"/>
                <w:sz w:val="18"/>
              </w:rPr>
              <w:t>10,396,833.33</w:t>
            </w:r>
          </w:p>
        </w:tc>
        <w:tc>
          <w:tcPr>
            <w:tcW w:w="1507"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58" w:lineRule="exact" w:before="0"/>
        <w:ind w:left="138" w:right="0"/>
        <w:jc w:val="left"/>
        <w:rPr>
          <w:rFonts w:ascii="Cambria" w:hAnsi="Cambria" w:cs="Cambria" w:eastAsia="Cambria" w:hint="default"/>
          <w:b w:val="0"/>
          <w:bCs w:val="0"/>
        </w:rPr>
      </w:pPr>
      <w:r>
        <w:rPr/>
        <w:t>（</w:t>
      </w:r>
      <w:r>
        <w:rPr>
          <w:rFonts w:ascii="Cambria" w:hAnsi="Cambria" w:cs="Cambria" w:eastAsia="Cambria" w:hint="default"/>
        </w:rPr>
        <w:t>5</w:t>
      </w:r>
      <w:r>
        <w:rPr/>
        <w:t>）共同投资</w:t>
      </w:r>
      <w:r>
        <w:rPr>
          <w:rFonts w:ascii="Cambria" w:hAnsi="Cambria" w:cs="Cambria" w:eastAsia="Cambria" w:hint="default"/>
        </w:rPr>
        <w:t>.</w:t>
      </w:r>
      <w:r>
        <w:rPr>
          <w:rFonts w:ascii="Cambria" w:hAnsi="Cambria" w:cs="Cambria" w:eastAsia="Cambria" w:hint="default"/>
          <w:b w:val="0"/>
          <w:bCs w:val="0"/>
        </w:rPr>
      </w:r>
    </w:p>
    <w:p>
      <w:pPr>
        <w:pStyle w:val="BodyText"/>
        <w:spacing w:line="240" w:lineRule="auto" w:before="58"/>
        <w:ind w:left="558" w:right="0"/>
        <w:jc w:val="left"/>
      </w:pPr>
      <w:r>
        <w:rPr>
          <w:rFonts w:ascii="宋体" w:hAnsi="宋体" w:cs="宋体" w:eastAsia="宋体" w:hint="default"/>
        </w:rPr>
        <w:t>2015</w:t>
      </w:r>
      <w:r>
        <w:rPr>
          <w:rFonts w:ascii="宋体" w:hAnsi="宋体" w:cs="宋体" w:eastAsia="宋体" w:hint="default"/>
          <w:spacing w:val="-33"/>
        </w:rPr>
        <w:t> </w:t>
      </w:r>
      <w:r>
        <w:rPr/>
        <w:t>年</w:t>
      </w:r>
      <w:r>
        <w:rPr>
          <w:spacing w:val="-30"/>
        </w:rPr>
        <w:t> </w:t>
      </w:r>
      <w:r>
        <w:rPr>
          <w:rFonts w:ascii="宋体" w:hAnsi="宋体" w:cs="宋体" w:eastAsia="宋体" w:hint="default"/>
        </w:rPr>
        <w:t>8</w:t>
      </w:r>
      <w:r>
        <w:rPr>
          <w:rFonts w:ascii="宋体" w:hAnsi="宋体" w:cs="宋体" w:eastAsia="宋体" w:hint="default"/>
          <w:spacing w:val="-33"/>
        </w:rPr>
        <w:t> </w:t>
      </w:r>
      <w:r>
        <w:rPr>
          <w:spacing w:val="-3"/>
        </w:rPr>
        <w:t>月，北京百孚思广告有限公司与北京百仕成投资管理中心</w:t>
      </w:r>
      <w:r>
        <w:rPr>
          <w:rFonts w:ascii="宋体" w:hAnsi="宋体" w:cs="宋体" w:eastAsia="宋体" w:hint="default"/>
          <w:spacing w:val="-3"/>
        </w:rPr>
        <w:t>(</w:t>
      </w:r>
      <w:r>
        <w:rPr>
          <w:spacing w:val="-3"/>
        </w:rPr>
        <w:t>普通合伙</w:t>
      </w:r>
      <w:r>
        <w:rPr>
          <w:rFonts w:ascii="宋体" w:hAnsi="宋体" w:cs="宋体" w:eastAsia="宋体" w:hint="default"/>
          <w:spacing w:val="-3"/>
        </w:rPr>
        <w:t>)</w:t>
      </w:r>
      <w:r>
        <w:rPr>
          <w:spacing w:val="-3"/>
        </w:rPr>
        <w:t>、唐颖共同出</w:t>
      </w:r>
    </w:p>
    <w:p>
      <w:pPr>
        <w:pStyle w:val="BodyText"/>
        <w:spacing w:line="240" w:lineRule="auto" w:before="85"/>
        <w:ind w:right="0"/>
        <w:jc w:val="left"/>
      </w:pPr>
      <w:r>
        <w:rPr/>
        <w:t>资设立易买车（上海）商贸有限公司，于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日办妥工商设立登记手续，并取得统一</w:t>
      </w:r>
    </w:p>
    <w:p>
      <w:pPr>
        <w:pStyle w:val="BodyText"/>
        <w:spacing w:line="240" w:lineRule="auto" w:before="85"/>
        <w:ind w:right="0"/>
        <w:jc w:val="left"/>
      </w:pPr>
      <w:r>
        <w:rPr/>
        <w:t>社会信用代码为</w:t>
      </w:r>
      <w:r>
        <w:rPr>
          <w:spacing w:val="-55"/>
        </w:rPr>
        <w:t> </w:t>
      </w:r>
      <w:r>
        <w:rPr>
          <w:rFonts w:ascii="宋体" w:hAnsi="宋体" w:cs="宋体" w:eastAsia="宋体" w:hint="default"/>
        </w:rPr>
        <w:t>310116003348768</w:t>
      </w:r>
      <w:r>
        <w:rPr>
          <w:rFonts w:ascii="宋体" w:hAnsi="宋体" w:cs="宋体" w:eastAsia="宋体" w:hint="default"/>
          <w:spacing w:val="-54"/>
        </w:rPr>
        <w:t> </w:t>
      </w:r>
      <w:r>
        <w:rPr/>
        <w:t>的营业执照。易买车（上海）商贸有限公司注册资本</w:t>
      </w:r>
      <w:r>
        <w:rPr>
          <w:spacing w:val="-55"/>
        </w:rPr>
        <w:t> </w:t>
      </w:r>
      <w:r>
        <w:rPr>
          <w:rFonts w:ascii="宋体" w:hAnsi="宋体" w:cs="宋体" w:eastAsia="宋体" w:hint="default"/>
        </w:rPr>
        <w:t>5,000</w:t>
      </w:r>
      <w:r>
        <w:rPr>
          <w:rFonts w:ascii="宋体" w:hAnsi="宋体" w:cs="宋体" w:eastAsia="宋体" w:hint="default"/>
          <w:spacing w:val="-55"/>
        </w:rPr>
        <w:t> </w:t>
      </w:r>
      <w:r>
        <w:rPr/>
        <w:t>万</w:t>
      </w:r>
    </w:p>
    <w:p>
      <w:pPr>
        <w:pStyle w:val="BodyText"/>
        <w:spacing w:line="314" w:lineRule="auto" w:before="85"/>
        <w:ind w:right="0"/>
        <w:jc w:val="left"/>
      </w:pPr>
      <w:r>
        <w:rPr>
          <w:spacing w:val="-7"/>
          <w:w w:val="100"/>
        </w:rPr>
        <w:t>元，北京百孚思广告有限公司认缴出资</w:t>
      </w:r>
      <w:r>
        <w:rPr>
          <w:spacing w:val="-52"/>
          <w:w w:val="100"/>
        </w:rPr>
        <w:t> </w:t>
      </w:r>
      <w:r>
        <w:rPr>
          <w:rFonts w:ascii="宋体" w:hAnsi="宋体" w:cs="宋体" w:eastAsia="宋体" w:hint="default"/>
          <w:w w:val="100"/>
        </w:rPr>
        <w:t>500</w:t>
      </w:r>
      <w:r>
        <w:rPr>
          <w:rFonts w:ascii="宋体" w:hAnsi="宋体" w:cs="宋体" w:eastAsia="宋体" w:hint="default"/>
          <w:spacing w:val="-54"/>
          <w:w w:val="100"/>
        </w:rPr>
        <w:t> </w:t>
      </w:r>
      <w:r>
        <w:rPr>
          <w:spacing w:val="-10"/>
          <w:w w:val="100"/>
        </w:rPr>
        <w:t>万元，占其注册资本的</w:t>
      </w:r>
      <w:r>
        <w:rPr>
          <w:spacing w:val="-52"/>
          <w:w w:val="100"/>
        </w:rPr>
        <w:t> </w:t>
      </w:r>
      <w:r>
        <w:rPr>
          <w:rFonts w:ascii="宋体" w:hAnsi="宋体" w:cs="宋体" w:eastAsia="宋体" w:hint="default"/>
          <w:spacing w:val="-15"/>
          <w:w w:val="100"/>
        </w:rPr>
        <w:t>10%</w:t>
      </w:r>
      <w:r>
        <w:rPr>
          <w:spacing w:val="-15"/>
          <w:w w:val="100"/>
        </w:rPr>
        <w:t>。截至</w:t>
      </w:r>
      <w:r>
        <w:rPr>
          <w:spacing w:val="-54"/>
          <w:w w:val="100"/>
        </w:rPr>
        <w:t> </w:t>
      </w:r>
      <w:r>
        <w:rPr>
          <w:rFonts w:ascii="宋体" w:hAnsi="宋体" w:cs="宋体" w:eastAsia="宋体" w:hint="default"/>
          <w:spacing w:val="-1"/>
          <w:w w:val="100"/>
        </w:rPr>
        <w:t>2015</w:t>
      </w:r>
      <w:r>
        <w:rPr>
          <w:rFonts w:ascii="宋体" w:hAnsi="宋体" w:cs="宋体" w:eastAsia="宋体" w:hint="default"/>
          <w:spacing w:val="-51"/>
          <w:w w:val="100"/>
        </w:rPr>
        <w:t> </w:t>
      </w:r>
      <w:r>
        <w:rPr>
          <w:w w:val="100"/>
        </w:rPr>
        <w:t>年</w:t>
      </w:r>
      <w:r>
        <w:rPr>
          <w:spacing w:val="-52"/>
          <w:w w:val="100"/>
        </w:rPr>
        <w:t> </w:t>
      </w:r>
      <w:r>
        <w:rPr>
          <w:rFonts w:ascii="宋体" w:hAnsi="宋体" w:cs="宋体" w:eastAsia="宋体" w:hint="default"/>
          <w:spacing w:val="-2"/>
          <w:w w:val="100"/>
        </w:rPr>
        <w:t>12</w:t>
      </w:r>
      <w:r>
        <w:rPr>
          <w:rFonts w:ascii="宋体" w:hAnsi="宋体" w:cs="宋体" w:eastAsia="宋体" w:hint="default"/>
          <w:spacing w:val="-52"/>
          <w:w w:val="100"/>
        </w:rPr>
        <w:t> </w:t>
      </w:r>
      <w:r>
        <w:rPr>
          <w:w w:val="100"/>
        </w:rPr>
        <w:t>月</w:t>
      </w:r>
      <w:r>
        <w:rPr>
          <w:spacing w:val="-52"/>
          <w:w w:val="100"/>
        </w:rPr>
        <w:t> </w:t>
      </w:r>
      <w:r>
        <w:rPr>
          <w:rFonts w:ascii="宋体" w:hAnsi="宋体" w:cs="宋体" w:eastAsia="宋体" w:hint="default"/>
          <w:spacing w:val="-2"/>
          <w:w w:val="100"/>
        </w:rPr>
        <w:t>31</w:t>
      </w:r>
      <w:r>
        <w:rPr>
          <w:rFonts w:ascii="宋体" w:hAnsi="宋体" w:cs="宋体" w:eastAsia="宋体" w:hint="default"/>
          <w:spacing w:val="-52"/>
          <w:w w:val="100"/>
        </w:rPr>
        <w:t> </w:t>
      </w:r>
      <w:r>
        <w:rPr>
          <w:spacing w:val="-3"/>
          <w:w w:val="100"/>
        </w:rPr>
        <w:t>日， </w:t>
      </w:r>
      <w:r>
        <w:rPr/>
        <w:t>北京百孚思广告有限公司尚未认缴出资，易买车（上海）商贸有限公司亦未开始经营。</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6" w:footer="1193" w:top="1280" w:bottom="1380" w:left="1660" w:right="640"/>
        </w:sectPr>
      </w:pPr>
    </w:p>
    <w:p>
      <w:pPr>
        <w:pStyle w:val="Heading2"/>
        <w:spacing w:line="240" w:lineRule="auto"/>
        <w:ind w:left="138" w:right="-20"/>
        <w:jc w:val="left"/>
        <w:rPr>
          <w:b w:val="0"/>
          <w:bCs w:val="0"/>
        </w:rPr>
      </w:pPr>
      <w:r>
        <w:rPr>
          <w:rFonts w:ascii="宋体" w:hAnsi="宋体" w:cs="宋体" w:eastAsia="宋体" w:hint="default"/>
        </w:rPr>
        <w:t>5</w:t>
      </w:r>
      <w:r>
        <w:rPr/>
        <w:t>、</w:t>
      </w:r>
      <w:r>
        <w:rPr>
          <w:spacing w:val="5"/>
        </w:rPr>
        <w:t> </w:t>
      </w:r>
      <w:r>
        <w:rPr/>
        <w:t>关联方应收应付款项</w:t>
      </w:r>
      <w:r>
        <w:rPr>
          <w:b w:val="0"/>
          <w:bCs w:val="0"/>
        </w:rPr>
      </w:r>
    </w:p>
    <w:p>
      <w:pPr>
        <w:spacing w:line="290" w:lineRule="auto" w:before="59"/>
        <w:ind w:left="138" w:right="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084" w:val="left" w:leader="none"/>
        </w:tabs>
        <w:spacing w:line="240" w:lineRule="auto" w:before="0"/>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280" w:bottom="1380" w:left="1660" w:right="640"/>
          <w:cols w:num="2" w:equalWidth="0">
            <w:col w:w="2464" w:space="4271"/>
            <w:col w:w="2875"/>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47"/>
        <w:gridCol w:w="1364"/>
        <w:gridCol w:w="1366"/>
        <w:gridCol w:w="1364"/>
        <w:gridCol w:w="1493"/>
        <w:gridCol w:w="1863"/>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东营黄河公路</w:t>
            </w:r>
          </w:p>
          <w:p>
            <w:pPr>
              <w:pStyle w:val="TableParagraph"/>
              <w:spacing w:line="240" w:lineRule="auto"/>
              <w:ind w:left="23" w:right="65"/>
              <w:jc w:val="left"/>
              <w:rPr>
                <w:rFonts w:ascii="宋体" w:hAnsi="宋体" w:cs="宋体" w:eastAsia="宋体" w:hint="default"/>
                <w:sz w:val="21"/>
                <w:szCs w:val="21"/>
              </w:rPr>
            </w:pPr>
            <w:r>
              <w:rPr>
                <w:rFonts w:ascii="宋体" w:hAnsi="宋体" w:cs="宋体" w:eastAsia="宋体" w:hint="default"/>
                <w:sz w:val="21"/>
                <w:szCs w:val="21"/>
              </w:rPr>
              <w:t>大桥有限责任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2,225,602.46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sz w:val="21"/>
              </w:rPr>
              <w:t>111,280.13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452,550.95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49,183.20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山东中科园区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1,378,178.75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sz w:val="21"/>
              </w:rPr>
              <w:t>137,817.88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3,054,178.75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152,708.94</w:t>
            </w: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山东中科园区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280,000.00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46" w:val="left" w:leader="none"/>
        </w:tabs>
        <w:spacing w:line="240" w:lineRule="auto" w:before="56"/>
        <w:ind w:left="0" w:right="627"/>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50"/>
        <w:gridCol w:w="2669"/>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山东科达集团有限公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15,749,611.20</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18,662,130.61</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东营黄河公路大桥有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10,396,833.33</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85,000,000.00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46,178,879.70</w:t>
            </w:r>
          </w:p>
        </w:tc>
        <w:tc>
          <w:tcPr>
            <w:tcW w:w="266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北京百仕成投资管理</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中心（普通合伙）</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49,207,500.00</w:t>
            </w:r>
          </w:p>
        </w:tc>
        <w:tc>
          <w:tcPr>
            <w:tcW w:w="26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280" w:bottom="1380" w:left="1660" w:right="640"/>
        </w:sectPr>
      </w:pPr>
    </w:p>
    <w:p>
      <w:pPr>
        <w:spacing w:line="240" w:lineRule="auto" w:before="8"/>
        <w:rPr>
          <w:rFonts w:ascii="宋体" w:hAnsi="宋体" w:cs="宋体" w:eastAsia="宋体" w:hint="default"/>
          <w:sz w:val="12"/>
          <w:szCs w:val="12"/>
        </w:rPr>
      </w:pPr>
    </w:p>
    <w:p>
      <w:pPr>
        <w:pStyle w:val="Heading2"/>
        <w:spacing w:line="290" w:lineRule="auto"/>
        <w:ind w:left="138" w:right="7548"/>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关联方承诺</w:t>
      </w:r>
      <w:r>
        <w:rPr>
          <w:w w:val="100"/>
        </w:rPr>
        <w:t> </w:t>
      </w:r>
      <w:r>
        <w:rPr>
          <w:rFonts w:ascii="宋体" w:hAnsi="宋体" w:cs="宋体" w:eastAsia="宋体" w:hint="default"/>
          <w:b w:val="0"/>
          <w:bCs w:val="0"/>
        </w:rPr>
        <w:t>无</w:t>
      </w:r>
    </w:p>
    <w:p>
      <w:pPr>
        <w:spacing w:line="240" w:lineRule="auto" w:before="12"/>
        <w:rPr>
          <w:rFonts w:ascii="宋体" w:hAnsi="宋体" w:cs="宋体" w:eastAsia="宋体" w:hint="default"/>
          <w:sz w:val="18"/>
          <w:szCs w:val="18"/>
        </w:rPr>
      </w:pPr>
    </w:p>
    <w:p>
      <w:pPr>
        <w:pStyle w:val="Heading2"/>
        <w:spacing w:line="240" w:lineRule="auto" w:before="0"/>
        <w:ind w:left="138" w:right="0"/>
        <w:jc w:val="both"/>
        <w:rPr>
          <w:b w:val="0"/>
          <w:bCs w:val="0"/>
        </w:rPr>
      </w:pPr>
      <w:r>
        <w:rPr/>
        <w:t>十三、</w:t>
      </w:r>
      <w:r>
        <w:rPr>
          <w:spacing w:val="102"/>
        </w:rPr>
        <w:t> </w:t>
      </w:r>
      <w:r>
        <w:rPr/>
        <w:t>股份支付</w:t>
      </w:r>
      <w:r>
        <w:rPr>
          <w:b w:val="0"/>
          <w:bCs w:val="0"/>
        </w:rPr>
      </w:r>
    </w:p>
    <w:p>
      <w:pPr>
        <w:pStyle w:val="Heading2"/>
        <w:spacing w:line="240" w:lineRule="auto" w:before="58"/>
        <w:ind w:left="138" w:right="0"/>
        <w:jc w:val="both"/>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9"/>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tabs>
          <w:tab w:pos="977" w:val="left" w:leader="none"/>
        </w:tabs>
        <w:spacing w:line="290" w:lineRule="auto" w:before="0"/>
        <w:ind w:left="138" w:right="672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8"/>
        <w:ind w:right="0"/>
        <w:jc w:val="both"/>
      </w:pPr>
      <w:r>
        <w:rPr/>
        <w:t>√适用</w:t>
      </w:r>
      <w:r>
        <w:rPr>
          <w:spacing w:val="-1"/>
        </w:rPr>
        <w:t> </w:t>
      </w:r>
      <w:r>
        <w:rPr/>
        <w:t>□不适用</w:t>
      </w:r>
    </w:p>
    <w:p>
      <w:pPr>
        <w:pStyle w:val="Heading2"/>
        <w:spacing w:line="240" w:lineRule="auto" w:before="56"/>
        <w:ind w:left="138" w:right="0"/>
        <w:jc w:val="both"/>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spacing w:line="240" w:lineRule="auto" w:before="136"/>
        <w:ind w:left="425" w:right="75"/>
        <w:jc w:val="center"/>
      </w:pPr>
      <w:r>
        <w:rPr/>
        <w:t>①公司广西项目部发生一起工程款诉讼案件，</w:t>
      </w:r>
      <w:r>
        <w:rPr>
          <w:rFonts w:ascii="宋体" w:hAnsi="宋体" w:cs="宋体" w:eastAsia="宋体" w:hint="default"/>
        </w:rPr>
        <w:t>2014</w:t>
      </w:r>
      <w:r>
        <w:rPr>
          <w:rFonts w:ascii="宋体" w:hAnsi="宋体" w:cs="宋体" w:eastAsia="宋体" w:hint="default"/>
          <w:spacing w:val="-42"/>
        </w:rPr>
        <w:t> </w:t>
      </w:r>
      <w:r>
        <w:rPr/>
        <w:t>年</w:t>
      </w:r>
      <w:r>
        <w:rPr>
          <w:spacing w:val="-40"/>
        </w:rPr>
        <w:t> </w:t>
      </w:r>
      <w:r>
        <w:rPr>
          <w:rFonts w:ascii="宋体" w:hAnsi="宋体" w:cs="宋体" w:eastAsia="宋体" w:hint="default"/>
        </w:rPr>
        <w:t>6</w:t>
      </w:r>
      <w:r>
        <w:rPr>
          <w:rFonts w:ascii="宋体" w:hAnsi="宋体" w:cs="宋体" w:eastAsia="宋体" w:hint="default"/>
          <w:spacing w:val="-40"/>
        </w:rPr>
        <w:t> </w:t>
      </w:r>
      <w:r>
        <w:rPr/>
        <w:t>月</w:t>
      </w:r>
      <w:r>
        <w:rPr>
          <w:spacing w:val="-40"/>
        </w:rPr>
        <w:t> </w:t>
      </w:r>
      <w:r>
        <w:rPr>
          <w:rFonts w:ascii="宋体" w:hAnsi="宋体" w:cs="宋体" w:eastAsia="宋体" w:hint="default"/>
        </w:rPr>
        <w:t>19</w:t>
      </w:r>
      <w:r>
        <w:rPr>
          <w:rFonts w:ascii="宋体" w:hAnsi="宋体" w:cs="宋体" w:eastAsia="宋体" w:hint="default"/>
          <w:spacing w:val="-40"/>
        </w:rPr>
        <w:t> </w:t>
      </w:r>
      <w:r>
        <w:rPr/>
        <w:t>日收到法院判决书，判决公司</w:t>
      </w:r>
    </w:p>
    <w:p>
      <w:pPr>
        <w:pStyle w:val="BodyText"/>
        <w:spacing w:line="240" w:lineRule="auto" w:before="85"/>
        <w:ind w:right="0"/>
        <w:jc w:val="both"/>
      </w:pPr>
      <w:r>
        <w:rPr/>
        <w:t>承担工程款</w:t>
      </w:r>
      <w:r>
        <w:rPr>
          <w:spacing w:val="-52"/>
        </w:rPr>
        <w:t> </w:t>
      </w:r>
      <w:r>
        <w:rPr>
          <w:rFonts w:ascii="宋体" w:hAnsi="宋体" w:cs="宋体" w:eastAsia="宋体" w:hint="default"/>
        </w:rPr>
        <w:t>16,356,180.12</w:t>
      </w:r>
      <w:r>
        <w:rPr>
          <w:rFonts w:ascii="宋体" w:hAnsi="宋体" w:cs="宋体" w:eastAsia="宋体" w:hint="default"/>
          <w:spacing w:val="-51"/>
        </w:rPr>
        <w:t> </w:t>
      </w:r>
      <w:r>
        <w:rPr>
          <w:spacing w:val="-8"/>
        </w:rPr>
        <w:t>元，另有利息、受案费，公司于</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t>日向玉林中院提交上诉</w:t>
      </w:r>
    </w:p>
    <w:p>
      <w:pPr>
        <w:pStyle w:val="BodyText"/>
        <w:spacing w:line="240" w:lineRule="auto" w:before="85"/>
        <w:ind w:right="0"/>
        <w:jc w:val="both"/>
      </w:pPr>
      <w:r>
        <w:rPr/>
        <w:t>状，</w:t>
      </w:r>
      <w:r>
        <w:rPr>
          <w:rFonts w:ascii="宋体" w:hAnsi="宋体" w:cs="宋体" w:eastAsia="宋体" w:hint="default"/>
        </w:rPr>
        <w:t>2014</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14</w:t>
      </w:r>
      <w:r>
        <w:rPr>
          <w:rFonts w:ascii="宋体" w:hAnsi="宋体" w:cs="宋体" w:eastAsia="宋体" w:hint="default"/>
          <w:spacing w:val="-44"/>
        </w:rPr>
        <w:t> </w:t>
      </w:r>
      <w:r>
        <w:rPr>
          <w:spacing w:val="-3"/>
        </w:rPr>
        <w:t>日，玉林中院裁定发回重审，重审阶段，双方未达成调解，法院选择鉴定机</w:t>
      </w:r>
    </w:p>
    <w:p>
      <w:pPr>
        <w:pStyle w:val="BodyText"/>
        <w:spacing w:line="314" w:lineRule="auto" w:before="85"/>
        <w:ind w:right="200"/>
        <w:jc w:val="left"/>
      </w:pPr>
      <w:r>
        <w:rPr/>
        <w:t>构，对工程量进行鉴定，公司基于审慎原则，按照会计准则的规定计提了</w:t>
      </w:r>
      <w:r>
        <w:rPr>
          <w:spacing w:val="-49"/>
        </w:rPr>
        <w:t> </w:t>
      </w:r>
      <w:r>
        <w:rPr>
          <w:rFonts w:ascii="宋体" w:hAnsi="宋体" w:cs="宋体" w:eastAsia="宋体" w:hint="default"/>
        </w:rPr>
        <w:t>17,780,288.16</w:t>
      </w:r>
      <w:r>
        <w:rPr>
          <w:rFonts w:ascii="宋体" w:hAnsi="宋体" w:cs="宋体" w:eastAsia="宋体" w:hint="default"/>
          <w:spacing w:val="-48"/>
        </w:rPr>
        <w:t> </w:t>
      </w:r>
      <w:r>
        <w:rPr/>
        <w:t>元的预</w:t>
      </w:r>
      <w:r>
        <w:rPr>
          <w:w w:val="100"/>
        </w:rPr>
        <w:t> </w:t>
      </w:r>
      <w:r>
        <w:rPr/>
        <w:t>计负债。</w:t>
      </w:r>
    </w:p>
    <w:p>
      <w:pPr>
        <w:pStyle w:val="BodyText"/>
        <w:spacing w:line="240" w:lineRule="auto"/>
        <w:ind w:left="544" w:right="60"/>
        <w:jc w:val="center"/>
      </w:pPr>
      <w:r>
        <w:rPr/>
        <w:t>②公司于</w:t>
      </w:r>
      <w:r>
        <w:rPr>
          <w:spacing w:val="-56"/>
        </w:rPr>
        <w:t> </w:t>
      </w:r>
      <w:r>
        <w:rPr>
          <w:rFonts w:ascii="宋体" w:hAnsi="宋体" w:cs="宋体" w:eastAsia="宋体" w:hint="default"/>
        </w:rPr>
        <w:t>2015</w:t>
      </w:r>
      <w:r>
        <w:rPr>
          <w:rFonts w:ascii="宋体" w:hAnsi="宋体" w:cs="宋体" w:eastAsia="宋体" w:hint="default"/>
          <w:spacing w:val="-58"/>
        </w:rPr>
        <w:t> </w:t>
      </w:r>
      <w:r>
        <w:rPr/>
        <w:t>年</w:t>
      </w:r>
      <w:r>
        <w:rPr>
          <w:spacing w:val="-55"/>
        </w:rPr>
        <w:t> </w:t>
      </w:r>
      <w:r>
        <w:rPr>
          <w:rFonts w:ascii="宋体" w:hAnsi="宋体" w:cs="宋体" w:eastAsia="宋体" w:hint="default"/>
        </w:rPr>
        <w:t>7</w:t>
      </w:r>
      <w:r>
        <w:rPr>
          <w:rFonts w:ascii="宋体" w:hAnsi="宋体" w:cs="宋体" w:eastAsia="宋体" w:hint="default"/>
          <w:spacing w:val="-58"/>
        </w:rPr>
        <w:t> </w:t>
      </w:r>
      <w:r>
        <w:rPr/>
        <w:t>月</w:t>
      </w:r>
      <w:r>
        <w:rPr>
          <w:spacing w:val="-56"/>
        </w:rPr>
        <w:t> </w:t>
      </w:r>
      <w:r>
        <w:rPr>
          <w:rFonts w:ascii="宋体" w:hAnsi="宋体" w:cs="宋体" w:eastAsia="宋体" w:hint="default"/>
        </w:rPr>
        <w:t>13</w:t>
      </w:r>
      <w:r>
        <w:rPr>
          <w:rFonts w:ascii="宋体" w:hAnsi="宋体" w:cs="宋体" w:eastAsia="宋体" w:hint="default"/>
          <w:spacing w:val="-58"/>
        </w:rPr>
        <w:t> </w:t>
      </w:r>
      <w:r>
        <w:rPr/>
        <w:t>收到广西壮族自治区玉林市中级人民法院传票</w:t>
      </w:r>
      <w:r>
        <w:rPr>
          <w:rFonts w:ascii="宋体" w:hAnsi="宋体" w:cs="宋体" w:eastAsia="宋体" w:hint="default"/>
        </w:rPr>
        <w:t>[</w:t>
      </w:r>
      <w:r>
        <w:rPr/>
        <w:t>（</w:t>
      </w:r>
      <w:r>
        <w:rPr>
          <w:rFonts w:ascii="宋体" w:hAnsi="宋体" w:cs="宋体" w:eastAsia="宋体" w:hint="default"/>
        </w:rPr>
        <w:t>2015</w:t>
      </w:r>
      <w:r>
        <w:rPr/>
        <w:t>）玉中民二</w:t>
      </w:r>
    </w:p>
    <w:p>
      <w:pPr>
        <w:pStyle w:val="BodyText"/>
        <w:spacing w:line="314" w:lineRule="auto" w:before="85"/>
        <w:ind w:right="206"/>
        <w:jc w:val="left"/>
      </w:pPr>
      <w:r>
        <w:rPr>
          <w:spacing w:val="-1"/>
          <w:w w:val="100"/>
        </w:rPr>
        <w:t>初字第</w:t>
      </w:r>
      <w:r>
        <w:rPr>
          <w:spacing w:val="-45"/>
          <w:w w:val="100"/>
        </w:rPr>
        <w:t> </w:t>
      </w:r>
      <w:r>
        <w:rPr>
          <w:rFonts w:ascii="宋体" w:hAnsi="宋体" w:cs="宋体" w:eastAsia="宋体" w:hint="default"/>
          <w:w w:val="100"/>
        </w:rPr>
        <w:t>13</w:t>
      </w:r>
      <w:r>
        <w:rPr>
          <w:rFonts w:ascii="宋体" w:hAnsi="宋体" w:cs="宋体" w:eastAsia="宋体" w:hint="default"/>
          <w:spacing w:val="-48"/>
          <w:w w:val="100"/>
        </w:rPr>
        <w:t> </w:t>
      </w:r>
      <w:r>
        <w:rPr>
          <w:spacing w:val="-12"/>
          <w:w w:val="100"/>
        </w:rPr>
        <w:t>号</w:t>
      </w:r>
      <w:r>
        <w:rPr>
          <w:rFonts w:ascii="宋体" w:hAnsi="宋体" w:cs="宋体" w:eastAsia="宋体" w:hint="default"/>
          <w:spacing w:val="-12"/>
          <w:w w:val="100"/>
        </w:rPr>
        <w:t>]</w:t>
      </w:r>
      <w:r>
        <w:rPr>
          <w:spacing w:val="-12"/>
          <w:w w:val="100"/>
        </w:rPr>
        <w:t>及自然人黎兴谷（以下简称“原告”）向玉林市中级人民法院提交的《民事起诉状》，</w:t>
      </w:r>
      <w:r>
        <w:rPr>
          <w:spacing w:val="-103"/>
          <w:w w:val="100"/>
        </w:rPr>
        <w:t> </w:t>
      </w:r>
      <w:r>
        <w:rPr>
          <w:spacing w:val="-103"/>
          <w:w w:val="100"/>
        </w:rPr>
      </w:r>
      <w:r>
        <w:rPr/>
        <w:t>原告以建设工程施工合同纠纷为由对本公司提起诉讼。</w:t>
      </w:r>
    </w:p>
    <w:p>
      <w:pPr>
        <w:pStyle w:val="BodyText"/>
        <w:spacing w:line="314" w:lineRule="auto"/>
        <w:ind w:right="205" w:firstLine="554"/>
        <w:jc w:val="both"/>
      </w:pPr>
      <w:r>
        <w:rPr/>
        <w:t>本次诉讼案件的事实及请求：公司于</w:t>
      </w:r>
      <w:r>
        <w:rPr>
          <w:spacing w:val="-41"/>
        </w:rPr>
        <w:t> </w:t>
      </w:r>
      <w:r>
        <w:rPr>
          <w:rFonts w:ascii="宋体" w:hAnsi="宋体" w:cs="宋体" w:eastAsia="宋体" w:hint="default"/>
        </w:rPr>
        <w:t>2011</w:t>
      </w:r>
      <w:r>
        <w:rPr>
          <w:rFonts w:ascii="宋体" w:hAnsi="宋体" w:cs="宋体" w:eastAsia="宋体" w:hint="default"/>
          <w:spacing w:val="-41"/>
        </w:rPr>
        <w:t> </w:t>
      </w:r>
      <w:r>
        <w:rPr/>
        <w:t>年</w:t>
      </w:r>
      <w:r>
        <w:rPr>
          <w:spacing w:val="-38"/>
        </w:rPr>
        <w:t> </w:t>
      </w:r>
      <w:r>
        <w:rPr>
          <w:rFonts w:ascii="宋体" w:hAnsi="宋体" w:cs="宋体" w:eastAsia="宋体" w:hint="default"/>
        </w:rPr>
        <w:t>4</w:t>
      </w:r>
      <w:r>
        <w:rPr>
          <w:rFonts w:ascii="宋体" w:hAnsi="宋体" w:cs="宋体" w:eastAsia="宋体" w:hint="default"/>
          <w:spacing w:val="-38"/>
        </w:rPr>
        <w:t> </w:t>
      </w:r>
      <w:r>
        <w:rPr/>
        <w:t>月</w:t>
      </w:r>
      <w:r>
        <w:rPr>
          <w:spacing w:val="-41"/>
        </w:rPr>
        <w:t> </w:t>
      </w:r>
      <w:r>
        <w:rPr>
          <w:rFonts w:ascii="宋体" w:hAnsi="宋体" w:cs="宋体" w:eastAsia="宋体" w:hint="default"/>
        </w:rPr>
        <w:t>28</w:t>
      </w:r>
      <w:r>
        <w:rPr>
          <w:rFonts w:ascii="宋体" w:hAnsi="宋体" w:cs="宋体" w:eastAsia="宋体" w:hint="default"/>
          <w:spacing w:val="-38"/>
        </w:rPr>
        <w:t> </w:t>
      </w:r>
      <w:r>
        <w:rPr/>
        <w:t>日与广西壮族自治区玉港高速公路有</w:t>
      </w:r>
      <w:r>
        <w:rPr>
          <w:w w:val="100"/>
        </w:rPr>
        <w:t> </w:t>
      </w:r>
      <w:r>
        <w:rPr>
          <w:spacing w:val="-6"/>
          <w:w w:val="100"/>
        </w:rPr>
        <w:t>限公司签订了《施工合同书》，合同段主线起讫桩号为</w:t>
      </w:r>
      <w:r>
        <w:rPr>
          <w:spacing w:val="-52"/>
          <w:w w:val="100"/>
        </w:rPr>
        <w:t> </w:t>
      </w:r>
      <w:r>
        <w:rPr>
          <w:rFonts w:ascii="宋体" w:hAnsi="宋体" w:cs="宋体" w:eastAsia="宋体" w:hint="default"/>
          <w:w w:val="100"/>
        </w:rPr>
        <w:t>K43</w:t>
      </w:r>
      <w:r>
        <w:rPr>
          <w:rFonts w:ascii="宋体" w:hAnsi="宋体" w:cs="宋体" w:eastAsia="宋体" w:hint="default"/>
          <w:spacing w:val="-19"/>
          <w:w w:val="100"/>
        </w:rPr>
        <w:t> </w:t>
      </w:r>
      <w:r>
        <w:rPr>
          <w:rFonts w:ascii="宋体" w:hAnsi="宋体" w:cs="宋体" w:eastAsia="宋体" w:hint="default"/>
          <w:spacing w:val="-1"/>
          <w:w w:val="100"/>
        </w:rPr>
        <w:t>400</w:t>
      </w:r>
      <w:r>
        <w:rPr>
          <w:spacing w:val="-1"/>
          <w:w w:val="100"/>
        </w:rPr>
        <w:t>—</w:t>
      </w:r>
      <w:r>
        <w:rPr>
          <w:rFonts w:ascii="宋体" w:hAnsi="宋体" w:cs="宋体" w:eastAsia="宋体" w:hint="default"/>
          <w:spacing w:val="-1"/>
          <w:w w:val="100"/>
        </w:rPr>
        <w:t>K88</w:t>
      </w:r>
      <w:r>
        <w:rPr>
          <w:rFonts w:ascii="宋体" w:hAnsi="宋体" w:cs="宋体" w:eastAsia="宋体" w:hint="default"/>
          <w:spacing w:val="-17"/>
          <w:w w:val="100"/>
        </w:rPr>
        <w:t> </w:t>
      </w:r>
      <w:r>
        <w:rPr>
          <w:rFonts w:ascii="宋体" w:hAnsi="宋体" w:cs="宋体" w:eastAsia="宋体" w:hint="default"/>
          <w:spacing w:val="-2"/>
          <w:w w:val="100"/>
        </w:rPr>
        <w:t>000</w:t>
      </w:r>
      <w:r>
        <w:rPr>
          <w:spacing w:val="-2"/>
          <w:w w:val="100"/>
        </w:rPr>
        <w:t>，全长</w:t>
      </w:r>
      <w:r>
        <w:rPr>
          <w:spacing w:val="-51"/>
          <w:w w:val="100"/>
        </w:rPr>
        <w:t> </w:t>
      </w:r>
      <w:r>
        <w:rPr>
          <w:rFonts w:ascii="宋体" w:hAnsi="宋体" w:cs="宋体" w:eastAsia="宋体" w:hint="default"/>
          <w:spacing w:val="-1"/>
          <w:w w:val="100"/>
        </w:rPr>
        <w:t>44.6</w:t>
      </w:r>
      <w:r>
        <w:rPr>
          <w:rFonts w:ascii="宋体" w:hAnsi="宋体" w:cs="宋体" w:eastAsia="宋体" w:hint="default"/>
          <w:spacing w:val="-52"/>
          <w:w w:val="100"/>
        </w:rPr>
        <w:t> </w:t>
      </w:r>
      <w:r>
        <w:rPr>
          <w:spacing w:val="-2"/>
          <w:w w:val="100"/>
        </w:rPr>
        <w:t>公里，博白</w:t>
      </w:r>
      <w:r>
        <w:rPr>
          <w:w w:val="100"/>
        </w:rPr>
        <w:t> </w:t>
      </w:r>
      <w:r>
        <w:rPr/>
        <w:t>连接线全长</w:t>
      </w:r>
      <w:r>
        <w:rPr>
          <w:spacing w:val="-50"/>
        </w:rPr>
        <w:t> </w:t>
      </w:r>
      <w:r>
        <w:rPr>
          <w:rFonts w:ascii="宋体" w:hAnsi="宋体" w:cs="宋体" w:eastAsia="宋体" w:hint="default"/>
        </w:rPr>
        <w:t>1.5</w:t>
      </w:r>
      <w:r>
        <w:rPr>
          <w:rFonts w:ascii="宋体" w:hAnsi="宋体" w:cs="宋体" w:eastAsia="宋体" w:hint="default"/>
          <w:spacing w:val="-50"/>
        </w:rPr>
        <w:t> </w:t>
      </w:r>
      <w:r>
        <w:rPr/>
        <w:t>公里，主要施工内容为水泥稳定级配碎石底基层、水泥稳定级配碎石基层、主线</w:t>
      </w:r>
    </w:p>
    <w:p>
      <w:pPr>
        <w:pStyle w:val="BodyText"/>
        <w:spacing w:line="314" w:lineRule="auto"/>
        <w:ind w:right="205"/>
        <w:jc w:val="both"/>
      </w:pPr>
      <w:r>
        <w:rPr/>
        <w:t>沥青砼面层、连接线为水泥砼面层、交通安全设施工程、绿化等工程。公司于</w:t>
      </w:r>
      <w:r>
        <w:rPr>
          <w:spacing w:val="-50"/>
        </w:rPr>
        <w:t> </w:t>
      </w:r>
      <w:r>
        <w:rPr>
          <w:rFonts w:ascii="宋体" w:hAnsi="宋体" w:cs="宋体" w:eastAsia="宋体" w:hint="default"/>
        </w:rPr>
        <w:t>2011</w:t>
      </w:r>
      <w:r>
        <w:rPr>
          <w:rFonts w:ascii="宋体" w:hAnsi="宋体" w:cs="宋体" w:eastAsia="宋体" w:hint="default"/>
          <w:spacing w:val="-50"/>
        </w:rPr>
        <w:t> </w:t>
      </w:r>
      <w:r>
        <w:rPr/>
        <w:t>年</w:t>
      </w:r>
      <w:r>
        <w:rPr>
          <w:spacing w:val="-53"/>
        </w:rPr>
        <w:t> </w:t>
      </w:r>
      <w:r>
        <w:rPr>
          <w:rFonts w:ascii="宋体" w:hAnsi="宋体" w:cs="宋体" w:eastAsia="宋体" w:hint="default"/>
        </w:rPr>
        <w:t>4</w:t>
      </w:r>
      <w:r>
        <w:rPr>
          <w:rFonts w:ascii="宋体" w:hAnsi="宋体" w:cs="宋体" w:eastAsia="宋体" w:hint="default"/>
          <w:spacing w:val="-50"/>
        </w:rPr>
        <w:t> </w:t>
      </w:r>
      <w:r>
        <w:rPr/>
        <w:t>月</w:t>
      </w:r>
      <w:r>
        <w:rPr>
          <w:spacing w:val="-53"/>
        </w:rPr>
        <w:t> </w:t>
      </w:r>
      <w:r>
        <w:rPr>
          <w:rFonts w:ascii="宋体" w:hAnsi="宋体" w:cs="宋体" w:eastAsia="宋体" w:hint="default"/>
        </w:rPr>
        <w:t>10</w:t>
      </w:r>
      <w:r>
        <w:rPr>
          <w:rFonts w:ascii="宋体" w:hAnsi="宋体" w:cs="宋体" w:eastAsia="宋体" w:hint="default"/>
          <w:spacing w:val="-53"/>
        </w:rPr>
        <w:t> </w:t>
      </w:r>
      <w:r>
        <w:rPr/>
        <w:t>日</w:t>
      </w:r>
      <w:r>
        <w:rPr>
          <w:w w:val="100"/>
        </w:rPr>
        <w:t> </w:t>
      </w:r>
      <w:r>
        <w:rPr>
          <w:spacing w:val="-6"/>
          <w:w w:val="100"/>
        </w:rPr>
        <w:t>同原告签订《工程委托管理合同书》。公司收到原告《民事起诉状》的诉讼请求如下：请求确认原</w:t>
      </w:r>
      <w:r>
        <w:rPr>
          <w:w w:val="100"/>
        </w:rPr>
        <w:t> </w:t>
      </w:r>
      <w:r>
        <w:rPr>
          <w:spacing w:val="8"/>
        </w:rPr>
        <w:t>告与被告签订的《工程委托管理合同书》无效；请求被告返还原告交纳的履约保证金人民币</w:t>
      </w:r>
      <w:r>
        <w:rPr>
          <w:spacing w:val="-13"/>
        </w:rPr>
        <w:t> </w:t>
      </w:r>
      <w:r>
        <w:rPr>
          <w:spacing w:val="-13"/>
        </w:rPr>
      </w:r>
      <w:r>
        <w:rPr>
          <w:rFonts w:ascii="宋体" w:hAnsi="宋体" w:cs="宋体" w:eastAsia="宋体" w:hint="default"/>
        </w:rPr>
        <w:t>13,210,000.00</w:t>
      </w:r>
      <w:r>
        <w:rPr>
          <w:rFonts w:ascii="宋体" w:hAnsi="宋体" w:cs="宋体" w:eastAsia="宋体" w:hint="default"/>
          <w:spacing w:val="-33"/>
        </w:rPr>
        <w:t> </w:t>
      </w:r>
      <w:r>
        <w:rPr/>
        <w:t>元；请求被告返还原告质量保证金</w:t>
      </w:r>
      <w:r>
        <w:rPr>
          <w:spacing w:val="-32"/>
        </w:rPr>
        <w:t> </w:t>
      </w:r>
      <w:r>
        <w:rPr>
          <w:rFonts w:ascii="宋体" w:hAnsi="宋体" w:cs="宋体" w:eastAsia="宋体" w:hint="default"/>
        </w:rPr>
        <w:t>20,352,448.00</w:t>
      </w:r>
      <w:r>
        <w:rPr>
          <w:rFonts w:ascii="宋体" w:hAnsi="宋体" w:cs="宋体" w:eastAsia="宋体" w:hint="default"/>
          <w:spacing w:val="-33"/>
        </w:rPr>
        <w:t> </w:t>
      </w:r>
      <w:r>
        <w:rPr/>
        <w:t>元；请求被告返还原告农民工</w:t>
      </w:r>
    </w:p>
    <w:p>
      <w:pPr>
        <w:pStyle w:val="BodyText"/>
        <w:spacing w:line="314" w:lineRule="auto"/>
        <w:ind w:right="104"/>
        <w:jc w:val="both"/>
      </w:pPr>
      <w:r>
        <w:rPr/>
        <w:t>工资保证金</w:t>
      </w:r>
      <w:r>
        <w:rPr>
          <w:spacing w:val="-51"/>
        </w:rPr>
        <w:t> </w:t>
      </w:r>
      <w:r>
        <w:rPr>
          <w:rFonts w:ascii="宋体" w:hAnsi="宋体" w:cs="宋体" w:eastAsia="宋体" w:hint="default"/>
        </w:rPr>
        <w:t>5,252,636.00</w:t>
      </w:r>
      <w:r>
        <w:rPr>
          <w:rFonts w:ascii="宋体" w:hAnsi="宋体" w:cs="宋体" w:eastAsia="宋体" w:hint="default"/>
          <w:spacing w:val="-53"/>
        </w:rPr>
        <w:t> </w:t>
      </w:r>
      <w:r>
        <w:rPr/>
        <w:t>元；请求被告返还原告工程扣款</w:t>
      </w:r>
      <w:r>
        <w:rPr>
          <w:spacing w:val="-51"/>
        </w:rPr>
        <w:t> </w:t>
      </w:r>
      <w:r>
        <w:rPr>
          <w:rFonts w:ascii="宋体" w:hAnsi="宋体" w:cs="宋体" w:eastAsia="宋体" w:hint="default"/>
        </w:rPr>
        <w:t>4,067,446.00</w:t>
      </w:r>
      <w:r>
        <w:rPr>
          <w:rFonts w:ascii="宋体" w:hAnsi="宋体" w:cs="宋体" w:eastAsia="宋体" w:hint="default"/>
          <w:spacing w:val="-52"/>
        </w:rPr>
        <w:t> </w:t>
      </w:r>
      <w:r>
        <w:rPr/>
        <w:t>元；请求法院判令被告</w:t>
      </w:r>
      <w:r>
        <w:rPr>
          <w:w w:val="100"/>
        </w:rPr>
        <w:t> </w:t>
      </w:r>
      <w:r>
        <w:rPr/>
        <w:t>赔偿原告因延长工期造成的材料费上涨损失、人员工资损失、设备闲置损失、场地租赁损失、工</w:t>
      </w:r>
      <w:r>
        <w:rPr>
          <w:spacing w:val="-97"/>
        </w:rPr>
        <w:t> </w:t>
      </w:r>
      <w:r>
        <w:rPr>
          <w:spacing w:val="-97"/>
        </w:rPr>
      </w:r>
      <w:r>
        <w:rPr/>
        <w:t>程变更调差款计</w:t>
      </w:r>
      <w:r>
        <w:rPr>
          <w:spacing w:val="-52"/>
        </w:rPr>
        <w:t> </w:t>
      </w:r>
      <w:r>
        <w:rPr>
          <w:rFonts w:ascii="宋体" w:hAnsi="宋体" w:cs="宋体" w:eastAsia="宋体" w:hint="default"/>
        </w:rPr>
        <w:t>32,000,000.00</w:t>
      </w:r>
      <w:r>
        <w:rPr>
          <w:rFonts w:ascii="宋体" w:hAnsi="宋体" w:cs="宋体" w:eastAsia="宋体" w:hint="default"/>
          <w:spacing w:val="-51"/>
        </w:rPr>
        <w:t> </w:t>
      </w:r>
      <w:r>
        <w:rPr/>
        <w:t>元；请求法院判令被告赔偿原告资金占用损失</w:t>
      </w:r>
      <w:r>
        <w:rPr>
          <w:spacing w:val="-51"/>
        </w:rPr>
        <w:t> </w:t>
      </w:r>
      <w:r>
        <w:rPr>
          <w:rFonts w:ascii="宋体" w:hAnsi="宋体" w:cs="宋体" w:eastAsia="宋体" w:hint="default"/>
        </w:rPr>
        <w:t>6,000,000.00</w:t>
      </w:r>
      <w:r>
        <w:rPr>
          <w:rFonts w:ascii="宋体" w:hAnsi="宋体" w:cs="宋体" w:eastAsia="宋体" w:hint="default"/>
          <w:spacing w:val="-51"/>
        </w:rPr>
        <w:t> </w:t>
      </w:r>
      <w:r>
        <w:rPr>
          <w:spacing w:val="-3"/>
        </w:rPr>
        <w:t>元，</w:t>
      </w:r>
      <w:r>
        <w:rPr/>
      </w:r>
    </w:p>
    <w:p>
      <w:pPr>
        <w:pStyle w:val="BodyText"/>
        <w:spacing w:line="240" w:lineRule="auto"/>
        <w:ind w:right="0"/>
        <w:jc w:val="both"/>
      </w:pPr>
      <w:r>
        <w:rPr/>
        <w:t>以上损失合计</w:t>
      </w:r>
      <w:r>
        <w:rPr>
          <w:spacing w:val="-54"/>
        </w:rPr>
        <w:t> </w:t>
      </w:r>
      <w:r>
        <w:rPr>
          <w:rFonts w:ascii="宋体" w:hAnsi="宋体" w:cs="宋体" w:eastAsia="宋体" w:hint="default"/>
        </w:rPr>
        <w:t>80,882,530.00</w:t>
      </w:r>
      <w:r>
        <w:rPr>
          <w:rFonts w:ascii="宋体" w:hAnsi="宋体" w:cs="宋体" w:eastAsia="宋体" w:hint="default"/>
          <w:spacing w:val="-53"/>
        </w:rPr>
        <w:t> </w:t>
      </w:r>
      <w:r>
        <w:rPr>
          <w:spacing w:val="-3"/>
        </w:rPr>
        <w:t>元。</w:t>
      </w:r>
      <w:r>
        <w:rPr/>
      </w:r>
    </w:p>
    <w:p>
      <w:pPr>
        <w:spacing w:after="0" w:line="240" w:lineRule="auto"/>
        <w:jc w:val="both"/>
        <w:sectPr>
          <w:pgSz w:w="11910" w:h="16840"/>
          <w:pgMar w:header="856" w:footer="1193" w:top="1280" w:bottom="1380" w:left="1660" w:right="1060"/>
        </w:sectPr>
      </w:pPr>
    </w:p>
    <w:p>
      <w:pPr>
        <w:spacing w:line="240" w:lineRule="auto" w:before="7"/>
        <w:rPr>
          <w:rFonts w:ascii="宋体" w:hAnsi="宋体" w:cs="宋体" w:eastAsia="宋体" w:hint="default"/>
          <w:sz w:val="18"/>
          <w:szCs w:val="18"/>
        </w:rPr>
      </w:pPr>
    </w:p>
    <w:p>
      <w:pPr>
        <w:pStyle w:val="BodyText"/>
        <w:spacing w:line="240" w:lineRule="auto" w:before="36"/>
        <w:ind w:left="0" w:right="225"/>
        <w:jc w:val="right"/>
        <w:rPr>
          <w:rFonts w:ascii="宋体" w:hAnsi="宋体" w:cs="宋体" w:eastAsia="宋体" w:hint="default"/>
        </w:rPr>
      </w:pPr>
      <w:r>
        <w:rPr/>
        <w:t>广西壮族自治区玉林市中级人民法院已受理该案并暂定于</w:t>
      </w:r>
      <w:r>
        <w:rPr>
          <w:spacing w:val="-50"/>
        </w:rPr>
        <w:t> </w:t>
      </w:r>
      <w:r>
        <w:rPr>
          <w:rFonts w:ascii="宋体" w:hAnsi="宋体" w:cs="宋体" w:eastAsia="宋体" w:hint="default"/>
        </w:rPr>
        <w:t>2015</w:t>
      </w:r>
      <w:r>
        <w:rPr>
          <w:rFonts w:ascii="宋体" w:hAnsi="宋体" w:cs="宋体" w:eastAsia="宋体" w:hint="default"/>
          <w:spacing w:val="-50"/>
        </w:rPr>
        <w:t> </w:t>
      </w:r>
      <w:r>
        <w:rPr/>
        <w:t>年</w:t>
      </w:r>
      <w:r>
        <w:rPr>
          <w:spacing w:val="-53"/>
        </w:rPr>
        <w:t> </w:t>
      </w:r>
      <w:r>
        <w:rPr>
          <w:rFonts w:ascii="宋体" w:hAnsi="宋体" w:cs="宋体" w:eastAsia="宋体" w:hint="default"/>
        </w:rPr>
        <w:t>8</w:t>
      </w:r>
      <w:r>
        <w:rPr>
          <w:rFonts w:ascii="宋体" w:hAnsi="宋体" w:cs="宋体" w:eastAsia="宋体" w:hint="default"/>
          <w:spacing w:val="-50"/>
        </w:rPr>
        <w:t> </w:t>
      </w:r>
      <w:r>
        <w:rPr/>
        <w:t>月</w:t>
      </w:r>
      <w:r>
        <w:rPr>
          <w:spacing w:val="-53"/>
        </w:rPr>
        <w:t> </w:t>
      </w:r>
      <w:r>
        <w:rPr>
          <w:rFonts w:ascii="宋体" w:hAnsi="宋体" w:cs="宋体" w:eastAsia="宋体" w:hint="default"/>
        </w:rPr>
        <w:t>25</w:t>
      </w:r>
      <w:r>
        <w:rPr>
          <w:rFonts w:ascii="宋体" w:hAnsi="宋体" w:cs="宋体" w:eastAsia="宋体" w:hint="default"/>
          <w:spacing w:val="-52"/>
        </w:rPr>
        <w:t> </w:t>
      </w:r>
      <w:r>
        <w:rPr/>
        <w:t>日开庭审理。</w:t>
      </w:r>
      <w:r>
        <w:rPr>
          <w:rFonts w:ascii="宋体" w:hAnsi="宋体" w:cs="宋体" w:eastAsia="宋体" w:hint="default"/>
        </w:rPr>
        <w:t>2015</w:t>
      </w:r>
    </w:p>
    <w:p>
      <w:pPr>
        <w:pStyle w:val="BodyText"/>
        <w:spacing w:line="240" w:lineRule="auto" w:before="85"/>
        <w:ind w:left="0" w:right="230"/>
        <w:jc w:val="right"/>
      </w:pPr>
      <w:r>
        <w:rPr/>
        <w:t>年</w:t>
      </w:r>
      <w:r>
        <w:rPr>
          <w:spacing w:val="-46"/>
        </w:rPr>
        <w:t> </w:t>
      </w:r>
      <w:r>
        <w:rPr>
          <w:rFonts w:ascii="宋体" w:hAnsi="宋体" w:cs="宋体" w:eastAsia="宋体" w:hint="default"/>
        </w:rPr>
        <w:t>7</w:t>
      </w:r>
      <w:r>
        <w:rPr>
          <w:rFonts w:ascii="宋体" w:hAnsi="宋体" w:cs="宋体" w:eastAsia="宋体" w:hint="default"/>
          <w:spacing w:val="-48"/>
        </w:rPr>
        <w:t> </w:t>
      </w:r>
      <w:r>
        <w:rPr/>
        <w:t>月</w:t>
      </w:r>
      <w:r>
        <w:rPr>
          <w:spacing w:val="-46"/>
        </w:rPr>
        <w:t> </w:t>
      </w:r>
      <w:r>
        <w:rPr>
          <w:rFonts w:ascii="宋体" w:hAnsi="宋体" w:cs="宋体" w:eastAsia="宋体" w:hint="default"/>
        </w:rPr>
        <w:t>17</w:t>
      </w:r>
      <w:r>
        <w:rPr>
          <w:rFonts w:ascii="宋体" w:hAnsi="宋体" w:cs="宋体" w:eastAsia="宋体" w:hint="default"/>
          <w:spacing w:val="-48"/>
        </w:rPr>
        <w:t> </w:t>
      </w:r>
      <w:r>
        <w:rPr>
          <w:spacing w:val="-3"/>
        </w:rPr>
        <w:t>日，我公司提出管辖权异议，</w:t>
      </w:r>
      <w:r>
        <w:rPr>
          <w:rFonts w:ascii="宋体" w:hAnsi="宋体" w:cs="宋体" w:eastAsia="宋体" w:hint="default"/>
          <w:spacing w:val="-3"/>
        </w:rPr>
        <w:t>2015</w:t>
      </w:r>
      <w:r>
        <w:rPr>
          <w:rFonts w:ascii="宋体" w:hAnsi="宋体" w:cs="宋体" w:eastAsia="宋体" w:hint="default"/>
          <w:spacing w:val="-48"/>
        </w:rPr>
        <w:t> </w:t>
      </w:r>
      <w:r>
        <w:rPr/>
        <w:t>年</w:t>
      </w:r>
      <w:r>
        <w:rPr>
          <w:spacing w:val="-46"/>
        </w:rPr>
        <w:t> </w:t>
      </w:r>
      <w:r>
        <w:rPr>
          <w:rFonts w:ascii="宋体" w:hAnsi="宋体" w:cs="宋体" w:eastAsia="宋体" w:hint="default"/>
        </w:rPr>
        <w:t>8</w:t>
      </w:r>
      <w:r>
        <w:rPr>
          <w:rFonts w:ascii="宋体" w:hAnsi="宋体" w:cs="宋体" w:eastAsia="宋体" w:hint="default"/>
          <w:spacing w:val="-48"/>
        </w:rPr>
        <w:t> </w:t>
      </w:r>
      <w:r>
        <w:rPr/>
        <w:t>月</w:t>
      </w:r>
      <w:r>
        <w:rPr>
          <w:spacing w:val="-48"/>
        </w:rPr>
        <w:t> </w:t>
      </w:r>
      <w:r>
        <w:rPr>
          <w:rFonts w:ascii="宋体" w:hAnsi="宋体" w:cs="宋体" w:eastAsia="宋体" w:hint="default"/>
        </w:rPr>
        <w:t>15</w:t>
      </w:r>
      <w:r>
        <w:rPr>
          <w:rFonts w:ascii="宋体" w:hAnsi="宋体" w:cs="宋体" w:eastAsia="宋体" w:hint="default"/>
          <w:spacing w:val="-46"/>
        </w:rPr>
        <w:t> </w:t>
      </w:r>
      <w:r>
        <w:rPr>
          <w:spacing w:val="-3"/>
        </w:rPr>
        <w:t>日，收到玉林市中级人民法院裁定，驳回</w:t>
      </w:r>
    </w:p>
    <w:p>
      <w:pPr>
        <w:pStyle w:val="BodyText"/>
        <w:spacing w:line="314" w:lineRule="auto" w:before="85"/>
        <w:ind w:left="0" w:right="228"/>
        <w:jc w:val="right"/>
      </w:pPr>
      <w:r>
        <w:rPr/>
        <w:t>异议申请。</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10</w:t>
      </w:r>
      <w:r>
        <w:rPr>
          <w:rFonts w:ascii="宋体" w:hAnsi="宋体" w:cs="宋体" w:eastAsia="宋体" w:hint="default"/>
          <w:spacing w:val="-47"/>
        </w:rPr>
        <w:t> </w:t>
      </w:r>
      <w:r>
        <w:rPr/>
        <w:t>月</w:t>
      </w:r>
      <w:r>
        <w:rPr>
          <w:spacing w:val="-50"/>
        </w:rPr>
        <w:t> </w:t>
      </w:r>
      <w:r>
        <w:rPr>
          <w:rFonts w:ascii="宋体" w:hAnsi="宋体" w:cs="宋体" w:eastAsia="宋体" w:hint="default"/>
        </w:rPr>
        <w:t>14</w:t>
      </w:r>
      <w:r>
        <w:rPr>
          <w:rFonts w:ascii="宋体" w:hAnsi="宋体" w:cs="宋体" w:eastAsia="宋体" w:hint="default"/>
          <w:spacing w:val="-48"/>
        </w:rPr>
        <w:t> </w:t>
      </w:r>
      <w:r>
        <w:rPr/>
        <w:t>日收到传票，开庭时间为</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27</w:t>
      </w:r>
      <w:r>
        <w:rPr>
          <w:rFonts w:ascii="宋体" w:hAnsi="宋体" w:cs="宋体" w:eastAsia="宋体" w:hint="default"/>
          <w:spacing w:val="-50"/>
        </w:rPr>
        <w:t> </w:t>
      </w:r>
      <w:r>
        <w:rPr/>
        <w:t>日，双方进行证据交换，</w:t>
      </w:r>
      <w:r>
        <w:rPr>
          <w:w w:val="100"/>
        </w:rPr>
        <w:t> </w:t>
      </w:r>
      <w:r>
        <w:rPr/>
        <w:t>我公司提交三份证据，分别为：电子银行交易回单（履约保证金）</w:t>
      </w:r>
      <w:r>
        <w:rPr>
          <w:rFonts w:ascii="宋体" w:hAnsi="宋体" w:cs="宋体" w:eastAsia="宋体" w:hint="default"/>
        </w:rPr>
        <w:t>1</w:t>
      </w:r>
      <w:r>
        <w:rPr>
          <w:rFonts w:ascii="宋体" w:hAnsi="宋体" w:cs="宋体" w:eastAsia="宋体" w:hint="default"/>
          <w:spacing w:val="7"/>
        </w:rPr>
        <w:t> </w:t>
      </w:r>
      <w:r>
        <w:rPr/>
        <w:t>张、玉林至铁山港公路路面</w:t>
      </w:r>
      <w:r>
        <w:rPr>
          <w:w w:val="100"/>
        </w:rPr>
        <w:t> </w:t>
      </w:r>
      <w:r>
        <w:rPr/>
        <w:t>工程</w:t>
      </w:r>
      <w:r>
        <w:rPr>
          <w:spacing w:val="-45"/>
        </w:rPr>
        <w:t> </w:t>
      </w:r>
      <w:r>
        <w:rPr>
          <w:rFonts w:ascii="宋体" w:hAnsi="宋体" w:cs="宋体" w:eastAsia="宋体" w:hint="default"/>
        </w:rPr>
        <w:t>NO.B</w:t>
      </w:r>
      <w:r>
        <w:rPr>
          <w:rFonts w:ascii="宋体" w:hAnsi="宋体" w:cs="宋体" w:eastAsia="宋体" w:hint="default"/>
          <w:spacing w:val="-47"/>
        </w:rPr>
        <w:t> </w:t>
      </w:r>
      <w:r>
        <w:rPr/>
        <w:t>合同段施工合同文件</w:t>
      </w:r>
      <w:r>
        <w:rPr>
          <w:spacing w:val="-44"/>
        </w:rPr>
        <w:t> </w:t>
      </w:r>
      <w:r>
        <w:rPr>
          <w:rFonts w:ascii="宋体" w:hAnsi="宋体" w:cs="宋体" w:eastAsia="宋体" w:hint="default"/>
        </w:rPr>
        <w:t>1</w:t>
      </w:r>
      <w:r>
        <w:rPr>
          <w:rFonts w:ascii="宋体" w:hAnsi="宋体" w:cs="宋体" w:eastAsia="宋体" w:hint="default"/>
          <w:spacing w:val="-47"/>
        </w:rPr>
        <w:t> </w:t>
      </w:r>
      <w:r>
        <w:rPr>
          <w:spacing w:val="-7"/>
        </w:rPr>
        <w:t>本、部分工程处罚、通告单</w:t>
      </w:r>
      <w:r>
        <w:rPr>
          <w:spacing w:val="-45"/>
        </w:rPr>
        <w:t> </w:t>
      </w:r>
      <w:r>
        <w:rPr>
          <w:rFonts w:ascii="宋体" w:hAnsi="宋体" w:cs="宋体" w:eastAsia="宋体" w:hint="default"/>
        </w:rPr>
        <w:t>1</w:t>
      </w:r>
      <w:r>
        <w:rPr>
          <w:rFonts w:ascii="宋体" w:hAnsi="宋体" w:cs="宋体" w:eastAsia="宋体" w:hint="default"/>
          <w:spacing w:val="-47"/>
        </w:rPr>
        <w:t> </w:t>
      </w:r>
      <w:r>
        <w:rPr>
          <w:spacing w:val="-4"/>
        </w:rPr>
        <w:t>组，截至目前公司尚未收到法院开</w:t>
      </w:r>
      <w:r>
        <w:rPr>
          <w:w w:val="100"/>
        </w:rPr>
        <w:t> </w:t>
      </w:r>
      <w:r>
        <w:rPr/>
        <w:t>庭通知。</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4"/>
        </w:rPr>
        <w:t> </w:t>
      </w:r>
      <w:r>
        <w:rPr/>
        <w:t>日，东营开发区公安分局已对原告进行刑事立案，尚未采取强制措施。</w:t>
      </w:r>
      <w:r>
        <w:rPr>
          <w:w w:val="100"/>
        </w:rPr>
        <w:t> </w:t>
      </w:r>
      <w:r>
        <w:rPr>
          <w:spacing w:val="-2"/>
        </w:rPr>
        <w:t>科达股份对此案件高度重视，已委托律师积极应诉，律师在经过案件分析及相关核查后认定</w:t>
      </w:r>
    </w:p>
    <w:p>
      <w:pPr>
        <w:pStyle w:val="BodyText"/>
        <w:spacing w:line="314" w:lineRule="auto"/>
        <w:ind w:left="638" w:right="250" w:hanging="420"/>
        <w:jc w:val="left"/>
      </w:pPr>
      <w:r>
        <w:rPr/>
        <w:t>原告上述诉讼请求缺乏事实依据及法律支持，公司败诉可能性很小。</w:t>
      </w:r>
      <w:r>
        <w:rPr>
          <w:w w:val="100"/>
        </w:rPr>
        <w:t> </w:t>
      </w:r>
      <w:r>
        <w:rPr>
          <w:spacing w:val="-2"/>
        </w:rPr>
        <w:t>通过该案件具体进展情况，结合律师相关认定意见，公司认为该案件公司败诉可能性很小，</w:t>
      </w:r>
    </w:p>
    <w:p>
      <w:pPr>
        <w:pStyle w:val="BodyText"/>
        <w:spacing w:line="240" w:lineRule="auto"/>
        <w:ind w:left="218" w:right="2465"/>
        <w:jc w:val="left"/>
      </w:pPr>
      <w:r>
        <w:rPr/>
        <w:t>故公司</w:t>
      </w:r>
      <w:r>
        <w:rPr>
          <w:spacing w:val="-54"/>
        </w:rPr>
        <w:t> </w:t>
      </w:r>
      <w:r>
        <w:rPr>
          <w:rFonts w:ascii="宋体" w:hAnsi="宋体" w:cs="宋体" w:eastAsia="宋体" w:hint="default"/>
        </w:rPr>
        <w:t>2015</w:t>
      </w:r>
      <w:r>
        <w:rPr>
          <w:rFonts w:ascii="宋体" w:hAnsi="宋体" w:cs="宋体" w:eastAsia="宋体" w:hint="default"/>
          <w:spacing w:val="-54"/>
        </w:rPr>
        <w:t> </w:t>
      </w:r>
      <w:r>
        <w:rPr/>
        <w:t>年期末未确认预计负债。</w:t>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9"/>
          <w:pgSz w:w="11910" w:h="16840"/>
          <w:pgMar w:footer="1193" w:header="856" w:top="1280" w:bottom="1380" w:left="1580" w:right="1040"/>
        </w:sectPr>
      </w:pPr>
    </w:p>
    <w:p>
      <w:pPr>
        <w:pStyle w:val="Heading2"/>
        <w:tabs>
          <w:tab w:pos="1057" w:val="left" w:leader="none"/>
        </w:tabs>
        <w:spacing w:line="240" w:lineRule="auto"/>
        <w:ind w:right="-16"/>
        <w:jc w:val="left"/>
        <w:rPr>
          <w:b w:val="0"/>
          <w:bCs w:val="0"/>
        </w:rPr>
      </w:pPr>
      <w:r>
        <w:rPr/>
        <w:t>十五、</w:t>
        <w:tab/>
        <w:t>资产负债表日后事项</w:t>
      </w:r>
      <w:r>
        <w:rPr>
          <w:b w:val="0"/>
          <w:bCs w:val="0"/>
        </w:rPr>
      </w:r>
    </w:p>
    <w:p>
      <w:pPr>
        <w:pStyle w:val="Heading2"/>
        <w:spacing w:line="240" w:lineRule="auto" w:before="56"/>
        <w:ind w:right="-19"/>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218" w:right="-19"/>
        <w:jc w:val="left"/>
      </w:pPr>
      <w:r>
        <w:rPr/>
        <w:t>□适用</w:t>
      </w:r>
      <w:r>
        <w:rPr>
          <w:spacing w:val="-1"/>
        </w:rPr>
        <w:t> </w:t>
      </w:r>
      <w:r>
        <w:rPr/>
        <w:t>√不适用</w:t>
      </w:r>
    </w:p>
    <w:p>
      <w:pPr>
        <w:pStyle w:val="Heading2"/>
        <w:spacing w:line="240" w:lineRule="auto" w:before="56"/>
        <w:ind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2959" w:space="356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9"/>
      </w:tblGrid>
      <w:tr>
        <w:trPr>
          <w:trHeight w:val="322"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26,066,592.71</w:t>
            </w:r>
          </w:p>
        </w:tc>
      </w:tr>
      <w:tr>
        <w:trPr>
          <w:trHeight w:val="322"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26,066,592.71</w:t>
            </w:r>
          </w:p>
        </w:tc>
      </w:tr>
    </w:tbl>
    <w:p>
      <w:pPr>
        <w:spacing w:line="240" w:lineRule="auto" w:before="13"/>
        <w:rPr>
          <w:rFonts w:ascii="宋体" w:hAnsi="宋体" w:cs="宋体" w:eastAsia="宋体" w:hint="default"/>
          <w:sz w:val="19"/>
          <w:szCs w:val="19"/>
        </w:rPr>
      </w:pPr>
    </w:p>
    <w:p>
      <w:pPr>
        <w:pStyle w:val="Heading2"/>
        <w:spacing w:line="240" w:lineRule="auto"/>
        <w:ind w:right="2465"/>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64" w:lineRule="auto" w:before="0"/>
        <w:ind w:right="5884"/>
        <w:jc w:val="left"/>
        <w:rPr>
          <w:rFonts w:ascii="宋体" w:hAnsi="宋体" w:cs="宋体" w:eastAsia="宋体" w:hint="default"/>
          <w:b w:val="0"/>
          <w:bCs w:val="0"/>
        </w:rPr>
      </w:pPr>
      <w:r>
        <w:rPr>
          <w:rFonts w:ascii="Calibri" w:hAnsi="Calibri" w:cs="Calibri" w:eastAsia="Calibri" w:hint="default"/>
        </w:rPr>
        <w:t>4</w:t>
      </w:r>
      <w:r>
        <w:rPr/>
        <w:t>、 其他资产负债表日后事项说明</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2"/>
        <w:tabs>
          <w:tab w:pos="1057" w:val="left" w:leader="none"/>
        </w:tabs>
        <w:spacing w:line="290" w:lineRule="auto" w:before="0"/>
        <w:ind w:right="6952"/>
        <w:jc w:val="left"/>
        <w:rPr>
          <w:b w:val="0"/>
          <w:bCs w:val="0"/>
        </w:rPr>
      </w:pPr>
      <w:r>
        <w:rPr/>
        <w:t>十六、</w:t>
        <w:tab/>
        <w:t>其他重要事项</w:t>
      </w:r>
      <w:r>
        <w:rPr>
          <w:spacing w:val="-104"/>
        </w:rPr>
        <w:t> </w:t>
      </w:r>
      <w:r>
        <w:rPr>
          <w:spacing w:val="-104"/>
        </w:rPr>
      </w:r>
      <w:r>
        <w:rPr>
          <w:rFonts w:ascii="宋体" w:hAnsi="宋体" w:cs="宋体" w:eastAsia="宋体" w:hint="default"/>
        </w:rPr>
        <w:t>1</w:t>
      </w:r>
      <w:r>
        <w:rPr/>
        <w:t>、</w:t>
      </w:r>
      <w:r>
        <w:rPr>
          <w:spacing w:val="5"/>
        </w:rPr>
        <w:t> </w:t>
      </w:r>
      <w:r>
        <w:rPr/>
        <w:t>前期会计差错更正</w:t>
      </w:r>
      <w:r>
        <w:rPr>
          <w:b w:val="0"/>
          <w:bCs w:val="0"/>
        </w:rPr>
      </w:r>
    </w:p>
    <w:p>
      <w:pPr>
        <w:pStyle w:val="BodyText"/>
        <w:spacing w:line="240" w:lineRule="auto" w:before="14"/>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9"/>
        <w:ind w:left="218" w:right="2465"/>
        <w:jc w:val="left"/>
      </w:pPr>
      <w:r>
        <w:rPr/>
        <w:t>□适用</w:t>
      </w:r>
      <w:r>
        <w:rPr>
          <w:spacing w:val="-1"/>
        </w:rPr>
        <w:t> </w:t>
      </w:r>
      <w:r>
        <w:rPr/>
        <w:t>√不适用</w:t>
      </w:r>
    </w:p>
    <w:p>
      <w:pPr>
        <w:spacing w:after="0" w:line="240" w:lineRule="auto"/>
        <w:jc w:val="left"/>
        <w:sectPr>
          <w:type w:val="continuous"/>
          <w:pgSz w:w="11910" w:h="16840"/>
          <w:pgMar w:top="128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2"/>
        <w:spacing w:line="240" w:lineRule="auto"/>
        <w:ind w:left="1118" w:right="1037"/>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BodyText"/>
        <w:spacing w:line="240" w:lineRule="auto" w:before="56"/>
        <w:ind w:left="1118" w:right="1037"/>
        <w:jc w:val="left"/>
      </w:pPr>
      <w:r>
        <w:rPr/>
        <w:t>√适用</w:t>
      </w:r>
      <w:r>
        <w:rPr>
          <w:spacing w:val="-1"/>
        </w:rPr>
        <w:t> </w:t>
      </w:r>
      <w:r>
        <w:rPr/>
        <w:t>□不适用</w:t>
      </w:r>
    </w:p>
    <w:p>
      <w:pPr>
        <w:pStyle w:val="Heading2"/>
        <w:tabs>
          <w:tab w:pos="1761" w:val="left" w:leader="none"/>
        </w:tabs>
        <w:spacing w:line="240" w:lineRule="auto" w:before="58"/>
        <w:ind w:left="1118" w:right="1037"/>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spacing w:line="314" w:lineRule="auto" w:before="133"/>
        <w:ind w:left="1538" w:right="925" w:firstLine="420"/>
        <w:jc w:val="both"/>
      </w:pPr>
      <w:r>
        <w:rPr/>
        <w:t>根据本公司的内部组织结构、管理要求及内部报告制度，本公司的经营业务划分为</w:t>
      </w:r>
      <w:r>
        <w:rPr>
          <w:spacing w:val="-47"/>
        </w:rPr>
        <w:t> </w:t>
      </w:r>
      <w:r>
        <w:rPr>
          <w:rFonts w:ascii="宋体" w:hAnsi="宋体" w:cs="宋体" w:eastAsia="宋体" w:hint="default"/>
        </w:rPr>
        <w:t>3</w:t>
      </w:r>
      <w:r>
        <w:rPr>
          <w:rFonts w:ascii="宋体" w:hAnsi="宋体" w:cs="宋体" w:eastAsia="宋体" w:hint="default"/>
          <w:spacing w:val="-50"/>
        </w:rPr>
        <w:t> </w:t>
      </w:r>
      <w:r>
        <w:rPr/>
        <w:t>个</w:t>
      </w:r>
      <w:r>
        <w:rPr>
          <w:w w:val="100"/>
        </w:rPr>
        <w:t> </w:t>
      </w:r>
      <w:r>
        <w:rPr>
          <w:spacing w:val="-2"/>
        </w:rPr>
        <w:t>经营分部，本公司的管理层定期评价这些分部的经营成果，以决定向其分配资源及评价其业</w:t>
      </w:r>
      <w:r>
        <w:rPr>
          <w:spacing w:val="-19"/>
        </w:rPr>
        <w:t> </w:t>
      </w:r>
      <w:r>
        <w:rPr>
          <w:spacing w:val="-19"/>
        </w:rPr>
      </w:r>
      <w:r>
        <w:rPr/>
        <w:t>绩。在经营分部的基础上本公司确定了</w:t>
      </w:r>
      <w:r>
        <w:rPr>
          <w:spacing w:val="-50"/>
        </w:rPr>
        <w:t> </w:t>
      </w:r>
      <w:r>
        <w:rPr>
          <w:rFonts w:ascii="宋体" w:hAnsi="宋体" w:cs="宋体" w:eastAsia="宋体" w:hint="default"/>
        </w:rPr>
        <w:t>3</w:t>
      </w:r>
      <w:r>
        <w:rPr>
          <w:rFonts w:ascii="宋体" w:hAnsi="宋体" w:cs="宋体" w:eastAsia="宋体" w:hint="default"/>
          <w:spacing w:val="-47"/>
        </w:rPr>
        <w:t> </w:t>
      </w:r>
      <w:r>
        <w:rPr/>
        <w:t>个报告分部，分别为路桥工程施工分部、房地产开</w:t>
      </w:r>
      <w:r>
        <w:rPr>
          <w:w w:val="100"/>
        </w:rPr>
        <w:t> </w:t>
      </w:r>
      <w:r>
        <w:rPr>
          <w:spacing w:val="-2"/>
        </w:rPr>
        <w:t>发分部及互联网分部。这些报告分部是以公司具体情况为基础确定的。本公司各个报告分部</w:t>
      </w:r>
      <w:r>
        <w:rPr>
          <w:spacing w:val="-19"/>
        </w:rPr>
        <w:t> </w:t>
      </w:r>
      <w:r>
        <w:rPr>
          <w:spacing w:val="-19"/>
        </w:rPr>
      </w:r>
      <w:r>
        <w:rPr/>
        <w:t>提供的主要产品及劳务分别为：</w:t>
      </w:r>
    </w:p>
    <w:p>
      <w:pPr>
        <w:pStyle w:val="BodyText"/>
        <w:spacing w:line="240" w:lineRule="auto"/>
        <w:ind w:left="1958" w:right="1037"/>
        <w:jc w:val="left"/>
      </w:pPr>
      <w:r>
        <w:rPr/>
        <w:t>①</w:t>
      </w:r>
      <w:r>
        <w:rPr>
          <w:spacing w:val="42"/>
        </w:rPr>
        <w:t> </w:t>
      </w:r>
      <w:r>
        <w:rPr/>
        <w:t>路桥工程施工分部用于公路、大桥等基础设施承揽和施工；</w:t>
      </w:r>
    </w:p>
    <w:p>
      <w:pPr>
        <w:pStyle w:val="BodyText"/>
        <w:tabs>
          <w:tab w:pos="2423" w:val="left" w:leader="none"/>
        </w:tabs>
        <w:spacing w:line="240" w:lineRule="auto" w:before="85"/>
        <w:ind w:left="1958" w:right="1037"/>
        <w:jc w:val="left"/>
      </w:pPr>
      <w:r>
        <w:rPr/>
        <w:t>②</w:t>
        <w:tab/>
        <w:t>房地产开发分部用于提供民用住房、商用建筑的开发、建设与销售；</w:t>
      </w:r>
    </w:p>
    <w:p>
      <w:pPr>
        <w:pStyle w:val="BodyText"/>
        <w:spacing w:line="314" w:lineRule="auto" w:before="85"/>
        <w:ind w:left="1538" w:right="937" w:firstLine="420"/>
        <w:jc w:val="both"/>
      </w:pPr>
      <w:r>
        <w:rPr/>
        <w:t>③</w:t>
      </w:r>
      <w:r>
        <w:rPr>
          <w:spacing w:val="42"/>
        </w:rPr>
        <w:t> </w:t>
      </w:r>
      <w:r>
        <w:rPr/>
        <w:t>互联网分部用于提供互联网策划、广告等服务。</w:t>
      </w:r>
      <w:r>
        <w:rPr>
          <w:w w:val="100"/>
        </w:rPr>
        <w:t> </w:t>
      </w:r>
      <w:r>
        <w:rPr>
          <w:spacing w:val="-2"/>
        </w:rPr>
        <w:t>分部报告信息根据各分部向管理层报告时采用的会计政策及计量标准披露，这些计量基础与</w:t>
      </w:r>
    </w:p>
    <w:p>
      <w:pPr>
        <w:pStyle w:val="BodyText"/>
        <w:spacing w:line="314" w:lineRule="auto"/>
        <w:ind w:left="1118" w:right="0"/>
        <w:jc w:val="left"/>
      </w:pPr>
      <w:r>
        <w:rPr>
          <w:spacing w:val="-3"/>
        </w:rPr>
        <w:t>编制财务报表时的会计政策与计量基础保持一致。财务报表按照本附注三、</w:t>
      </w:r>
      <w:r>
        <w:rPr>
          <w:rFonts w:ascii="宋体" w:hAnsi="宋体" w:cs="宋体" w:eastAsia="宋体" w:hint="default"/>
          <w:spacing w:val="-3"/>
        </w:rPr>
        <w:t>23 </w:t>
      </w:r>
      <w:r>
        <w:rPr/>
        <w:t>所述的会计政策按</w:t>
      </w:r>
      <w:r>
        <w:rPr>
          <w:spacing w:val="-94"/>
        </w:rPr>
        <w:t> </w:t>
      </w:r>
      <w:r>
        <w:rPr>
          <w:spacing w:val="-94"/>
        </w:rPr>
      </w:r>
      <w:r>
        <w:rPr/>
        <w:t>权责发生制确认收入。</w:t>
      </w:r>
    </w:p>
    <w:p>
      <w:pPr>
        <w:spacing w:line="240" w:lineRule="auto" w:before="5"/>
        <w:rPr>
          <w:rFonts w:ascii="宋体" w:hAnsi="宋体" w:cs="宋体" w:eastAsia="宋体" w:hint="default"/>
          <w:sz w:val="18"/>
          <w:szCs w:val="18"/>
        </w:rPr>
      </w:pPr>
    </w:p>
    <w:p>
      <w:pPr>
        <w:pStyle w:val="Heading2"/>
        <w:tabs>
          <w:tab w:pos="1761" w:val="left" w:leader="none"/>
        </w:tabs>
        <w:spacing w:line="240" w:lineRule="auto"/>
        <w:ind w:left="1118" w:right="1037"/>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51" w:val="left" w:leader="none"/>
        </w:tabs>
        <w:spacing w:line="240" w:lineRule="auto" w:before="56"/>
        <w:ind w:left="0" w:right="9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576"/>
        <w:gridCol w:w="1656"/>
        <w:gridCol w:w="1657"/>
        <w:gridCol w:w="1656"/>
        <w:gridCol w:w="1387"/>
        <w:gridCol w:w="1657"/>
        <w:gridCol w:w="2048"/>
      </w:tblGrid>
      <w:tr>
        <w:trPr>
          <w:trHeight w:val="24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路桥工程施工分部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房地产开发分部</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互联网分部</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1"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对外</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营业 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762,078,010.97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400,930,194.10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1,229,036,252.82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24,920,321.14</w:t>
            </w:r>
          </w:p>
        </w:tc>
        <w:tc>
          <w:tcPr>
            <w:tcW w:w="165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pacing w:val="-1"/>
                <w:sz w:val="18"/>
              </w:rPr>
              <w:t>2,416,964,779.03</w:t>
            </w:r>
          </w:p>
        </w:tc>
      </w:tr>
      <w:tr>
        <w:trPr>
          <w:trHeight w:val="94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分部</w:t>
            </w:r>
          </w:p>
          <w:p>
            <w:pPr>
              <w:pStyle w:val="TableParagraph"/>
              <w:spacing w:line="232" w:lineRule="exact" w:before="24"/>
              <w:ind w:left="103" w:right="101"/>
              <w:jc w:val="both"/>
              <w:rPr>
                <w:rFonts w:ascii="宋体" w:hAnsi="宋体" w:cs="宋体" w:eastAsia="宋体" w:hint="default"/>
                <w:sz w:val="18"/>
                <w:szCs w:val="18"/>
              </w:rPr>
            </w:pPr>
            <w:r>
              <w:rPr>
                <w:rFonts w:ascii="宋体" w:hAnsi="宋体" w:cs="宋体" w:eastAsia="宋体" w:hint="default"/>
                <w:sz w:val="18"/>
                <w:szCs w:val="18"/>
              </w:rPr>
              <w:t>间营 业收 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48,844,311.86</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14,051,592.03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5,144,156.15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68,040,060.04</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699,923,383.09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297,631,841.55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977,521,594.78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19,981,057.45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4,253,752.53</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1,990,804,124.34</w:t>
            </w:r>
          </w:p>
        </w:tc>
      </w:tr>
      <w:tr>
        <w:trPr>
          <w:trHeight w:val="234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对合</w:t>
            </w:r>
          </w:p>
          <w:p>
            <w:pPr>
              <w:pStyle w:val="TableParagraph"/>
              <w:spacing w:line="237" w:lineRule="auto" w:before="2"/>
              <w:ind w:left="103" w:right="101"/>
              <w:jc w:val="both"/>
              <w:rPr>
                <w:rFonts w:ascii="宋体" w:hAnsi="宋体" w:cs="宋体" w:eastAsia="宋体" w:hint="default"/>
                <w:sz w:val="18"/>
                <w:szCs w:val="18"/>
              </w:rPr>
            </w:pPr>
            <w:r>
              <w:rPr>
                <w:rFonts w:ascii="宋体" w:hAnsi="宋体" w:cs="宋体" w:eastAsia="宋体" w:hint="default"/>
                <w:sz w:val="18"/>
                <w:szCs w:val="18"/>
              </w:rPr>
              <w:t>营企 业和 联营 企业 的投 资收 益</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损</w:t>
            </w: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失</w:t>
            </w:r>
            <w:r>
              <w:rPr>
                <w:rFonts w:ascii="宋体" w:hAnsi="宋体" w:cs="宋体" w:eastAsia="宋体" w:hint="default"/>
                <w:sz w:val="18"/>
                <w:szCs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73,611,697.67</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569,117.47</w:t>
            </w:r>
          </w:p>
        </w:tc>
        <w:tc>
          <w:tcPr>
            <w:tcW w:w="1387"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74,180,815.14</w:t>
            </w:r>
          </w:p>
        </w:tc>
      </w:tr>
      <w:tr>
        <w:trPr>
          <w:trHeight w:val="47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69,029,060.48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-33,806,160.29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136,368,023.42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1,124,902.67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974,399.23</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171,741,427.05</w:t>
            </w:r>
          </w:p>
        </w:tc>
      </w:tr>
      <w:tr>
        <w:trPr>
          <w:trHeight w:val="47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6,537,633,785.91</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3,018,741,641.95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1,345,642,810.78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73,826,065.92</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2,091,324,306.95</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8,884,519,997.61</w:t>
            </w:r>
          </w:p>
        </w:tc>
      </w:tr>
      <w:tr>
        <w:trPr>
          <w:trHeight w:val="47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3,113,980,855.77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2,561,346,178.64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720,704,473.10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61,793,590.93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1,438,018,936.54</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5,019,806,161.90</w:t>
            </w:r>
          </w:p>
        </w:tc>
      </w:tr>
      <w:tr>
        <w:trPr>
          <w:trHeight w:val="141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对合</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营企 业和 联营 企业 的长</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336,273.09</w:t>
            </w:r>
          </w:p>
        </w:tc>
        <w:tc>
          <w:tcPr>
            <w:tcW w:w="1387"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336,273.09</w:t>
            </w:r>
          </w:p>
        </w:tc>
      </w:tr>
    </w:tbl>
    <w:p>
      <w:pPr>
        <w:spacing w:after="0" w:line="205" w:lineRule="exact"/>
        <w:jc w:val="right"/>
        <w:rPr>
          <w:rFonts w:ascii="宋体" w:hAnsi="宋体" w:cs="宋体" w:eastAsia="宋体" w:hint="default"/>
          <w:sz w:val="18"/>
          <w:szCs w:val="18"/>
        </w:rPr>
        <w:sectPr>
          <w:footerReference w:type="default" r:id="rId60"/>
          <w:pgSz w:w="11910" w:h="16840"/>
          <w:pgMar w:footer="1193" w:header="856" w:top="1280" w:bottom="1380" w:left="680" w:right="340"/>
          <w:pgNumType w:start="141"/>
        </w:sectPr>
      </w:pPr>
    </w:p>
    <w:p>
      <w:pPr>
        <w:spacing w:line="240" w:lineRule="auto" w:before="13"/>
        <w:rPr>
          <w:rFonts w:ascii="宋体" w:hAnsi="宋体" w:cs="宋体" w:eastAsia="宋体" w:hint="default"/>
          <w:sz w:val="17"/>
          <w:szCs w:val="17"/>
        </w:rPr>
      </w:pPr>
    </w:p>
    <w:tbl>
      <w:tblPr>
        <w:tblW w:w="0" w:type="auto"/>
        <w:jc w:val="left"/>
        <w:tblInd w:w="259" w:type="dxa"/>
        <w:tblLayout w:type="fixed"/>
        <w:tblCellMar>
          <w:top w:w="0" w:type="dxa"/>
          <w:left w:w="0" w:type="dxa"/>
          <w:bottom w:w="0" w:type="dxa"/>
          <w:right w:w="0" w:type="dxa"/>
        </w:tblCellMar>
        <w:tblLook w:val="01E0"/>
      </w:tblPr>
      <w:tblGrid>
        <w:gridCol w:w="576"/>
        <w:gridCol w:w="1656"/>
        <w:gridCol w:w="1657"/>
        <w:gridCol w:w="1656"/>
        <w:gridCol w:w="1387"/>
        <w:gridCol w:w="1657"/>
        <w:gridCol w:w="2048"/>
      </w:tblGrid>
      <w:tr>
        <w:trPr>
          <w:trHeight w:val="7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期股</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权投 资</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3" w:top="1280" w:bottom="1380" w:left="540" w:right="340"/>
        </w:sectPr>
      </w:pPr>
    </w:p>
    <w:p>
      <w:pPr>
        <w:pStyle w:val="Heading2"/>
        <w:tabs>
          <w:tab w:pos="2097" w:val="left" w:leader="none"/>
        </w:tabs>
        <w:spacing w:line="290" w:lineRule="auto"/>
        <w:ind w:left="125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2"/>
        <w:tabs>
          <w:tab w:pos="2097" w:val="left" w:leader="none"/>
        </w:tabs>
        <w:spacing w:line="240" w:lineRule="auto" w:before="12"/>
        <w:ind w:left="139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2309" w:val="left" w:leader="none"/>
        </w:tabs>
        <w:spacing w:line="240" w:lineRule="auto" w:before="0"/>
        <w:ind w:left="1258" w:right="0"/>
        <w:jc w:val="left"/>
      </w:pPr>
      <w:r>
        <w:rPr>
          <w:spacing w:val="-1"/>
        </w:rPr>
        <w:t>单位：元</w:t>
        <w:tab/>
      </w:r>
      <w:r>
        <w:rPr>
          <w:spacing w:val="-2"/>
        </w:rPr>
        <w:t>币种：人民币</w:t>
      </w:r>
    </w:p>
    <w:p>
      <w:pPr>
        <w:spacing w:after="0" w:line="240" w:lineRule="auto"/>
        <w:jc w:val="left"/>
        <w:sectPr>
          <w:type w:val="continuous"/>
          <w:pgSz w:w="11910" w:h="16840"/>
          <w:pgMar w:top="1280" w:bottom="1380" w:left="540" w:right="340"/>
          <w:cols w:num="2" w:equalWidth="0">
            <w:col w:w="4839" w:space="1685"/>
            <w:col w:w="4506"/>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708"/>
        <w:gridCol w:w="857"/>
        <w:gridCol w:w="514"/>
        <w:gridCol w:w="1234"/>
        <w:gridCol w:w="511"/>
        <w:gridCol w:w="1325"/>
        <w:gridCol w:w="1323"/>
        <w:gridCol w:w="514"/>
        <w:gridCol w:w="1231"/>
        <w:gridCol w:w="514"/>
        <w:gridCol w:w="2048"/>
      </w:tblGrid>
      <w:tr>
        <w:trPr>
          <w:trHeight w:val="269"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6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708" w:type="dxa"/>
            <w:vMerge/>
            <w:tcBorders>
              <w:left w:val="single" w:sz="4" w:space="0" w:color="000000"/>
              <w:right w:val="single" w:sz="4" w:space="0" w:color="000000"/>
            </w:tcBorders>
          </w:tcPr>
          <w:p>
            <w:pP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4" w:lineRule="exact"/>
              <w:ind w:left="475" w:right="479"/>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4" w:lineRule="exact"/>
              <w:ind w:left="837" w:right="838"/>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1" w:hRule="exact"/>
        </w:trPr>
        <w:tc>
          <w:tcPr>
            <w:tcW w:w="708" w:type="dxa"/>
            <w:vMerge/>
            <w:tcBorders>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5" w:right="71"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9"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12" w:right="71"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25" w:type="dxa"/>
            <w:vMerge/>
            <w:tcBorders>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5" w:right="71"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2"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15" w:right="71"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2048" w:type="dxa"/>
            <w:vMerge/>
            <w:tcBorders>
              <w:left w:val="single" w:sz="4" w:space="0" w:color="000000"/>
              <w:bottom w:val="single" w:sz="4" w:space="0" w:color="000000"/>
              <w:right w:val="single" w:sz="4" w:space="0" w:color="000000"/>
            </w:tcBorders>
          </w:tcPr>
          <w:p>
            <w:pPr/>
          </w:p>
        </w:tc>
      </w:tr>
      <w:tr>
        <w:trPr>
          <w:trHeight w:val="164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w:t>
            </w:r>
          </w:p>
          <w:p>
            <w:pPr>
              <w:pStyle w:val="TableParagraph"/>
              <w:spacing w:line="237" w:lineRule="auto"/>
              <w:ind w:left="26" w:right="130"/>
              <w:jc w:val="both"/>
              <w:rPr>
                <w:rFonts w:ascii="宋体" w:hAnsi="宋体" w:cs="宋体" w:eastAsia="宋体" w:hint="default"/>
                <w:sz w:val="18"/>
                <w:szCs w:val="18"/>
              </w:rPr>
            </w:pPr>
            <w:r>
              <w:rPr>
                <w:rFonts w:ascii="宋体" w:hAnsi="宋体" w:cs="宋体" w:eastAsia="宋体" w:hint="default"/>
                <w:sz w:val="18"/>
                <w:szCs w:val="18"/>
              </w:rPr>
              <w:t>额重大 并单独 计提坏 账准备 的应收 账款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5" w:right="0"/>
              <w:jc w:val="center"/>
              <w:rPr>
                <w:rFonts w:ascii="宋体" w:hAnsi="宋体" w:cs="宋体" w:eastAsia="宋体" w:hint="default"/>
                <w:sz w:val="18"/>
                <w:szCs w:val="18"/>
              </w:rPr>
            </w:pPr>
            <w:r>
              <w:rPr>
                <w:rFonts w:ascii="宋体"/>
                <w:sz w:val="18"/>
              </w:rPr>
              <w:t>137,268,</w:t>
            </w:r>
          </w:p>
          <w:p>
            <w:pPr>
              <w:pStyle w:val="TableParagraph"/>
              <w:spacing w:line="234" w:lineRule="exact"/>
              <w:ind w:left="255" w:right="0"/>
              <w:jc w:val="center"/>
              <w:rPr>
                <w:rFonts w:ascii="宋体" w:hAnsi="宋体" w:cs="宋体" w:eastAsia="宋体" w:hint="default"/>
                <w:sz w:val="18"/>
                <w:szCs w:val="18"/>
              </w:rPr>
            </w:pPr>
            <w:r>
              <w:rPr>
                <w:rFonts w:ascii="宋体"/>
                <w:sz w:val="18"/>
              </w:rPr>
              <w:t>245.73</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27.91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3,510,417.28</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2.56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133,757,828.45</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312,086,605.64</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42.81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7,900,571.80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sz w:val="18"/>
              </w:rPr>
              <w:t>2.53</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304,186,033.84</w:t>
            </w:r>
          </w:p>
        </w:tc>
      </w:tr>
      <w:tr>
        <w:trPr>
          <w:trHeight w:val="164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按信用</w:t>
            </w:r>
          </w:p>
          <w:p>
            <w:pPr>
              <w:pStyle w:val="TableParagraph"/>
              <w:spacing w:line="237" w:lineRule="auto"/>
              <w:ind w:left="26" w:right="130"/>
              <w:jc w:val="both"/>
              <w:rPr>
                <w:rFonts w:ascii="宋体" w:hAnsi="宋体" w:cs="宋体" w:eastAsia="宋体" w:hint="default"/>
                <w:sz w:val="18"/>
                <w:szCs w:val="18"/>
              </w:rPr>
            </w:pPr>
            <w:r>
              <w:rPr>
                <w:rFonts w:ascii="宋体" w:hAnsi="宋体" w:cs="宋体" w:eastAsia="宋体" w:hint="default"/>
                <w:sz w:val="18"/>
                <w:szCs w:val="18"/>
              </w:rPr>
              <w:t>风险特 征组合 计提坏 账准备 的应收 账款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5" w:right="0"/>
              <w:jc w:val="center"/>
              <w:rPr>
                <w:rFonts w:ascii="宋体" w:hAnsi="宋体" w:cs="宋体" w:eastAsia="宋体" w:hint="default"/>
                <w:sz w:val="18"/>
                <w:szCs w:val="18"/>
              </w:rPr>
            </w:pPr>
            <w:r>
              <w:rPr>
                <w:rFonts w:ascii="宋体"/>
                <w:sz w:val="18"/>
              </w:rPr>
              <w:t>178,001,</w:t>
            </w:r>
          </w:p>
          <w:p>
            <w:pPr>
              <w:pStyle w:val="TableParagraph"/>
              <w:spacing w:line="234" w:lineRule="exact"/>
              <w:ind w:left="255" w:right="0"/>
              <w:jc w:val="center"/>
              <w:rPr>
                <w:rFonts w:ascii="宋体" w:hAnsi="宋体" w:cs="宋体" w:eastAsia="宋体" w:hint="default"/>
                <w:sz w:val="18"/>
                <w:szCs w:val="18"/>
              </w:rPr>
            </w:pPr>
            <w:r>
              <w:rPr>
                <w:rFonts w:ascii="宋体"/>
                <w:sz w:val="18"/>
              </w:rPr>
              <w:t>383.58</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36.20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31,936,098.16</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17.94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146,065,285.42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227,696,161.44</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31.24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32,448,728.97</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14.25</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195,247,432.47</w:t>
            </w:r>
          </w:p>
        </w:tc>
      </w:tr>
      <w:tr>
        <w:trPr>
          <w:trHeight w:val="164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w:t>
            </w:r>
          </w:p>
          <w:p>
            <w:pPr>
              <w:pStyle w:val="TableParagraph"/>
              <w:spacing w:line="237" w:lineRule="auto"/>
              <w:ind w:left="26" w:right="130"/>
              <w:jc w:val="both"/>
              <w:rPr>
                <w:rFonts w:ascii="宋体" w:hAnsi="宋体" w:cs="宋体" w:eastAsia="宋体" w:hint="default"/>
                <w:sz w:val="18"/>
                <w:szCs w:val="18"/>
              </w:rPr>
            </w:pPr>
            <w:r>
              <w:rPr>
                <w:rFonts w:ascii="宋体" w:hAnsi="宋体" w:cs="宋体" w:eastAsia="宋体" w:hint="default"/>
                <w:sz w:val="18"/>
                <w:szCs w:val="18"/>
              </w:rPr>
              <w:t>额不重 大但单 独计提 坏账准 备的应 收账款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5" w:right="0"/>
              <w:jc w:val="center"/>
              <w:rPr>
                <w:rFonts w:ascii="宋体" w:hAnsi="宋体" w:cs="宋体" w:eastAsia="宋体" w:hint="default"/>
                <w:sz w:val="18"/>
                <w:szCs w:val="18"/>
              </w:rPr>
            </w:pPr>
            <w:r>
              <w:rPr>
                <w:rFonts w:ascii="宋体"/>
                <w:sz w:val="18"/>
              </w:rPr>
              <w:t>176,488,</w:t>
            </w:r>
          </w:p>
          <w:p>
            <w:pPr>
              <w:pStyle w:val="TableParagraph"/>
              <w:spacing w:line="234" w:lineRule="exact"/>
              <w:ind w:left="255" w:right="0"/>
              <w:jc w:val="center"/>
              <w:rPr>
                <w:rFonts w:ascii="宋体" w:hAnsi="宋体" w:cs="宋体" w:eastAsia="宋体" w:hint="default"/>
                <w:sz w:val="18"/>
                <w:szCs w:val="18"/>
              </w:rPr>
            </w:pPr>
            <w:r>
              <w:rPr>
                <w:rFonts w:ascii="宋体"/>
                <w:sz w:val="18"/>
              </w:rPr>
              <w:t>253.07</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35.89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3,907,055.44</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2.21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172,581,197.63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189,177,822.02</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25.95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4,341,813.79</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sz w:val="18"/>
              </w:rPr>
              <w:t>2.30</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184,836,008.23</w:t>
            </w:r>
          </w:p>
        </w:tc>
      </w:tr>
      <w:tr>
        <w:trPr>
          <w:trHeight w:val="47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5" w:right="0"/>
              <w:jc w:val="center"/>
              <w:rPr>
                <w:rFonts w:ascii="宋体" w:hAnsi="宋体" w:cs="宋体" w:eastAsia="宋体" w:hint="default"/>
                <w:sz w:val="18"/>
                <w:szCs w:val="18"/>
              </w:rPr>
            </w:pPr>
            <w:r>
              <w:rPr>
                <w:rFonts w:ascii="宋体"/>
                <w:sz w:val="18"/>
              </w:rPr>
              <w:t>491,757,</w:t>
            </w:r>
          </w:p>
          <w:p>
            <w:pPr>
              <w:pStyle w:val="TableParagraph"/>
              <w:spacing w:line="234" w:lineRule="exact"/>
              <w:ind w:left="255" w:right="0"/>
              <w:jc w:val="center"/>
              <w:rPr>
                <w:rFonts w:ascii="宋体" w:hAnsi="宋体" w:cs="宋体" w:eastAsia="宋体" w:hint="default"/>
                <w:sz w:val="18"/>
                <w:szCs w:val="18"/>
              </w:rPr>
            </w:pPr>
            <w:r>
              <w:rPr>
                <w:rFonts w:ascii="宋体"/>
                <w:sz w:val="18"/>
              </w:rPr>
              <w:t>882.38</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39,353,570.88</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452,404,311.50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728,960,589.10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44,691,114.56</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684,269,474.54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280" w:bottom="1380" w:left="540" w:right="340"/>
        </w:sectPr>
      </w:pPr>
    </w:p>
    <w:p>
      <w:pPr>
        <w:pStyle w:val="BodyText"/>
        <w:spacing w:line="240" w:lineRule="auto" w:before="36"/>
        <w:ind w:left="1258" w:right="0"/>
        <w:jc w:val="left"/>
      </w:pPr>
      <w:r>
        <w:rPr>
          <w:spacing w:val="-2"/>
        </w:rPr>
        <w:t>期末单项金额重大并单项计提坏账准备的应收账款：</w:t>
      </w:r>
    </w:p>
    <w:p>
      <w:pPr>
        <w:pStyle w:val="BodyText"/>
        <w:spacing w:line="240" w:lineRule="auto" w:before="56"/>
        <w:ind w:left="125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before="0"/>
        <w:ind w:left="1258" w:right="0"/>
        <w:jc w:val="left"/>
      </w:pPr>
      <w:r>
        <w:rPr>
          <w:spacing w:val="-1"/>
        </w:rPr>
        <w:t>单位：元</w:t>
        <w:tab/>
      </w:r>
      <w:r>
        <w:rPr>
          <w:spacing w:val="-2"/>
        </w:rPr>
        <w:t>币种：人民币</w:t>
      </w:r>
    </w:p>
    <w:p>
      <w:pPr>
        <w:spacing w:after="0" w:line="240" w:lineRule="auto"/>
        <w:jc w:val="left"/>
        <w:sectPr>
          <w:type w:val="continuous"/>
          <w:pgSz w:w="11910" w:h="16840"/>
          <w:pgMar w:top="1280" w:bottom="1380" w:left="540" w:right="340"/>
          <w:cols w:num="2" w:equalWidth="0">
            <w:col w:w="6093" w:space="431"/>
            <w:col w:w="4506"/>
          </w:cols>
        </w:sectPr>
      </w:pPr>
    </w:p>
    <w:p>
      <w:pPr>
        <w:spacing w:line="240" w:lineRule="auto" w:before="4"/>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2648"/>
        <w:gridCol w:w="1685"/>
        <w:gridCol w:w="1623"/>
        <w:gridCol w:w="1623"/>
        <w:gridCol w:w="1474"/>
      </w:tblGrid>
      <w:tr>
        <w:trPr>
          <w:trHeight w:val="283" w:hRule="exact"/>
        </w:trPr>
        <w:tc>
          <w:tcPr>
            <w:tcW w:w="2648" w:type="dxa"/>
            <w:vMerge w:val="restart"/>
            <w:tcBorders>
              <w:top w:val="single" w:sz="4" w:space="0" w:color="000000"/>
              <w:left w:val="single" w:sz="4" w:space="0" w:color="000000"/>
              <w:right w:val="single" w:sz="4" w:space="0" w:color="000000"/>
            </w:tcBorders>
          </w:tcPr>
          <w:p>
            <w:pPr>
              <w:pStyle w:val="TableParagraph"/>
              <w:spacing w:line="240" w:lineRule="auto" w:before="107"/>
              <w:ind w:left="371"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4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48"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7"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东营经济技术开发区城市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管理局</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52,763,090.42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1,055,261.81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281"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东营市城市管理局</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41,341,422.95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900,672.96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554"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张石高速公路筹建处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23,040,262.00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1,152,013.10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年以上政府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欠款</w:t>
            </w:r>
          </w:p>
        </w:tc>
      </w:tr>
      <w:tr>
        <w:trPr>
          <w:trHeight w:val="828"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国家高速新林北至扎兰屯</w:t>
            </w:r>
          </w:p>
          <w:p>
            <w:pPr>
              <w:pStyle w:val="TableParagraph"/>
              <w:spacing w:line="272" w:lineRule="exact" w:before="26"/>
              <w:ind w:left="103" w:right="219"/>
              <w:jc w:val="left"/>
              <w:rPr>
                <w:rFonts w:ascii="宋体" w:hAnsi="宋体" w:cs="宋体" w:eastAsia="宋体" w:hint="default"/>
                <w:sz w:val="21"/>
                <w:szCs w:val="21"/>
              </w:rPr>
            </w:pPr>
            <w:r>
              <w:rPr>
                <w:rFonts w:ascii="宋体" w:hAnsi="宋体" w:cs="宋体" w:eastAsia="宋体" w:hint="default"/>
                <w:spacing w:val="-2"/>
                <w:sz w:val="21"/>
                <w:szCs w:val="21"/>
              </w:rPr>
              <w:t>段公路工程项目建设管理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办公室</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20,123,470.36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402,469.41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137,268,245.73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3,510,417.28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280" w:bottom="1380" w:left="54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6" w:footer="1193" w:top="1280" w:bottom="1380" w:left="840" w:right="1040"/>
        </w:sectPr>
      </w:pPr>
    </w:p>
    <w:p>
      <w:pPr>
        <w:pStyle w:val="BodyText"/>
        <w:spacing w:line="240" w:lineRule="auto" w:before="36"/>
        <w:ind w:left="958" w:right="0"/>
        <w:jc w:val="left"/>
      </w:pPr>
      <w:r>
        <w:rPr>
          <w:spacing w:val="-2"/>
        </w:rPr>
        <w:t>组合中，按账龄分析法计提坏账准备的应收账款：</w:t>
      </w:r>
    </w:p>
    <w:p>
      <w:pPr>
        <w:pStyle w:val="BodyText"/>
        <w:spacing w:line="240" w:lineRule="auto" w:before="58"/>
        <w:ind w:left="9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9" w:val="left" w:leader="none"/>
        </w:tabs>
        <w:spacing w:line="240" w:lineRule="auto" w:before="0"/>
        <w:ind w:left="958" w:right="0"/>
        <w:jc w:val="left"/>
      </w:pPr>
      <w:r>
        <w:rPr>
          <w:spacing w:val="-1"/>
        </w:rPr>
        <w:t>单位：元</w:t>
        <w:tab/>
      </w:r>
      <w:r>
        <w:rPr>
          <w:spacing w:val="-2"/>
        </w:rPr>
        <w:t>币种：人民币</w:t>
      </w:r>
    </w:p>
    <w:p>
      <w:pPr>
        <w:spacing w:after="0" w:line="240" w:lineRule="auto"/>
        <w:jc w:val="left"/>
        <w:sectPr>
          <w:type w:val="continuous"/>
          <w:pgSz w:w="11910" w:h="16840"/>
          <w:pgMar w:top="1280" w:bottom="1380" w:left="840" w:right="1040"/>
          <w:cols w:num="2" w:equalWidth="0">
            <w:col w:w="5584" w:space="940"/>
            <w:col w:w="3506"/>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2677"/>
        <w:gridCol w:w="2165"/>
        <w:gridCol w:w="2114"/>
        <w:gridCol w:w="2096"/>
      </w:tblGrid>
      <w:tr>
        <w:trPr>
          <w:trHeight w:val="307" w:hRule="exact"/>
        </w:trPr>
        <w:tc>
          <w:tcPr>
            <w:tcW w:w="2677" w:type="dxa"/>
            <w:vMerge w:val="restart"/>
            <w:tcBorders>
              <w:top w:val="single" w:sz="4" w:space="0" w:color="000000"/>
              <w:left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7"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30,510,285.08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1,525,514.25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95,057,004.71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9,505,700.47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20,929,137.96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4,185,827.59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w:t>
            </w: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24,643,166.64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9,857,266.66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40.00</w:t>
            </w:r>
          </w:p>
        </w:tc>
      </w:tr>
      <w:tr>
        <w:trPr>
          <w:trHeight w:val="284"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6,861,789.19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6,861,789.19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100.00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178,001,383.58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31,936,098.16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17.94</w:t>
            </w:r>
          </w:p>
        </w:tc>
      </w:tr>
    </w:tbl>
    <w:p>
      <w:pPr>
        <w:pStyle w:val="BodyText"/>
        <w:spacing w:line="355" w:lineRule="auto" w:before="26"/>
        <w:ind w:left="1378" w:right="0" w:hanging="420"/>
        <w:jc w:val="left"/>
      </w:pPr>
      <w:r>
        <w:rPr/>
        <w:t>确定该组合依据的说明：</w:t>
      </w:r>
      <w:r>
        <w:rPr>
          <w:w w:val="100"/>
        </w:rPr>
        <w:t> </w:t>
      </w:r>
      <w:r>
        <w:rPr>
          <w:spacing w:val="-2"/>
        </w:rPr>
        <w:t>除单独计提减值准备的应收账款外，公司根据以前年度与之相同或相类似的、按账龄段划分</w:t>
      </w:r>
    </w:p>
    <w:p>
      <w:pPr>
        <w:pStyle w:val="BodyText"/>
        <w:spacing w:line="259" w:lineRule="exact" w:before="0"/>
        <w:ind w:left="958" w:right="0"/>
        <w:jc w:val="left"/>
      </w:pPr>
      <w:r>
        <w:rPr/>
        <w:t>的具有类似信用风险特征的应收账款组合的实际损失率为基础，结合实际情况分析确定坏账准备</w:t>
      </w:r>
    </w:p>
    <w:p>
      <w:pPr>
        <w:pStyle w:val="BodyText"/>
        <w:spacing w:line="240" w:lineRule="auto" w:before="85"/>
        <w:ind w:left="958" w:right="0"/>
        <w:jc w:val="left"/>
      </w:pPr>
      <w:r>
        <w:rPr/>
        <w:t>计提的比例。</w:t>
      </w:r>
    </w:p>
    <w:p>
      <w:pPr>
        <w:spacing w:line="240" w:lineRule="auto" w:before="2"/>
        <w:rPr>
          <w:rFonts w:ascii="宋体" w:hAnsi="宋体" w:cs="宋体" w:eastAsia="宋体" w:hint="default"/>
          <w:sz w:val="26"/>
          <w:szCs w:val="26"/>
        </w:rPr>
      </w:pPr>
    </w:p>
    <w:p>
      <w:pPr>
        <w:pStyle w:val="Heading2"/>
        <w:tabs>
          <w:tab w:pos="1797" w:val="left" w:leader="none"/>
        </w:tabs>
        <w:spacing w:line="240" w:lineRule="auto" w:before="0"/>
        <w:ind w:left="1099" w:right="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6"/>
        <w:ind w:left="958" w:right="0"/>
        <w:jc w:val="left"/>
      </w:pPr>
      <w:r>
        <w:rPr/>
        <w:t>本期计提坏账准备金额</w:t>
      </w:r>
      <w:r>
        <w:rPr>
          <w:spacing w:val="-52"/>
        </w:rPr>
        <w:t> </w:t>
      </w:r>
      <w:r>
        <w:rPr>
          <w:rFonts w:ascii="宋体" w:hAnsi="宋体" w:cs="宋体" w:eastAsia="宋体" w:hint="default"/>
        </w:rPr>
        <w:t>0</w:t>
      </w:r>
      <w:r>
        <w:rPr>
          <w:rFonts w:ascii="宋体" w:hAnsi="宋体" w:cs="宋体" w:eastAsia="宋体" w:hint="default"/>
          <w:spacing w:val="-55"/>
        </w:rPr>
        <w:t> </w:t>
      </w:r>
      <w:r>
        <w:rPr/>
        <w:t>元；本期收回或转回坏账准备金额</w:t>
      </w:r>
      <w:r>
        <w:rPr>
          <w:spacing w:val="-53"/>
        </w:rPr>
        <w:t> </w:t>
      </w:r>
      <w:r>
        <w:rPr>
          <w:rFonts w:ascii="宋体" w:hAnsi="宋体" w:cs="宋体" w:eastAsia="宋体" w:hint="default"/>
        </w:rPr>
        <w:t>5,337,543.68</w:t>
      </w:r>
      <w:r>
        <w:rPr>
          <w:rFonts w:ascii="宋体" w:hAnsi="宋体" w:cs="宋体" w:eastAsia="宋体" w:hint="default"/>
          <w:spacing w:val="-55"/>
        </w:rPr>
        <w:t> </w:t>
      </w:r>
      <w:r>
        <w:rPr>
          <w:spacing w:val="-3"/>
        </w:rPr>
        <w:t>元。</w:t>
      </w:r>
      <w:r>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tabs>
          <w:tab w:pos="1797" w:val="left" w:leader="none"/>
        </w:tabs>
        <w:spacing w:line="240" w:lineRule="auto" w:before="0"/>
        <w:ind w:left="1099" w:right="0"/>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40" w:lineRule="auto" w:before="56"/>
        <w:ind w:left="958" w:right="4811"/>
        <w:jc w:val="left"/>
      </w:pPr>
      <w:r>
        <w:rPr/>
        <w:t>□适用</w:t>
      </w:r>
      <w:r>
        <w:rPr>
          <w:spacing w:val="-2"/>
        </w:rPr>
        <w:t> </w:t>
      </w:r>
      <w:r>
        <w:rPr/>
        <w:t>√不适用</w:t>
      </w:r>
      <w:r>
        <w:rPr>
          <w:w w:val="100"/>
        </w:rPr>
        <w:t> </w:t>
      </w:r>
      <w:r>
        <w:rPr>
          <w:spacing w:val="-2"/>
        </w:rPr>
        <w:t>其中重要的应收账款核销情况</w:t>
      </w:r>
    </w:p>
    <w:p>
      <w:pPr>
        <w:pStyle w:val="BodyText"/>
        <w:spacing w:line="271" w:lineRule="exact" w:before="0"/>
        <w:ind w:left="9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797" w:val="left" w:leader="none"/>
        </w:tabs>
        <w:spacing w:line="240" w:lineRule="auto" w:before="0"/>
        <w:ind w:left="1099" w:right="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spacing w:line="314" w:lineRule="auto" w:before="135"/>
        <w:ind w:left="852" w:right="237" w:firstLine="419"/>
        <w:jc w:val="left"/>
      </w:pPr>
      <w:r>
        <w:rPr/>
        <w:t>本报告期按欠款方归集的期末余额前五名应收账款汇总金额</w:t>
      </w:r>
      <w:r>
        <w:rPr>
          <w:spacing w:val="-55"/>
        </w:rPr>
        <w:t> </w:t>
      </w:r>
      <w:r>
        <w:rPr>
          <w:rFonts w:ascii="宋体" w:hAnsi="宋体" w:cs="宋体" w:eastAsia="宋体" w:hint="default"/>
        </w:rPr>
        <w:t>201,272,633.12</w:t>
      </w:r>
      <w:r>
        <w:rPr>
          <w:rFonts w:ascii="宋体" w:hAnsi="宋体" w:cs="宋体" w:eastAsia="宋体" w:hint="default"/>
          <w:spacing w:val="-57"/>
        </w:rPr>
        <w:t> </w:t>
      </w:r>
      <w:r>
        <w:rPr/>
        <w:t>元，占应收账款</w:t>
      </w:r>
      <w:r>
        <w:rPr>
          <w:w w:val="100"/>
        </w:rPr>
        <w:t> </w:t>
      </w:r>
      <w:r>
        <w:rPr/>
        <w:t>期末余额合计数的比例 </w:t>
      </w:r>
      <w:r>
        <w:rPr>
          <w:rFonts w:ascii="宋体" w:hAnsi="宋体" w:cs="宋体" w:eastAsia="宋体" w:hint="default"/>
        </w:rPr>
        <w:t>40.93%</w:t>
      </w:r>
      <w:r>
        <w:rPr/>
        <w:t>，相应计提的坏账准备期末余额汇总金额 </w:t>
      </w:r>
      <w:r>
        <w:rPr>
          <w:rFonts w:ascii="宋体" w:hAnsi="宋体" w:cs="宋体" w:eastAsia="宋体" w:hint="default"/>
        </w:rPr>
        <w:t>9,676,558.95</w:t>
      </w:r>
      <w:r>
        <w:rPr>
          <w:rFonts w:ascii="宋体" w:hAnsi="宋体" w:cs="宋体" w:eastAsia="宋体" w:hint="default"/>
          <w:spacing w:val="-61"/>
        </w:rPr>
        <w:t> </w:t>
      </w:r>
      <w:r>
        <w:rPr/>
        <w:t>元。</w:t>
      </w:r>
    </w:p>
    <w:p>
      <w:pPr>
        <w:pStyle w:val="Heading2"/>
        <w:tabs>
          <w:tab w:pos="1797" w:val="left" w:leader="none"/>
        </w:tabs>
        <w:spacing w:line="240" w:lineRule="auto" w:before="3"/>
        <w:ind w:left="1099" w:right="0"/>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spacing w:line="240" w:lineRule="auto" w:before="57"/>
        <w:ind w:left="852" w:right="0"/>
        <w:jc w:val="left"/>
      </w:pPr>
      <w:r>
        <w:rPr>
          <w:w w:val="100"/>
        </w:rPr>
        <w:t>无</w:t>
      </w:r>
    </w:p>
    <w:p>
      <w:pPr>
        <w:spacing w:line="240" w:lineRule="auto" w:before="1"/>
        <w:rPr>
          <w:rFonts w:ascii="宋体" w:hAnsi="宋体" w:cs="宋体" w:eastAsia="宋体" w:hint="default"/>
          <w:sz w:val="20"/>
          <w:szCs w:val="20"/>
        </w:rPr>
      </w:pPr>
    </w:p>
    <w:p>
      <w:pPr>
        <w:pStyle w:val="Heading2"/>
        <w:tabs>
          <w:tab w:pos="1797" w:val="left" w:leader="none"/>
        </w:tabs>
        <w:spacing w:line="240" w:lineRule="auto"/>
        <w:ind w:left="1099" w:right="0"/>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spacing w:line="240" w:lineRule="auto" w:before="58"/>
        <w:ind w:left="852" w:right="0"/>
        <w:jc w:val="left"/>
      </w:pPr>
      <w:r>
        <w:rPr>
          <w:w w:val="100"/>
        </w:rPr>
        <w:t>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280" w:bottom="1380" w:left="840" w:right="1040"/>
        </w:sectPr>
      </w:pPr>
    </w:p>
    <w:p>
      <w:pPr>
        <w:pStyle w:val="Heading2"/>
        <w:spacing w:line="240" w:lineRule="auto"/>
        <w:ind w:left="958" w:right="-19"/>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2"/>
        <w:spacing w:line="240" w:lineRule="auto" w:before="58"/>
        <w:ind w:left="95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009" w:val="left" w:leader="none"/>
        </w:tabs>
        <w:spacing w:line="240" w:lineRule="auto" w:before="177"/>
        <w:ind w:left="958" w:right="0"/>
        <w:jc w:val="left"/>
      </w:pPr>
      <w:r>
        <w:rPr>
          <w:spacing w:val="-1"/>
        </w:rPr>
        <w:t>单位：元</w:t>
        <w:tab/>
      </w:r>
      <w:r>
        <w:rPr>
          <w:spacing w:val="-2"/>
        </w:rPr>
        <w:t>币种：人民币</w:t>
      </w:r>
    </w:p>
    <w:p>
      <w:pPr>
        <w:spacing w:after="0" w:line="240" w:lineRule="auto"/>
        <w:jc w:val="left"/>
        <w:sectPr>
          <w:type w:val="continuous"/>
          <w:pgSz w:w="11910" w:h="16840"/>
          <w:pgMar w:top="1280" w:bottom="1380" w:left="840" w:right="1040"/>
          <w:cols w:num="2" w:equalWidth="0">
            <w:col w:w="3597" w:space="2927"/>
            <w:col w:w="350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711"/>
        <w:gridCol w:w="869"/>
        <w:gridCol w:w="468"/>
        <w:gridCol w:w="1112"/>
        <w:gridCol w:w="463"/>
        <w:gridCol w:w="1354"/>
        <w:gridCol w:w="1352"/>
        <w:gridCol w:w="463"/>
        <w:gridCol w:w="1111"/>
        <w:gridCol w:w="466"/>
        <w:gridCol w:w="1351"/>
      </w:tblGrid>
      <w:tr>
        <w:trPr>
          <w:trHeight w:val="293" w:hRule="exact"/>
        </w:trPr>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2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7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711" w:type="dxa"/>
            <w:vMerge/>
            <w:tcBorders>
              <w:left w:val="single" w:sz="4" w:space="0" w:color="000000"/>
              <w:right w:val="single" w:sz="4" w:space="0" w:color="000000"/>
            </w:tcBorders>
          </w:tcPr>
          <w:p>
            <w:pP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492" w:right="491"/>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489" w:right="491"/>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1" w:hRule="exact"/>
        </w:trPr>
        <w:tc>
          <w:tcPr>
            <w:tcW w:w="711" w:type="dxa"/>
            <w:vMerge/>
            <w:tcBorders>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91" w:right="48"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7"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4"/>
              <w:ind w:left="91" w:right="43"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54" w:type="dxa"/>
            <w:vMerge/>
            <w:tcBorders>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91" w:right="43"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4"/>
              <w:ind w:left="89" w:right="48"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51"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280" w:bottom="1380" w:left="840" w:right="1040"/>
        </w:sectPr>
      </w:pPr>
    </w:p>
    <w:p>
      <w:pPr>
        <w:spacing w:line="240" w:lineRule="auto" w:before="13"/>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711"/>
        <w:gridCol w:w="869"/>
        <w:gridCol w:w="468"/>
        <w:gridCol w:w="1112"/>
        <w:gridCol w:w="463"/>
        <w:gridCol w:w="1354"/>
        <w:gridCol w:w="1352"/>
        <w:gridCol w:w="463"/>
        <w:gridCol w:w="1111"/>
        <w:gridCol w:w="466"/>
        <w:gridCol w:w="1351"/>
      </w:tblGrid>
      <w:tr>
        <w:trPr>
          <w:trHeight w:val="164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w:t>
            </w:r>
          </w:p>
          <w:p>
            <w:pPr>
              <w:pStyle w:val="TableParagraph"/>
              <w:spacing w:line="237" w:lineRule="auto"/>
              <w:ind w:left="26" w:right="132"/>
              <w:jc w:val="both"/>
              <w:rPr>
                <w:rFonts w:ascii="宋体" w:hAnsi="宋体" w:cs="宋体" w:eastAsia="宋体" w:hint="default"/>
                <w:sz w:val="18"/>
                <w:szCs w:val="18"/>
              </w:rPr>
            </w:pPr>
            <w:r>
              <w:rPr>
                <w:rFonts w:ascii="宋体" w:hAnsi="宋体" w:cs="宋体" w:eastAsia="宋体" w:hint="default"/>
                <w:sz w:val="18"/>
                <w:szCs w:val="18"/>
              </w:rPr>
              <w:t>额重大 并单独 计提坏 账准备 的其他 应收款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2" w:right="0"/>
              <w:jc w:val="left"/>
              <w:rPr>
                <w:rFonts w:ascii="宋体" w:hAnsi="宋体" w:cs="宋体" w:eastAsia="宋体" w:hint="default"/>
                <w:sz w:val="18"/>
                <w:szCs w:val="18"/>
              </w:rPr>
            </w:pPr>
            <w:r>
              <w:rPr>
                <w:rFonts w:ascii="宋体"/>
                <w:sz w:val="18"/>
              </w:rPr>
              <w:t>1,476,69</w:t>
            </w:r>
          </w:p>
          <w:p>
            <w:pPr>
              <w:pStyle w:val="TableParagraph"/>
              <w:spacing w:line="234" w:lineRule="exact"/>
              <w:ind w:left="112" w:right="0"/>
              <w:jc w:val="left"/>
              <w:rPr>
                <w:rFonts w:ascii="宋体" w:hAnsi="宋体" w:cs="宋体" w:eastAsia="宋体" w:hint="default"/>
                <w:sz w:val="18"/>
                <w:szCs w:val="18"/>
              </w:rPr>
            </w:pPr>
            <w:r>
              <w:rPr>
                <w:rFonts w:ascii="宋体"/>
                <w:sz w:val="18"/>
              </w:rPr>
              <w:t>0,394.59</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
              <w:jc w:val="right"/>
              <w:rPr>
                <w:rFonts w:ascii="宋体" w:hAnsi="宋体" w:cs="宋体" w:eastAsia="宋体" w:hint="default"/>
                <w:sz w:val="18"/>
                <w:szCs w:val="18"/>
              </w:rPr>
            </w:pPr>
            <w:r>
              <w:rPr>
                <w:rFonts w:ascii="宋体"/>
                <w:sz w:val="18"/>
              </w:rPr>
              <w:t>97.6</w:t>
            </w:r>
          </w:p>
          <w:p>
            <w:pPr>
              <w:pStyle w:val="TableParagraph"/>
              <w:spacing w:line="234" w:lineRule="exact"/>
              <w:ind w:right="29"/>
              <w:jc w:val="right"/>
              <w:rPr>
                <w:rFonts w:ascii="宋体" w:hAnsi="宋体" w:cs="宋体" w:eastAsia="宋体" w:hint="default"/>
                <w:sz w:val="18"/>
                <w:szCs w:val="18"/>
              </w:rPr>
            </w:pPr>
            <w:r>
              <w:rPr>
                <w:rFonts w:ascii="宋体"/>
                <w:sz w:val="18"/>
              </w:rPr>
              <w:t>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pacing w:val="-1"/>
                <w:sz w:val="18"/>
              </w:rPr>
              <w:t>5,763,480.9</w:t>
            </w:r>
          </w:p>
          <w:p>
            <w:pPr>
              <w:pStyle w:val="TableParagraph"/>
              <w:spacing w:line="234" w:lineRule="exact"/>
              <w:ind w:right="25"/>
              <w:jc w:val="right"/>
              <w:rPr>
                <w:rFonts w:ascii="宋体" w:hAnsi="宋体" w:cs="宋体" w:eastAsia="宋体" w:hint="default"/>
                <w:sz w:val="18"/>
                <w:szCs w:val="18"/>
              </w:rPr>
            </w:pPr>
            <w:r>
              <w:rPr>
                <w:rFonts w:ascii="宋体"/>
                <w:sz w:val="18"/>
              </w:rPr>
              <w:t>2</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 w:right="0"/>
              <w:jc w:val="center"/>
              <w:rPr>
                <w:rFonts w:ascii="宋体" w:hAnsi="宋体" w:cs="宋体" w:eastAsia="宋体" w:hint="default"/>
                <w:sz w:val="18"/>
                <w:szCs w:val="18"/>
              </w:rPr>
            </w:pPr>
            <w:r>
              <w:rPr>
                <w:rFonts w:ascii="宋体"/>
                <w:sz w:val="18"/>
              </w:rPr>
              <w:t>0.39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pacing w:val="-1"/>
                <w:sz w:val="18"/>
              </w:rPr>
              <w:t>1,470,926,913.</w:t>
            </w:r>
          </w:p>
          <w:p>
            <w:pPr>
              <w:pStyle w:val="TableParagraph"/>
              <w:spacing w:line="234" w:lineRule="exact"/>
              <w:ind w:right="23"/>
              <w:jc w:val="right"/>
              <w:rPr>
                <w:rFonts w:ascii="宋体" w:hAnsi="宋体" w:cs="宋体" w:eastAsia="宋体" w:hint="default"/>
                <w:sz w:val="18"/>
                <w:szCs w:val="18"/>
              </w:rPr>
            </w:pPr>
            <w:r>
              <w:rPr>
                <w:rFonts w:ascii="宋体"/>
                <w:sz w:val="18"/>
              </w:rPr>
              <w:t>67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pacing w:val="-1"/>
                <w:sz w:val="18"/>
              </w:rPr>
              <w:t>1,265,150,443.</w:t>
            </w:r>
          </w:p>
          <w:p>
            <w:pPr>
              <w:pStyle w:val="TableParagraph"/>
              <w:spacing w:line="234" w:lineRule="exact"/>
              <w:ind w:right="23"/>
              <w:jc w:val="right"/>
              <w:rPr>
                <w:rFonts w:ascii="宋体" w:hAnsi="宋体" w:cs="宋体" w:eastAsia="宋体" w:hint="default"/>
                <w:sz w:val="18"/>
                <w:szCs w:val="18"/>
              </w:rPr>
            </w:pPr>
            <w:r>
              <w:rPr>
                <w:rFonts w:ascii="宋体"/>
                <w:sz w:val="18"/>
              </w:rPr>
              <w:t>07</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94.5</w:t>
            </w:r>
          </w:p>
          <w:p>
            <w:pPr>
              <w:pStyle w:val="TableParagraph"/>
              <w:spacing w:line="234" w:lineRule="exact"/>
              <w:ind w:right="23"/>
              <w:jc w:val="right"/>
              <w:rPr>
                <w:rFonts w:ascii="宋体" w:hAnsi="宋体" w:cs="宋体" w:eastAsia="宋体" w:hint="default"/>
                <w:sz w:val="18"/>
                <w:szCs w:val="18"/>
              </w:rPr>
            </w:pPr>
            <w:r>
              <w:rPr>
                <w:rFonts w:ascii="宋体"/>
                <w:sz w:val="18"/>
              </w:rPr>
              <w:t>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pacing w:val="-1"/>
                <w:sz w:val="18"/>
              </w:rPr>
              <w:t>25,653,303.</w:t>
            </w:r>
          </w:p>
          <w:p>
            <w:pPr>
              <w:pStyle w:val="TableParagraph"/>
              <w:spacing w:line="234" w:lineRule="exact"/>
              <w:ind w:right="23"/>
              <w:jc w:val="right"/>
              <w:rPr>
                <w:rFonts w:ascii="宋体" w:hAnsi="宋体" w:cs="宋体" w:eastAsia="宋体" w:hint="default"/>
                <w:sz w:val="18"/>
                <w:szCs w:val="18"/>
              </w:rPr>
            </w:pPr>
            <w:r>
              <w:rPr>
                <w:rFonts w:ascii="宋体"/>
                <w:sz w:val="18"/>
              </w:rPr>
              <w:t>02</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9" w:right="0"/>
              <w:jc w:val="center"/>
              <w:rPr>
                <w:rFonts w:ascii="宋体" w:hAnsi="宋体" w:cs="宋体" w:eastAsia="宋体" w:hint="default"/>
                <w:sz w:val="18"/>
                <w:szCs w:val="18"/>
              </w:rPr>
            </w:pPr>
            <w:r>
              <w:rPr>
                <w:rFonts w:ascii="宋体"/>
                <w:sz w:val="18"/>
              </w:rPr>
              <w:t>2.03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pacing w:val="-1"/>
                <w:sz w:val="18"/>
              </w:rPr>
              <w:t>1,239,497,140.</w:t>
            </w:r>
          </w:p>
          <w:p>
            <w:pPr>
              <w:pStyle w:val="TableParagraph"/>
              <w:spacing w:line="234" w:lineRule="exact"/>
              <w:ind w:right="23"/>
              <w:jc w:val="right"/>
              <w:rPr>
                <w:rFonts w:ascii="宋体" w:hAnsi="宋体" w:cs="宋体" w:eastAsia="宋体" w:hint="default"/>
                <w:sz w:val="18"/>
                <w:szCs w:val="18"/>
              </w:rPr>
            </w:pPr>
            <w:r>
              <w:rPr>
                <w:rFonts w:ascii="宋体"/>
                <w:sz w:val="18"/>
              </w:rPr>
              <w:t>05</w:t>
            </w:r>
          </w:p>
        </w:tc>
      </w:tr>
      <w:tr>
        <w:trPr>
          <w:trHeight w:val="164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both"/>
              <w:rPr>
                <w:rFonts w:ascii="宋体" w:hAnsi="宋体" w:cs="宋体" w:eastAsia="宋体" w:hint="default"/>
                <w:sz w:val="18"/>
                <w:szCs w:val="18"/>
              </w:rPr>
            </w:pPr>
            <w:r>
              <w:rPr>
                <w:rFonts w:ascii="宋体" w:hAnsi="宋体" w:cs="宋体" w:eastAsia="宋体" w:hint="default"/>
                <w:sz w:val="18"/>
                <w:szCs w:val="18"/>
              </w:rPr>
              <w:t>按信用</w:t>
            </w:r>
          </w:p>
          <w:p>
            <w:pPr>
              <w:pStyle w:val="TableParagraph"/>
              <w:spacing w:line="237" w:lineRule="auto"/>
              <w:ind w:left="26" w:right="132"/>
              <w:jc w:val="both"/>
              <w:rPr>
                <w:rFonts w:ascii="宋体" w:hAnsi="宋体" w:cs="宋体" w:eastAsia="宋体" w:hint="default"/>
                <w:sz w:val="18"/>
                <w:szCs w:val="18"/>
              </w:rPr>
            </w:pPr>
            <w:r>
              <w:rPr>
                <w:rFonts w:ascii="宋体" w:hAnsi="宋体" w:cs="宋体" w:eastAsia="宋体" w:hint="default"/>
                <w:sz w:val="18"/>
                <w:szCs w:val="18"/>
              </w:rPr>
              <w:t>风险特 征组合 计提坏 账准备 的其他 应收款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28,573,9</w:t>
            </w:r>
          </w:p>
          <w:p>
            <w:pPr>
              <w:pStyle w:val="TableParagraph"/>
              <w:spacing w:line="234" w:lineRule="exact"/>
              <w:ind w:left="381" w:right="0"/>
              <w:jc w:val="left"/>
              <w:rPr>
                <w:rFonts w:ascii="宋体" w:hAnsi="宋体" w:cs="宋体" w:eastAsia="宋体" w:hint="default"/>
                <w:sz w:val="18"/>
                <w:szCs w:val="18"/>
              </w:rPr>
            </w:pPr>
            <w:r>
              <w:rPr>
                <w:rFonts w:ascii="宋体"/>
                <w:sz w:val="18"/>
              </w:rPr>
              <w:t>64.47</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 w:right="0"/>
              <w:jc w:val="center"/>
              <w:rPr>
                <w:rFonts w:ascii="宋体" w:hAnsi="宋体" w:cs="宋体" w:eastAsia="宋体" w:hint="default"/>
                <w:sz w:val="18"/>
                <w:szCs w:val="18"/>
              </w:rPr>
            </w:pPr>
            <w:r>
              <w:rPr>
                <w:rFonts w:ascii="宋体"/>
                <w:sz w:val="18"/>
              </w:rPr>
              <w:t>1.89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6,629,748.7</w:t>
            </w:r>
          </w:p>
          <w:p>
            <w:pPr>
              <w:pStyle w:val="TableParagraph"/>
              <w:spacing w:line="234" w:lineRule="exact"/>
              <w:ind w:right="25"/>
              <w:jc w:val="right"/>
              <w:rPr>
                <w:rFonts w:ascii="宋体" w:hAnsi="宋体" w:cs="宋体" w:eastAsia="宋体" w:hint="default"/>
                <w:sz w:val="18"/>
                <w:szCs w:val="18"/>
              </w:rPr>
            </w:pPr>
            <w:r>
              <w:rPr>
                <w:rFonts w:ascii="宋体"/>
                <w:sz w:val="18"/>
              </w:rPr>
              <w:t>1</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z w:val="18"/>
              </w:rPr>
              <w:t>23.2</w:t>
            </w:r>
          </w:p>
          <w:p>
            <w:pPr>
              <w:pStyle w:val="TableParagraph"/>
              <w:spacing w:line="234" w:lineRule="exact"/>
              <w:ind w:right="23"/>
              <w:jc w:val="right"/>
              <w:rPr>
                <w:rFonts w:ascii="宋体" w:hAnsi="宋体" w:cs="宋体" w:eastAsia="宋体" w:hint="default"/>
                <w:sz w:val="18"/>
                <w:szCs w:val="18"/>
              </w:rPr>
            </w:pPr>
            <w:r>
              <w:rPr>
                <w:rFonts w:ascii="宋体"/>
                <w:sz w:val="18"/>
              </w:rPr>
              <w:t>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21,944,215.76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71,370,372.85</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 w:right="0"/>
              <w:jc w:val="center"/>
              <w:rPr>
                <w:rFonts w:ascii="宋体" w:hAnsi="宋体" w:cs="宋体" w:eastAsia="宋体" w:hint="default"/>
                <w:sz w:val="18"/>
                <w:szCs w:val="18"/>
              </w:rPr>
            </w:pPr>
            <w:r>
              <w:rPr>
                <w:rFonts w:ascii="宋体"/>
                <w:sz w:val="18"/>
              </w:rPr>
              <w:t>5.33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8,162,995.1</w:t>
            </w:r>
          </w:p>
          <w:p>
            <w:pPr>
              <w:pStyle w:val="TableParagraph"/>
              <w:spacing w:line="234" w:lineRule="exact"/>
              <w:ind w:right="25"/>
              <w:jc w:val="right"/>
              <w:rPr>
                <w:rFonts w:ascii="宋体" w:hAnsi="宋体" w:cs="宋体" w:eastAsia="宋体" w:hint="default"/>
                <w:sz w:val="18"/>
                <w:szCs w:val="18"/>
              </w:rPr>
            </w:pPr>
            <w:r>
              <w:rPr>
                <w:rFonts w:ascii="宋体"/>
                <w:sz w:val="18"/>
              </w:rPr>
              <w:t>3</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5"/>
              <w:jc w:val="right"/>
              <w:rPr>
                <w:rFonts w:ascii="宋体" w:hAnsi="宋体" w:cs="宋体" w:eastAsia="宋体" w:hint="default"/>
                <w:sz w:val="18"/>
                <w:szCs w:val="18"/>
              </w:rPr>
            </w:pPr>
            <w:r>
              <w:rPr>
                <w:rFonts w:ascii="宋体"/>
                <w:sz w:val="18"/>
              </w:rPr>
              <w:t>11.4</w:t>
            </w:r>
          </w:p>
          <w:p>
            <w:pPr>
              <w:pStyle w:val="TableParagraph"/>
              <w:spacing w:line="234" w:lineRule="exact"/>
              <w:ind w:right="29"/>
              <w:jc w:val="right"/>
              <w:rPr>
                <w:rFonts w:ascii="宋体" w:hAnsi="宋体" w:cs="宋体" w:eastAsia="宋体" w:hint="default"/>
                <w:sz w:val="18"/>
                <w:szCs w:val="18"/>
              </w:rPr>
            </w:pPr>
            <w:r>
              <w:rPr>
                <w:rFonts w:ascii="宋体"/>
                <w:sz w:val="18"/>
              </w:rPr>
              <w:t>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63,207,377.72</w:t>
            </w:r>
          </w:p>
        </w:tc>
      </w:tr>
      <w:tr>
        <w:trPr>
          <w:trHeight w:val="188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w:t>
            </w:r>
          </w:p>
          <w:p>
            <w:pPr>
              <w:pStyle w:val="TableParagraph"/>
              <w:spacing w:line="237" w:lineRule="auto"/>
              <w:ind w:left="26" w:right="132"/>
              <w:jc w:val="both"/>
              <w:rPr>
                <w:rFonts w:ascii="宋体" w:hAnsi="宋体" w:cs="宋体" w:eastAsia="宋体" w:hint="default"/>
                <w:sz w:val="18"/>
                <w:szCs w:val="18"/>
              </w:rPr>
            </w:pPr>
            <w:r>
              <w:rPr>
                <w:rFonts w:ascii="宋体" w:hAnsi="宋体" w:cs="宋体" w:eastAsia="宋体" w:hint="default"/>
                <w:sz w:val="18"/>
                <w:szCs w:val="18"/>
              </w:rPr>
              <w:t>额不重 大但单 独计提 坏账准 备的其 他应收 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2" w:right="0"/>
              <w:jc w:val="left"/>
              <w:rPr>
                <w:rFonts w:ascii="宋体" w:hAnsi="宋体" w:cs="宋体" w:eastAsia="宋体" w:hint="default"/>
                <w:sz w:val="18"/>
                <w:szCs w:val="18"/>
              </w:rPr>
            </w:pPr>
            <w:r>
              <w:rPr>
                <w:rFonts w:ascii="宋体"/>
                <w:sz w:val="18"/>
              </w:rPr>
              <w:t>6,633,03</w:t>
            </w:r>
          </w:p>
          <w:p>
            <w:pPr>
              <w:pStyle w:val="TableParagraph"/>
              <w:spacing w:line="234" w:lineRule="exact"/>
              <w:ind w:left="472" w:right="0"/>
              <w:jc w:val="left"/>
              <w:rPr>
                <w:rFonts w:ascii="宋体" w:hAnsi="宋体" w:cs="宋体" w:eastAsia="宋体" w:hint="default"/>
                <w:sz w:val="18"/>
                <w:szCs w:val="18"/>
              </w:rPr>
            </w:pPr>
            <w:r>
              <w:rPr>
                <w:rFonts w:ascii="宋体"/>
                <w:sz w:val="18"/>
              </w:rPr>
              <w:t>7.90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 w:right="0"/>
              <w:jc w:val="center"/>
              <w:rPr>
                <w:rFonts w:ascii="宋体" w:hAnsi="宋体" w:cs="宋体" w:eastAsia="宋体" w:hint="default"/>
                <w:sz w:val="18"/>
                <w:szCs w:val="18"/>
              </w:rPr>
            </w:pPr>
            <w:r>
              <w:rPr>
                <w:rFonts w:ascii="宋体"/>
                <w:sz w:val="18"/>
              </w:rPr>
              <w:t>0.44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5" w:right="0"/>
              <w:jc w:val="left"/>
              <w:rPr>
                <w:rFonts w:ascii="宋体" w:hAnsi="宋体" w:cs="宋体" w:eastAsia="宋体" w:hint="default"/>
                <w:sz w:val="18"/>
                <w:szCs w:val="18"/>
              </w:rPr>
            </w:pPr>
            <w:r>
              <w:rPr>
                <w:rFonts w:ascii="宋体"/>
                <w:sz w:val="18"/>
              </w:rPr>
              <w:t>155,880.16</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 w:right="0"/>
              <w:jc w:val="center"/>
              <w:rPr>
                <w:rFonts w:ascii="宋体" w:hAnsi="宋体" w:cs="宋体" w:eastAsia="宋体" w:hint="default"/>
                <w:sz w:val="18"/>
                <w:szCs w:val="18"/>
              </w:rPr>
            </w:pPr>
            <w:r>
              <w:rPr>
                <w:rFonts w:ascii="宋体"/>
                <w:sz w:val="18"/>
              </w:rPr>
              <w:t>2.35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6,477,157.74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1,577,000.00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 w:right="0"/>
              <w:jc w:val="center"/>
              <w:rPr>
                <w:rFonts w:ascii="宋体" w:hAnsi="宋体" w:cs="宋体" w:eastAsia="宋体" w:hint="default"/>
                <w:sz w:val="18"/>
                <w:szCs w:val="18"/>
              </w:rPr>
            </w:pPr>
            <w:r>
              <w:rPr>
                <w:rFonts w:ascii="宋体"/>
                <w:sz w:val="18"/>
              </w:rPr>
              <w:t>0.12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4" w:right="0"/>
              <w:jc w:val="left"/>
              <w:rPr>
                <w:rFonts w:ascii="宋体" w:hAnsi="宋体" w:cs="宋体" w:eastAsia="宋体" w:hint="default"/>
                <w:sz w:val="18"/>
                <w:szCs w:val="18"/>
              </w:rPr>
            </w:pPr>
            <w:r>
              <w:rPr>
                <w:rFonts w:ascii="宋体"/>
                <w:sz w:val="18"/>
              </w:rPr>
              <w:t>31,540.00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9" w:right="0"/>
              <w:jc w:val="center"/>
              <w:rPr>
                <w:rFonts w:ascii="宋体" w:hAnsi="宋体" w:cs="宋体" w:eastAsia="宋体" w:hint="default"/>
                <w:sz w:val="18"/>
                <w:szCs w:val="18"/>
              </w:rPr>
            </w:pPr>
            <w:r>
              <w:rPr>
                <w:rFonts w:ascii="宋体"/>
                <w:sz w:val="18"/>
              </w:rPr>
              <w:t>2.00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1,545,460.00</w:t>
            </w:r>
          </w:p>
        </w:tc>
      </w:tr>
      <w:tr>
        <w:trPr>
          <w:trHeight w:val="47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1,511,89</w:t>
            </w:r>
          </w:p>
          <w:p>
            <w:pPr>
              <w:pStyle w:val="TableParagraph"/>
              <w:spacing w:line="234" w:lineRule="exact"/>
              <w:ind w:left="112" w:right="0"/>
              <w:jc w:val="left"/>
              <w:rPr>
                <w:rFonts w:ascii="宋体" w:hAnsi="宋体" w:cs="宋体" w:eastAsia="宋体" w:hint="default"/>
                <w:sz w:val="18"/>
                <w:szCs w:val="18"/>
              </w:rPr>
            </w:pPr>
            <w:r>
              <w:rPr>
                <w:rFonts w:ascii="宋体"/>
                <w:sz w:val="18"/>
              </w:rPr>
              <w:t>7,396.96</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12,549,109.</w:t>
            </w:r>
          </w:p>
          <w:p>
            <w:pPr>
              <w:pStyle w:val="TableParagraph"/>
              <w:spacing w:line="234" w:lineRule="exact"/>
              <w:ind w:right="23"/>
              <w:jc w:val="right"/>
              <w:rPr>
                <w:rFonts w:ascii="宋体" w:hAnsi="宋体" w:cs="宋体" w:eastAsia="宋体" w:hint="default"/>
                <w:sz w:val="18"/>
                <w:szCs w:val="18"/>
              </w:rPr>
            </w:pPr>
            <w:r>
              <w:rPr>
                <w:rFonts w:ascii="宋体"/>
                <w:sz w:val="18"/>
              </w:rPr>
              <w:t>79</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1,499,348,287.</w:t>
            </w:r>
          </w:p>
          <w:p>
            <w:pPr>
              <w:pStyle w:val="TableParagraph"/>
              <w:spacing w:line="234" w:lineRule="exact"/>
              <w:ind w:right="23"/>
              <w:jc w:val="right"/>
              <w:rPr>
                <w:rFonts w:ascii="宋体" w:hAnsi="宋体" w:cs="宋体" w:eastAsia="宋体" w:hint="default"/>
                <w:sz w:val="18"/>
                <w:szCs w:val="18"/>
              </w:rPr>
            </w:pPr>
            <w:r>
              <w:rPr>
                <w:rFonts w:ascii="宋体"/>
                <w:sz w:val="18"/>
              </w:rPr>
              <w:t>17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1,338,097,815.</w:t>
            </w:r>
          </w:p>
          <w:p>
            <w:pPr>
              <w:pStyle w:val="TableParagraph"/>
              <w:spacing w:line="234" w:lineRule="exact"/>
              <w:ind w:right="23"/>
              <w:jc w:val="right"/>
              <w:rPr>
                <w:rFonts w:ascii="宋体" w:hAnsi="宋体" w:cs="宋体" w:eastAsia="宋体" w:hint="default"/>
                <w:sz w:val="18"/>
                <w:szCs w:val="18"/>
              </w:rPr>
            </w:pPr>
            <w:r>
              <w:rPr>
                <w:rFonts w:ascii="宋体"/>
                <w:sz w:val="18"/>
              </w:rPr>
              <w:t>92</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33,847,838.</w:t>
            </w:r>
          </w:p>
          <w:p>
            <w:pPr>
              <w:pStyle w:val="TableParagraph"/>
              <w:spacing w:line="234" w:lineRule="exact"/>
              <w:ind w:right="23"/>
              <w:jc w:val="right"/>
              <w:rPr>
                <w:rFonts w:ascii="宋体" w:hAnsi="宋体" w:cs="宋体" w:eastAsia="宋体" w:hint="default"/>
                <w:sz w:val="18"/>
                <w:szCs w:val="18"/>
              </w:rPr>
            </w:pPr>
            <w:r>
              <w:rPr>
                <w:rFonts w:ascii="宋体"/>
                <w:sz w:val="18"/>
              </w:rPr>
              <w:t>15</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1,304,249,977.</w:t>
            </w:r>
          </w:p>
          <w:p>
            <w:pPr>
              <w:pStyle w:val="TableParagraph"/>
              <w:spacing w:line="234" w:lineRule="exact"/>
              <w:ind w:right="23"/>
              <w:jc w:val="right"/>
              <w:rPr>
                <w:rFonts w:ascii="宋体" w:hAnsi="宋体" w:cs="宋体" w:eastAsia="宋体" w:hint="default"/>
                <w:sz w:val="18"/>
                <w:szCs w:val="18"/>
              </w:rPr>
            </w:pPr>
            <w:r>
              <w:rPr>
                <w:rFonts w:ascii="宋体"/>
                <w:sz w:val="18"/>
              </w:rPr>
              <w:t>77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3" w:top="1280" w:bottom="1380" w:left="840" w:right="1040"/>
        </w:sectPr>
      </w:pPr>
    </w:p>
    <w:p>
      <w:pPr>
        <w:pStyle w:val="BodyText"/>
        <w:spacing w:line="240" w:lineRule="auto" w:before="36"/>
        <w:ind w:left="958" w:right="0"/>
        <w:jc w:val="left"/>
      </w:pPr>
      <w:r>
        <w:rPr>
          <w:spacing w:val="-2"/>
        </w:rPr>
        <w:t>期末单项金额重大并单项计提坏账准备的其他应收款：</w:t>
      </w:r>
    </w:p>
    <w:p>
      <w:pPr>
        <w:pStyle w:val="BodyText"/>
        <w:spacing w:line="240" w:lineRule="auto" w:before="56"/>
        <w:ind w:left="95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009" w:val="left" w:leader="none"/>
        </w:tabs>
        <w:spacing w:line="240" w:lineRule="auto" w:before="0"/>
        <w:ind w:left="958" w:right="0"/>
        <w:jc w:val="left"/>
      </w:pPr>
      <w:r>
        <w:rPr>
          <w:spacing w:val="-1"/>
        </w:rPr>
        <w:t>单位：元</w:t>
        <w:tab/>
      </w:r>
      <w:r>
        <w:rPr>
          <w:spacing w:val="-2"/>
        </w:rPr>
        <w:t>币种：人民币</w:t>
      </w:r>
    </w:p>
    <w:p>
      <w:pPr>
        <w:spacing w:after="0" w:line="240" w:lineRule="auto"/>
        <w:jc w:val="left"/>
        <w:sectPr>
          <w:type w:val="continuous"/>
          <w:pgSz w:w="11910" w:h="16840"/>
          <w:pgMar w:top="1280" w:bottom="1380" w:left="840" w:right="1040"/>
          <w:cols w:num="2" w:equalWidth="0">
            <w:col w:w="6004" w:space="520"/>
            <w:col w:w="3506"/>
          </w:cols>
        </w:sectPr>
      </w:pPr>
    </w:p>
    <w:p>
      <w:pPr>
        <w:spacing w:line="240" w:lineRule="auto" w:before="4"/>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3382"/>
        <w:gridCol w:w="1896"/>
        <w:gridCol w:w="1476"/>
        <w:gridCol w:w="1148"/>
        <w:gridCol w:w="1150"/>
      </w:tblGrid>
      <w:tr>
        <w:trPr>
          <w:trHeight w:val="283" w:hRule="exact"/>
        </w:trPr>
        <w:tc>
          <w:tcPr>
            <w:tcW w:w="3382" w:type="dxa"/>
            <w:vMerge w:val="restart"/>
            <w:tcBorders>
              <w:top w:val="single" w:sz="4" w:space="0" w:color="000000"/>
              <w:left w:val="single" w:sz="4" w:space="0" w:color="000000"/>
              <w:right w:val="single" w:sz="4" w:space="0" w:color="000000"/>
            </w:tcBorders>
          </w:tcPr>
          <w:p>
            <w:pPr>
              <w:pStyle w:val="TableParagraph"/>
              <w:spacing w:line="240" w:lineRule="auto" w:before="107"/>
              <w:ind w:left="635"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56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382"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
              <w:jc w:val="right"/>
              <w:rPr>
                <w:rFonts w:ascii="宋体" w:hAnsi="宋体" w:cs="宋体" w:eastAsia="宋体" w:hint="default"/>
                <w:sz w:val="21"/>
                <w:szCs w:val="21"/>
              </w:rPr>
            </w:pPr>
            <w:r>
              <w:rPr>
                <w:rFonts w:ascii="宋体" w:hAnsi="宋体" w:cs="宋体" w:eastAsia="宋体" w:hint="default"/>
                <w:spacing w:val="-1"/>
                <w:sz w:val="21"/>
                <w:szCs w:val="21"/>
              </w:rPr>
              <w:t>计提比例</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青岛置业</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809,915,231.30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r>
      <w:tr>
        <w:trPr>
          <w:trHeight w:val="557" w:hRule="exac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科英置业</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508,285,273.10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r>
      <w:tr>
        <w:trPr>
          <w:trHeight w:val="554" w:hRule="exac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滨州置业</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130,986,576.42</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r>
      <w:tr>
        <w:trPr>
          <w:trHeight w:val="555" w:hRule="exac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山东省济南至东营高速公路项目建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设办公室</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12,377,297.00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247,545.93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281" w:hRule="exac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科达半导体有限公司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10,576,964.77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5,288,482.39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详见说明</w:t>
            </w:r>
          </w:p>
        </w:tc>
      </w:tr>
      <w:tr>
        <w:trPr>
          <w:trHeight w:val="557" w:hRule="exac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青海省公路建设管理局</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4,549,052.00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227,452.60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281" w:hRule="exac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1,476,690,394.59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5,763,480.92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280" w:bottom="1380" w:left="840" w:right="1040"/>
        </w:sectPr>
      </w:pPr>
    </w:p>
    <w:p>
      <w:pPr>
        <w:pStyle w:val="BodyText"/>
        <w:spacing w:line="240" w:lineRule="auto" w:before="36"/>
        <w:ind w:left="958" w:right="0"/>
        <w:jc w:val="left"/>
      </w:pPr>
      <w:r>
        <w:rPr>
          <w:spacing w:val="-2"/>
        </w:rPr>
        <w:t>组合中，按账龄分析法计提坏账准备的其他应收款：</w:t>
      </w:r>
    </w:p>
    <w:p>
      <w:pPr>
        <w:pStyle w:val="BodyText"/>
        <w:spacing w:line="240" w:lineRule="auto" w:before="58"/>
        <w:ind w:left="95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9" w:val="left" w:leader="none"/>
        </w:tabs>
        <w:spacing w:line="240" w:lineRule="auto" w:before="0"/>
        <w:ind w:left="958" w:right="0"/>
        <w:jc w:val="left"/>
      </w:pPr>
      <w:r>
        <w:rPr>
          <w:spacing w:val="-1"/>
        </w:rPr>
        <w:t>单位：元</w:t>
        <w:tab/>
      </w:r>
      <w:r>
        <w:rPr>
          <w:spacing w:val="-2"/>
        </w:rPr>
        <w:t>币种：人民币</w:t>
      </w:r>
    </w:p>
    <w:p>
      <w:pPr>
        <w:spacing w:after="0" w:line="240" w:lineRule="auto"/>
        <w:jc w:val="left"/>
        <w:sectPr>
          <w:type w:val="continuous"/>
          <w:pgSz w:w="11910" w:h="16840"/>
          <w:pgMar w:top="1280" w:bottom="1380" w:left="840" w:right="1040"/>
          <w:cols w:num="2" w:equalWidth="0">
            <w:col w:w="5793" w:space="731"/>
            <w:col w:w="3506"/>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3572"/>
        <w:gridCol w:w="1824"/>
        <w:gridCol w:w="1825"/>
        <w:gridCol w:w="1831"/>
      </w:tblGrid>
      <w:tr>
        <w:trPr>
          <w:trHeight w:val="283" w:hRule="exact"/>
        </w:trPr>
        <w:tc>
          <w:tcPr>
            <w:tcW w:w="3572"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2" w:type="dxa"/>
            <w:vMerge/>
            <w:tcBorders>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15,964,209.92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798,210.50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3,275,802.89</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327,580.29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w:t>
            </w:r>
          </w:p>
        </w:tc>
      </w:tr>
    </w:tbl>
    <w:p>
      <w:pPr>
        <w:spacing w:after="0" w:line="241" w:lineRule="exact"/>
        <w:jc w:val="right"/>
        <w:rPr>
          <w:rFonts w:ascii="宋体" w:hAnsi="宋体" w:cs="宋体" w:eastAsia="宋体" w:hint="default"/>
          <w:sz w:val="21"/>
          <w:szCs w:val="21"/>
        </w:rPr>
        <w:sectPr>
          <w:type w:val="continuous"/>
          <w:pgSz w:w="11910" w:h="16840"/>
          <w:pgMar w:top="1280" w:bottom="1380" w:left="840" w:right="1040"/>
        </w:sectPr>
      </w:pPr>
    </w:p>
    <w:p>
      <w:pPr>
        <w:spacing w:line="240" w:lineRule="auto" w:before="13"/>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3572"/>
        <w:gridCol w:w="1824"/>
        <w:gridCol w:w="1825"/>
        <w:gridCol w:w="1831"/>
      </w:tblGrid>
      <w:tr>
        <w:trPr>
          <w:trHeight w:val="28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1,163,689.00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232,737.80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20.00</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4,831,737.56</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1,932,695.02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40.00</w:t>
            </w: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3,338,525.10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3,338,525.10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28,573,964.47</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6,629,748.71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23.20</w:t>
            </w:r>
          </w:p>
        </w:tc>
      </w:tr>
    </w:tbl>
    <w:p>
      <w:pPr>
        <w:spacing w:line="240" w:lineRule="auto" w:before="7"/>
        <w:rPr>
          <w:rFonts w:ascii="宋体" w:hAnsi="宋体" w:cs="宋体" w:eastAsia="宋体" w:hint="default"/>
          <w:sz w:val="15"/>
          <w:szCs w:val="15"/>
        </w:rPr>
      </w:pPr>
    </w:p>
    <w:p>
      <w:pPr>
        <w:pStyle w:val="BodyText"/>
        <w:spacing w:line="276" w:lineRule="auto" w:before="36"/>
        <w:ind w:left="638" w:right="250" w:hanging="420"/>
        <w:jc w:val="left"/>
      </w:pPr>
      <w:r>
        <w:rPr/>
        <w:t>确定该组合依据的说明：</w:t>
      </w:r>
      <w:r>
        <w:rPr>
          <w:w w:val="100"/>
        </w:rPr>
        <w:t> </w:t>
      </w:r>
      <w:r>
        <w:rPr>
          <w:spacing w:val="-2"/>
        </w:rPr>
        <w:t>除单独计提减值准备的其他应收款外，公司根据以前年度与之相同或相类似的、按账龄段划</w:t>
      </w:r>
    </w:p>
    <w:p>
      <w:pPr>
        <w:pStyle w:val="BodyText"/>
        <w:spacing w:line="280" w:lineRule="auto" w:before="13"/>
        <w:ind w:left="218" w:right="250"/>
        <w:jc w:val="left"/>
      </w:pPr>
      <w:r>
        <w:rPr>
          <w:spacing w:val="-2"/>
        </w:rPr>
        <w:t>分的具有类似信用风险特征的其他应收款组合的实际损失率为基础，结合实际情况分析确定坏账</w:t>
      </w:r>
      <w:r>
        <w:rPr>
          <w:spacing w:val="-26"/>
        </w:rPr>
        <w:t> </w:t>
      </w:r>
      <w:r>
        <w:rPr>
          <w:spacing w:val="-26"/>
        </w:rPr>
      </w:r>
      <w:r>
        <w:rPr/>
        <w:t>准备计提的比例。</w:t>
      </w:r>
    </w:p>
    <w:p>
      <w:pPr>
        <w:spacing w:line="240" w:lineRule="auto" w:before="9"/>
        <w:rPr>
          <w:rFonts w:ascii="宋体" w:hAnsi="宋体" w:cs="宋体" w:eastAsia="宋体" w:hint="default"/>
          <w:sz w:val="22"/>
          <w:szCs w:val="22"/>
        </w:rPr>
      </w:pPr>
    </w:p>
    <w:p>
      <w:pPr>
        <w:pStyle w:val="Heading2"/>
        <w:spacing w:line="240" w:lineRule="auto" w:before="0"/>
        <w:ind w:right="2465"/>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40" w:lineRule="auto" w:before="57"/>
        <w:ind w:left="218" w:right="1814"/>
        <w:jc w:val="left"/>
      </w:pPr>
      <w:r>
        <w:rPr/>
        <w:t>本期计提坏账准备金额</w:t>
      </w:r>
      <w:r>
        <w:rPr>
          <w:spacing w:val="-52"/>
        </w:rPr>
        <w:t> </w:t>
      </w:r>
      <w:r>
        <w:rPr>
          <w:rFonts w:ascii="宋体" w:hAnsi="宋体" w:cs="宋体" w:eastAsia="宋体" w:hint="default"/>
        </w:rPr>
        <w:t>0</w:t>
      </w:r>
      <w:r>
        <w:rPr>
          <w:rFonts w:ascii="宋体" w:hAnsi="宋体" w:cs="宋体" w:eastAsia="宋体" w:hint="default"/>
          <w:spacing w:val="-55"/>
        </w:rPr>
        <w:t> </w:t>
      </w:r>
      <w:r>
        <w:rPr/>
        <w:t>元；本期收回或转回坏账准备金额</w:t>
      </w:r>
      <w:r>
        <w:rPr>
          <w:spacing w:val="-53"/>
        </w:rPr>
        <w:t> </w:t>
      </w:r>
      <w:r>
        <w:rPr>
          <w:rFonts w:ascii="宋体" w:hAnsi="宋体" w:cs="宋体" w:eastAsia="宋体" w:hint="default"/>
        </w:rPr>
        <w:t>3,128,775.51</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BodyText"/>
        <w:spacing w:line="271" w:lineRule="exact" w:before="0"/>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6" w:footer="1193" w:top="1280" w:bottom="138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3699" w:space="2825"/>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7"/>
      </w:tblGrid>
      <w:tr>
        <w:trPr>
          <w:trHeight w:val="288"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8"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3"/>
              <w:jc w:val="right"/>
              <w:rPr>
                <w:rFonts w:ascii="宋体" w:hAnsi="宋体" w:cs="宋体" w:eastAsia="宋体" w:hint="default"/>
                <w:sz w:val="18"/>
                <w:szCs w:val="18"/>
              </w:rPr>
            </w:pPr>
            <w:r>
              <w:rPr>
                <w:rFonts w:ascii="宋体"/>
                <w:spacing w:val="-1"/>
                <w:sz w:val="18"/>
              </w:rPr>
              <w:t>18,169,952.85</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280" w:bottom="1380" w:left="1580" w:right="1040"/>
        </w:sectPr>
      </w:pPr>
    </w:p>
    <w:p>
      <w:pPr>
        <w:pStyle w:val="BodyText"/>
        <w:spacing w:line="274" w:lineRule="exact" w:before="36"/>
        <w:ind w:left="218" w:right="0"/>
        <w:jc w:val="left"/>
      </w:pPr>
      <w:r>
        <w:rPr>
          <w:spacing w:val="-2"/>
        </w:rPr>
        <w:t>其中重要的其他应收款核销情况：</w:t>
      </w:r>
    </w:p>
    <w:p>
      <w:pPr>
        <w:pStyle w:val="BodyText"/>
        <w:spacing w:line="274" w:lineRule="exact" w:before="0"/>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64" w:val="left" w:leader="none"/>
        </w:tabs>
        <w:spacing w:line="240" w:lineRule="auto" w:before="0"/>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280" w:bottom="1380" w:left="1580" w:right="1040"/>
          <w:cols w:num="2" w:equalWidth="0">
            <w:col w:w="3373" w:space="3363"/>
            <w:col w:w="2554"/>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79"/>
        <w:gridCol w:w="1426"/>
        <w:gridCol w:w="1582"/>
        <w:gridCol w:w="1313"/>
        <w:gridCol w:w="1441"/>
        <w:gridCol w:w="1711"/>
      </w:tblGrid>
      <w:tr>
        <w:trPr>
          <w:trHeight w:val="557"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履行的核销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程序</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826"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刘树林</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挪用资金款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17,988,653.05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董事会批准</w:t>
            </w:r>
          </w:p>
          <w:p>
            <w:pPr>
              <w:pStyle w:val="TableParagraph"/>
              <w:spacing w:line="240" w:lineRule="auto"/>
              <w:ind w:left="103" w:right="272"/>
              <w:jc w:val="left"/>
              <w:rPr>
                <w:rFonts w:ascii="宋体" w:hAnsi="宋体" w:cs="宋体" w:eastAsia="宋体" w:hint="default"/>
                <w:sz w:val="21"/>
                <w:szCs w:val="21"/>
              </w:rPr>
            </w:pPr>
            <w:r>
              <w:rPr>
                <w:rFonts w:ascii="宋体" w:hAnsi="宋体" w:cs="宋体" w:eastAsia="宋体" w:hint="default"/>
                <w:sz w:val="21"/>
                <w:szCs w:val="21"/>
              </w:rPr>
              <w:t>并报税务部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门审批</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17,988,653.05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280" w:bottom="138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3699" w:space="2825"/>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3"/>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6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1,463,721,036.50</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1,229,270,050.86</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43,920,465.71</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86,240,351.79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1,804,570.75</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1,170,409.56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634,827.00</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667,532.00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刘树林挪用资金款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17,988,653.05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1,816,497.00</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2,760,818.66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1,511,897,396.96</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1,338,097,815.92</w:t>
            </w:r>
          </w:p>
        </w:tc>
      </w:tr>
    </w:tbl>
    <w:p>
      <w:pPr>
        <w:spacing w:after="0" w:line="241" w:lineRule="exact"/>
        <w:jc w:val="right"/>
        <w:rPr>
          <w:rFonts w:ascii="宋体" w:hAnsi="宋体" w:cs="宋体" w:eastAsia="宋体" w:hint="default"/>
          <w:sz w:val="21"/>
          <w:szCs w:val="21"/>
        </w:rPr>
        <w:sectPr>
          <w:type w:val="continuous"/>
          <w:pgSz w:w="11910" w:h="16840"/>
          <w:pgMar w:top="1280" w:bottom="1380" w:left="1580" w:right="1040"/>
        </w:sectPr>
      </w:pPr>
    </w:p>
    <w:p>
      <w:pPr>
        <w:spacing w:line="240" w:lineRule="auto" w:before="8"/>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56" w:footer="1193" w:top="1280" w:bottom="1380" w:left="1640" w:right="1120"/>
        </w:sectPr>
      </w:pPr>
    </w:p>
    <w:p>
      <w:pPr>
        <w:pStyle w:val="Heading2"/>
        <w:spacing w:line="240" w:lineRule="auto"/>
        <w:ind w:left="158"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8"/>
        <w:ind w:left="1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before="0"/>
        <w:ind w:left="158" w:right="0"/>
        <w:jc w:val="left"/>
      </w:pPr>
      <w:r>
        <w:rPr>
          <w:spacing w:val="-1"/>
        </w:rPr>
        <w:t>单位：元</w:t>
        <w:tab/>
      </w:r>
      <w:r>
        <w:rPr>
          <w:spacing w:val="-2"/>
        </w:rPr>
        <w:t>币种：人民币</w:t>
      </w:r>
    </w:p>
    <w:p>
      <w:pPr>
        <w:spacing w:after="0" w:line="240" w:lineRule="auto"/>
        <w:jc w:val="left"/>
        <w:sectPr>
          <w:type w:val="continuous"/>
          <w:pgSz w:w="11910" w:h="16840"/>
          <w:pgMar w:top="1280" w:bottom="1380" w:left="1640" w:right="1120"/>
          <w:cols w:num="2" w:equalWidth="0">
            <w:col w:w="5535" w:space="989"/>
            <w:col w:w="2626"/>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75"/>
        <w:gridCol w:w="1196"/>
        <w:gridCol w:w="1814"/>
        <w:gridCol w:w="1395"/>
        <w:gridCol w:w="1604"/>
        <w:gridCol w:w="1514"/>
      </w:tblGrid>
      <w:tr>
        <w:trPr>
          <w:trHeight w:val="833" w:hRule="exact"/>
        </w:trPr>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15"/>
              <w:jc w:val="right"/>
              <w:rPr>
                <w:rFonts w:ascii="宋体" w:hAnsi="宋体" w:cs="宋体" w:eastAsia="宋体" w:hint="default"/>
                <w:sz w:val="21"/>
                <w:szCs w:val="21"/>
              </w:rPr>
            </w:pPr>
            <w:r>
              <w:rPr>
                <w:rFonts w:ascii="宋体" w:hAnsi="宋体" w:cs="宋体" w:eastAsia="宋体" w:hint="default"/>
                <w:sz w:val="21"/>
                <w:szCs w:val="21"/>
              </w:rPr>
              <w:t>账龄</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27" w:right="56"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326" w:right="32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6" w:hRule="exact"/>
        </w:trPr>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青岛置业</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809,915,231.30</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6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53.57</w:t>
            </w:r>
          </w:p>
        </w:tc>
        <w:tc>
          <w:tcPr>
            <w:tcW w:w="151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科英置业</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508,285,273.10</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6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33.62</w:t>
            </w:r>
          </w:p>
        </w:tc>
        <w:tc>
          <w:tcPr>
            <w:tcW w:w="151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滨州置业</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130,986,576.42</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6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8.66</w:t>
            </w:r>
          </w:p>
        </w:tc>
        <w:tc>
          <w:tcPr>
            <w:tcW w:w="1514"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山东省济南</w:t>
            </w:r>
          </w:p>
          <w:p>
            <w:pPr>
              <w:pStyle w:val="TableParagraph"/>
              <w:spacing w:line="237" w:lineRule="auto"/>
              <w:ind w:left="24" w:right="281"/>
              <w:jc w:val="both"/>
              <w:rPr>
                <w:rFonts w:ascii="宋体" w:hAnsi="宋体" w:cs="宋体" w:eastAsia="宋体" w:hint="default"/>
                <w:sz w:val="21"/>
                <w:szCs w:val="21"/>
              </w:rPr>
            </w:pPr>
            <w:r>
              <w:rPr>
                <w:rFonts w:ascii="宋体" w:hAnsi="宋体" w:cs="宋体" w:eastAsia="宋体" w:hint="default"/>
                <w:sz w:val="21"/>
                <w:szCs w:val="21"/>
              </w:rPr>
              <w:t>至东营高速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公路项目建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设办公室</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12,377,297.00</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pStyle w:val="TableParagraph"/>
              <w:spacing w:line="272" w:lineRule="exact"/>
              <w:ind w:left="21" w:right="0"/>
              <w:jc w:val="left"/>
              <w:rPr>
                <w:rFonts w:ascii="宋体" w:hAnsi="宋体" w:cs="宋体" w:eastAsia="宋体" w:hint="default"/>
                <w:sz w:val="21"/>
                <w:szCs w:val="21"/>
              </w:rPr>
            </w:pPr>
            <w:r>
              <w:rPr>
                <w:rFonts w:ascii="宋体"/>
                <w:sz w:val="21"/>
              </w:rPr>
              <w:t>1,476,497</w:t>
            </w:r>
          </w:p>
          <w:p>
            <w:pPr>
              <w:pStyle w:val="TableParagraph"/>
              <w:spacing w:line="272" w:lineRule="exact" w:before="27"/>
              <w:ind w:left="21" w:right="303"/>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10,900,800</w:t>
            </w:r>
          </w:p>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0.82</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247,545.94</w:t>
            </w:r>
          </w:p>
        </w:tc>
      </w:tr>
      <w:tr>
        <w:trPr>
          <w:trHeight w:val="1378" w:hRule="exact"/>
        </w:trPr>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科达半导体</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10,576,964.77</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pStyle w:val="TableParagraph"/>
              <w:spacing w:line="272" w:lineRule="exact"/>
              <w:ind w:left="21" w:right="0"/>
              <w:jc w:val="left"/>
              <w:rPr>
                <w:rFonts w:ascii="宋体" w:hAnsi="宋体" w:cs="宋体" w:eastAsia="宋体" w:hint="default"/>
                <w:sz w:val="21"/>
                <w:szCs w:val="21"/>
              </w:rPr>
            </w:pPr>
            <w:r>
              <w:rPr>
                <w:rFonts w:ascii="宋体"/>
                <w:sz w:val="21"/>
              </w:rPr>
              <w:t>1,015,954.28</w:t>
            </w:r>
          </w:p>
          <w:p>
            <w:pPr>
              <w:pStyle w:val="TableParagraph"/>
              <w:spacing w:line="272" w:lineRule="exact" w:before="27"/>
              <w:ind w:left="21" w:right="94"/>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103"/>
                <w:sz w:val="21"/>
                <w:szCs w:val="21"/>
              </w:rPr>
              <w:t> </w:t>
            </w:r>
            <w:r>
              <w:rPr>
                <w:rFonts w:ascii="宋体" w:hAnsi="宋体" w:cs="宋体" w:eastAsia="宋体" w:hint="default"/>
                <w:sz w:val="21"/>
                <w:szCs w:val="21"/>
              </w:rPr>
              <w:t>9,561,010.49</w:t>
            </w:r>
          </w:p>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0.70</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5,288,482.39</w:t>
            </w:r>
          </w:p>
        </w:tc>
      </w:tr>
      <w:tr>
        <w:trPr>
          <w:trHeight w:val="288" w:hRule="exact"/>
        </w:trPr>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center"/>
              <w:rPr>
                <w:rFonts w:ascii="宋体" w:hAnsi="宋体" w:cs="宋体" w:eastAsia="宋体" w:hint="default"/>
                <w:sz w:val="21"/>
                <w:szCs w:val="21"/>
              </w:rPr>
            </w:pPr>
            <w:r>
              <w:rPr>
                <w:rFonts w:ascii="宋体"/>
                <w:w w:val="100"/>
                <w:sz w:val="21"/>
              </w:rPr>
              <w:t>/</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1,472,141,342.59</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97.37</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5,536,028.33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158" w:right="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1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before="0"/>
        <w:ind w:left="158" w:right="4434"/>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90" w:lineRule="auto" w:before="0"/>
        <w:ind w:left="158" w:right="3595"/>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5"/>
        </w:rPr>
        <w:t> </w:t>
      </w:r>
      <w:r>
        <w:rPr/>
        <w:t>转移其他应收款且继续涉入形成的资产、负债金额：</w:t>
      </w:r>
      <w:r>
        <w:rPr>
          <w:w w:val="100"/>
        </w:rPr>
        <w:t> </w:t>
      </w:r>
      <w:r>
        <w:rPr>
          <w:rFonts w:ascii="宋体" w:hAnsi="宋体" w:cs="宋体" w:eastAsia="宋体" w:hint="default"/>
          <w:b w:val="0"/>
          <w:bCs w:val="0"/>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280" w:bottom="1380" w:left="1640" w:right="1120"/>
        </w:sectPr>
      </w:pPr>
    </w:p>
    <w:p>
      <w:pPr>
        <w:pStyle w:val="Heading2"/>
        <w:spacing w:line="240" w:lineRule="auto"/>
        <w:ind w:left="15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1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before="0"/>
        <w:ind w:left="158" w:right="0"/>
        <w:jc w:val="left"/>
      </w:pPr>
      <w:r>
        <w:rPr>
          <w:spacing w:val="-1"/>
        </w:rPr>
        <w:t>单位：元</w:t>
        <w:tab/>
      </w:r>
      <w:r>
        <w:rPr>
          <w:spacing w:val="-2"/>
        </w:rPr>
        <w:t>币种：人民币</w:t>
      </w:r>
    </w:p>
    <w:p>
      <w:pPr>
        <w:spacing w:after="0" w:line="240" w:lineRule="auto"/>
        <w:jc w:val="left"/>
        <w:sectPr>
          <w:type w:val="continuous"/>
          <w:pgSz w:w="11910" w:h="16840"/>
          <w:pgMar w:top="1280" w:bottom="1380" w:left="1640" w:right="1120"/>
          <w:cols w:num="2" w:equalWidth="0">
            <w:col w:w="1851" w:space="4674"/>
            <w:col w:w="2625"/>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67"/>
        <w:gridCol w:w="1743"/>
        <w:gridCol w:w="384"/>
        <w:gridCol w:w="1743"/>
        <w:gridCol w:w="1531"/>
        <w:gridCol w:w="397"/>
        <w:gridCol w:w="1534"/>
      </w:tblGrid>
      <w:tr>
        <w:trPr>
          <w:trHeight w:val="286" w:hRule="exact"/>
        </w:trPr>
        <w:tc>
          <w:tcPr>
            <w:tcW w:w="156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6" w:hRule="exact"/>
        </w:trPr>
        <w:tc>
          <w:tcPr>
            <w:tcW w:w="1567" w:type="dxa"/>
            <w:vMerge/>
            <w:tcBorders>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9"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79" w:right="77"/>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86" w:right="82"/>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6" w:hRule="exact"/>
        </w:trPr>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3,059,000,000.00</w:t>
            </w:r>
          </w:p>
        </w:tc>
        <w:tc>
          <w:tcPr>
            <w:tcW w:w="384" w:type="dxa"/>
            <w:tcBorders>
              <w:top w:val="single" w:sz="6" w:space="0" w:color="000000"/>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3,059,000,000.00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96,000,000.00</w:t>
            </w:r>
          </w:p>
        </w:tc>
        <w:tc>
          <w:tcPr>
            <w:tcW w:w="397"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96,000,000.00</w:t>
            </w:r>
          </w:p>
        </w:tc>
      </w:tr>
      <w:tr>
        <w:trPr>
          <w:trHeight w:val="559" w:hRule="exact"/>
        </w:trPr>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对联营、合营企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业投资</w:t>
            </w:r>
          </w:p>
        </w:tc>
        <w:tc>
          <w:tcPr>
            <w:tcW w:w="1743"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185,458,302.33</w:t>
            </w:r>
          </w:p>
        </w:tc>
        <w:tc>
          <w:tcPr>
            <w:tcW w:w="397"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185,458,302.33</w:t>
            </w:r>
          </w:p>
        </w:tc>
      </w:tr>
      <w:tr>
        <w:trPr>
          <w:trHeight w:val="288" w:hRule="exact"/>
        </w:trPr>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3,059,000,000.00</w:t>
            </w:r>
          </w:p>
        </w:tc>
        <w:tc>
          <w:tcPr>
            <w:tcW w:w="384" w:type="dxa"/>
            <w:tcBorders>
              <w:top w:val="single" w:sz="6" w:space="0" w:color="000000"/>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3,059,000,000.00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281,458,302.33</w:t>
            </w:r>
          </w:p>
        </w:tc>
        <w:tc>
          <w:tcPr>
            <w:tcW w:w="397"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281,458,302.33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158" w:right="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158" w:right="0"/>
        <w:jc w:val="left"/>
      </w:pPr>
      <w:r>
        <w:rPr/>
        <w:t>√适用</w:t>
      </w:r>
      <w:r>
        <w:rPr>
          <w:spacing w:val="-1"/>
        </w:rPr>
        <w:t> </w:t>
      </w:r>
      <w:r>
        <w:rPr/>
        <w:t>□不适用</w:t>
      </w:r>
    </w:p>
    <w:p>
      <w:pPr>
        <w:spacing w:after="0" w:line="240" w:lineRule="auto"/>
        <w:jc w:val="left"/>
        <w:sectPr>
          <w:type w:val="continuous"/>
          <w:pgSz w:w="11910" w:h="16840"/>
          <w:pgMar w:top="1280" w:bottom="1380" w:left="1640" w:right="1120"/>
        </w:sectPr>
      </w:pPr>
    </w:p>
    <w:p>
      <w:pPr>
        <w:spacing w:line="240" w:lineRule="auto" w:before="8"/>
        <w:rPr>
          <w:rFonts w:ascii="宋体" w:hAnsi="宋体" w:cs="宋体" w:eastAsia="宋体" w:hint="default"/>
          <w:sz w:val="12"/>
          <w:szCs w:val="12"/>
        </w:rPr>
      </w:pPr>
    </w:p>
    <w:p>
      <w:pPr>
        <w:pStyle w:val="BodyText"/>
        <w:tabs>
          <w:tab w:pos="1051" w:val="left" w:leader="none"/>
        </w:tabs>
        <w:spacing w:line="240" w:lineRule="auto" w:before="36"/>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73"/>
        <w:gridCol w:w="1582"/>
        <w:gridCol w:w="1896"/>
        <w:gridCol w:w="768"/>
        <w:gridCol w:w="1897"/>
        <w:gridCol w:w="768"/>
        <w:gridCol w:w="768"/>
      </w:tblGrid>
      <w:tr>
        <w:trPr>
          <w:trHeight w:val="1099"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67" w:right="16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2" w:lineRule="exact" w:before="27"/>
              <w:ind w:left="167" w:right="167"/>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2" w:lineRule="exact" w:before="27"/>
              <w:ind w:left="167" w:right="167"/>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55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东营科英置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36,000,000.00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青岛科达置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50,000,000.00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滨州市科达</w:t>
            </w:r>
          </w:p>
          <w:p>
            <w:pPr>
              <w:pStyle w:val="TableParagraph"/>
              <w:spacing w:line="272" w:lineRule="exact" w:before="27"/>
              <w:ind w:left="103" w:right="204"/>
              <w:jc w:val="left"/>
              <w:rPr>
                <w:rFonts w:ascii="宋体" w:hAnsi="宋体" w:cs="宋体" w:eastAsia="宋体" w:hint="default"/>
                <w:sz w:val="21"/>
                <w:szCs w:val="21"/>
              </w:rPr>
            </w:pPr>
            <w:r>
              <w:rPr>
                <w:rFonts w:ascii="宋体" w:hAnsi="宋体" w:cs="宋体" w:eastAsia="宋体" w:hint="default"/>
                <w:sz w:val="21"/>
                <w:szCs w:val="21"/>
              </w:rPr>
              <w:t>置业有限公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10,000,000.00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北京百孚思</w:t>
            </w:r>
          </w:p>
          <w:p>
            <w:pPr>
              <w:pStyle w:val="TableParagraph"/>
              <w:spacing w:line="240" w:lineRule="auto"/>
              <w:ind w:left="103" w:right="204"/>
              <w:jc w:val="left"/>
              <w:rPr>
                <w:rFonts w:ascii="宋体" w:hAnsi="宋体" w:cs="宋体" w:eastAsia="宋体" w:hint="default"/>
                <w:sz w:val="21"/>
                <w:szCs w:val="21"/>
              </w:rPr>
            </w:pPr>
            <w:r>
              <w:rPr>
                <w:rFonts w:ascii="宋体" w:hAnsi="宋体" w:cs="宋体" w:eastAsia="宋体" w:hint="default"/>
                <w:sz w:val="21"/>
                <w:szCs w:val="21"/>
              </w:rPr>
              <w:t>广告有限公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607,500,000.00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607,500,000.00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上海同立广</w:t>
            </w:r>
          </w:p>
          <w:p>
            <w:pPr>
              <w:pStyle w:val="TableParagraph"/>
              <w:spacing w:line="240" w:lineRule="auto"/>
              <w:ind w:left="103" w:right="204"/>
              <w:jc w:val="left"/>
              <w:rPr>
                <w:rFonts w:ascii="宋体" w:hAnsi="宋体" w:cs="宋体" w:eastAsia="宋体" w:hint="default"/>
                <w:sz w:val="21"/>
                <w:szCs w:val="21"/>
              </w:rPr>
            </w:pPr>
            <w:r>
              <w:rPr>
                <w:rFonts w:ascii="宋体" w:hAnsi="宋体" w:cs="宋体" w:eastAsia="宋体" w:hint="default"/>
                <w:sz w:val="21"/>
                <w:szCs w:val="21"/>
              </w:rPr>
              <w:t>告传播有限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445,500,000.00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445,500,000.00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广州华邑品</w:t>
            </w:r>
          </w:p>
          <w:p>
            <w:pPr>
              <w:pStyle w:val="TableParagraph"/>
              <w:spacing w:line="272" w:lineRule="exact" w:before="27"/>
              <w:ind w:left="103" w:right="204"/>
              <w:jc w:val="left"/>
              <w:rPr>
                <w:rFonts w:ascii="宋体" w:hAnsi="宋体" w:cs="宋体" w:eastAsia="宋体" w:hint="default"/>
                <w:sz w:val="21"/>
                <w:szCs w:val="21"/>
              </w:rPr>
            </w:pPr>
            <w:r>
              <w:rPr>
                <w:rFonts w:ascii="宋体" w:hAnsi="宋体" w:cs="宋体" w:eastAsia="宋体" w:hint="default"/>
                <w:sz w:val="21"/>
                <w:szCs w:val="21"/>
              </w:rPr>
              <w:t>牌数字营销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405,000,000.00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405,000,000.00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广东雨林木</w:t>
            </w:r>
          </w:p>
          <w:p>
            <w:pPr>
              <w:pStyle w:val="TableParagraph"/>
              <w:spacing w:line="240" w:lineRule="auto"/>
              <w:ind w:left="103" w:right="204"/>
              <w:jc w:val="left"/>
              <w:rPr>
                <w:rFonts w:ascii="宋体" w:hAnsi="宋体" w:cs="宋体" w:eastAsia="宋体" w:hint="default"/>
                <w:sz w:val="21"/>
                <w:szCs w:val="21"/>
              </w:rPr>
            </w:pPr>
            <w:r>
              <w:rPr>
                <w:rFonts w:ascii="宋体" w:hAnsi="宋体" w:cs="宋体" w:eastAsia="宋体" w:hint="default"/>
                <w:sz w:val="21"/>
                <w:szCs w:val="21"/>
              </w:rPr>
              <w:t>风计算机科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540,000,000.00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540,000,000.00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北京派瑞威</w:t>
            </w:r>
          </w:p>
          <w:p>
            <w:pPr>
              <w:pStyle w:val="TableParagraph"/>
              <w:spacing w:line="272" w:lineRule="exact" w:before="27"/>
              <w:ind w:left="103" w:right="204"/>
              <w:jc w:val="left"/>
              <w:rPr>
                <w:rFonts w:ascii="宋体" w:hAnsi="宋体" w:cs="宋体" w:eastAsia="宋体" w:hint="default"/>
                <w:sz w:val="21"/>
                <w:szCs w:val="21"/>
              </w:rPr>
            </w:pPr>
            <w:r>
              <w:rPr>
                <w:rFonts w:ascii="宋体" w:hAnsi="宋体" w:cs="宋体" w:eastAsia="宋体" w:hint="default"/>
                <w:sz w:val="21"/>
                <w:szCs w:val="21"/>
              </w:rPr>
              <w:t>行广告有限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945,000,000.00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945,000,000.00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z w:val="21"/>
                <w:szCs w:val="21"/>
              </w:rPr>
              <w:t>链动（杭州）</w:t>
            </w:r>
          </w:p>
          <w:p>
            <w:pPr>
              <w:pStyle w:val="TableParagraph"/>
              <w:spacing w:line="240" w:lineRule="auto"/>
              <w:ind w:left="103" w:right="204"/>
              <w:jc w:val="left"/>
              <w:rPr>
                <w:rFonts w:ascii="宋体" w:hAnsi="宋体" w:cs="宋体" w:eastAsia="宋体" w:hint="default"/>
                <w:sz w:val="21"/>
                <w:szCs w:val="21"/>
              </w:rPr>
            </w:pPr>
            <w:r>
              <w:rPr>
                <w:rFonts w:ascii="宋体" w:hAnsi="宋体" w:cs="宋体" w:eastAsia="宋体" w:hint="default"/>
                <w:sz w:val="21"/>
                <w:szCs w:val="21"/>
              </w:rPr>
              <w:t>投资有限公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96,000,000.00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2,963,000,000.00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3,059,000,000.00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3" w:top="1280" w:bottom="1380" w:left="1580" w:right="1040"/>
        </w:sectPr>
      </w:pPr>
    </w:p>
    <w:p>
      <w:pPr>
        <w:pStyle w:val="Heading2"/>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8"/>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before="0"/>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2753" w:space="3771"/>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3"/>
        <w:gridCol w:w="758"/>
        <w:gridCol w:w="759"/>
        <w:gridCol w:w="672"/>
        <w:gridCol w:w="785"/>
        <w:gridCol w:w="708"/>
        <w:gridCol w:w="711"/>
        <w:gridCol w:w="785"/>
        <w:gridCol w:w="775"/>
        <w:gridCol w:w="757"/>
        <w:gridCol w:w="770"/>
        <w:gridCol w:w="737"/>
      </w:tblGrid>
      <w:tr>
        <w:trPr>
          <w:trHeight w:val="242"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225" w:right="225"/>
              <w:jc w:val="left"/>
              <w:rPr>
                <w:rFonts w:ascii="宋体" w:hAnsi="宋体" w:cs="宋体" w:eastAsia="宋体" w:hint="default"/>
                <w:sz w:val="18"/>
                <w:szCs w:val="18"/>
              </w:rPr>
            </w:pPr>
            <w:r>
              <w:rPr>
                <w:rFonts w:ascii="宋体" w:hAnsi="宋体" w:cs="宋体" w:eastAsia="宋体" w:hint="default"/>
                <w:sz w:val="18"/>
                <w:szCs w:val="18"/>
              </w:rPr>
              <w:t>投资 单位</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191" w:right="194"/>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199" w:right="199"/>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7" w:type="dxa"/>
            <w:vMerge w:val="restart"/>
            <w:tcBorders>
              <w:top w:val="single" w:sz="4" w:space="0" w:color="000000"/>
              <w:left w:val="single" w:sz="4" w:space="0" w:color="000000"/>
              <w:right w:val="single" w:sz="4" w:space="0" w:color="000000"/>
            </w:tcBorders>
          </w:tcPr>
          <w:p>
            <w:pPr>
              <w:pStyle w:val="TableParagraph"/>
              <w:spacing w:line="237" w:lineRule="auto" w:before="92"/>
              <w:ind w:left="182" w:right="182"/>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943" w:hRule="exact"/>
        </w:trPr>
        <w:tc>
          <w:tcPr>
            <w:tcW w:w="823"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0" w:right="106"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1" w:right="149"/>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both"/>
              <w:rPr>
                <w:rFonts w:ascii="宋体" w:hAnsi="宋体" w:cs="宋体" w:eastAsia="宋体" w:hint="default"/>
                <w:sz w:val="18"/>
                <w:szCs w:val="18"/>
              </w:rPr>
            </w:pPr>
            <w:r>
              <w:rPr>
                <w:rFonts w:ascii="宋体" w:hAnsi="宋体" w:cs="宋体" w:eastAsia="宋体" w:hint="default"/>
                <w:sz w:val="18"/>
                <w:szCs w:val="18"/>
              </w:rPr>
              <w:t>权益法</w:t>
            </w:r>
          </w:p>
          <w:p>
            <w:pPr>
              <w:pStyle w:val="TableParagraph"/>
              <w:spacing w:line="237" w:lineRule="auto"/>
              <w:ind w:left="115" w:right="119"/>
              <w:jc w:val="both"/>
              <w:rPr>
                <w:rFonts w:ascii="宋体" w:hAnsi="宋体" w:cs="宋体" w:eastAsia="宋体" w:hint="default"/>
                <w:sz w:val="18"/>
                <w:szCs w:val="18"/>
              </w:rPr>
            </w:pPr>
            <w:r>
              <w:rPr>
                <w:rFonts w:ascii="宋体" w:hAnsi="宋体" w:cs="宋体" w:eastAsia="宋体" w:hint="default"/>
                <w:sz w:val="18"/>
                <w:szCs w:val="18"/>
              </w:rPr>
              <w:t>下确认 的投资 损益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both"/>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7" w:lineRule="auto"/>
              <w:ind w:left="167" w:right="168"/>
              <w:jc w:val="both"/>
              <w:rPr>
                <w:rFonts w:ascii="宋体" w:hAnsi="宋体" w:cs="宋体" w:eastAsia="宋体" w:hint="default"/>
                <w:sz w:val="18"/>
                <w:szCs w:val="18"/>
              </w:rPr>
            </w:pPr>
            <w:r>
              <w:rPr>
                <w:rFonts w:ascii="宋体" w:hAnsi="宋体" w:cs="宋体" w:eastAsia="宋体" w:hint="default"/>
                <w:sz w:val="18"/>
                <w:szCs w:val="18"/>
              </w:rPr>
              <w:t>综合 收益 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8" w:right="170"/>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both"/>
              <w:rPr>
                <w:rFonts w:ascii="宋体" w:hAnsi="宋体" w:cs="宋体" w:eastAsia="宋体" w:hint="default"/>
                <w:sz w:val="18"/>
                <w:szCs w:val="18"/>
              </w:rPr>
            </w:pPr>
            <w:r>
              <w:rPr>
                <w:rFonts w:ascii="宋体" w:hAnsi="宋体" w:cs="宋体" w:eastAsia="宋体" w:hint="default"/>
                <w:sz w:val="18"/>
                <w:szCs w:val="18"/>
              </w:rPr>
              <w:t>宣告发</w:t>
            </w:r>
          </w:p>
          <w:p>
            <w:pPr>
              <w:pStyle w:val="TableParagraph"/>
              <w:spacing w:line="237" w:lineRule="auto"/>
              <w:ind w:left="115" w:right="119"/>
              <w:jc w:val="both"/>
              <w:rPr>
                <w:rFonts w:ascii="宋体" w:hAnsi="宋体" w:cs="宋体" w:eastAsia="宋体" w:hint="default"/>
                <w:sz w:val="18"/>
                <w:szCs w:val="18"/>
              </w:rPr>
            </w:pPr>
            <w:r>
              <w:rPr>
                <w:rFonts w:ascii="宋体" w:hAnsi="宋体" w:cs="宋体" w:eastAsia="宋体" w:hint="default"/>
                <w:sz w:val="18"/>
                <w:szCs w:val="18"/>
              </w:rPr>
              <w:t>放现金 股利或 利润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0" w:right="11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0"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47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一、合</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营企业</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东营黄</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河公路 大桥有 限责任 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185,45</w:t>
            </w:r>
          </w:p>
          <w:p>
            <w:pPr>
              <w:pStyle w:val="TableParagraph"/>
              <w:spacing w:line="234" w:lineRule="exact"/>
              <w:ind w:left="103" w:right="0"/>
              <w:jc w:val="left"/>
              <w:rPr>
                <w:rFonts w:ascii="宋体" w:hAnsi="宋体" w:cs="宋体" w:eastAsia="宋体" w:hint="default"/>
                <w:sz w:val="18"/>
                <w:szCs w:val="18"/>
              </w:rPr>
            </w:pPr>
            <w:r>
              <w:rPr>
                <w:rFonts w:ascii="宋体"/>
                <w:sz w:val="18"/>
              </w:rPr>
              <w:t>8,302.</w:t>
            </w:r>
          </w:p>
          <w:p>
            <w:pPr>
              <w:pStyle w:val="TableParagraph"/>
              <w:spacing w:line="240" w:lineRule="auto"/>
              <w:ind w:left="463" w:right="0"/>
              <w:jc w:val="left"/>
              <w:rPr>
                <w:rFonts w:ascii="宋体" w:hAnsi="宋体" w:cs="宋体" w:eastAsia="宋体" w:hint="default"/>
                <w:sz w:val="18"/>
                <w:szCs w:val="18"/>
              </w:rPr>
            </w:pPr>
            <w:r>
              <w:rPr>
                <w:rFonts w:ascii="宋体"/>
                <w:sz w:val="18"/>
              </w:rPr>
              <w:t>33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sz w:val="18"/>
              </w:rPr>
              <w:t>-191,3</w:t>
            </w:r>
          </w:p>
          <w:p>
            <w:pPr>
              <w:pStyle w:val="TableParagraph"/>
              <w:spacing w:line="234" w:lineRule="exact"/>
              <w:ind w:left="131" w:right="0"/>
              <w:jc w:val="left"/>
              <w:rPr>
                <w:rFonts w:ascii="宋体" w:hAnsi="宋体" w:cs="宋体" w:eastAsia="宋体" w:hint="default"/>
                <w:sz w:val="18"/>
                <w:szCs w:val="18"/>
              </w:rPr>
            </w:pPr>
            <w:r>
              <w:rPr>
                <w:rFonts w:ascii="宋体"/>
                <w:sz w:val="18"/>
              </w:rPr>
              <w:t>88,002</w:t>
            </w:r>
          </w:p>
          <w:p>
            <w:pPr>
              <w:pStyle w:val="TableParagraph"/>
              <w:spacing w:line="240" w:lineRule="auto"/>
              <w:ind w:left="400" w:right="0"/>
              <w:jc w:val="left"/>
              <w:rPr>
                <w:rFonts w:ascii="宋体" w:hAnsi="宋体" w:cs="宋体" w:eastAsia="宋体" w:hint="default"/>
                <w:sz w:val="18"/>
                <w:szCs w:val="18"/>
              </w:rPr>
            </w:pPr>
            <w:r>
              <w:rPr>
                <w:rFonts w:ascii="宋体"/>
                <w:sz w:val="18"/>
              </w:rPr>
              <w:t>.41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1" w:right="0"/>
              <w:jc w:val="center"/>
              <w:rPr>
                <w:rFonts w:ascii="宋体" w:hAnsi="宋体" w:cs="宋体" w:eastAsia="宋体" w:hint="default"/>
                <w:sz w:val="18"/>
                <w:szCs w:val="18"/>
              </w:rPr>
            </w:pPr>
            <w:r>
              <w:rPr>
                <w:rFonts w:ascii="宋体"/>
                <w:sz w:val="18"/>
              </w:rPr>
              <w:t>27,92</w:t>
            </w:r>
          </w:p>
          <w:p>
            <w:pPr>
              <w:pStyle w:val="TableParagraph"/>
              <w:spacing w:line="234" w:lineRule="exact"/>
              <w:ind w:left="41" w:right="0"/>
              <w:jc w:val="center"/>
              <w:rPr>
                <w:rFonts w:ascii="宋体" w:hAnsi="宋体" w:cs="宋体" w:eastAsia="宋体" w:hint="default"/>
                <w:sz w:val="18"/>
                <w:szCs w:val="18"/>
              </w:rPr>
            </w:pPr>
            <w:r>
              <w:rPr>
                <w:rFonts w:ascii="宋体"/>
                <w:sz w:val="18"/>
              </w:rPr>
              <w:t>9,700</w:t>
            </w:r>
          </w:p>
          <w:p>
            <w:pPr>
              <w:pStyle w:val="TableParagraph"/>
              <w:spacing w:line="240" w:lineRule="auto"/>
              <w:ind w:left="223" w:right="0"/>
              <w:jc w:val="center"/>
              <w:rPr>
                <w:rFonts w:ascii="宋体" w:hAnsi="宋体" w:cs="宋体" w:eastAsia="宋体" w:hint="default"/>
                <w:sz w:val="18"/>
                <w:szCs w:val="18"/>
              </w:rPr>
            </w:pPr>
            <w:r>
              <w:rPr>
                <w:rFonts w:ascii="宋体"/>
                <w:sz w:val="18"/>
              </w:rPr>
              <w:t>.08</w:t>
            </w: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pacing w:val="-1"/>
                <w:sz w:val="18"/>
              </w:rPr>
              <w:t>22,000</w:t>
            </w:r>
          </w:p>
          <w:p>
            <w:pPr>
              <w:pStyle w:val="TableParagraph"/>
              <w:spacing w:line="234" w:lineRule="exact"/>
              <w:ind w:right="102"/>
              <w:jc w:val="right"/>
              <w:rPr>
                <w:rFonts w:ascii="宋体" w:hAnsi="宋体" w:cs="宋体" w:eastAsia="宋体" w:hint="default"/>
                <w:sz w:val="18"/>
                <w:szCs w:val="18"/>
              </w:rPr>
            </w:pPr>
            <w:r>
              <w:rPr>
                <w:rFonts w:ascii="宋体"/>
                <w:spacing w:val="-1"/>
                <w:sz w:val="18"/>
              </w:rPr>
              <w:t>,000.0</w:t>
            </w: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185,45</w:t>
            </w:r>
          </w:p>
          <w:p>
            <w:pPr>
              <w:pStyle w:val="TableParagraph"/>
              <w:spacing w:line="233" w:lineRule="exact"/>
              <w:ind w:left="103" w:right="0"/>
              <w:jc w:val="left"/>
              <w:rPr>
                <w:rFonts w:ascii="宋体" w:hAnsi="宋体" w:cs="宋体" w:eastAsia="宋体" w:hint="default"/>
                <w:sz w:val="18"/>
                <w:szCs w:val="18"/>
              </w:rPr>
            </w:pPr>
            <w:r>
              <w:rPr>
                <w:rFonts w:ascii="宋体"/>
                <w:sz w:val="18"/>
              </w:rPr>
              <w:t>8,302.</w:t>
            </w:r>
          </w:p>
          <w:p>
            <w:pPr>
              <w:pStyle w:val="TableParagraph"/>
              <w:spacing w:line="234" w:lineRule="exact"/>
              <w:ind w:left="463" w:right="0"/>
              <w:jc w:val="left"/>
              <w:rPr>
                <w:rFonts w:ascii="宋体" w:hAnsi="宋体" w:cs="宋体" w:eastAsia="宋体" w:hint="default"/>
                <w:sz w:val="18"/>
                <w:szCs w:val="18"/>
              </w:rPr>
            </w:pPr>
            <w:r>
              <w:rPr>
                <w:rFonts w:ascii="宋体"/>
                <w:sz w:val="18"/>
              </w:rPr>
              <w:t>33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1" w:right="0"/>
              <w:jc w:val="left"/>
              <w:rPr>
                <w:rFonts w:ascii="宋体" w:hAnsi="宋体" w:cs="宋体" w:eastAsia="宋体" w:hint="default"/>
                <w:sz w:val="18"/>
                <w:szCs w:val="18"/>
              </w:rPr>
            </w:pPr>
            <w:r>
              <w:rPr>
                <w:rFonts w:ascii="宋体"/>
                <w:sz w:val="18"/>
              </w:rPr>
              <w:t>-191,3</w:t>
            </w:r>
          </w:p>
          <w:p>
            <w:pPr>
              <w:pStyle w:val="TableParagraph"/>
              <w:spacing w:line="233" w:lineRule="exact"/>
              <w:ind w:left="131" w:right="0"/>
              <w:jc w:val="left"/>
              <w:rPr>
                <w:rFonts w:ascii="宋体" w:hAnsi="宋体" w:cs="宋体" w:eastAsia="宋体" w:hint="default"/>
                <w:sz w:val="18"/>
                <w:szCs w:val="18"/>
              </w:rPr>
            </w:pPr>
            <w:r>
              <w:rPr>
                <w:rFonts w:ascii="宋体"/>
                <w:sz w:val="18"/>
              </w:rPr>
              <w:t>88,002</w:t>
            </w:r>
          </w:p>
          <w:p>
            <w:pPr>
              <w:pStyle w:val="TableParagraph"/>
              <w:spacing w:line="234" w:lineRule="exact"/>
              <w:ind w:left="400" w:right="0"/>
              <w:jc w:val="left"/>
              <w:rPr>
                <w:rFonts w:ascii="宋体" w:hAnsi="宋体" w:cs="宋体" w:eastAsia="宋体" w:hint="default"/>
                <w:sz w:val="18"/>
                <w:szCs w:val="18"/>
              </w:rPr>
            </w:pPr>
            <w:r>
              <w:rPr>
                <w:rFonts w:ascii="宋体"/>
                <w:sz w:val="18"/>
              </w:rPr>
              <w:t>.41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1" w:right="0"/>
              <w:jc w:val="center"/>
              <w:rPr>
                <w:rFonts w:ascii="宋体" w:hAnsi="宋体" w:cs="宋体" w:eastAsia="宋体" w:hint="default"/>
                <w:sz w:val="18"/>
                <w:szCs w:val="18"/>
              </w:rPr>
            </w:pPr>
            <w:r>
              <w:rPr>
                <w:rFonts w:ascii="宋体"/>
                <w:sz w:val="18"/>
              </w:rPr>
              <w:t>27,92</w:t>
            </w:r>
          </w:p>
          <w:p>
            <w:pPr>
              <w:pStyle w:val="TableParagraph"/>
              <w:spacing w:line="233" w:lineRule="exact"/>
              <w:ind w:left="41" w:right="0"/>
              <w:jc w:val="center"/>
              <w:rPr>
                <w:rFonts w:ascii="宋体" w:hAnsi="宋体" w:cs="宋体" w:eastAsia="宋体" w:hint="default"/>
                <w:sz w:val="18"/>
                <w:szCs w:val="18"/>
              </w:rPr>
            </w:pPr>
            <w:r>
              <w:rPr>
                <w:rFonts w:ascii="宋体"/>
                <w:sz w:val="18"/>
              </w:rPr>
              <w:t>9,700</w:t>
            </w:r>
          </w:p>
          <w:p>
            <w:pPr>
              <w:pStyle w:val="TableParagraph"/>
              <w:spacing w:line="234" w:lineRule="exact"/>
              <w:ind w:left="223" w:right="0"/>
              <w:jc w:val="center"/>
              <w:rPr>
                <w:rFonts w:ascii="宋体" w:hAnsi="宋体" w:cs="宋体" w:eastAsia="宋体" w:hint="default"/>
                <w:sz w:val="18"/>
                <w:szCs w:val="18"/>
              </w:rPr>
            </w:pPr>
            <w:r>
              <w:rPr>
                <w:rFonts w:ascii="宋体"/>
                <w:sz w:val="18"/>
              </w:rPr>
              <w:t>.08</w:t>
            </w: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pacing w:val="-1"/>
                <w:sz w:val="18"/>
              </w:rPr>
              <w:t>22,000</w:t>
            </w:r>
          </w:p>
          <w:p>
            <w:pPr>
              <w:pStyle w:val="TableParagraph"/>
              <w:spacing w:line="233" w:lineRule="exact"/>
              <w:ind w:right="102"/>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4"/>
              <w:jc w:val="right"/>
              <w:rPr>
                <w:rFonts w:ascii="宋体" w:hAnsi="宋体" w:cs="宋体" w:eastAsia="宋体" w:hint="default"/>
                <w:sz w:val="18"/>
                <w:szCs w:val="18"/>
              </w:rPr>
            </w:pPr>
            <w:r>
              <w:rPr>
                <w:rFonts w:ascii="宋体"/>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185,45</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1" w:right="0"/>
              <w:jc w:val="left"/>
              <w:rPr>
                <w:rFonts w:ascii="宋体" w:hAnsi="宋体" w:cs="宋体" w:eastAsia="宋体" w:hint="default"/>
                <w:sz w:val="18"/>
                <w:szCs w:val="18"/>
              </w:rPr>
            </w:pPr>
            <w:r>
              <w:rPr>
                <w:rFonts w:ascii="宋体"/>
                <w:sz w:val="18"/>
              </w:rPr>
              <w:t>-191,3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3" w:right="0"/>
              <w:jc w:val="left"/>
              <w:rPr>
                <w:rFonts w:ascii="宋体" w:hAnsi="宋体" w:cs="宋体" w:eastAsia="宋体" w:hint="default"/>
                <w:sz w:val="18"/>
                <w:szCs w:val="18"/>
              </w:rPr>
            </w:pPr>
            <w:r>
              <w:rPr>
                <w:rFonts w:ascii="宋体"/>
                <w:sz w:val="18"/>
              </w:rPr>
              <w:t>27,92</w:t>
            </w: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9" w:right="0"/>
              <w:jc w:val="left"/>
              <w:rPr>
                <w:rFonts w:ascii="宋体" w:hAnsi="宋体" w:cs="宋体" w:eastAsia="宋体" w:hint="default"/>
                <w:sz w:val="18"/>
                <w:szCs w:val="18"/>
              </w:rPr>
            </w:pPr>
            <w:r>
              <w:rPr>
                <w:rFonts w:ascii="宋体"/>
                <w:sz w:val="18"/>
              </w:rPr>
              <w:t>22,000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280" w:bottom="1380" w:left="1580" w:right="1040"/>
        </w:sectPr>
      </w:pPr>
    </w:p>
    <w:p>
      <w:pPr>
        <w:spacing w:line="240" w:lineRule="auto" w:before="13"/>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823"/>
        <w:gridCol w:w="758"/>
        <w:gridCol w:w="759"/>
        <w:gridCol w:w="672"/>
        <w:gridCol w:w="785"/>
        <w:gridCol w:w="708"/>
        <w:gridCol w:w="711"/>
        <w:gridCol w:w="785"/>
        <w:gridCol w:w="775"/>
        <w:gridCol w:w="757"/>
        <w:gridCol w:w="770"/>
        <w:gridCol w:w="737"/>
      </w:tblGrid>
      <w:tr>
        <w:trPr>
          <w:trHeight w:val="478"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8,302.</w:t>
            </w:r>
          </w:p>
          <w:p>
            <w:pPr>
              <w:pStyle w:val="TableParagraph"/>
              <w:spacing w:line="234" w:lineRule="exact"/>
              <w:ind w:left="463" w:right="0"/>
              <w:jc w:val="left"/>
              <w:rPr>
                <w:rFonts w:ascii="宋体" w:hAnsi="宋体" w:cs="宋体" w:eastAsia="宋体" w:hint="default"/>
                <w:sz w:val="18"/>
                <w:szCs w:val="18"/>
              </w:rPr>
            </w:pPr>
            <w:r>
              <w:rPr>
                <w:rFonts w:ascii="宋体"/>
                <w:sz w:val="18"/>
              </w:rPr>
              <w:t>33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1" w:right="0"/>
              <w:jc w:val="left"/>
              <w:rPr>
                <w:rFonts w:ascii="宋体" w:hAnsi="宋体" w:cs="宋体" w:eastAsia="宋体" w:hint="default"/>
                <w:sz w:val="18"/>
                <w:szCs w:val="18"/>
              </w:rPr>
            </w:pPr>
            <w:r>
              <w:rPr>
                <w:rFonts w:ascii="宋体"/>
                <w:sz w:val="18"/>
              </w:rPr>
              <w:t>88,002</w:t>
            </w:r>
          </w:p>
          <w:p>
            <w:pPr>
              <w:pStyle w:val="TableParagraph"/>
              <w:spacing w:line="234" w:lineRule="exact"/>
              <w:ind w:left="400" w:right="0"/>
              <w:jc w:val="left"/>
              <w:rPr>
                <w:rFonts w:ascii="宋体" w:hAnsi="宋体" w:cs="宋体" w:eastAsia="宋体" w:hint="default"/>
                <w:sz w:val="18"/>
                <w:szCs w:val="18"/>
              </w:rPr>
            </w:pPr>
            <w:r>
              <w:rPr>
                <w:rFonts w:ascii="宋体"/>
                <w:sz w:val="18"/>
              </w:rPr>
              <w:t>.41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1" w:right="0"/>
              <w:jc w:val="center"/>
              <w:rPr>
                <w:rFonts w:ascii="宋体" w:hAnsi="宋体" w:cs="宋体" w:eastAsia="宋体" w:hint="default"/>
                <w:sz w:val="18"/>
                <w:szCs w:val="18"/>
              </w:rPr>
            </w:pPr>
            <w:r>
              <w:rPr>
                <w:rFonts w:ascii="宋体"/>
                <w:sz w:val="18"/>
              </w:rPr>
              <w:t>9,700</w:t>
            </w:r>
          </w:p>
          <w:p>
            <w:pPr>
              <w:pStyle w:val="TableParagraph"/>
              <w:spacing w:line="234" w:lineRule="exact"/>
              <w:ind w:left="223" w:right="0"/>
              <w:jc w:val="center"/>
              <w:rPr>
                <w:rFonts w:ascii="宋体" w:hAnsi="宋体" w:cs="宋体" w:eastAsia="宋体" w:hint="default"/>
                <w:sz w:val="18"/>
                <w:szCs w:val="18"/>
              </w:rPr>
            </w:pPr>
            <w:r>
              <w:rPr>
                <w:rFonts w:ascii="宋体"/>
                <w:sz w:val="18"/>
              </w:rPr>
              <w:t>.08</w:t>
            </w: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4"/>
              <w:jc w:val="right"/>
              <w:rPr>
                <w:rFonts w:ascii="宋体" w:hAnsi="宋体" w:cs="宋体" w:eastAsia="宋体" w:hint="default"/>
                <w:sz w:val="18"/>
                <w:szCs w:val="18"/>
              </w:rPr>
            </w:pPr>
            <w:r>
              <w:rPr>
                <w:rFonts w:ascii="宋体"/>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51" w:val="left" w:leader="none"/>
        </w:tabs>
        <w:spacing w:line="240" w:lineRule="auto" w:before="56"/>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1688"/>
        <w:gridCol w:w="1685"/>
        <w:gridCol w:w="1897"/>
        <w:gridCol w:w="1687"/>
      </w:tblGrid>
      <w:tr>
        <w:trPr>
          <w:trHeight w:val="281"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812,266,069.67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729,272,805.45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1,105,584,943.10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923,394,366.77</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6,320,648.51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4,119,590.40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4,747,054.43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4,260,357.98</w:t>
            </w:r>
          </w:p>
        </w:tc>
      </w:tr>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818,586,718.18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733,392,395.85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1,110,331,997.53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927,654,724.75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3" w:top="1280" w:bottom="1380" w:left="1580" w:right="1040"/>
        </w:sectPr>
      </w:pPr>
    </w:p>
    <w:p>
      <w:pPr>
        <w:pStyle w:val="Heading2"/>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before="0"/>
        <w:ind w:left="218" w:right="0"/>
        <w:jc w:val="left"/>
      </w:pPr>
      <w:r>
        <w:rPr>
          <w:spacing w:val="-1"/>
        </w:rPr>
        <w:t>单位：元</w:t>
        <w:tab/>
        <w:t>币种：人民币</w:t>
      </w:r>
    </w:p>
    <w:p>
      <w:pPr>
        <w:spacing w:after="0" w:line="240" w:lineRule="auto"/>
        <w:jc w:val="left"/>
        <w:sectPr>
          <w:type w:val="continuous"/>
          <w:pgSz w:w="11910" w:h="16840"/>
          <w:pgMar w:top="1280" w:bottom="1380" w:left="1580" w:right="1040"/>
          <w:cols w:num="2" w:equalWidth="0">
            <w:col w:w="1795" w:space="472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4"/>
        <w:gridCol w:w="2496"/>
        <w:gridCol w:w="2501"/>
      </w:tblGrid>
      <w:tr>
        <w:trPr>
          <w:trHeight w:val="283"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27,929,700.08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24,607,619.29</w:t>
            </w:r>
          </w:p>
        </w:tc>
      </w:tr>
      <w:tr>
        <w:trPr>
          <w:trHeight w:val="283"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45,681,997.59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73,611,697.67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24,607,619.29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280" w:bottom="1380" w:left="1580" w:right="1040"/>
        </w:sectPr>
      </w:pPr>
    </w:p>
    <w:p>
      <w:pPr>
        <w:pStyle w:val="Heading2"/>
        <w:tabs>
          <w:tab w:pos="1057" w:val="left" w:leader="none"/>
        </w:tabs>
        <w:spacing w:line="240" w:lineRule="auto"/>
        <w:ind w:right="-19"/>
        <w:jc w:val="left"/>
        <w:rPr>
          <w:b w:val="0"/>
          <w:bCs w:val="0"/>
        </w:rPr>
      </w:pPr>
      <w:r>
        <w:rPr/>
        <w:t>十八、</w:t>
        <w:tab/>
        <w:t>补充资料</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380" w:left="1580" w:right="1040"/>
          <w:cols w:num="2" w:equalWidth="0">
            <w:col w:w="2962" w:space="3562"/>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92"/>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46,013,069.41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92"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1,620,317.91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13,903,880.90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92"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92"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453,095.89</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280" w:bottom="1380" w:left="1580" w:right="1040"/>
        </w:sectPr>
      </w:pPr>
    </w:p>
    <w:p>
      <w:pPr>
        <w:spacing w:line="240" w:lineRule="auto" w:before="13"/>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4059"/>
        <w:gridCol w:w="2492"/>
        <w:gridCol w:w="2501"/>
      </w:tblGrid>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92"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92"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92"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92"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92"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92"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1"/>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92"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92"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92"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92"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92"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92"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-13,393,487.47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92"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-15,468,430.49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-738,166.56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32,390,279.59</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8"/>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6.49</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0.23</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0.23</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4.69</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0.17</w:t>
            </w:r>
          </w:p>
        </w:tc>
      </w:tr>
    </w:tbl>
    <w:p>
      <w:pPr>
        <w:spacing w:line="240" w:lineRule="auto" w:before="2"/>
        <w:rPr>
          <w:rFonts w:ascii="宋体" w:hAnsi="宋体" w:cs="宋体" w:eastAsia="宋体" w:hint="default"/>
          <w:b/>
          <w:bCs/>
          <w:sz w:val="20"/>
          <w:szCs w:val="20"/>
        </w:rPr>
      </w:pPr>
    </w:p>
    <w:p>
      <w:pPr>
        <w:pStyle w:val="Heading2"/>
        <w:spacing w:line="240" w:lineRule="auto"/>
        <w:ind w:right="246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18" w:right="2465"/>
        <w:jc w:val="left"/>
      </w:pPr>
      <w:r>
        <w:rPr/>
        <w:t>□适用</w:t>
      </w:r>
      <w:r>
        <w:rPr>
          <w:spacing w:val="-1"/>
        </w:rPr>
        <w:t> </w:t>
      </w:r>
      <w:r>
        <w:rPr/>
        <w:t>√不适用</w:t>
      </w:r>
    </w:p>
    <w:p>
      <w:pPr>
        <w:spacing w:after="0" w:line="240" w:lineRule="auto"/>
        <w:jc w:val="left"/>
        <w:sectPr>
          <w:pgSz w:w="11910" w:h="16840"/>
          <w:pgMar w:header="856" w:footer="1193" w:top="1280" w:bottom="1380" w:left="1580" w:right="1040"/>
        </w:sectPr>
      </w:pPr>
    </w:p>
    <w:p>
      <w:pPr>
        <w:spacing w:line="240" w:lineRule="auto" w:before="10"/>
        <w:rPr>
          <w:rFonts w:ascii="宋体" w:hAnsi="宋体" w:cs="宋体" w:eastAsia="宋体" w:hint="default"/>
          <w:sz w:val="17"/>
          <w:szCs w:val="17"/>
        </w:rPr>
      </w:pPr>
    </w:p>
    <w:p>
      <w:pPr>
        <w:pStyle w:val="Heading1"/>
        <w:spacing w:line="240" w:lineRule="auto"/>
        <w:ind w:left="2327" w:right="2341"/>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7"/>
        <w:gridCol w:w="6599"/>
      </w:tblGrid>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载有法定代表人、总会计师、会计机构负责人签名并盖章的会计报表。</w:t>
            </w: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报告期内在中国证监会指定报纸上公开披露的所有公司文件的正本及公</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告原稿。</w:t>
            </w:r>
          </w:p>
        </w:tc>
      </w:tr>
    </w:tbl>
    <w:p>
      <w:pPr>
        <w:pStyle w:val="BodyText"/>
        <w:spacing w:line="314" w:lineRule="auto" w:before="42"/>
        <w:ind w:left="5241" w:right="146" w:firstLine="2256"/>
        <w:jc w:val="left"/>
      </w:pPr>
      <w:r>
        <w:rPr>
          <w:spacing w:val="-1"/>
        </w:rPr>
        <w:t>董事长：刘锋杰</w:t>
      </w:r>
      <w:r>
        <w:rPr>
          <w:w w:val="100"/>
        </w:rPr>
        <w:t> </w:t>
      </w:r>
      <w:r>
        <w:rPr/>
        <w:t>董事会批准报送日期：</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2"/>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spacing w:line="240" w:lineRule="auto" w:before="12"/>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2967"/>
        <w:gridCol w:w="2964"/>
        <w:gridCol w:w="2965"/>
      </w:tblGrid>
      <w:tr>
        <w:trPr>
          <w:trHeight w:val="283"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2"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1" w:hRule="exact"/>
        </w:trPr>
        <w:tc>
          <w:tcPr>
            <w:tcW w:w="2967"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7"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sectPr>
      <w:footerReference w:type="default" r:id="rId61"/>
      <w:pgSz w:w="11910" w:h="16840"/>
      <w:pgMar w:footer="1193" w:header="856" w:top="128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mbria">
    <w:altName w:val="Cambria"/>
    <w:charset w:val="0"/>
    <w:family w:val="roman"/>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289978pt;width:28.8pt;height:11pt;mso-position-horizontal-relative:page;mso-position-vertical-relative:page;z-index:-792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289978pt;width:33.4pt;height:11pt;mso-position-horizontal-relative:page;mso-position-vertical-relative:page;z-index:-792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289978pt;width:32.4pt;height:11pt;mso-position-horizontal-relative:page;mso-position-vertical-relative:page;z-index:-792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150</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289978pt;width:33.4pt;height:11pt;mso-position-horizontal-relative:page;mso-position-vertical-relative:page;z-index:-792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289978pt;width:32.4pt;height:11pt;mso-position-horizontal-relative:page;mso-position-vertical-relative:page;z-index:-7922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150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289978pt;width:33.4pt;height:11pt;mso-position-horizontal-relative:page;mso-position-vertical-relative:page;z-index:-792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730011pt;margin-top:524.666016pt;width:33.4pt;height:11pt;mso-position-horizontal-relative:page;mso-position-vertical-relative:page;z-index:-792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53</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730011pt;margin-top:524.666016pt;width:33.4pt;height:11pt;mso-position-horizontal-relative:page;mso-position-vertical-relative:page;z-index:-792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56</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289978pt;width:33.4pt;height:11pt;mso-position-horizontal-relative:page;mso-position-vertical-relative:page;z-index:-791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289978pt;width:32.4pt;height:11pt;mso-position-horizontal-relative:page;mso-position-vertical-relative:page;z-index:-791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150</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289978pt;width:33.4pt;height:11pt;mso-position-horizontal-relative:page;mso-position-vertical-relative:page;z-index:-791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289978pt;width:32.4pt;height:11pt;mso-position-horizontal-relative:page;mso-position-vertical-relative:page;z-index:-792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150</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289978pt;width:32.4pt;height:11pt;mso-position-horizontal-relative:page;mso-position-vertical-relative:page;z-index:-791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150</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289978pt;width:33.4pt;height:11pt;mso-position-horizontal-relative:page;mso-position-vertical-relative:page;z-index:-791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730011pt;margin-top:524.666016pt;width:33.4pt;height:11pt;mso-position-horizontal-relative:page;mso-position-vertical-relative:page;z-index:-791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289978pt;width:32.4pt;height:11pt;mso-position-horizontal-relative:page;mso-position-vertical-relative:page;z-index:-791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79 </w:t>
                </w:r>
                <w:r>
                  <w:rPr>
                    <w:rFonts w:ascii="Calibri"/>
                    <w:sz w:val="18"/>
                  </w:rPr>
                  <w:t>/</w:t>
                </w:r>
                <w:r>
                  <w:rPr>
                    <w:rFonts w:ascii="Calibri"/>
                    <w:spacing w:val="-4"/>
                    <w:sz w:val="18"/>
                  </w:rPr>
                  <w:t> </w:t>
                </w:r>
                <w:r>
                  <w:rPr>
                    <w:rFonts w:ascii="Calibri"/>
                    <w:b/>
                    <w:sz w:val="18"/>
                  </w:rPr>
                  <w:t>150</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289978pt;width:33.4pt;height:11pt;mso-position-horizontal-relative:page;mso-position-vertical-relative:page;z-index:-791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80</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289978pt;width:33.4pt;height:11pt;mso-position-horizontal-relative:page;mso-position-vertical-relative:page;z-index:-791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289978pt;width:33.4pt;height:11pt;mso-position-horizontal-relative:page;mso-position-vertical-relative:page;z-index:-791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84</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289978pt;width:33.4pt;height:11pt;mso-position-horizontal-relative:page;mso-position-vertical-relative:page;z-index:-791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85</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289978pt;width:32.4pt;height:11pt;mso-position-horizontal-relative:page;mso-position-vertical-relative:page;z-index:-791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150</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289978pt;width:33.4pt;height:11pt;mso-position-horizontal-relative:page;mso-position-vertical-relative:page;z-index:-791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289978pt;width:33.4pt;height:11pt;mso-position-horizontal-relative:page;mso-position-vertical-relative:page;z-index:-792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289978pt;width:33.4pt;height:11pt;mso-position-horizontal-relative:page;mso-position-vertical-relative:page;z-index:-791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92</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289978pt;width:32.4pt;height:11pt;mso-position-horizontal-relative:page;mso-position-vertical-relative:page;z-index:-7914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99 </w:t>
                </w:r>
                <w:r>
                  <w:rPr>
                    <w:rFonts w:ascii="Calibri"/>
                    <w:sz w:val="18"/>
                  </w:rPr>
                  <w:t>/</w:t>
                </w:r>
                <w:r>
                  <w:rPr>
                    <w:rFonts w:ascii="Calibri"/>
                    <w:spacing w:val="-4"/>
                    <w:sz w:val="18"/>
                  </w:rPr>
                  <w:t> </w:t>
                </w:r>
                <w:r>
                  <w:rPr>
                    <w:rFonts w:ascii="Calibri"/>
                    <w:b/>
                    <w:sz w:val="18"/>
                  </w:rPr>
                  <w:t>150</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289978pt;width:36.950pt;height:11pt;mso-position-horizontal-relative:page;mso-position-vertical-relative:page;z-index:-791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150</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289978pt;width:37.950pt;height:11pt;mso-position-horizontal-relative:page;mso-position-vertical-relative:page;z-index:-791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289978pt;width:36.950pt;height:11pt;mso-position-horizontal-relative:page;mso-position-vertical-relative:page;z-index:-791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150</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289978pt;width:37.950pt;height:11pt;mso-position-horizontal-relative:page;mso-position-vertical-relative:page;z-index:-791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289978pt;width:36.950pt;height:11pt;mso-position-horizontal-relative:page;mso-position-vertical-relative:page;z-index:-791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150</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289978pt;width:37.950pt;height:11pt;mso-position-horizontal-relative:page;mso-position-vertical-relative:page;z-index:-791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289978pt;width:36.950pt;height:11pt;mso-position-horizontal-relative:page;mso-position-vertical-relative:page;z-index:-791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150</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289978pt;width:37.950pt;height:11pt;mso-position-horizontal-relative:page;mso-position-vertical-relative:page;z-index:-791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289978pt;width:32.4pt;height:11pt;mso-position-horizontal-relative:page;mso-position-vertical-relative:page;z-index:-792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150</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289978pt;width:36.950pt;height:11pt;mso-position-horizontal-relative:page;mso-position-vertical-relative:page;z-index:-7912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150</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289978pt;width:37.950pt;height:11pt;mso-position-horizontal-relative:page;mso-position-vertical-relative:page;z-index:-791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289978pt;width:36.950pt;height:11pt;mso-position-horizontal-relative:page;mso-position-vertical-relative:page;z-index:-791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150</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289978pt;width:33.4pt;height:11pt;mso-position-horizontal-relative:page;mso-position-vertical-relative:page;z-index:-792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6.644958pt;width:340.85pt;height:12.6pt;mso-position-horizontal-relative:page;mso-position-vertical-relative:page;z-index:-792472" type="#_x0000_t202" filled="false" stroked="false">
          <v:textbox inset="0,0,0,0">
            <w:txbxContent>
              <w:p>
                <w:pPr>
                  <w:pStyle w:val="BodyText"/>
                  <w:spacing w:line="231" w:lineRule="exact" w:before="0"/>
                  <w:ind w:left="20" w:right="0"/>
                  <w:jc w:val="left"/>
                </w:pPr>
                <w:r>
                  <w:rPr/>
                  <w:t>实现净利润</w:t>
                </w:r>
                <w:r>
                  <w:rPr>
                    <w:spacing w:val="-55"/>
                  </w:rPr>
                  <w:t> </w:t>
                </w:r>
                <w:r>
                  <w:rPr>
                    <w:rFonts w:ascii="宋体" w:hAnsi="宋体" w:cs="宋体" w:eastAsia="宋体" w:hint="default"/>
                  </w:rPr>
                  <w:t>4,326.16</w:t>
                </w:r>
                <w:r>
                  <w:rPr>
                    <w:rFonts w:ascii="宋体" w:hAnsi="宋体" w:cs="宋体" w:eastAsia="宋体" w:hint="default"/>
                    <w:spacing w:val="-55"/>
                  </w:rPr>
                  <w:t> </w:t>
                </w:r>
                <w:r>
                  <w:rPr/>
                  <w:t>万元（摘自《审计报告》天健审【</w:t>
                </w:r>
                <w:r>
                  <w:rPr>
                    <w:rFonts w:ascii="宋体" w:hAnsi="宋体" w:cs="宋体" w:eastAsia="宋体" w:hint="default"/>
                  </w:rPr>
                  <w:t>2016</w:t>
                </w:r>
                <w:r>
                  <w:rPr/>
                  <w:t>】</w:t>
                </w:r>
                <w:r>
                  <w:rPr>
                    <w:rFonts w:ascii="宋体" w:hAnsi="宋体" w:cs="宋体" w:eastAsia="宋体" w:hint="default"/>
                  </w:rPr>
                  <w:t>453</w:t>
                </w:r>
                <w:r>
                  <w:rPr>
                    <w:rFonts w:ascii="宋体" w:hAnsi="宋体" w:cs="宋体" w:eastAsia="宋体" w:hint="default"/>
                    <w:spacing w:val="-57"/>
                  </w:rPr>
                  <w:t> </w:t>
                </w:r>
                <w:r>
                  <w:rPr/>
                  <w:t>号）。</w:t>
                </w:r>
              </w:p>
            </w:txbxContent>
          </v:textbox>
          <w10:wrap type="none"/>
        </v:shape>
      </w:pict>
    </w:r>
    <w:r>
      <w:rPr/>
      <w:pict>
        <v:shape style="position:absolute;margin-left:293.609985pt;margin-top:771.289978pt;width:33.4pt;height:11pt;mso-position-horizontal-relative:page;mso-position-vertical-relative:page;z-index:-792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289978pt;width:33.4pt;height:11pt;mso-position-horizontal-relative:page;mso-position-vertical-relative:page;z-index:-792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289978pt;width:33.4pt;height:11pt;mso-position-horizontal-relative:page;mso-position-vertical-relative:page;z-index:-792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150</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289978pt;width:32.4pt;height:11pt;mso-position-horizontal-relative:page;mso-position-vertical-relative:page;z-index:-792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150</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516998pt;margin-top:42.749985pt;width:16.5pt;height:17.25pt;mso-position-horizontal-relative:page;mso-position-vertical-relative:page;z-index:-792688" type="#_x0000_t75" stroked="false">
          <v:imagedata r:id="rId1" o:title=""/>
        </v:shape>
      </w:pict>
    </w:r>
    <w:r>
      <w:rPr/>
      <w:pict>
        <v:group style="position:absolute;margin-left:88.463997pt;margin-top:63.959984pt;width:444.7pt;height:.1pt;mso-position-horizontal-relative:page;mso-position-vertical-relative:page;z-index:-792664" coordorigin="1769,1279" coordsize="8894,2">
          <v:shape style="position:absolute;left:1769;top:1279;width:8894;height:2" coordorigin="1769,1279" coordsize="8894,0" path="m1769,1279l10663,1279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69.630005pt;margin-top:51.26561pt;width:162pt;height:12pt;mso-position-horizontal-relative:page;mso-position-vertical-relative:page;z-index:-792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 </w:t>
                </w: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07.980003pt;margin-top:52.249985pt;width:29.4pt;height:11pt;mso-position-horizontal-relative:page;mso-position-vertical-relative:page;z-index:-792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600986</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0.669998pt;margin-top:42.750008pt;width:16.5pt;height:17.25pt;mso-position-horizontal-relative:page;mso-position-vertical-relative:page;z-index:-792232" type="#_x0000_t75" stroked="false">
          <v:imagedata r:id="rId1" o:title=""/>
        </v:shape>
      </w:pict>
    </w:r>
    <w:r>
      <w:rPr/>
      <w:pict>
        <v:group style="position:absolute;margin-left:70.559998pt;margin-top:63.980007pt;width:696.75pt;height:.1pt;mso-position-horizontal-relative:page;mso-position-vertical-relative:page;z-index:-792208" coordorigin="1411,1280" coordsize="13935,2">
          <v:shape style="position:absolute;left:1411;top:1280;width:13935;height:2" coordorigin="1411,1280" coordsize="13935,0" path="m1411,1280l15346,1280e" filled="false" stroked="true" strokeweight=".72pt" strokecolor="#000000">
            <v:path arrowok="t"/>
          </v:shape>
          <w10:wrap type="none"/>
        </v:group>
      </w:pict>
    </w:r>
    <w:r>
      <w:rPr/>
      <w:pict>
        <v:shape style="position:absolute;margin-left:477.75pt;margin-top:51.265633pt;width:162pt;height:12pt;mso-position-horizontal-relative:page;mso-position-vertical-relative:page;z-index:-7921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 </w:t>
                </w: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216.100006pt;margin-top:52.250008pt;width:29.4pt;height:11pt;mso-position-horizontal-relative:page;mso-position-vertical-relative:page;z-index:-792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600986</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516998pt;margin-top:42.549984pt;width:16.5pt;height:17.25pt;mso-position-horizontal-relative:page;mso-position-vertical-relative:page;z-index:-792088" type="#_x0000_t75" stroked="false">
          <v:imagedata r:id="rId1" o:title=""/>
        </v:shape>
      </w:pict>
    </w:r>
    <w:r>
      <w:rPr/>
      <w:pict>
        <v:group style="position:absolute;margin-left:88.463997pt;margin-top:63.839981pt;width:444.7pt;height:.1pt;mso-position-horizontal-relative:page;mso-position-vertical-relative:page;z-index:-792064" coordorigin="1769,1277" coordsize="8894,2">
          <v:shape style="position:absolute;left:1769;top:1277;width:8894;height:2" coordorigin="1769,1277" coordsize="8894,0" path="m1769,1277l10663,1277e" filled="false" stroked="true" strokeweight=".72pt" strokecolor="#000000">
            <v:path arrowok="t"/>
          </v:shape>
          <w10:wrap type="none"/>
        </v:group>
      </w:pict>
    </w:r>
    <w:r>
      <w:rPr/>
      <w:pict>
        <v:shape style="position:absolute;margin-left:369.630005pt;margin-top:51.145607pt;width:162pt;height:12pt;mso-position-horizontal-relative:page;mso-position-vertical-relative:page;z-index:-792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 </w:t>
                </w: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07.980003pt;margin-top:52.129982pt;width:29.4pt;height:11pt;mso-position-horizontal-relative:page;mso-position-vertical-relative:page;z-index:-7920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600986</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0.669998pt;margin-top:42.800007pt;width:16.5pt;height:17.25pt;mso-position-horizontal-relative:page;mso-position-vertical-relative:page;z-index:-791872" type="#_x0000_t75" stroked="false">
          <v:imagedata r:id="rId1" o:title=""/>
        </v:shape>
      </w:pict>
    </w:r>
    <w:r>
      <w:rPr/>
      <w:pict>
        <v:group style="position:absolute;margin-left:70.559998pt;margin-top:64.100006pt;width:696.75pt;height:.1pt;mso-position-horizontal-relative:page;mso-position-vertical-relative:page;z-index:-791848" coordorigin="1411,1282" coordsize="13935,2">
          <v:shape style="position:absolute;left:1411;top:1282;width:13935;height:2" coordorigin="1411,1282" coordsize="13935,0" path="m1411,1282l15346,1282e" filled="false" stroked="true" strokeweight=".72pt" strokecolor="#000000">
            <v:path arrowok="t"/>
          </v:shape>
          <w10:wrap type="none"/>
        </v:group>
      </w:pict>
    </w:r>
    <w:r>
      <w:rPr/>
      <w:pict>
        <v:shape style="position:absolute;margin-left:477.75pt;margin-top:51.385632pt;width:162pt;height:12pt;mso-position-horizontal-relative:page;mso-position-vertical-relative:page;z-index:-7918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 </w:t>
                </w: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216.100006pt;margin-top:52.370007pt;width:29.4pt;height:11pt;mso-position-horizontal-relative:page;mso-position-vertical-relative:page;z-index:-791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600986</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516998pt;margin-top:42.799984pt;width:16.5pt;height:17.25pt;mso-position-horizontal-relative:page;mso-position-vertical-relative:page;z-index:-791752" type="#_x0000_t75" stroked="false">
          <v:imagedata r:id="rId1" o:title=""/>
        </v:shape>
      </w:pict>
    </w:r>
    <w:r>
      <w:rPr/>
      <w:pict>
        <v:group style="position:absolute;margin-left:88.463997pt;margin-top:64.079987pt;width:444.7pt;height:.1pt;mso-position-horizontal-relative:page;mso-position-vertical-relative:page;z-index:-791728" coordorigin="1769,1282" coordsize="8894,2">
          <v:shape style="position:absolute;left:1769;top:1282;width:8894;height:2" coordorigin="1769,1282" coordsize="8894,0" path="m1769,1282l10663,1282e" filled="false" stroked="true" strokeweight=".72pt" strokecolor="#000000">
            <v:path arrowok="t"/>
          </v:shape>
          <w10:wrap type="none"/>
        </v:group>
      </w:pict>
    </w:r>
    <w:r>
      <w:rPr/>
      <w:pict>
        <v:shape style="position:absolute;margin-left:369.630005pt;margin-top:51.385609pt;width:162pt;height:12pt;mso-position-horizontal-relative:page;mso-position-vertical-relative:page;z-index:-7917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 </w:t>
                </w: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07.980003pt;margin-top:52.369984pt;width:29.4pt;height:11pt;mso-position-horizontal-relative:page;mso-position-vertical-relative:page;z-index:-7916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600986</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spacing w:before="20"/>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3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mailto:jiangzhitao@dkc.cn" TargetMode="External"/><Relationship Id="rId9" Type="http://schemas.openxmlformats.org/officeDocument/2006/relationships/hyperlink" Target="mailto:sunbin881226@126.com" TargetMode="External"/><Relationship Id="rId10" Type="http://schemas.openxmlformats.org/officeDocument/2006/relationships/hyperlink" Target="http://www.keda-group.com/" TargetMode="External"/><Relationship Id="rId11" Type="http://schemas.openxmlformats.org/officeDocument/2006/relationships/hyperlink" Target="mailto:keda@keda-group.com" TargetMode="External"/><Relationship Id="rId12" Type="http://schemas.openxmlformats.org/officeDocument/2006/relationships/hyperlink" Target="http://www.sse.com.cn/"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image" Target="media/image5.png"/><Relationship Id="rId28" Type="http://schemas.openxmlformats.org/officeDocument/2006/relationships/footer" Target="footer14.xml"/><Relationship Id="rId29" Type="http://schemas.openxmlformats.org/officeDocument/2006/relationships/image" Target="media/image6.png"/><Relationship Id="rId30" Type="http://schemas.openxmlformats.org/officeDocument/2006/relationships/header" Target="header2.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header" Target="header3.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header" Target="header4.xml"/><Relationship Id="rId40" Type="http://schemas.openxmlformats.org/officeDocument/2006/relationships/footer" Target="footer22.xml"/><Relationship Id="rId41" Type="http://schemas.openxmlformats.org/officeDocument/2006/relationships/header" Target="header5.xml"/><Relationship Id="rId42" Type="http://schemas.openxmlformats.org/officeDocument/2006/relationships/footer" Target="footer23.xml"/><Relationship Id="rId43" Type="http://schemas.openxmlformats.org/officeDocument/2006/relationships/footer" Target="footer24.xml"/><Relationship Id="rId44" Type="http://schemas.openxmlformats.org/officeDocument/2006/relationships/footer" Target="footer25.xm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footer" Target="footer30.xml"/><Relationship Id="rId50" Type="http://schemas.openxmlformats.org/officeDocument/2006/relationships/footer" Target="footer31.xml"/><Relationship Id="rId51" Type="http://schemas.openxmlformats.org/officeDocument/2006/relationships/footer" Target="footer32.xml"/><Relationship Id="rId52" Type="http://schemas.openxmlformats.org/officeDocument/2006/relationships/footer" Target="footer33.xml"/><Relationship Id="rId53" Type="http://schemas.openxmlformats.org/officeDocument/2006/relationships/footer" Target="footer34.xml"/><Relationship Id="rId54" Type="http://schemas.openxmlformats.org/officeDocument/2006/relationships/footer" Target="footer35.xml"/><Relationship Id="rId55" Type="http://schemas.openxmlformats.org/officeDocument/2006/relationships/footer" Target="footer36.xml"/><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footer" Target="footer40.xml"/><Relationship Id="rId60" Type="http://schemas.openxmlformats.org/officeDocument/2006/relationships/footer" Target="footer41.xml"/><Relationship Id="rId61" Type="http://schemas.openxmlformats.org/officeDocument/2006/relationships/footer" Target="footer4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2020-05-04T20:50:49Z</dcterms:created>
  <dcterms:modified xsi:type="dcterms:W3CDTF">2020-05-04T20:50:49Z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2016-03-11T00:00:00Z</vt:filetime>
  </property>
  <property fmtid="{D5CDD505-2E9C-101B-9397-08002B2CF9AE}" pid="3" name="Creator">
    <vt:lpwstr>Microsoft® Office Word 2007</vt:lpwstr>
  </property>
  <property fmtid="{D5CDD505-2E9C-101B-9397-08002B2CF9AE}" pid="4" name="LastSaved">
    <vt:filetime>2020-05-04T00:00:00Z</vt:filetime>
  </property>
</Properties>
</file>