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6.xml" ContentType="application/vnd.openxmlformats-officedocument.wordprocessingml.header+xml"/>
  <Override PartName="/word/footer50.xml" ContentType="application/vnd.openxmlformats-officedocument.wordprocessingml.footer+xml"/>
  <Override PartName="/word/header7.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8.xml" ContentType="application/vnd.openxmlformats-officedocument.wordprocessingml.header+xml"/>
  <Override PartName="/word/footer56.xml" ContentType="application/vnd.openxmlformats-officedocument.wordprocessingml.footer+xml"/>
  <Override PartName="/word/header9.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BodyText"/>
        <w:tabs>
          <w:tab w:pos="5886" w:val="left" w:leader="none"/>
        </w:tabs>
        <w:spacing w:line="240" w:lineRule="auto"/>
        <w:ind w:left="5" w:right="0"/>
        <w:jc w:val="center"/>
      </w:pPr>
      <w:r>
        <w:rPr>
          <w:spacing w:val="-1"/>
        </w:rPr>
        <w:t>公司代码：</w:t>
      </w:r>
      <w:r>
        <w:rPr>
          <w:rFonts w:ascii="宋体" w:hAnsi="宋体" w:cs="宋体" w:eastAsia="宋体" w:hint="default"/>
          <w:spacing w:val="-1"/>
        </w:rPr>
        <w:t>601108</w:t>
        <w:tab/>
      </w:r>
      <w:r>
        <w:rPr>
          <w:spacing w:val="-1"/>
        </w:rPr>
        <w:t>公司简称：财通证券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0"/>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财通证券股份有限公司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3"/>
          <w:szCs w:val="23"/>
        </w:rPr>
      </w:pPr>
    </w:p>
    <w:p>
      <w:pPr>
        <w:spacing w:line="4396" w:lineRule="exact"/>
        <w:ind w:left="167" w:right="0" w:firstLine="0"/>
        <w:rPr>
          <w:rFonts w:ascii="黑体" w:hAnsi="黑体" w:cs="黑体" w:eastAsia="黑体" w:hint="default"/>
          <w:sz w:val="20"/>
          <w:szCs w:val="20"/>
        </w:rPr>
      </w:pPr>
      <w:r>
        <w:rPr>
          <w:rFonts w:ascii="黑体" w:hAnsi="黑体" w:cs="黑体" w:eastAsia="黑体" w:hint="default"/>
          <w:position w:val="-87"/>
          <w:sz w:val="20"/>
          <w:szCs w:val="20"/>
        </w:rPr>
        <w:drawing>
          <wp:inline distT="0" distB="0" distL="0" distR="0">
            <wp:extent cx="5571883" cy="27916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571883" cy="2791682"/>
                    </a:xfrm>
                    <a:prstGeom prst="rect">
                      <a:avLst/>
                    </a:prstGeom>
                  </pic:spPr>
                </pic:pic>
              </a:graphicData>
            </a:graphic>
          </wp:inline>
        </w:drawing>
      </w:r>
      <w:r>
        <w:rPr>
          <w:rFonts w:ascii="黑体" w:hAnsi="黑体" w:cs="黑体" w:eastAsia="黑体" w:hint="default"/>
          <w:position w:val="-87"/>
          <w:sz w:val="20"/>
          <w:szCs w:val="20"/>
        </w:rPr>
      </w:r>
    </w:p>
    <w:p>
      <w:pPr>
        <w:spacing w:after="0" w:line="4396"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3341" w:right="3418"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5"/>
        <w:spacing w:line="355" w:lineRule="auto"/>
        <w:ind w:left="558" w:right="208"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208"/>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5"/>
        <w:spacing w:line="240" w:lineRule="auto" w:before="145"/>
        <w:ind w:right="20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6"/>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5"/>
        <w:tabs>
          <w:tab w:pos="5200" w:val="left" w:leader="none"/>
        </w:tabs>
        <w:spacing w:line="355" w:lineRule="auto" w:before="143"/>
        <w:ind w:left="558" w:right="208" w:hanging="420"/>
        <w:jc w:val="left"/>
        <w:rPr>
          <w:b w:val="0"/>
          <w:bCs w:val="0"/>
        </w:rPr>
      </w:pPr>
      <w:r>
        <w:rPr>
          <w:spacing w:val="-1"/>
        </w:rPr>
        <w:t>三、公司负责人陆建强、主管会计工作负责人王跃军</w:t>
        <w:tab/>
      </w:r>
      <w:r>
        <w:rPr>
          <w:spacing w:val="-2"/>
        </w:rPr>
        <w:t>及会计机构负责人（会计主管人员）王跃</w:t>
      </w:r>
      <w:r>
        <w:rPr>
          <w:spacing w:val="-91"/>
        </w:rPr>
        <w:t> </w:t>
      </w:r>
      <w:r>
        <w:rPr>
          <w:spacing w:val="-91"/>
        </w:rPr>
      </w:r>
      <w:r>
        <w:rPr/>
        <w:t>军声明：保证年度报告中财务报告的真实、准确、完整。</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208"/>
        <w:jc w:val="left"/>
        <w:rPr>
          <w:b w:val="0"/>
          <w:bCs w:val="0"/>
        </w:rPr>
      </w:pPr>
      <w:r>
        <w:rPr/>
        <w:t>四、</w:t>
      </w:r>
      <w:r>
        <w:rPr>
          <w:spacing w:val="-41"/>
        </w:rPr>
        <w:t> </w:t>
      </w:r>
      <w:r>
        <w:rPr/>
        <w:t>经董事会审议的报告期利润分配预案或公积金转增股本预案</w:t>
      </w:r>
      <w:r>
        <w:rPr>
          <w:b w:val="0"/>
          <w:bCs w:val="0"/>
        </w:rPr>
      </w:r>
    </w:p>
    <w:p>
      <w:pPr>
        <w:pStyle w:val="BodyText"/>
        <w:spacing w:line="240" w:lineRule="auto" w:before="135"/>
        <w:ind w:left="558" w:right="208"/>
        <w:jc w:val="left"/>
      </w:pPr>
      <w:r>
        <w:rPr/>
        <w:t>公司</w:t>
      </w:r>
      <w:r>
        <w:rPr>
          <w:spacing w:val="-39"/>
        </w:rPr>
        <w:t> </w:t>
      </w:r>
      <w:r>
        <w:rPr>
          <w:rFonts w:ascii="宋体" w:hAnsi="宋体" w:cs="宋体" w:eastAsia="宋体" w:hint="default"/>
        </w:rPr>
        <w:t>2018</w:t>
      </w:r>
      <w:r>
        <w:rPr>
          <w:rFonts w:ascii="宋体" w:hAnsi="宋体" w:cs="宋体" w:eastAsia="宋体" w:hint="default"/>
          <w:spacing w:val="-41"/>
        </w:rPr>
        <w:t> </w:t>
      </w:r>
      <w:r>
        <w:rPr>
          <w:spacing w:val="2"/>
        </w:rPr>
        <w:t>年度利润分配预案为：</w:t>
      </w:r>
      <w:r>
        <w:rPr>
          <w:spacing w:val="34"/>
        </w:rPr>
        <w:t> </w:t>
      </w:r>
      <w:r>
        <w:rPr>
          <w:rFonts w:ascii="宋体" w:hAnsi="宋体" w:cs="宋体" w:eastAsia="宋体" w:hint="default"/>
        </w:rPr>
        <w:t>2018</w:t>
      </w:r>
      <w:r>
        <w:rPr>
          <w:rFonts w:ascii="宋体" w:hAnsi="宋体" w:cs="宋体" w:eastAsia="宋体" w:hint="default"/>
          <w:spacing w:val="-41"/>
        </w:rPr>
        <w:t> </w:t>
      </w:r>
      <w:r>
        <w:rPr>
          <w:spacing w:val="2"/>
        </w:rPr>
        <w:t>年度利润分配采用现金分红方式，以总股本</w:t>
      </w:r>
    </w:p>
    <w:p>
      <w:pPr>
        <w:pStyle w:val="BodyText"/>
        <w:spacing w:line="240" w:lineRule="auto" w:before="133"/>
        <w:ind w:right="0"/>
        <w:jc w:val="left"/>
      </w:pPr>
      <w:r>
        <w:rPr>
          <w:rFonts w:ascii="宋体" w:hAnsi="宋体" w:cs="宋体" w:eastAsia="宋体" w:hint="default"/>
        </w:rPr>
        <w:t>3,589,000,000</w:t>
      </w:r>
      <w:r>
        <w:rPr>
          <w:rFonts w:ascii="宋体" w:hAnsi="宋体" w:cs="宋体" w:eastAsia="宋体" w:hint="default"/>
          <w:spacing w:val="-33"/>
        </w:rPr>
        <w:t> </w:t>
      </w:r>
      <w:r>
        <w:rPr>
          <w:spacing w:val="2"/>
        </w:rPr>
        <w:t>股为基数，向全体股东每</w:t>
      </w:r>
      <w:r>
        <w:rPr>
          <w:spacing w:val="-29"/>
        </w:rPr>
        <w:t> </w:t>
      </w:r>
      <w:r>
        <w:rPr>
          <w:rFonts w:ascii="宋体" w:hAnsi="宋体" w:cs="宋体" w:eastAsia="宋体" w:hint="default"/>
        </w:rPr>
        <w:t>10</w:t>
      </w:r>
      <w:r>
        <w:rPr>
          <w:rFonts w:ascii="宋体" w:hAnsi="宋体" w:cs="宋体" w:eastAsia="宋体" w:hint="default"/>
          <w:spacing w:val="-37"/>
        </w:rPr>
        <w:t> </w:t>
      </w:r>
      <w:r>
        <w:rPr/>
        <w:t>股派发现金红利</w:t>
      </w:r>
      <w:r>
        <w:rPr>
          <w:spacing w:val="-27"/>
        </w:rPr>
        <w:t> </w:t>
      </w:r>
      <w:r>
        <w:rPr>
          <w:rFonts w:ascii="宋体" w:hAnsi="宋体" w:cs="宋体" w:eastAsia="宋体" w:hint="default"/>
        </w:rPr>
        <w:t>0.7</w:t>
      </w:r>
      <w:r>
        <w:rPr>
          <w:rFonts w:ascii="宋体" w:hAnsi="宋体" w:cs="宋体" w:eastAsia="宋体" w:hint="default"/>
          <w:spacing w:val="-37"/>
        </w:rPr>
        <w:t> </w:t>
      </w:r>
      <w:r>
        <w:rPr>
          <w:spacing w:val="2"/>
        </w:rPr>
        <w:t>元（含税），共派发现金红利</w:t>
      </w:r>
    </w:p>
    <w:p>
      <w:pPr>
        <w:pStyle w:val="BodyText"/>
        <w:spacing w:line="240" w:lineRule="auto" w:before="133"/>
        <w:ind w:right="208"/>
        <w:jc w:val="left"/>
      </w:pPr>
      <w:r>
        <w:rPr>
          <w:rFonts w:ascii="宋体" w:hAnsi="宋体" w:cs="宋体" w:eastAsia="宋体" w:hint="default"/>
        </w:rPr>
        <w:t>251,230,000.00</w:t>
      </w:r>
      <w:r>
        <w:rPr>
          <w:rFonts w:ascii="宋体" w:hAnsi="宋体" w:cs="宋体" w:eastAsia="宋体" w:hint="default"/>
          <w:spacing w:val="-18"/>
        </w:rPr>
        <w:t> </w:t>
      </w:r>
      <w:r>
        <w:rPr/>
        <w:t>元。</w:t>
      </w:r>
    </w:p>
    <w:p>
      <w:pPr>
        <w:pStyle w:val="BodyText"/>
        <w:spacing w:line="355" w:lineRule="auto" w:before="133"/>
        <w:ind w:right="0" w:firstLine="427"/>
        <w:jc w:val="left"/>
      </w:pPr>
      <w:r>
        <w:rPr>
          <w:spacing w:val="2"/>
        </w:rPr>
        <w:t>上述预案已经公司第二届董事会第十八次会议审议通过，将提交 </w:t>
      </w:r>
      <w:r>
        <w:rPr>
          <w:rFonts w:ascii="宋体" w:hAnsi="宋体" w:cs="宋体" w:eastAsia="宋体" w:hint="default"/>
        </w:rPr>
        <w:t>2018</w:t>
      </w:r>
      <w:r>
        <w:rPr>
          <w:rFonts w:ascii="宋体" w:hAnsi="宋体" w:cs="宋体" w:eastAsia="宋体" w:hint="default"/>
          <w:spacing w:val="-13"/>
        </w:rPr>
        <w:t> </w:t>
      </w:r>
      <w:r>
        <w:rPr>
          <w:spacing w:val="3"/>
        </w:rPr>
        <w:t>年度股东大会审议，</w:t>
      </w:r>
      <w:r>
        <w:rPr>
          <w:w w:val="100"/>
        </w:rPr>
        <w:t> </w:t>
      </w:r>
      <w:r>
        <w:rPr/>
        <w:t>待股东大会审议通过后实施。</w:t>
      </w:r>
    </w:p>
    <w:p>
      <w:pPr>
        <w:pStyle w:val="Heading5"/>
        <w:spacing w:line="240" w:lineRule="auto" w:before="34"/>
        <w:ind w:right="208"/>
        <w:jc w:val="left"/>
        <w:rPr>
          <w:b w:val="0"/>
          <w:bCs w:val="0"/>
        </w:rPr>
      </w:pPr>
      <w:r>
        <w:rPr/>
        <w:t>五、</w:t>
      </w:r>
      <w:r>
        <w:rPr>
          <w:spacing w:val="-24"/>
        </w:rPr>
        <w:t> </w:t>
      </w:r>
      <w:r>
        <w:rPr/>
        <w:t>前瞻性陈述的风险声明</w:t>
      </w:r>
      <w:r>
        <w:rPr>
          <w:b w:val="0"/>
          <w:bCs w:val="0"/>
        </w:rPr>
      </w:r>
    </w:p>
    <w:p>
      <w:pPr>
        <w:pStyle w:val="BodyText"/>
        <w:spacing w:line="355" w:lineRule="auto" w:before="133"/>
        <w:ind w:left="558" w:right="208" w:hanging="420"/>
        <w:jc w:val="left"/>
      </w:pPr>
      <w:r>
        <w:rPr/>
        <w:t>√适用</w:t>
      </w:r>
      <w:r>
        <w:rPr>
          <w:spacing w:val="-2"/>
        </w:rPr>
        <w:t> </w:t>
      </w:r>
      <w:r>
        <w:rPr/>
        <w:t>□不适用</w:t>
      </w:r>
      <w:r>
        <w:rPr>
          <w:w w:val="100"/>
        </w:rPr>
        <w:t> </w:t>
      </w:r>
      <w:r>
        <w:rPr>
          <w:spacing w:val="-2"/>
        </w:rPr>
        <w:t>本报告中所涉及的未来计划、发展战略等前瞻性陈述不构成公司对投资者的实质承诺，敬请</w:t>
      </w:r>
    </w:p>
    <w:p>
      <w:pPr>
        <w:pStyle w:val="BodyText"/>
        <w:spacing w:line="240" w:lineRule="auto" w:before="32"/>
        <w:ind w:right="208"/>
        <w:jc w:val="left"/>
      </w:pPr>
      <w:r>
        <w:rPr/>
        <w:t>投资者注意投资风险。</w:t>
      </w:r>
    </w:p>
    <w:p>
      <w:pPr>
        <w:spacing w:line="240" w:lineRule="auto" w:before="0"/>
        <w:rPr>
          <w:rFonts w:ascii="宋体" w:hAnsi="宋体" w:cs="宋体" w:eastAsia="宋体" w:hint="default"/>
          <w:sz w:val="20"/>
          <w:szCs w:val="20"/>
        </w:rPr>
      </w:pPr>
    </w:p>
    <w:p>
      <w:pPr>
        <w:pStyle w:val="Heading5"/>
        <w:spacing w:line="355" w:lineRule="auto" w:before="145"/>
        <w:ind w:right="3547"/>
        <w:jc w:val="left"/>
        <w:rPr>
          <w:rFonts w:ascii="宋体" w:hAnsi="宋体" w:cs="宋体" w:eastAsia="宋体" w:hint="default"/>
          <w:b w:val="0"/>
          <w:bCs w:val="0"/>
        </w:rPr>
      </w:pPr>
      <w:r>
        <w:rPr/>
        <w:t>六、是否存在被控股股东及其关联方非经营性占用资金情况</w:t>
      </w:r>
      <w:r>
        <w:rPr>
          <w:spacing w:val="-97"/>
        </w:rPr>
        <w:t> </w:t>
      </w:r>
      <w:r>
        <w:rPr>
          <w:spacing w:val="-97"/>
        </w:rPr>
      </w:r>
      <w:r>
        <w:rPr>
          <w:rFonts w:ascii="宋体" w:hAnsi="宋体" w:cs="宋体" w:eastAsia="宋体" w:hint="default"/>
          <w:b w:val="0"/>
          <w:bCs w:val="0"/>
        </w:rPr>
        <w:t>否</w:t>
      </w:r>
    </w:p>
    <w:p>
      <w:pPr>
        <w:pStyle w:val="Heading5"/>
        <w:tabs>
          <w:tab w:pos="781" w:val="left" w:leader="none"/>
        </w:tabs>
        <w:spacing w:line="355" w:lineRule="auto" w:before="169"/>
        <w:ind w:right="3763"/>
        <w:jc w:val="left"/>
        <w:rPr>
          <w:rFonts w:ascii="宋体" w:hAnsi="宋体" w:cs="宋体" w:eastAsia="宋体" w:hint="default"/>
          <w:b w:val="0"/>
          <w:bCs w:val="0"/>
        </w:rPr>
      </w:pPr>
      <w:r>
        <w:rPr/>
        <w:t>七、</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tabs>
          <w:tab w:pos="781" w:val="left" w:leader="none"/>
        </w:tabs>
        <w:spacing w:line="357" w:lineRule="auto" w:before="169"/>
        <w:ind w:left="618" w:right="208" w:hanging="480"/>
        <w:jc w:val="left"/>
        <w:rPr>
          <w:rFonts w:ascii="宋体" w:hAnsi="宋体" w:cs="宋体" w:eastAsia="宋体" w:hint="default"/>
          <w:sz w:val="21"/>
          <w:szCs w:val="21"/>
        </w:rPr>
      </w:pPr>
      <w:r>
        <w:rPr>
          <w:rFonts w:ascii="宋体" w:hAnsi="宋体" w:cs="宋体" w:eastAsia="宋体" w:hint="default"/>
          <w:b/>
          <w:bCs/>
          <w:sz w:val="21"/>
          <w:szCs w:val="21"/>
        </w:rPr>
        <w:t>八、</w:t>
        <w:tab/>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公司在经营过程中面临的主要风险包括市场风险、信用风险、流动性风险、操作风险及信息</w:t>
      </w:r>
    </w:p>
    <w:p>
      <w:pPr>
        <w:pStyle w:val="BodyText"/>
        <w:spacing w:line="357" w:lineRule="auto" w:before="30"/>
        <w:ind w:right="217"/>
        <w:jc w:val="both"/>
      </w:pPr>
      <w:r>
        <w:rPr>
          <w:spacing w:val="-2"/>
        </w:rPr>
        <w:t>技术风险等，具体体现为：因整体经济及外部环境影响，如宏观经济及货币政策、监管市场价格</w:t>
      </w:r>
      <w:r>
        <w:rPr>
          <w:spacing w:val="-25"/>
        </w:rPr>
        <w:t> </w:t>
      </w:r>
      <w:r>
        <w:rPr>
          <w:spacing w:val="-25"/>
        </w:rPr>
      </w:r>
      <w:r>
        <w:rPr>
          <w:spacing w:val="-2"/>
        </w:rPr>
        <w:t>的不利变动而使公司可能发生损失的风险；证券发行人、交易对手、债务人未能履行合同所规定</w:t>
      </w:r>
      <w:r>
        <w:rPr>
          <w:spacing w:val="-25"/>
        </w:rPr>
        <w:t> </w:t>
      </w:r>
      <w:r>
        <w:rPr>
          <w:spacing w:val="-25"/>
        </w:rPr>
      </w:r>
      <w:r>
        <w:rPr>
          <w:spacing w:val="-2"/>
        </w:rPr>
        <w:t>的义务或由于信用评级的变动、履约能力的变化导致债务的市场价值变动，从而对公司造成损失</w:t>
      </w:r>
      <w:r>
        <w:rPr>
          <w:spacing w:val="-25"/>
        </w:rPr>
        <w:t> </w:t>
      </w:r>
      <w:r>
        <w:rPr>
          <w:spacing w:val="-25"/>
        </w:rPr>
      </w:r>
      <w:r>
        <w:rPr>
          <w:spacing w:val="-2"/>
        </w:rPr>
        <w:t>的风险；公司无法以合理成本及时获得充足资金，以偿付到期债务、履行其他支付义务和满足正</w:t>
      </w:r>
      <w:r>
        <w:rPr>
          <w:spacing w:val="-25"/>
        </w:rPr>
        <w:t> </w:t>
      </w:r>
      <w:r>
        <w:rPr>
          <w:spacing w:val="-25"/>
        </w:rPr>
      </w:r>
      <w:r>
        <w:rPr>
          <w:spacing w:val="-2"/>
        </w:rPr>
        <w:t>常业务开展的资金需求的风险；由于内部制度流程失效、员工行为不当、信息技术风险，以及外</w:t>
      </w:r>
    </w:p>
    <w:p>
      <w:pPr>
        <w:spacing w:after="0" w:line="35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right="0"/>
        <w:jc w:val="left"/>
      </w:pPr>
      <w:r>
        <w:rPr>
          <w:spacing w:val="-2"/>
        </w:rPr>
        <w:t>部事件影响所造成损失的风险；及因公司经营、管理及其他行为或外部事件导致对公司声誉产生</w:t>
      </w:r>
      <w:r>
        <w:rPr>
          <w:spacing w:val="-26"/>
        </w:rPr>
        <w:t> </w:t>
      </w:r>
      <w:r>
        <w:rPr>
          <w:spacing w:val="-26"/>
        </w:rPr>
      </w:r>
      <w:r>
        <w:rPr/>
        <w:t>负面评价的风险等。</w:t>
      </w:r>
    </w:p>
    <w:p>
      <w:pPr>
        <w:pStyle w:val="BodyText"/>
        <w:spacing w:line="355" w:lineRule="auto" w:before="30"/>
        <w:ind w:right="137" w:firstLine="419"/>
        <w:jc w:val="both"/>
      </w:pPr>
      <w:r>
        <w:rPr>
          <w:spacing w:val="-2"/>
        </w:rPr>
        <w:t>公司建立了有效的内部控制体系、合规管理体系和动态的风险控制指标监管体系，以确保公</w:t>
      </w:r>
      <w:r>
        <w:rPr>
          <w:w w:val="100"/>
        </w:rPr>
        <w:t> </w:t>
      </w:r>
      <w:r>
        <w:rPr>
          <w:spacing w:val="-2"/>
        </w:rPr>
        <w:t>司经营在风险可测、可控、可承受的范围内开展。有关公司经营面临的风险，敬请投资者认真阅</w:t>
      </w:r>
      <w:r>
        <w:rPr>
          <w:spacing w:val="-25"/>
        </w:rPr>
        <w:t> </w:t>
      </w:r>
      <w:r>
        <w:rPr>
          <w:spacing w:val="-25"/>
        </w:rPr>
      </w:r>
      <w:r>
        <w:rPr/>
        <w:t>读本报告第四节</w:t>
      </w:r>
      <w:r>
        <w:rPr>
          <w:rFonts w:ascii="Calibri" w:hAnsi="Calibri" w:cs="Calibri" w:eastAsia="Calibri" w:hint="default"/>
        </w:rPr>
        <w:t>“</w:t>
      </w:r>
      <w:r>
        <w:rPr/>
        <w:t>经营情况的讨论与分析</w:t>
      </w:r>
      <w:r>
        <w:rPr>
          <w:rFonts w:ascii="Calibri" w:hAnsi="Calibri" w:cs="Calibri" w:eastAsia="Calibri" w:hint="default"/>
        </w:rPr>
        <w:t>”</w:t>
      </w:r>
      <w:r>
        <w:rPr/>
        <w:t>的相关内容。</w:t>
      </w:r>
    </w:p>
    <w:p>
      <w:pPr>
        <w:spacing w:line="240" w:lineRule="auto" w:before="1"/>
        <w:rPr>
          <w:rFonts w:ascii="宋体" w:hAnsi="宋体" w:cs="宋体" w:eastAsia="宋体" w:hint="default"/>
          <w:sz w:val="22"/>
          <w:szCs w:val="22"/>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357" w:lineRule="auto" w:before="160"/>
        <w:ind w:left="558" w:right="0" w:hanging="420"/>
        <w:jc w:val="left"/>
      </w:pPr>
      <w:r>
        <w:rPr/>
        <w:t>√适用</w:t>
      </w:r>
      <w:r>
        <w:rPr>
          <w:spacing w:val="-2"/>
        </w:rPr>
        <w:t> </w:t>
      </w:r>
      <w:r>
        <w:rPr/>
        <w:t>□不适用</w:t>
      </w:r>
      <w:r>
        <w:rPr>
          <w:w w:val="100"/>
        </w:rPr>
        <w:t> </w:t>
      </w:r>
      <w:r>
        <w:rPr>
          <w:spacing w:val="-2"/>
        </w:rPr>
        <w:t>本报告中若出现总数与各分项数值之和尾数有不符的情况，均系四舍五入原因造成。</w:t>
      </w:r>
    </w:p>
    <w:p>
      <w:pPr>
        <w:spacing w:after="0" w:line="357" w:lineRule="auto"/>
        <w:jc w:val="left"/>
        <w:sectPr>
          <w:pgSz w:w="11910" w:h="16840"/>
          <w:pgMar w:header="880" w:footer="1195" w:top="1120" w:bottom="1380" w:left="1660" w:right="1140"/>
        </w:sectPr>
      </w:pPr>
    </w:p>
    <w:p>
      <w:pPr>
        <w:spacing w:line="240" w:lineRule="auto" w:before="3"/>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56.2pt;height:.75pt;mso-position-horizontal-relative:char;mso-position-vertical-relative:line" coordorigin="0,0" coordsize="9124,15">
            <v:group style="position:absolute;left:7;top:7;width:9110;height:2" coordorigin="7,7" coordsize="9110,2">
              <v:shape style="position:absolute;left:7;top:7;width:9110;height:2" coordorigin="7,7" coordsize="9110,0" path="m7,7l911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0"/>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8" w:val="left" w:leader="none"/>
              <w:tab w:pos="8962" w:val="right" w:leader="dot"/>
            </w:tabs>
            <w:spacing w:line="240" w:lineRule="auto" w:before="22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第三节</w:t>
              <w:tab/>
              <w:t>公司业务概要</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tab/>
              <w:t>经营情况讨论与分析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tab/>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tab/>
              <w:t>普通股股份变动及股东情况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before="120"/>
            <w:ind w:right="0"/>
            <w:jc w:val="left"/>
            <w:rPr>
              <w:rFonts w:ascii="Times New Roman" w:hAnsi="Times New Roman" w:cs="Times New Roman" w:eastAsia="Times New Roman" w:hint="default"/>
              <w:b w:val="0"/>
              <w:bCs w:val="0"/>
            </w:rPr>
          </w:pPr>
          <w:hyperlink w:history="true" w:anchor="_TOC_250006">
            <w:r>
              <w:rPr/>
              <w:t>第七节</w:t>
              <w:tab/>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tab/>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tab/>
              <w:t>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tab/>
              <w:t>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398" w:val="left" w:leader="none"/>
              <w:tab w:pos="8965"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tab/>
              <w:t>财务报告</w:t>
            </w:r>
            <w:r>
              <w:rPr>
                <w:rFonts w:ascii="Times New Roman" w:hAnsi="Times New Roman" w:cs="Times New Roman" w:eastAsia="Times New Roman" w:hint="default"/>
              </w:rPr>
              <w:tab/>
              <w:t>101</w:t>
            </w:r>
            <w:r>
              <w:rPr>
                <w:rFonts w:ascii="Times New Roman" w:hAnsi="Times New Roman" w:cs="Times New Roman" w:eastAsia="Times New Roman" w:hint="default"/>
                <w:b w:val="0"/>
                <w:bCs w:val="0"/>
              </w:rPr>
            </w:r>
          </w:hyperlink>
        </w:p>
        <w:p>
          <w:pPr>
            <w:pStyle w:val="TOC1"/>
            <w:tabs>
              <w:tab w:pos="1398" w:val="left" w:leader="none"/>
              <w:tab w:pos="8965"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第十二节</w:t>
              <w:tab/>
              <w:t>备查文件目录</w:t>
            </w:r>
            <w:r>
              <w:rPr>
                <w:rFonts w:ascii="Times New Roman" w:hAnsi="Times New Roman" w:cs="Times New Roman" w:eastAsia="Times New Roman" w:hint="default"/>
              </w:rPr>
              <w:tab/>
              <w:t>221</w:t>
            </w:r>
            <w:r>
              <w:rPr>
                <w:rFonts w:ascii="Times New Roman" w:hAnsi="Times New Roman" w:cs="Times New Roman" w:eastAsia="Times New Roman" w:hint="default"/>
                <w:b w:val="0"/>
                <w:bCs w:val="0"/>
              </w:rPr>
            </w:r>
          </w:hyperlink>
        </w:p>
        <w:p>
          <w:pPr>
            <w:pStyle w:val="TOC1"/>
            <w:tabs>
              <w:tab w:pos="1398" w:val="left" w:leader="none"/>
              <w:tab w:pos="8965"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tab/>
              <w:t>证券公司信息披露</w:t>
            </w:r>
            <w:r>
              <w:rPr>
                <w:rFonts w:ascii="Times New Roman" w:hAnsi="Times New Roman" w:cs="Times New Roman" w:eastAsia="Times New Roman" w:hint="default"/>
              </w:rPr>
              <w:tab/>
              <w:t>221</w:t>
            </w:r>
            <w:r>
              <w:rPr>
                <w:rFonts w:ascii="Times New Roman" w:hAnsi="Times New Roman" w:cs="Times New Roman" w:eastAsia="Times New Roman" w:hint="default"/>
                <w:b w:val="0"/>
                <w:bCs w:val="0"/>
              </w:rPr>
            </w:r>
          </w:hyperlink>
        </w:p>
        <w:p>
          <w:pPr/>
          <w:r>
            <w:fldChar w:fldCharType="end"/>
          </w:r>
        </w:p>
      </w:sdtContent>
    </w:sdt>
    <w:p>
      <w:pPr>
        <w:spacing w:after="0"/>
        <w:sectPr>
          <w:footerReference w:type="default" r:id="rId8"/>
          <w:pgSz w:w="11910" w:h="16840"/>
          <w:pgMar w:footer="1195" w:header="880" w:top="1060" w:bottom="1380" w:left="1280" w:right="1280"/>
          <w:pgNumType w:start="4"/>
        </w:sectPr>
      </w:pPr>
    </w:p>
    <w:p>
      <w:pPr>
        <w:pStyle w:val="Heading1"/>
        <w:tabs>
          <w:tab w:pos="1321" w:val="left" w:leader="none"/>
        </w:tabs>
        <w:spacing w:line="240" w:lineRule="auto" w:before="396"/>
        <w:ind w:left="61" w:right="0"/>
        <w:jc w:val="center"/>
        <w:rPr>
          <w:b w:val="0"/>
          <w:bCs w:val="0"/>
        </w:rPr>
      </w:pPr>
      <w:bookmarkStart w:name="_TOC_250012" w:id="1"/>
      <w:r>
        <w:rPr>
          <w:w w:val="95"/>
        </w:rPr>
        <w:t>第一节</w:t>
        <w:tab/>
      </w:r>
      <w:r>
        <w:rPr/>
        <w:t>释义</w:t>
      </w:r>
      <w:bookmarkEnd w:id="1"/>
      <w:r>
        <w:rPr>
          <w:b w:val="0"/>
          <w:bCs w:val="0"/>
        </w:rPr>
      </w:r>
    </w:p>
    <w:p>
      <w:pPr>
        <w:pStyle w:val="BodyText"/>
        <w:spacing w:line="290" w:lineRule="auto" w:before="253"/>
        <w:ind w:left="218" w:right="262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6" w:type="dxa"/>
        <w:tblLayout w:type="fixed"/>
        <w:tblCellMar>
          <w:top w:w="0" w:type="dxa"/>
          <w:left w:w="0" w:type="dxa"/>
          <w:bottom w:w="0" w:type="dxa"/>
          <w:right w:w="0" w:type="dxa"/>
        </w:tblCellMar>
        <w:tblLook w:val="01E0"/>
      </w:tblPr>
      <w:tblGrid>
        <w:gridCol w:w="3017"/>
        <w:gridCol w:w="1769"/>
        <w:gridCol w:w="4395"/>
      </w:tblGrid>
      <w:tr>
        <w:trPr>
          <w:trHeight w:val="283" w:hRule="exact"/>
        </w:trPr>
        <w:tc>
          <w:tcPr>
            <w:tcW w:w="9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财通证券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财通有限</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财通证券有限责任公司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财通经纪</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财通证券经纪有限责任公司，系财通有限前身</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浙江省财政厅</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浙江金控</w:t>
            </w:r>
            <w:r>
              <w:rPr>
                <w:rFonts w:ascii="宋体" w:hAnsi="宋体" w:cs="宋体" w:eastAsia="宋体" w:hint="default"/>
                <w:sz w:val="21"/>
                <w:szCs w:val="21"/>
              </w:rPr>
              <w:t>/</w:t>
            </w:r>
            <w:r>
              <w:rPr>
                <w:rFonts w:ascii="宋体" w:hAnsi="宋体" w:cs="宋体" w:eastAsia="宋体" w:hint="default"/>
                <w:sz w:val="21"/>
                <w:szCs w:val="21"/>
              </w:rPr>
              <w:t>控股股东</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浙江省金融控股有限公司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浙江财开</w:t>
            </w:r>
            <w:r>
              <w:rPr>
                <w:rFonts w:ascii="宋体" w:hAnsi="宋体" w:cs="宋体" w:eastAsia="宋体" w:hint="default"/>
                <w:sz w:val="21"/>
                <w:szCs w:val="21"/>
              </w:rPr>
              <w:t>/</w:t>
            </w:r>
            <w:r>
              <w:rPr>
                <w:rFonts w:ascii="宋体" w:hAnsi="宋体" w:cs="宋体" w:eastAsia="宋体" w:hint="default"/>
                <w:sz w:val="21"/>
                <w:szCs w:val="21"/>
              </w:rPr>
              <w:t>间接控股股东</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浙江省财务开发公司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天和证券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天和证券经纪有限公司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财通证券资产管理有限公司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浙江财通资本投资有限公司</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财通创新</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浙江财通创新投资有限公司</w:t>
            </w:r>
            <w:r>
              <w:rPr>
                <w:rFonts w:ascii="宋体" w:hAnsi="宋体" w:cs="宋体" w:eastAsia="宋体" w:hint="default"/>
                <w:spacing w:val="2"/>
                <w:sz w:val="21"/>
                <w:szCs w:val="21"/>
              </w:rPr>
              <w:t>/</w:t>
            </w:r>
            <w:r>
              <w:rPr>
                <w:rFonts w:ascii="宋体" w:hAnsi="宋体" w:cs="宋体" w:eastAsia="宋体" w:hint="default"/>
                <w:spacing w:val="2"/>
                <w:sz w:val="21"/>
                <w:szCs w:val="21"/>
              </w:rPr>
              <w:t>财通创新投资有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财通基金管理有限公司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财通香港</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财通证券（香港）有限公司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财通国际证券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财通国际证券有限责任公司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财通国际资产管理有限公司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财通国际投资</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财通国际投资有限公司</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财缘通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财缘通（上海）投资咨询有限公司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财通国际资本</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财通国际资本管理公司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浙江证监局</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中国证券监督管理委员会浙江监管局</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全国社保基金理事会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中华人民共和国全国社会保障基金理事会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w:t>
            </w:r>
            <w:r>
              <w:rPr>
                <w:rFonts w:ascii="宋体" w:hAnsi="宋体" w:cs="宋体" w:eastAsia="宋体" w:hint="default"/>
                <w:sz w:val="21"/>
                <w:szCs w:val="21"/>
              </w:rPr>
              <w:t>《公司法》</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w:t>
            </w:r>
            <w:r>
              <w:rPr>
                <w:rFonts w:ascii="宋体" w:hAnsi="宋体" w:cs="宋体" w:eastAsia="宋体" w:hint="default"/>
                <w:sz w:val="21"/>
                <w:szCs w:val="21"/>
              </w:rPr>
              <w:t>《证券法》</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《上海证券交易所上市规则》</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现行有效的《财通证券股份有限公司章程》</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财通证券股份有限公司董事会</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财通证券股份有限公司监事会</w:t>
            </w:r>
          </w:p>
        </w:tc>
      </w:tr>
    </w:tbl>
    <w:p>
      <w:pPr>
        <w:spacing w:line="240" w:lineRule="auto" w:before="7"/>
        <w:rPr>
          <w:rFonts w:ascii="宋体" w:hAnsi="宋体" w:cs="宋体" w:eastAsia="宋体" w:hint="default"/>
          <w:sz w:val="17"/>
          <w:szCs w:val="17"/>
        </w:rPr>
      </w:pPr>
    </w:p>
    <w:p>
      <w:pPr>
        <w:spacing w:before="0"/>
        <w:ind w:left="218" w:right="2625" w:firstLine="0"/>
        <w:jc w:val="left"/>
        <w:rPr>
          <w:rFonts w:ascii="宋体" w:hAnsi="宋体" w:cs="宋体" w:eastAsia="宋体" w:hint="default"/>
          <w:sz w:val="18"/>
          <w:szCs w:val="18"/>
        </w:rPr>
      </w:pPr>
      <w:r>
        <w:rPr>
          <w:rFonts w:ascii="宋体" w:hAnsi="宋体" w:cs="宋体" w:eastAsia="宋体" w:hint="default"/>
          <w:sz w:val="18"/>
          <w:szCs w:val="18"/>
        </w:rPr>
        <w:t>备注：浙江财通创新投资有限公司于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月更名为财通创新投资有限公司。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1"/>
        <w:tabs>
          <w:tab w:pos="3838" w:val="left" w:leader="none"/>
        </w:tabs>
        <w:spacing w:line="240" w:lineRule="auto"/>
        <w:ind w:left="2578" w:right="0"/>
        <w:jc w:val="left"/>
        <w:rPr>
          <w:b w:val="0"/>
          <w:bCs w:val="0"/>
        </w:rPr>
      </w:pPr>
      <w:bookmarkStart w:name="_TOC_250011" w:id="2"/>
      <w:r>
        <w:rPr>
          <w:w w:val="95"/>
        </w:rPr>
        <w:t>第二节</w:t>
        <w:tab/>
      </w:r>
      <w:r>
        <w:rPr/>
        <w:t>公司简介和主要财务指标</w:t>
      </w:r>
      <w:bookmarkEnd w:id="2"/>
      <w:r>
        <w:rPr>
          <w:b w:val="0"/>
          <w:bCs w:val="0"/>
        </w:rPr>
      </w:r>
    </w:p>
    <w:p>
      <w:pPr>
        <w:spacing w:line="240" w:lineRule="auto" w:before="4"/>
        <w:rPr>
          <w:rFonts w:ascii="黑体" w:hAnsi="黑体" w:cs="黑体" w:eastAsia="黑体" w:hint="default"/>
          <w:b/>
          <w:bCs/>
          <w:sz w:val="19"/>
          <w:szCs w:val="19"/>
        </w:rPr>
      </w:pPr>
    </w:p>
    <w:p>
      <w:pPr>
        <w:pStyle w:val="Heading5"/>
        <w:spacing w:line="240" w:lineRule="auto"/>
        <w:ind w:left="218" w:right="262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963"/>
        <w:gridCol w:w="5173"/>
      </w:tblGrid>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财通证券</w:t>
            </w:r>
          </w:p>
        </w:tc>
      </w:tr>
      <w:tr>
        <w:trPr>
          <w:trHeight w:val="303"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CAITONG SECURITIES</w:t>
            </w:r>
            <w:r>
              <w:rPr>
                <w:rFonts w:ascii="宋体"/>
                <w:spacing w:val="-2"/>
                <w:sz w:val="21"/>
              </w:rPr>
              <w:t> </w:t>
            </w:r>
            <w:r>
              <w:rPr>
                <w:rFonts w:ascii="宋体"/>
                <w:sz w:val="21"/>
              </w:rPr>
              <w:t>CO.,LTD.</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CAITONGSECURITIES</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陆建强</w:t>
            </w:r>
          </w:p>
        </w:tc>
      </w:tr>
    </w:tbl>
    <w:p>
      <w:pPr>
        <w:spacing w:after="0" w:line="241" w:lineRule="exact"/>
        <w:jc w:val="left"/>
        <w:rPr>
          <w:rFonts w:ascii="宋体" w:hAnsi="宋体" w:cs="宋体" w:eastAsia="宋体" w:hint="default"/>
          <w:sz w:val="21"/>
          <w:szCs w:val="21"/>
        </w:rPr>
        <w:sectPr>
          <w:pgSz w:w="11910" w:h="16840"/>
          <w:pgMar w:header="880" w:footer="1195" w:top="1060" w:bottom="1380" w:left="1200" w:right="126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82" w:type="dxa"/>
        <w:tblLayout w:type="fixed"/>
        <w:tblCellMar>
          <w:top w:w="0" w:type="dxa"/>
          <w:left w:w="0" w:type="dxa"/>
          <w:bottom w:w="0" w:type="dxa"/>
          <w:right w:w="0" w:type="dxa"/>
        </w:tblCellMar>
        <w:tblLook w:val="01E0"/>
      </w:tblPr>
      <w:tblGrid>
        <w:gridCol w:w="3963"/>
        <w:gridCol w:w="5173"/>
      </w:tblGrid>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公司总经理</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阮琪</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060" w:bottom="1380" w:left="1200" w:right="1180"/>
        </w:sectPr>
      </w:pPr>
    </w:p>
    <w:p>
      <w:pPr>
        <w:pStyle w:val="BodyText"/>
        <w:spacing w:line="273" w:lineRule="exact" w:before="36"/>
        <w:ind w:left="218" w:right="0"/>
        <w:jc w:val="left"/>
      </w:pPr>
      <w:r>
        <w:rPr>
          <w:spacing w:val="-2"/>
        </w:rPr>
        <w:t>公司注册资本和净资本</w:t>
      </w:r>
    </w:p>
    <w:p>
      <w:pPr>
        <w:pStyle w:val="BodyText"/>
        <w:tabs>
          <w:tab w:pos="1061" w:val="left" w:leader="none"/>
        </w:tabs>
        <w:spacing w:line="273" w:lineRule="exact"/>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200" w:right="1180"/>
          <w:cols w:num="2" w:equalWidth="0">
            <w:col w:w="2322" w:space="4440"/>
            <w:col w:w="276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91"/>
        <w:gridCol w:w="3068"/>
        <w:gridCol w:w="2631"/>
      </w:tblGrid>
      <w:tr>
        <w:trPr>
          <w:trHeight w:val="283"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本报告期末</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上年度末</w:t>
            </w:r>
          </w:p>
        </w:tc>
      </w:tr>
      <w:tr>
        <w:trPr>
          <w:trHeight w:val="28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3,589,000,000.00</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3,589,000,000.00</w:t>
            </w:r>
          </w:p>
        </w:tc>
      </w:tr>
      <w:tr>
        <w:trPr>
          <w:trHeight w:val="28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15,400,127,878.03</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16,613,797,334.56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5" w:lineRule="exact" w:before="36"/>
        <w:ind w:left="218" w:right="0"/>
        <w:jc w:val="left"/>
      </w:pPr>
      <w:r>
        <w:rPr/>
        <w:t>公司的各单项业务资格情况</w:t>
      </w:r>
    </w:p>
    <w:p>
      <w:pPr>
        <w:pStyle w:val="BodyText"/>
        <w:spacing w:line="275" w:lineRule="exact"/>
        <w:ind w:left="218"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214" w:type="dxa"/>
        <w:tblLayout w:type="fixed"/>
        <w:tblCellMar>
          <w:top w:w="0" w:type="dxa"/>
          <w:left w:w="0" w:type="dxa"/>
          <w:bottom w:w="0" w:type="dxa"/>
          <w:right w:w="0" w:type="dxa"/>
        </w:tblCellMar>
        <w:tblLook w:val="01E0"/>
      </w:tblPr>
      <w:tblGrid>
        <w:gridCol w:w="1418"/>
        <w:gridCol w:w="7655"/>
      </w:tblGrid>
      <w:tr>
        <w:trPr>
          <w:trHeight w:val="10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55" w:lineRule="auto"/>
              <w:ind w:left="103" w:right="603"/>
              <w:jc w:val="left"/>
              <w:rPr>
                <w:rFonts w:ascii="宋体" w:hAnsi="宋体" w:cs="宋体" w:eastAsia="宋体" w:hint="default"/>
                <w:sz w:val="21"/>
                <w:szCs w:val="21"/>
              </w:rPr>
            </w:pPr>
            <w:r>
              <w:rPr>
                <w:rFonts w:ascii="宋体" w:hAnsi="宋体" w:cs="宋体" w:eastAsia="宋体" w:hint="default"/>
                <w:spacing w:val="-2"/>
                <w:sz w:val="21"/>
                <w:szCs w:val="21"/>
              </w:rPr>
              <w:t>证券经纪；证券投资咨询；证券自营；证券承销与保荐；融资融券；证券投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资基金代销；代销金融产品。</w:t>
            </w:r>
          </w:p>
        </w:tc>
      </w:tr>
      <w:tr>
        <w:trPr>
          <w:trHeight w:val="866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业务资质</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55" w:lineRule="auto"/>
              <w:ind w:left="523" w:right="106" w:hanging="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、本公司主要业务资质：</w:t>
            </w:r>
            <w:r>
              <w:rPr>
                <w:rFonts w:ascii="宋体" w:hAnsi="宋体" w:cs="宋体" w:eastAsia="宋体" w:hint="default"/>
                <w:w w:val="100"/>
                <w:sz w:val="21"/>
                <w:szCs w:val="21"/>
              </w:rPr>
              <w:t> </w:t>
            </w:r>
            <w:r>
              <w:rPr>
                <w:rFonts w:ascii="宋体" w:hAnsi="宋体" w:cs="宋体" w:eastAsia="宋体" w:hint="default"/>
                <w:sz w:val="21"/>
                <w:szCs w:val="21"/>
              </w:rPr>
              <w:t>证券经纪业务资格；网上证券委托业务资格；结算参与人资格；开放式证券</w:t>
            </w:r>
          </w:p>
          <w:p>
            <w:pPr>
              <w:pStyle w:val="TableParagraph"/>
              <w:spacing w:line="357" w:lineRule="auto" w:before="32"/>
              <w:ind w:left="103" w:right="-5"/>
              <w:jc w:val="left"/>
              <w:rPr>
                <w:rFonts w:ascii="宋体" w:hAnsi="宋体" w:cs="宋体" w:eastAsia="宋体" w:hint="default"/>
                <w:sz w:val="21"/>
                <w:szCs w:val="21"/>
              </w:rPr>
            </w:pPr>
            <w:r>
              <w:rPr>
                <w:rFonts w:ascii="宋体" w:hAnsi="宋体" w:cs="宋体" w:eastAsia="宋体" w:hint="default"/>
                <w:sz w:val="21"/>
                <w:szCs w:val="21"/>
              </w:rPr>
              <w:t>投资基金代销业务资格；外币有价证券经纪业务资格；代理“上证基金通”业务</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资格；提供中间介绍业务资格；参加全国银行间同业拆借中心组织的债券交易资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格；自营业务和证券承销业务资格；全国银行间同业拆借市场资格；保荐机构资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格；代办系统主办券商业务资格；融资融券业务资格；中小企业私募债券承销资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格；约定购回式证券交易权限（沪、深交易所）；代销金融产品业务资格；作为</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转融通业务借入人参与转融资业务资格；推荐商会员资格；股票质押式回购交易</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权限（沪、深交易所）；全国中小企业股份转让系统从事推荐业务和经纪业务资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格；经营外币有价证券经纪业务、外币有价证券承销业务资格；转融券业务资格；</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作为主办券商在全国中小企业股份转让系统从事做市业务资格；港股业务交易权</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限；互联网证券业务试点；柜台市场试点资格；股票期权交易业务资格；经营证</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券业务许可证。</w:t>
            </w:r>
          </w:p>
          <w:p>
            <w:pPr>
              <w:pStyle w:val="TableParagraph"/>
              <w:spacing w:line="240" w:lineRule="auto" w:before="9"/>
              <w:ind w:right="0"/>
              <w:jc w:val="left"/>
              <w:rPr>
                <w:rFonts w:ascii="宋体" w:hAnsi="宋体" w:cs="宋体" w:eastAsia="宋体" w:hint="default"/>
                <w:sz w:val="20"/>
                <w:szCs w:val="20"/>
              </w:rPr>
            </w:pPr>
          </w:p>
          <w:p>
            <w:pPr>
              <w:pStyle w:val="TableParagraph"/>
              <w:spacing w:line="357" w:lineRule="auto"/>
              <w:ind w:left="523" w:right="106" w:hanging="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、主要子公司及重要参股公司的其他主要业务资格及业务范围：</w:t>
            </w:r>
            <w:r>
              <w:rPr>
                <w:rFonts w:ascii="宋体" w:hAnsi="宋体" w:cs="宋体" w:eastAsia="宋体" w:hint="default"/>
                <w:w w:val="100"/>
                <w:sz w:val="21"/>
                <w:szCs w:val="21"/>
              </w:rPr>
              <w:t> </w:t>
            </w:r>
            <w:r>
              <w:rPr>
                <w:rFonts w:ascii="宋体" w:hAnsi="宋体" w:cs="宋体" w:eastAsia="宋体" w:hint="default"/>
                <w:sz w:val="21"/>
                <w:szCs w:val="21"/>
              </w:rPr>
              <w:t>财通证券资产管理有限公司：证券资产管理业务；公开募集证券投资基金管</w:t>
            </w:r>
          </w:p>
          <w:p>
            <w:pPr>
              <w:pStyle w:val="TableParagraph"/>
              <w:spacing w:line="357" w:lineRule="auto" w:before="30"/>
              <w:ind w:left="523" w:right="106" w:hanging="420"/>
              <w:jc w:val="left"/>
              <w:rPr>
                <w:rFonts w:ascii="宋体" w:hAnsi="宋体" w:cs="宋体" w:eastAsia="宋体" w:hint="default"/>
                <w:sz w:val="21"/>
                <w:szCs w:val="21"/>
              </w:rPr>
            </w:pPr>
            <w:r>
              <w:rPr>
                <w:rFonts w:ascii="宋体" w:hAnsi="宋体" w:cs="宋体" w:eastAsia="宋体" w:hint="default"/>
                <w:sz w:val="21"/>
                <w:szCs w:val="21"/>
              </w:rPr>
              <w:t>理业务；受托管理保险资金业务。</w:t>
            </w:r>
            <w:r>
              <w:rPr>
                <w:rFonts w:ascii="宋体" w:hAnsi="宋体" w:cs="宋体" w:eastAsia="宋体" w:hint="default"/>
                <w:w w:val="100"/>
                <w:sz w:val="21"/>
                <w:szCs w:val="21"/>
              </w:rPr>
              <w:t> </w:t>
            </w:r>
            <w:r>
              <w:rPr>
                <w:rFonts w:ascii="宋体" w:hAnsi="宋体" w:cs="宋体" w:eastAsia="宋体" w:hint="default"/>
                <w:sz w:val="21"/>
                <w:szCs w:val="21"/>
              </w:rPr>
              <w:t>浙江财通资本投资有限公司：私募投资基金管理人。</w:t>
            </w:r>
            <w:r>
              <w:rPr>
                <w:rFonts w:ascii="宋体" w:hAnsi="宋体" w:cs="宋体" w:eastAsia="宋体" w:hint="default"/>
                <w:w w:val="100"/>
                <w:sz w:val="21"/>
                <w:szCs w:val="21"/>
              </w:rPr>
              <w:t> </w:t>
            </w:r>
            <w:r>
              <w:rPr>
                <w:rFonts w:ascii="宋体" w:hAnsi="宋体" w:cs="宋体" w:eastAsia="宋体" w:hint="default"/>
                <w:sz w:val="21"/>
                <w:szCs w:val="21"/>
              </w:rPr>
              <w:t>财通创新投资有限公司：金融产品投资，股权投资。</w:t>
            </w:r>
            <w:r>
              <w:rPr>
                <w:rFonts w:ascii="宋体" w:hAnsi="宋体" w:cs="宋体" w:eastAsia="宋体" w:hint="default"/>
                <w:w w:val="100"/>
                <w:sz w:val="21"/>
                <w:szCs w:val="21"/>
              </w:rPr>
              <w:t> </w:t>
            </w:r>
            <w:r>
              <w:rPr>
                <w:rFonts w:ascii="宋体" w:hAnsi="宋体" w:cs="宋体" w:eastAsia="宋体" w:hint="default"/>
                <w:sz w:val="21"/>
                <w:szCs w:val="21"/>
              </w:rPr>
              <w:t>财通证券（香港）有限公司：证券交易、孖展融资；就证券提供意见；就机</w:t>
            </w:r>
          </w:p>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构融资提供意见；提供资产管理；放债人业务；咨询业务。</w:t>
            </w:r>
          </w:p>
        </w:tc>
      </w:tr>
    </w:tbl>
    <w:p>
      <w:pPr>
        <w:spacing w:after="0" w:line="240" w:lineRule="auto"/>
        <w:jc w:val="left"/>
        <w:rPr>
          <w:rFonts w:ascii="宋体" w:hAnsi="宋体" w:cs="宋体" w:eastAsia="宋体" w:hint="default"/>
          <w:sz w:val="21"/>
          <w:szCs w:val="21"/>
        </w:rPr>
        <w:sectPr>
          <w:type w:val="continuous"/>
          <w:pgSz w:w="11910" w:h="16840"/>
          <w:pgMar w:top="1060" w:bottom="1380" w:left="1200" w:right="1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1666" w:lineRule="exact"/>
        <w:ind w:left="134"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54.2pt;height:83.3pt;mso-position-horizontal-relative:char;mso-position-vertical-relative:line" coordorigin="0,0" coordsize="9084,1666">
            <v:group style="position:absolute;left:10;top:10;width:1409;height:2" coordorigin="10,10" coordsize="1409,2">
              <v:shape style="position:absolute;left:10;top:10;width:1409;height:2" coordorigin="10,10" coordsize="1409,0" path="m10,10l1418,10e" filled="false" stroked="true" strokeweight=".48pt" strokecolor="#000000">
                <v:path arrowok="t"/>
              </v:shape>
            </v:group>
            <v:group style="position:absolute;left:1428;top:10;width:7646;height:2" coordorigin="1428,10" coordsize="7646,2">
              <v:shape style="position:absolute;left:1428;top:10;width:7646;height:2" coordorigin="1428,10" coordsize="7646,0" path="m1428,10l9073,10e" filled="false" stroked="true" strokeweight=".48pt" strokecolor="#000000">
                <v:path arrowok="t"/>
              </v:shape>
            </v:group>
            <v:group style="position:absolute;left:5;top:5;width:2;height:1657" coordorigin="5,5" coordsize="2,1657">
              <v:shape style="position:absolute;left:5;top:5;width:2;height:1657" coordorigin="5,5" coordsize="0,1657" path="m5,5l5,1661e" filled="false" stroked="true" strokeweight=".48pt" strokecolor="#000000">
                <v:path arrowok="t"/>
              </v:shape>
            </v:group>
            <v:group style="position:absolute;left:10;top:1656;width:1409;height:2" coordorigin="10,1656" coordsize="1409,2">
              <v:shape style="position:absolute;left:10;top:1656;width:1409;height:2" coordorigin="10,1656" coordsize="1409,0" path="m10,1656l1418,1656e" filled="false" stroked="true" strokeweight=".48pt" strokecolor="#000000">
                <v:path arrowok="t"/>
              </v:shape>
            </v:group>
            <v:group style="position:absolute;left:1423;top:5;width:2;height:1657" coordorigin="1423,5" coordsize="2,1657">
              <v:shape style="position:absolute;left:1423;top:5;width:2;height:1657" coordorigin="1423,5" coordsize="0,1657" path="m1423,5l1423,1661e" filled="false" stroked="true" strokeweight=".48pt" strokecolor="#000000">
                <v:path arrowok="t"/>
              </v:shape>
            </v:group>
            <v:group style="position:absolute;left:1428;top:1656;width:7646;height:2" coordorigin="1428,1656" coordsize="7646,2">
              <v:shape style="position:absolute;left:1428;top:1656;width:7646;height:2" coordorigin="1428,1656" coordsize="7646,0" path="m1428,1656l9073,1656e" filled="false" stroked="true" strokeweight=".48pt" strokecolor="#000000">
                <v:path arrowok="t"/>
              </v:shape>
            </v:group>
            <v:group style="position:absolute;left:9078;top:5;width:2;height:1657" coordorigin="9078,5" coordsize="2,1657">
              <v:shape style="position:absolute;left:9078;top:5;width:2;height:1657" coordorigin="9078,5" coordsize="0,1657" path="m9078,5l9078,1661e" filled="false" stroked="true" strokeweight=".48004pt" strokecolor="#000000">
                <v:path arrowok="t"/>
              </v:shape>
              <v:shape style="position:absolute;left:1423;top:10;width:7656;height:1647" type="#_x0000_t202" filled="false" stroked="false">
                <v:textbox inset="0,0,0,0">
                  <w:txbxContent>
                    <w:p>
                      <w:pPr>
                        <w:spacing w:line="248" w:lineRule="exact" w:before="0"/>
                        <w:ind w:left="527" w:right="0" w:firstLine="0"/>
                        <w:jc w:val="left"/>
                        <w:rPr>
                          <w:rFonts w:ascii="宋体" w:hAnsi="宋体" w:cs="宋体" w:eastAsia="宋体" w:hint="default"/>
                          <w:sz w:val="21"/>
                          <w:szCs w:val="21"/>
                        </w:rPr>
                      </w:pPr>
                      <w:r>
                        <w:rPr>
                          <w:rFonts w:ascii="宋体" w:hAnsi="宋体" w:cs="宋体" w:eastAsia="宋体" w:hint="default"/>
                          <w:sz w:val="21"/>
                          <w:szCs w:val="21"/>
                        </w:rPr>
                        <w:t>财通基金管理有限公司：合格境内机构投资者资格；基金管理资格；特定客</w:t>
                      </w:r>
                    </w:p>
                    <w:p>
                      <w:pPr>
                        <w:spacing w:line="355" w:lineRule="auto" w:before="133"/>
                        <w:ind w:left="527" w:right="111" w:hanging="420"/>
                        <w:jc w:val="left"/>
                        <w:rPr>
                          <w:rFonts w:ascii="宋体" w:hAnsi="宋体" w:cs="宋体" w:eastAsia="宋体" w:hint="default"/>
                          <w:sz w:val="21"/>
                          <w:szCs w:val="21"/>
                        </w:rPr>
                      </w:pPr>
                      <w:r>
                        <w:rPr>
                          <w:rFonts w:ascii="宋体" w:hAnsi="宋体" w:cs="宋体" w:eastAsia="宋体" w:hint="default"/>
                          <w:sz w:val="21"/>
                          <w:szCs w:val="21"/>
                        </w:rPr>
                        <w:t>户资产管理业务资格；私募基金业务外包服务；受托管理保险资金业务。</w:t>
                      </w:r>
                      <w:r>
                        <w:rPr>
                          <w:rFonts w:ascii="宋体" w:hAnsi="宋体" w:cs="宋体" w:eastAsia="宋体" w:hint="default"/>
                          <w:w w:val="100"/>
                          <w:sz w:val="21"/>
                          <w:szCs w:val="21"/>
                        </w:rPr>
                        <w:t> </w:t>
                      </w:r>
                      <w:r>
                        <w:rPr>
                          <w:rFonts w:ascii="宋体" w:hAnsi="宋体" w:cs="宋体" w:eastAsia="宋体" w:hint="default"/>
                          <w:sz w:val="21"/>
                          <w:szCs w:val="21"/>
                        </w:rPr>
                        <w:t>永安期货股份有限公司：商品期货经纪、金融期货经纪、期货投资咨询，资</w:t>
                      </w:r>
                    </w:p>
                    <w:p>
                      <w:pPr>
                        <w:spacing w:before="32"/>
                        <w:ind w:left="107" w:right="0" w:firstLine="0"/>
                        <w:jc w:val="left"/>
                        <w:rPr>
                          <w:rFonts w:ascii="宋体" w:hAnsi="宋体" w:cs="宋体" w:eastAsia="宋体" w:hint="default"/>
                          <w:sz w:val="21"/>
                          <w:szCs w:val="21"/>
                        </w:rPr>
                      </w:pPr>
                      <w:r>
                        <w:rPr>
                          <w:rFonts w:ascii="宋体" w:hAnsi="宋体" w:cs="宋体" w:eastAsia="宋体" w:hint="default"/>
                          <w:sz w:val="21"/>
                          <w:szCs w:val="21"/>
                        </w:rPr>
                        <w:t>产管理，基金销售。</w:t>
                      </w:r>
                    </w:p>
                  </w:txbxContent>
                </v:textbox>
                <w10:wrap type="none"/>
              </v:shape>
            </v:group>
          </v:group>
        </w:pict>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3044"/>
        <w:gridCol w:w="3046"/>
        <w:gridCol w:w="3046"/>
      </w:tblGrid>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申建新</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何干良</w:t>
            </w:r>
          </w:p>
        </w:tc>
      </w:tr>
      <w:tr>
        <w:trPr>
          <w:trHeight w:val="555"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杭州市西湖区杭大路</w:t>
            </w:r>
            <w:r>
              <w:rPr>
                <w:rFonts w:ascii="宋体" w:hAnsi="宋体" w:cs="宋体" w:eastAsia="宋体" w:hint="default"/>
                <w:sz w:val="21"/>
                <w:szCs w:val="21"/>
              </w:rPr>
              <w:t>15</w:t>
            </w:r>
            <w:r>
              <w:rPr>
                <w:rFonts w:ascii="宋体" w:hAnsi="宋体" w:cs="宋体" w:eastAsia="宋体" w:hint="default"/>
                <w:sz w:val="21"/>
                <w:szCs w:val="21"/>
              </w:rPr>
              <w:t>号嘉华国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际商务中心</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杭州市西湖区杭大路</w:t>
            </w:r>
            <w:r>
              <w:rPr>
                <w:rFonts w:ascii="宋体" w:hAnsi="宋体" w:cs="宋体" w:eastAsia="宋体" w:hint="default"/>
                <w:sz w:val="21"/>
                <w:szCs w:val="21"/>
              </w:rPr>
              <w:t>15</w:t>
            </w:r>
            <w:r>
              <w:rPr>
                <w:rFonts w:ascii="宋体" w:hAnsi="宋体" w:cs="宋体" w:eastAsia="宋体" w:hint="default"/>
                <w:sz w:val="21"/>
                <w:szCs w:val="21"/>
              </w:rPr>
              <w:t>号嘉华国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际商务中心</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0571-87821312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0571-87821312</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0571-87823288</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0571-87823288</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ir@ctsec.com</w:t>
              </w:r>
            </w:hyperlink>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heganliang@ctsec.com</w:t>
              </w:r>
            </w:hyperlink>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36"/>
        <w:ind w:right="0"/>
        <w:jc w:val="left"/>
        <w:rPr>
          <w:b w:val="0"/>
          <w:bCs w:val="0"/>
        </w:rPr>
      </w:pPr>
      <w:r>
        <w:rPr/>
        <w:t>三、</w:t>
      </w:r>
      <w:r>
        <w:rPr>
          <w:spacing w:val="40"/>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3963"/>
        <w:gridCol w:w="5173"/>
      </w:tblGrid>
      <w:tr>
        <w:trPr>
          <w:trHeight w:val="554"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杭州市杭大路</w:t>
            </w:r>
            <w:r>
              <w:rPr>
                <w:rFonts w:ascii="宋体" w:hAnsi="宋体" w:cs="宋体" w:eastAsia="宋体" w:hint="default"/>
                <w:spacing w:val="-9"/>
                <w:sz w:val="21"/>
                <w:szCs w:val="21"/>
              </w:rPr>
              <w:t>15</w:t>
            </w:r>
            <w:r>
              <w:rPr>
                <w:rFonts w:ascii="宋体" w:hAnsi="宋体" w:cs="宋体" w:eastAsia="宋体" w:hint="default"/>
                <w:spacing w:val="-9"/>
                <w:sz w:val="21"/>
                <w:szCs w:val="21"/>
              </w:rPr>
              <w:t>号嘉华国际商务中心</w:t>
            </w:r>
            <w:r>
              <w:rPr>
                <w:rFonts w:ascii="宋体" w:hAnsi="宋体" w:cs="宋体" w:eastAsia="宋体" w:hint="default"/>
                <w:spacing w:val="-9"/>
                <w:sz w:val="21"/>
                <w:szCs w:val="21"/>
              </w:rPr>
              <w:t>201</w:t>
            </w:r>
            <w:r>
              <w:rPr>
                <w:rFonts w:ascii="宋体" w:hAnsi="宋体" w:cs="宋体" w:eastAsia="宋体" w:hint="default"/>
                <w:spacing w:val="-9"/>
                <w:sz w:val="21"/>
                <w:szCs w:val="21"/>
              </w:rPr>
              <w:t>，</w:t>
            </w:r>
            <w:r>
              <w:rPr>
                <w:rFonts w:ascii="宋体" w:hAnsi="宋体" w:cs="宋体" w:eastAsia="宋体" w:hint="default"/>
                <w:spacing w:val="-9"/>
                <w:sz w:val="21"/>
                <w:szCs w:val="21"/>
              </w:rPr>
              <w:t>501</w:t>
            </w:r>
            <w:r>
              <w:rPr>
                <w:rFonts w:ascii="宋体" w:hAnsi="宋体" w:cs="宋体" w:eastAsia="宋体" w:hint="default"/>
                <w:spacing w:val="-9"/>
                <w:sz w:val="21"/>
                <w:szCs w:val="21"/>
              </w:rPr>
              <w:t>，</w:t>
            </w:r>
            <w:r>
              <w:rPr>
                <w:rFonts w:ascii="宋体" w:hAnsi="宋体" w:cs="宋体" w:eastAsia="宋体" w:hint="default"/>
                <w:spacing w:val="-9"/>
                <w:sz w:val="21"/>
                <w:szCs w:val="21"/>
              </w:rPr>
              <w:t>502</w:t>
            </w:r>
            <w:r>
              <w:rPr>
                <w:rFonts w:ascii="宋体" w:hAnsi="宋体" w:cs="宋体" w:eastAsia="宋体" w:hint="default"/>
                <w:spacing w:val="-9"/>
                <w:sz w:val="21"/>
                <w:szCs w:val="21"/>
              </w:rPr>
              <w:t>，</w:t>
            </w:r>
            <w:r>
              <w:rPr>
                <w:rFonts w:ascii="宋体" w:hAnsi="宋体" w:cs="宋体" w:eastAsia="宋体" w:hint="default"/>
                <w:spacing w:val="-9"/>
                <w:sz w:val="21"/>
                <w:szCs w:val="21"/>
              </w:rPr>
              <w:t>1103</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1601-1615</w:t>
            </w:r>
            <w:r>
              <w:rPr>
                <w:rFonts w:ascii="宋体" w:hAnsi="宋体" w:cs="宋体" w:eastAsia="宋体" w:hint="default"/>
                <w:sz w:val="21"/>
                <w:szCs w:val="21"/>
              </w:rPr>
              <w:t>，</w:t>
            </w:r>
            <w:r>
              <w:rPr>
                <w:rFonts w:ascii="宋体" w:hAnsi="宋体" w:cs="宋体" w:eastAsia="宋体" w:hint="default"/>
                <w:sz w:val="21"/>
                <w:szCs w:val="21"/>
              </w:rPr>
              <w:t>1701-1716</w:t>
            </w:r>
            <w:r>
              <w:rPr>
                <w:rFonts w:ascii="宋体" w:hAnsi="宋体" w:cs="宋体" w:eastAsia="宋体" w:hint="default"/>
                <w:sz w:val="21"/>
                <w:szCs w:val="21"/>
              </w:rPr>
              <w:t>室</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310007</w:t>
            </w:r>
          </w:p>
        </w:tc>
      </w:tr>
      <w:tr>
        <w:trPr>
          <w:trHeight w:val="55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杭州市杭大路</w:t>
            </w:r>
            <w:r>
              <w:rPr>
                <w:rFonts w:ascii="宋体" w:hAnsi="宋体" w:cs="宋体" w:eastAsia="宋体" w:hint="default"/>
                <w:spacing w:val="-9"/>
                <w:sz w:val="21"/>
                <w:szCs w:val="21"/>
              </w:rPr>
              <w:t>15</w:t>
            </w:r>
            <w:r>
              <w:rPr>
                <w:rFonts w:ascii="宋体" w:hAnsi="宋体" w:cs="宋体" w:eastAsia="宋体" w:hint="default"/>
                <w:spacing w:val="-9"/>
                <w:sz w:val="21"/>
                <w:szCs w:val="21"/>
              </w:rPr>
              <w:t>号嘉华国际商务中心</w:t>
            </w:r>
            <w:r>
              <w:rPr>
                <w:rFonts w:ascii="宋体" w:hAnsi="宋体" w:cs="宋体" w:eastAsia="宋体" w:hint="default"/>
                <w:spacing w:val="-9"/>
                <w:sz w:val="21"/>
                <w:szCs w:val="21"/>
              </w:rPr>
              <w:t>201</w:t>
            </w:r>
            <w:r>
              <w:rPr>
                <w:rFonts w:ascii="宋体" w:hAnsi="宋体" w:cs="宋体" w:eastAsia="宋体" w:hint="default"/>
                <w:spacing w:val="-9"/>
                <w:sz w:val="21"/>
                <w:szCs w:val="21"/>
              </w:rPr>
              <w:t>，</w:t>
            </w:r>
            <w:r>
              <w:rPr>
                <w:rFonts w:ascii="宋体" w:hAnsi="宋体" w:cs="宋体" w:eastAsia="宋体" w:hint="default"/>
                <w:spacing w:val="-9"/>
                <w:sz w:val="21"/>
                <w:szCs w:val="21"/>
              </w:rPr>
              <w:t>501</w:t>
            </w:r>
            <w:r>
              <w:rPr>
                <w:rFonts w:ascii="宋体" w:hAnsi="宋体" w:cs="宋体" w:eastAsia="宋体" w:hint="default"/>
                <w:spacing w:val="-9"/>
                <w:sz w:val="21"/>
                <w:szCs w:val="21"/>
              </w:rPr>
              <w:t>，</w:t>
            </w:r>
            <w:r>
              <w:rPr>
                <w:rFonts w:ascii="宋体" w:hAnsi="宋体" w:cs="宋体" w:eastAsia="宋体" w:hint="default"/>
                <w:spacing w:val="-9"/>
                <w:sz w:val="21"/>
                <w:szCs w:val="21"/>
              </w:rPr>
              <w:t>502</w:t>
            </w:r>
            <w:r>
              <w:rPr>
                <w:rFonts w:ascii="宋体" w:hAnsi="宋体" w:cs="宋体" w:eastAsia="宋体" w:hint="default"/>
                <w:spacing w:val="-9"/>
                <w:sz w:val="21"/>
                <w:szCs w:val="21"/>
              </w:rPr>
              <w:t>，</w:t>
            </w:r>
            <w:r>
              <w:rPr>
                <w:rFonts w:ascii="宋体" w:hAnsi="宋体" w:cs="宋体" w:eastAsia="宋体" w:hint="default"/>
                <w:spacing w:val="-9"/>
                <w:sz w:val="21"/>
                <w:szCs w:val="21"/>
              </w:rPr>
              <w:t>1103</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1601-1615</w:t>
            </w:r>
            <w:r>
              <w:rPr>
                <w:rFonts w:ascii="宋体" w:hAnsi="宋体" w:cs="宋体" w:eastAsia="宋体" w:hint="default"/>
                <w:sz w:val="21"/>
                <w:szCs w:val="21"/>
              </w:rPr>
              <w:t>，</w:t>
            </w:r>
            <w:r>
              <w:rPr>
                <w:rFonts w:ascii="宋体" w:hAnsi="宋体" w:cs="宋体" w:eastAsia="宋体" w:hint="default"/>
                <w:sz w:val="21"/>
                <w:szCs w:val="21"/>
              </w:rPr>
              <w:t>1701-1716</w:t>
            </w:r>
            <w:r>
              <w:rPr>
                <w:rFonts w:ascii="宋体" w:hAnsi="宋体" w:cs="宋体" w:eastAsia="宋体" w:hint="default"/>
                <w:sz w:val="21"/>
                <w:szCs w:val="21"/>
              </w:rPr>
              <w:t>室</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310007</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1">
              <w:r>
                <w:rPr>
                  <w:rFonts w:ascii="宋体"/>
                  <w:sz w:val="21"/>
                </w:rPr>
                <w:t>http://www.ctsec.com</w:t>
              </w:r>
            </w:hyperlink>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ir@ctsec.com</w:t>
              </w:r>
            </w:hyperlink>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36"/>
        <w:ind w:right="0"/>
        <w:jc w:val="left"/>
        <w:rPr>
          <w:b w:val="0"/>
          <w:bCs w:val="0"/>
        </w:rPr>
      </w:pPr>
      <w:r>
        <w:rPr/>
        <w:t>四、</w:t>
      </w:r>
      <w:r>
        <w:rPr>
          <w:spacing w:val="42"/>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4253"/>
        <w:gridCol w:w="4883"/>
      </w:tblGrid>
      <w:tr>
        <w:trPr>
          <w:trHeight w:val="55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《中国证券报》、《上海证券报》、《证券时报》、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hyperlink r:id="rId12">
              <w:r>
                <w:rPr>
                  <w:rFonts w:ascii="宋体"/>
                  <w:sz w:val="21"/>
                </w:rPr>
                <w:t>http://www.sse.com.cn</w:t>
              </w:r>
            </w:hyperlink>
          </w:p>
        </w:tc>
      </w:tr>
      <w:tr>
        <w:trPr>
          <w:trHeight w:val="30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财通证券股份有限公司董事会办公室</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36"/>
        <w:ind w:right="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1829"/>
        <w:gridCol w:w="1827"/>
        <w:gridCol w:w="1827"/>
        <w:gridCol w:w="1826"/>
        <w:gridCol w:w="1827"/>
      </w:tblGrid>
      <w:tr>
        <w:trPr>
          <w:trHeight w:val="302" w:hRule="exact"/>
        </w:trPr>
        <w:tc>
          <w:tcPr>
            <w:tcW w:w="9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财通证券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601108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36"/>
        <w:ind w:right="0"/>
        <w:jc w:val="left"/>
        <w:rPr>
          <w:b w:val="0"/>
          <w:bCs w:val="0"/>
        </w:rPr>
      </w:pPr>
      <w:r>
        <w:rPr/>
        <w:t>六、</w:t>
      </w:r>
      <w:r>
        <w:rPr>
          <w:spacing w:val="-29"/>
        </w:rPr>
        <w:t> </w:t>
      </w:r>
      <w:r>
        <w:rPr/>
        <w:t>公司其他情况</w:t>
      </w:r>
      <w:r>
        <w:rPr>
          <w:b w:val="0"/>
          <w:bCs w:val="0"/>
        </w:rPr>
      </w:r>
    </w:p>
    <w:p>
      <w:pPr>
        <w:pStyle w:val="Heading5"/>
        <w:spacing w:line="240" w:lineRule="auto" w:before="56"/>
        <w:ind w:right="0"/>
        <w:jc w:val="left"/>
        <w:rPr>
          <w:b w:val="0"/>
          <w:bCs w:val="0"/>
        </w:rPr>
      </w:pPr>
      <w:r>
        <w:rPr/>
        <w:t>（一）公司历史沿革的情况，主要包括以前年度经历的改制重组、增资扩股等情况</w:t>
      </w:r>
      <w:r>
        <w:rPr>
          <w:b w:val="0"/>
          <w:bCs w:val="0"/>
        </w:rPr>
      </w:r>
    </w:p>
    <w:p>
      <w:pPr>
        <w:spacing w:line="272" w:lineRule="exact" w:before="87"/>
        <w:ind w:left="558" w:right="5379"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、财通证券经纪有限责任公司成立</w:t>
      </w:r>
      <w:r>
        <w:rPr>
          <w:rFonts w:ascii="宋体" w:hAnsi="宋体" w:cs="宋体" w:eastAsia="宋体" w:hint="default"/>
          <w:spacing w:val="-1"/>
          <w:sz w:val="21"/>
          <w:szCs w:val="21"/>
        </w:rPr>
      </w:r>
    </w:p>
    <w:p>
      <w:pPr>
        <w:spacing w:after="0" w:line="272" w:lineRule="exact"/>
        <w:jc w:val="left"/>
        <w:rPr>
          <w:rFonts w:ascii="宋体" w:hAnsi="宋体" w:cs="宋体" w:eastAsia="宋体" w:hint="default"/>
          <w:sz w:val="21"/>
          <w:szCs w:val="21"/>
        </w:rPr>
        <w:sectPr>
          <w:pgSz w:w="11910" w:h="16840"/>
          <w:pgMar w:header="880" w:footer="1195" w:top="1060" w:bottom="1380" w:left="1280" w:right="1260"/>
        </w:sectPr>
      </w:pPr>
    </w:p>
    <w:p>
      <w:pPr>
        <w:spacing w:line="240" w:lineRule="auto" w:before="8"/>
        <w:rPr>
          <w:rFonts w:ascii="宋体" w:hAnsi="宋体" w:cs="宋体" w:eastAsia="宋体" w:hint="default"/>
          <w:b/>
          <w:bCs/>
          <w:sz w:val="28"/>
          <w:szCs w:val="28"/>
        </w:rPr>
      </w:pPr>
    </w:p>
    <w:p>
      <w:pPr>
        <w:pStyle w:val="BodyText"/>
        <w:spacing w:line="240" w:lineRule="auto" w:before="36"/>
        <w:ind w:left="558" w:right="0"/>
        <w:jc w:val="left"/>
      </w:pPr>
      <w:r>
        <w:rPr>
          <w:rFonts w:ascii="宋体" w:hAnsi="宋体" w:cs="宋体" w:eastAsia="宋体" w:hint="default"/>
        </w:rPr>
        <w:t>2002</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3"/>
        </w:rPr>
        <w:t> </w:t>
      </w:r>
      <w:r>
        <w:rPr/>
        <w:t>月</w:t>
      </w:r>
      <w:r>
        <w:rPr>
          <w:spacing w:val="-41"/>
        </w:rPr>
        <w:t> </w:t>
      </w:r>
      <w:r>
        <w:rPr>
          <w:rFonts w:ascii="宋体" w:hAnsi="宋体" w:cs="宋体" w:eastAsia="宋体" w:hint="default"/>
        </w:rPr>
        <w:t>13</w:t>
      </w:r>
      <w:r>
        <w:rPr>
          <w:rFonts w:ascii="宋体" w:hAnsi="宋体" w:cs="宋体" w:eastAsia="宋体" w:hint="default"/>
          <w:spacing w:val="-43"/>
        </w:rPr>
        <w:t> </w:t>
      </w:r>
      <w:r>
        <w:rPr>
          <w:spacing w:val="-5"/>
        </w:rPr>
        <w:t>日，中国证监会下发了《关于同意财通证券经纪有限责任公司筹建方案的批复》</w:t>
      </w:r>
    </w:p>
    <w:p>
      <w:pPr>
        <w:pStyle w:val="BodyText"/>
        <w:spacing w:line="355" w:lineRule="auto" w:before="135"/>
        <w:ind w:right="209"/>
        <w:jc w:val="left"/>
      </w:pPr>
      <w:r>
        <w:rPr/>
        <w:t>（证监机构字〔</w:t>
      </w:r>
      <w:r>
        <w:rPr>
          <w:rFonts w:ascii="宋体" w:hAnsi="宋体" w:cs="宋体" w:eastAsia="宋体" w:hint="default"/>
        </w:rPr>
        <w:t>2002</w:t>
      </w:r>
      <w:r>
        <w:rPr/>
        <w:t>〕</w:t>
      </w:r>
      <w:r>
        <w:rPr>
          <w:rFonts w:ascii="宋体" w:hAnsi="宋体" w:cs="宋体" w:eastAsia="宋体" w:hint="default"/>
        </w:rPr>
        <w:t>164</w:t>
      </w:r>
      <w:r>
        <w:rPr>
          <w:rFonts w:ascii="宋体" w:hAnsi="宋体" w:cs="宋体" w:eastAsia="宋体" w:hint="default"/>
          <w:spacing w:val="-54"/>
        </w:rPr>
        <w:t> </w:t>
      </w:r>
      <w:r>
        <w:rPr/>
        <w:t>号），同意以浙江财政证券公司为主体，与其他</w:t>
      </w:r>
      <w:r>
        <w:rPr>
          <w:spacing w:val="-57"/>
        </w:rPr>
        <w:t> </w:t>
      </w:r>
      <w:r>
        <w:rPr>
          <w:rFonts w:ascii="宋体" w:hAnsi="宋体" w:cs="宋体" w:eastAsia="宋体" w:hint="default"/>
        </w:rPr>
        <w:t>9</w:t>
      </w:r>
      <w:r>
        <w:rPr>
          <w:rFonts w:ascii="宋体" w:hAnsi="宋体" w:cs="宋体" w:eastAsia="宋体" w:hint="default"/>
          <w:spacing w:val="-55"/>
        </w:rPr>
        <w:t> </w:t>
      </w:r>
      <w:r>
        <w:rPr/>
        <w:t>家省内国资企业联合</w:t>
      </w:r>
      <w:r>
        <w:rPr>
          <w:w w:val="100"/>
        </w:rPr>
        <w:t> </w:t>
      </w:r>
      <w:r>
        <w:rPr/>
        <w:t>组建财通经纪。</w:t>
      </w:r>
      <w:r>
        <w:rPr>
          <w:rFonts w:ascii="宋体" w:hAnsi="宋体" w:cs="宋体" w:eastAsia="宋体" w:hint="default"/>
        </w:rPr>
        <w:t>2002</w:t>
      </w:r>
      <w:r>
        <w:rPr>
          <w:rFonts w:ascii="宋体" w:hAnsi="宋体" w:cs="宋体" w:eastAsia="宋体" w:hint="default"/>
          <w:spacing w:val="-55"/>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4"/>
        </w:rPr>
        <w:t> </w:t>
      </w:r>
      <w:r>
        <w:rPr>
          <w:rFonts w:ascii="宋体" w:hAnsi="宋体" w:cs="宋体" w:eastAsia="宋体" w:hint="default"/>
        </w:rPr>
        <w:t>26</w:t>
      </w:r>
      <w:r>
        <w:rPr>
          <w:rFonts w:ascii="宋体" w:hAnsi="宋体" w:cs="宋体" w:eastAsia="宋体" w:hint="default"/>
          <w:spacing w:val="-57"/>
        </w:rPr>
        <w:t> </w:t>
      </w:r>
      <w:r>
        <w:rPr/>
        <w:t>日，财通经纪各出资人签订了发起人协议，出资人为</w:t>
      </w:r>
      <w:r>
        <w:rPr>
          <w:spacing w:val="-54"/>
        </w:rPr>
        <w:t> </w:t>
      </w:r>
      <w:r>
        <w:rPr>
          <w:rFonts w:ascii="宋体" w:hAnsi="宋体" w:cs="宋体" w:eastAsia="宋体" w:hint="default"/>
        </w:rPr>
        <w:t>10</w:t>
      </w:r>
      <w:r>
        <w:rPr>
          <w:rFonts w:ascii="宋体" w:hAnsi="宋体" w:cs="宋体" w:eastAsia="宋体" w:hint="default"/>
          <w:spacing w:val="-57"/>
        </w:rPr>
        <w:t> </w:t>
      </w:r>
      <w:r>
        <w:rPr/>
        <w:t>家公司，注</w:t>
      </w:r>
    </w:p>
    <w:p>
      <w:pPr>
        <w:pStyle w:val="BodyText"/>
        <w:spacing w:line="355" w:lineRule="auto" w:before="32"/>
        <w:ind w:right="0"/>
        <w:jc w:val="left"/>
      </w:pPr>
      <w:r>
        <w:rPr/>
        <w:t>册资本为</w:t>
      </w:r>
      <w:r>
        <w:rPr>
          <w:spacing w:val="-56"/>
        </w:rPr>
        <w:t> </w:t>
      </w:r>
      <w:r>
        <w:rPr>
          <w:rFonts w:ascii="宋体" w:hAnsi="宋体" w:cs="宋体" w:eastAsia="宋体" w:hint="default"/>
        </w:rPr>
        <w:t>50,080</w:t>
      </w:r>
      <w:r>
        <w:rPr>
          <w:rFonts w:ascii="宋体" w:hAnsi="宋体" w:cs="宋体" w:eastAsia="宋体" w:hint="default"/>
          <w:spacing w:val="-56"/>
        </w:rPr>
        <w:t> </w:t>
      </w:r>
      <w:r>
        <w:rPr/>
        <w:t>万元。</w:t>
      </w:r>
      <w:r>
        <w:rPr>
          <w:rFonts w:ascii="宋体" w:hAnsi="宋体" w:cs="宋体" w:eastAsia="宋体" w:hint="default"/>
        </w:rPr>
        <w:t>2003</w:t>
      </w:r>
      <w:r>
        <w:rPr>
          <w:rFonts w:ascii="宋体" w:hAnsi="宋体" w:cs="宋体" w:eastAsia="宋体" w:hint="default"/>
          <w:spacing w:val="-55"/>
        </w:rPr>
        <w:t> </w:t>
      </w:r>
      <w:r>
        <w:rPr/>
        <w:t>年</w:t>
      </w:r>
      <w:r>
        <w:rPr>
          <w:spacing w:val="-58"/>
        </w:rPr>
        <w:t> </w:t>
      </w:r>
      <w:r>
        <w:rPr>
          <w:rFonts w:ascii="宋体" w:hAnsi="宋体" w:cs="宋体" w:eastAsia="宋体" w:hint="default"/>
        </w:rPr>
        <w:t>6</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日，财通经纪在浙江省工商局登记设立，取得《企业法人营</w:t>
      </w:r>
      <w:r>
        <w:rPr>
          <w:w w:val="100"/>
        </w:rPr>
        <w:t> </w:t>
      </w:r>
      <w:r>
        <w:rPr/>
        <w:t>业执照》（注册号：</w:t>
      </w:r>
      <w:r>
        <w:rPr>
          <w:rFonts w:ascii="宋体" w:hAnsi="宋体" w:cs="宋体" w:eastAsia="宋体" w:hint="default"/>
        </w:rPr>
        <w:t>3300001009795</w:t>
      </w:r>
      <w:r>
        <w:rPr/>
        <w:t>）。</w:t>
      </w:r>
    </w:p>
    <w:p>
      <w:pPr>
        <w:pStyle w:val="Heading5"/>
        <w:spacing w:line="240" w:lineRule="auto" w:before="32"/>
        <w:ind w:left="561" w:right="0"/>
        <w:jc w:val="left"/>
        <w:rPr>
          <w:b w:val="0"/>
          <w:bCs w:val="0"/>
        </w:rPr>
      </w:pPr>
      <w:r>
        <w:rPr>
          <w:rFonts w:ascii="宋体" w:hAnsi="宋体" w:cs="宋体" w:eastAsia="宋体" w:hint="default"/>
        </w:rPr>
        <w:t>2</w:t>
      </w:r>
      <w:r>
        <w:rPr/>
        <w:t>、财通证券经纪有限责任公司吸收合并天和证券</w:t>
      </w:r>
      <w:r>
        <w:rPr>
          <w:b w:val="0"/>
          <w:bCs w:val="0"/>
        </w:rPr>
      </w:r>
    </w:p>
    <w:p>
      <w:pPr>
        <w:pStyle w:val="BodyText"/>
        <w:spacing w:line="355" w:lineRule="auto" w:before="135"/>
        <w:ind w:right="207" w:firstLine="420"/>
        <w:jc w:val="left"/>
      </w:pPr>
      <w:r>
        <w:rPr>
          <w:rFonts w:ascii="宋体" w:hAnsi="宋体" w:cs="宋体" w:eastAsia="宋体" w:hint="default"/>
        </w:rPr>
        <w:t>2006</w:t>
      </w:r>
      <w:r>
        <w:rPr>
          <w:rFonts w:ascii="宋体" w:hAnsi="宋体" w:cs="宋体" w:eastAsia="宋体" w:hint="default"/>
          <w:spacing w:val="-58"/>
        </w:rPr>
        <w:t> </w:t>
      </w:r>
      <w:r>
        <w:rPr/>
        <w:t>年</w:t>
      </w:r>
      <w:r>
        <w:rPr>
          <w:spacing w:val="-56"/>
        </w:rPr>
        <w:t> </w:t>
      </w:r>
      <w:r>
        <w:rPr>
          <w:rFonts w:ascii="宋体" w:hAnsi="宋体" w:cs="宋体" w:eastAsia="宋体" w:hint="default"/>
        </w:rPr>
        <w:t>10</w:t>
      </w:r>
      <w:r>
        <w:rPr>
          <w:rFonts w:ascii="宋体" w:hAnsi="宋体" w:cs="宋体" w:eastAsia="宋体" w:hint="default"/>
          <w:spacing w:val="-58"/>
        </w:rPr>
        <w:t> </w:t>
      </w:r>
      <w:r>
        <w:rPr/>
        <w:t>月</w:t>
      </w:r>
      <w:r>
        <w:rPr>
          <w:spacing w:val="-56"/>
        </w:rPr>
        <w:t> </w:t>
      </w:r>
      <w:r>
        <w:rPr>
          <w:rFonts w:ascii="宋体" w:hAnsi="宋体" w:cs="宋体" w:eastAsia="宋体" w:hint="default"/>
        </w:rPr>
        <w:t>25</w:t>
      </w:r>
      <w:r>
        <w:rPr>
          <w:rFonts w:ascii="宋体" w:hAnsi="宋体" w:cs="宋体" w:eastAsia="宋体" w:hint="default"/>
          <w:spacing w:val="-56"/>
        </w:rPr>
        <w:t> </w:t>
      </w:r>
      <w:r>
        <w:rPr/>
        <w:t>日，中国证监会下发《关于财通证券经纪有限责任公司吸收合并天和证券经纪</w:t>
      </w:r>
      <w:r>
        <w:rPr>
          <w:w w:val="100"/>
        </w:rPr>
        <w:t> </w:t>
      </w:r>
      <w:r>
        <w:rPr>
          <w:spacing w:val="-2"/>
        </w:rPr>
        <w:t>有限公司的批复》（证监机构字〔</w:t>
      </w:r>
      <w:r>
        <w:rPr>
          <w:rFonts w:ascii="宋体" w:hAnsi="宋体" w:cs="宋体" w:eastAsia="宋体" w:hint="default"/>
          <w:spacing w:val="-2"/>
        </w:rPr>
        <w:t>2006</w:t>
      </w:r>
      <w:r>
        <w:rPr>
          <w:spacing w:val="-2"/>
        </w:rPr>
        <w:t>〕</w:t>
      </w:r>
      <w:r>
        <w:rPr>
          <w:rFonts w:ascii="宋体" w:hAnsi="宋体" w:cs="宋体" w:eastAsia="宋体" w:hint="default"/>
          <w:spacing w:val="-2"/>
        </w:rPr>
        <w:t>255</w:t>
      </w:r>
      <w:r>
        <w:rPr>
          <w:rFonts w:ascii="宋体" w:hAnsi="宋体" w:cs="宋体" w:eastAsia="宋体" w:hint="default"/>
          <w:spacing w:val="29"/>
        </w:rPr>
        <w:t> </w:t>
      </w:r>
      <w:r>
        <w:rPr>
          <w:spacing w:val="-2"/>
        </w:rPr>
        <w:t>号），批准财通经纪吸收合并天和证券的方案。</w:t>
      </w:r>
    </w:p>
    <w:p>
      <w:pPr>
        <w:pStyle w:val="Heading5"/>
        <w:spacing w:line="240" w:lineRule="auto" w:before="33"/>
        <w:ind w:left="561" w:right="0"/>
        <w:jc w:val="left"/>
        <w:rPr>
          <w:b w:val="0"/>
          <w:bCs w:val="0"/>
        </w:rPr>
      </w:pPr>
      <w:r>
        <w:rPr>
          <w:rFonts w:ascii="宋体" w:hAnsi="宋体" w:cs="宋体" w:eastAsia="宋体" w:hint="default"/>
        </w:rPr>
        <w:t>3</w:t>
      </w:r>
      <w:r>
        <w:rPr/>
        <w:t>、财通证券经纪有限责任公司增资扩股</w:t>
      </w:r>
      <w:r>
        <w:rPr>
          <w:b w:val="0"/>
          <w:bCs w:val="0"/>
        </w:rPr>
      </w:r>
    </w:p>
    <w:p>
      <w:pPr>
        <w:pStyle w:val="BodyText"/>
        <w:spacing w:line="240" w:lineRule="auto" w:before="133"/>
        <w:ind w:left="558" w:right="0"/>
        <w:jc w:val="left"/>
      </w:pPr>
      <w:r>
        <w:rPr>
          <w:rFonts w:ascii="宋体" w:hAnsi="宋体" w:cs="宋体" w:eastAsia="宋体" w:hint="default"/>
          <w:w w:val="100"/>
        </w:rPr>
        <w:t>2006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日</w:t>
      </w:r>
      <w:r>
        <w:rPr>
          <w:spacing w:val="-56"/>
          <w:w w:val="100"/>
        </w:rPr>
        <w:t>，</w:t>
      </w:r>
      <w:r>
        <w:rPr>
          <w:spacing w:val="-3"/>
          <w:w w:val="100"/>
        </w:rPr>
        <w:t>中国</w:t>
      </w:r>
      <w:r>
        <w:rPr>
          <w:w w:val="100"/>
        </w:rPr>
        <w:t>证监</w:t>
      </w:r>
      <w:r>
        <w:rPr>
          <w:spacing w:val="-3"/>
          <w:w w:val="100"/>
        </w:rPr>
        <w:t>会</w:t>
      </w:r>
      <w:r>
        <w:rPr>
          <w:w w:val="100"/>
        </w:rPr>
        <w:t>下</w:t>
      </w:r>
      <w:r>
        <w:rPr>
          <w:spacing w:val="-3"/>
          <w:w w:val="100"/>
        </w:rPr>
        <w:t>发</w:t>
      </w:r>
      <w:r>
        <w:rPr>
          <w:spacing w:val="-56"/>
          <w:w w:val="100"/>
        </w:rPr>
        <w:t>了</w:t>
      </w:r>
      <w:r>
        <w:rPr>
          <w:spacing w:val="-3"/>
          <w:w w:val="100"/>
        </w:rPr>
        <w:t>《</w:t>
      </w:r>
      <w:r>
        <w:rPr>
          <w:w w:val="100"/>
        </w:rPr>
        <w:t>关</w:t>
      </w:r>
      <w:r>
        <w:rPr>
          <w:spacing w:val="-3"/>
          <w:w w:val="100"/>
        </w:rPr>
        <w:t>于</w:t>
      </w:r>
      <w:r>
        <w:rPr>
          <w:w w:val="100"/>
        </w:rPr>
        <w:t>财</w:t>
      </w:r>
      <w:r>
        <w:rPr>
          <w:spacing w:val="-3"/>
          <w:w w:val="100"/>
        </w:rPr>
        <w:t>通</w:t>
      </w:r>
      <w:r>
        <w:rPr>
          <w:w w:val="100"/>
        </w:rPr>
        <w:t>证券</w:t>
      </w:r>
      <w:r>
        <w:rPr>
          <w:spacing w:val="-3"/>
          <w:w w:val="100"/>
        </w:rPr>
        <w:t>经</w:t>
      </w:r>
      <w:r>
        <w:rPr>
          <w:w w:val="100"/>
        </w:rPr>
        <w:t>纪</w:t>
      </w:r>
      <w:r>
        <w:rPr>
          <w:spacing w:val="-3"/>
          <w:w w:val="100"/>
        </w:rPr>
        <w:t>有</w:t>
      </w:r>
      <w:r>
        <w:rPr>
          <w:w w:val="100"/>
        </w:rPr>
        <w:t>限</w:t>
      </w:r>
      <w:r>
        <w:rPr>
          <w:spacing w:val="-3"/>
          <w:w w:val="100"/>
        </w:rPr>
        <w:t>责</w:t>
      </w:r>
      <w:r>
        <w:rPr>
          <w:w w:val="100"/>
        </w:rPr>
        <w:t>任</w:t>
      </w:r>
      <w:r>
        <w:rPr>
          <w:spacing w:val="-3"/>
          <w:w w:val="100"/>
        </w:rPr>
        <w:t>公</w:t>
      </w:r>
      <w:r>
        <w:rPr>
          <w:w w:val="100"/>
        </w:rPr>
        <w:t>司</w:t>
      </w:r>
      <w:r>
        <w:rPr>
          <w:spacing w:val="-3"/>
          <w:w w:val="100"/>
        </w:rPr>
        <w:t>增</w:t>
      </w:r>
      <w:r>
        <w:rPr>
          <w:w w:val="100"/>
        </w:rPr>
        <w:t>资扩</w:t>
      </w:r>
      <w:r>
        <w:rPr>
          <w:spacing w:val="-3"/>
          <w:w w:val="100"/>
        </w:rPr>
        <w:t>股</w:t>
      </w:r>
      <w:r>
        <w:rPr>
          <w:w w:val="100"/>
        </w:rPr>
        <w:t>的</w:t>
      </w:r>
      <w:r>
        <w:rPr>
          <w:spacing w:val="-3"/>
          <w:w w:val="100"/>
        </w:rPr>
        <w:t>批</w:t>
      </w:r>
      <w:r>
        <w:rPr>
          <w:w w:val="100"/>
        </w:rPr>
        <w:t>复</w:t>
      </w:r>
      <w:r>
        <w:rPr>
          <w:spacing w:val="-113"/>
          <w:w w:val="100"/>
        </w:rPr>
        <w:t>》</w:t>
      </w:r>
      <w:r>
        <w:rPr>
          <w:w w:val="100"/>
        </w:rPr>
        <w:t>（证</w:t>
      </w:r>
    </w:p>
    <w:p>
      <w:pPr>
        <w:pStyle w:val="BodyText"/>
        <w:spacing w:line="240" w:lineRule="auto" w:before="135"/>
        <w:ind w:right="0"/>
        <w:jc w:val="left"/>
        <w:rPr>
          <w:rFonts w:ascii="宋体" w:hAnsi="宋体" w:cs="宋体" w:eastAsia="宋体" w:hint="default"/>
        </w:rPr>
      </w:pPr>
      <w:r>
        <w:rPr>
          <w:spacing w:val="-7"/>
        </w:rPr>
        <w:t>监机构字〔</w:t>
      </w:r>
      <w:r>
        <w:rPr>
          <w:rFonts w:ascii="宋体" w:hAnsi="宋体" w:cs="宋体" w:eastAsia="宋体" w:hint="default"/>
          <w:spacing w:val="-7"/>
        </w:rPr>
        <w:t>2006</w:t>
      </w:r>
      <w:r>
        <w:rPr>
          <w:spacing w:val="-7"/>
        </w:rPr>
        <w:t>〕</w:t>
      </w:r>
      <w:r>
        <w:rPr>
          <w:rFonts w:ascii="宋体" w:hAnsi="宋体" w:cs="宋体" w:eastAsia="宋体" w:hint="default"/>
          <w:spacing w:val="-7"/>
        </w:rPr>
        <w:t>252 </w:t>
      </w:r>
      <w:r>
        <w:rPr>
          <w:spacing w:val="-6"/>
        </w:rPr>
        <w:t>号），批准了本次债转股的增资扩股方案，增资后注册资本由</w:t>
      </w:r>
      <w:r>
        <w:rPr>
          <w:spacing w:val="-22"/>
        </w:rPr>
        <w:t> </w:t>
      </w:r>
      <w:r>
        <w:rPr>
          <w:rFonts w:ascii="宋体" w:hAnsi="宋体" w:cs="宋体" w:eastAsia="宋体" w:hint="default"/>
        </w:rPr>
        <w:t>500,800,000.00</w:t>
      </w:r>
    </w:p>
    <w:p>
      <w:pPr>
        <w:pStyle w:val="BodyText"/>
        <w:spacing w:line="240" w:lineRule="auto" w:before="133"/>
        <w:ind w:right="0"/>
        <w:jc w:val="left"/>
      </w:pPr>
      <w:r>
        <w:rPr/>
        <w:t>元增加至</w:t>
      </w:r>
      <w:r>
        <w:rPr>
          <w:spacing w:val="-54"/>
        </w:rPr>
        <w:t> </w:t>
      </w:r>
      <w:r>
        <w:rPr>
          <w:rFonts w:ascii="宋体" w:hAnsi="宋体" w:cs="宋体" w:eastAsia="宋体" w:hint="default"/>
        </w:rPr>
        <w:t>681,739,522.00</w:t>
      </w:r>
      <w:r>
        <w:rPr>
          <w:rFonts w:ascii="宋体" w:hAnsi="宋体" w:cs="宋体" w:eastAsia="宋体" w:hint="default"/>
          <w:spacing w:val="-56"/>
        </w:rPr>
        <w:t> </w:t>
      </w:r>
      <w:r>
        <w:rPr/>
        <w:t>元。</w:t>
      </w:r>
    </w:p>
    <w:p>
      <w:pPr>
        <w:pStyle w:val="BodyText"/>
        <w:spacing w:line="355" w:lineRule="auto" w:before="133"/>
        <w:ind w:right="207" w:firstLine="420"/>
        <w:jc w:val="both"/>
      </w:pPr>
      <w:r>
        <w:rPr>
          <w:rFonts w:ascii="宋体" w:hAnsi="宋体" w:cs="宋体" w:eastAsia="宋体" w:hint="default"/>
          <w:w w:val="100"/>
        </w:rPr>
        <w:t>2006</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25</w:t>
      </w:r>
      <w:r>
        <w:rPr>
          <w:rFonts w:ascii="宋体" w:hAnsi="宋体" w:cs="宋体" w:eastAsia="宋体" w:hint="default"/>
          <w:spacing w:val="-52"/>
          <w:w w:val="100"/>
        </w:rPr>
        <w:t> </w:t>
      </w:r>
      <w:r>
        <w:rPr>
          <w:spacing w:val="-8"/>
          <w:w w:val="100"/>
        </w:rPr>
        <w:t>日，中国证监会下发了《关于财通证券经纪有限责任公司增资扩股的批复》（证</w:t>
      </w:r>
      <w:r>
        <w:rPr>
          <w:w w:val="100"/>
        </w:rPr>
        <w:t> </w:t>
      </w:r>
      <w:r>
        <w:rPr/>
        <w:t>监机构字〔</w:t>
      </w:r>
      <w:r>
        <w:rPr>
          <w:rFonts w:ascii="宋体" w:hAnsi="宋体" w:cs="宋体" w:eastAsia="宋体" w:hint="default"/>
        </w:rPr>
        <w:t>2006</w:t>
      </w:r>
      <w:r>
        <w:rPr/>
        <w:t>〕</w:t>
      </w:r>
      <w:r>
        <w:rPr>
          <w:rFonts w:ascii="宋体" w:hAnsi="宋体" w:cs="宋体" w:eastAsia="宋体" w:hint="default"/>
        </w:rPr>
        <w:t>316</w:t>
      </w:r>
      <w:r>
        <w:rPr>
          <w:rFonts w:ascii="宋体" w:hAnsi="宋体" w:cs="宋体" w:eastAsia="宋体" w:hint="default"/>
          <w:spacing w:val="-59"/>
        </w:rPr>
        <w:t> </w:t>
      </w:r>
      <w:r>
        <w:rPr/>
        <w:t>号），批准了由浙江财开以现金方式对财通经纪进行增资</w:t>
      </w:r>
      <w:r>
        <w:rPr>
          <w:spacing w:val="-59"/>
        </w:rPr>
        <w:t> </w:t>
      </w:r>
      <w:r>
        <w:rPr>
          <w:rFonts w:ascii="宋体" w:hAnsi="宋体" w:cs="宋体" w:eastAsia="宋体" w:hint="default"/>
        </w:rPr>
        <w:t>100,000,000.00</w:t>
      </w:r>
      <w:r>
        <w:rPr>
          <w:rFonts w:ascii="宋体" w:hAnsi="宋体" w:cs="宋体" w:eastAsia="宋体" w:hint="default"/>
          <w:spacing w:val="-59"/>
        </w:rPr>
        <w:t> </w:t>
      </w:r>
      <w:r>
        <w:rPr/>
        <w:t>元</w:t>
      </w:r>
      <w:r>
        <w:rPr>
          <w:w w:val="100"/>
        </w:rPr>
        <w:t> </w:t>
      </w:r>
      <w:r>
        <w:rPr>
          <w:spacing w:val="-4"/>
        </w:rPr>
        <w:t>增资扩股方案。</w:t>
      </w:r>
      <w:r>
        <w:rPr>
          <w:rFonts w:ascii="宋体" w:hAnsi="宋体" w:cs="宋体" w:eastAsia="宋体" w:hint="default"/>
          <w:spacing w:val="-4"/>
        </w:rPr>
        <w:t>2007</w:t>
      </w:r>
      <w:r>
        <w:rPr>
          <w:rFonts w:ascii="宋体" w:hAnsi="宋体" w:cs="宋体" w:eastAsia="宋体" w:hint="default"/>
          <w:spacing w:val="-38"/>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37"/>
        </w:rPr>
        <w:t> </w:t>
      </w:r>
      <w:r>
        <w:rPr>
          <w:rFonts w:ascii="宋体" w:hAnsi="宋体" w:cs="宋体" w:eastAsia="宋体" w:hint="default"/>
        </w:rPr>
        <w:t>15</w:t>
      </w:r>
      <w:r>
        <w:rPr>
          <w:rFonts w:ascii="宋体" w:hAnsi="宋体" w:cs="宋体" w:eastAsia="宋体" w:hint="default"/>
          <w:spacing w:val="-41"/>
        </w:rPr>
        <w:t> </w:t>
      </w:r>
      <w:r>
        <w:rPr>
          <w:spacing w:val="-5"/>
        </w:rPr>
        <w:t>日，财通经纪在浙江省工商局办理了工商变更登记，领取了新的《企</w:t>
      </w:r>
    </w:p>
    <w:p>
      <w:pPr>
        <w:pStyle w:val="BodyText"/>
        <w:spacing w:line="240" w:lineRule="auto" w:before="34"/>
        <w:ind w:right="0"/>
        <w:jc w:val="left"/>
      </w:pPr>
      <w:r>
        <w:rPr/>
        <w:t>业法人营业执照》，注册资本增加至</w:t>
      </w:r>
      <w:r>
        <w:rPr>
          <w:spacing w:val="-55"/>
        </w:rPr>
        <w:t> </w:t>
      </w:r>
      <w:r>
        <w:rPr>
          <w:rFonts w:ascii="宋体" w:hAnsi="宋体" w:cs="宋体" w:eastAsia="宋体" w:hint="default"/>
        </w:rPr>
        <w:t>781,739,522.00</w:t>
      </w:r>
      <w:r>
        <w:rPr>
          <w:rFonts w:ascii="宋体" w:hAnsi="宋体" w:cs="宋体" w:eastAsia="宋体" w:hint="default"/>
          <w:spacing w:val="-54"/>
        </w:rPr>
        <w:t> </w:t>
      </w:r>
      <w:r>
        <w:rPr>
          <w:spacing w:val="-3"/>
        </w:rPr>
        <w:t>元。</w:t>
      </w:r>
      <w:r>
        <w:rPr/>
      </w:r>
    </w:p>
    <w:p>
      <w:pPr>
        <w:pStyle w:val="BodyText"/>
        <w:spacing w:line="240" w:lineRule="auto" w:before="133"/>
        <w:ind w:left="558" w:right="0"/>
        <w:jc w:val="left"/>
      </w:pPr>
      <w:r>
        <w:rPr>
          <w:rFonts w:ascii="宋体" w:hAnsi="宋体" w:cs="宋体" w:eastAsia="宋体" w:hint="default"/>
        </w:rPr>
        <w:t>2008</w:t>
      </w:r>
      <w:r>
        <w:rPr>
          <w:rFonts w:ascii="宋体" w:hAnsi="宋体" w:cs="宋体" w:eastAsia="宋体" w:hint="default"/>
          <w:spacing w:val="-59"/>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日，浙江省人民政府国有资产监督管理委员会下发《关于财通证券经纪有限责</w:t>
      </w:r>
    </w:p>
    <w:p>
      <w:pPr>
        <w:pStyle w:val="BodyText"/>
        <w:spacing w:line="240" w:lineRule="auto" w:before="133"/>
        <w:ind w:right="0"/>
        <w:jc w:val="left"/>
        <w:rPr>
          <w:rFonts w:ascii="宋体" w:hAnsi="宋体" w:cs="宋体" w:eastAsia="宋体" w:hint="default"/>
        </w:rPr>
      </w:pPr>
      <w:r>
        <w:rPr>
          <w:w w:val="100"/>
        </w:rPr>
        <w:t>任公</w:t>
      </w:r>
      <w:r>
        <w:rPr>
          <w:spacing w:val="-3"/>
          <w:w w:val="100"/>
        </w:rPr>
        <w:t>司</w:t>
      </w:r>
      <w:r>
        <w:rPr>
          <w:w w:val="100"/>
        </w:rPr>
        <w:t>增</w:t>
      </w:r>
      <w:r>
        <w:rPr>
          <w:spacing w:val="-3"/>
          <w:w w:val="100"/>
        </w:rPr>
        <w:t>资</w:t>
      </w:r>
      <w:r>
        <w:rPr>
          <w:w w:val="100"/>
        </w:rPr>
        <w:t>扩</w:t>
      </w:r>
      <w:r>
        <w:rPr>
          <w:spacing w:val="-3"/>
          <w:w w:val="100"/>
        </w:rPr>
        <w:t>股</w:t>
      </w:r>
      <w:r>
        <w:rPr>
          <w:w w:val="100"/>
        </w:rPr>
        <w:t>后</w:t>
      </w:r>
      <w:r>
        <w:rPr>
          <w:spacing w:val="-3"/>
          <w:w w:val="100"/>
        </w:rPr>
        <w:t>股</w:t>
      </w:r>
      <w:r>
        <w:rPr>
          <w:w w:val="100"/>
        </w:rPr>
        <w:t>权</w:t>
      </w:r>
      <w:r>
        <w:rPr>
          <w:spacing w:val="-3"/>
          <w:w w:val="100"/>
        </w:rPr>
        <w:t>结</w:t>
      </w:r>
      <w:r>
        <w:rPr>
          <w:w w:val="100"/>
        </w:rPr>
        <w:t>构的</w:t>
      </w:r>
      <w:r>
        <w:rPr>
          <w:spacing w:val="-3"/>
          <w:w w:val="100"/>
        </w:rPr>
        <w:t>批</w:t>
      </w:r>
      <w:r>
        <w:rPr>
          <w:w w:val="100"/>
        </w:rPr>
        <w:t>复</w:t>
      </w:r>
      <w:r>
        <w:rPr>
          <w:spacing w:val="-164"/>
          <w:w w:val="100"/>
        </w:rPr>
        <w:t>》</w:t>
      </w:r>
      <w:r>
        <w:rPr>
          <w:spacing w:val="-3"/>
          <w:w w:val="100"/>
        </w:rPr>
        <w:t>（</w:t>
      </w:r>
      <w:r>
        <w:rPr>
          <w:w w:val="100"/>
        </w:rPr>
        <w:t>浙</w:t>
      </w:r>
      <w:r>
        <w:rPr>
          <w:spacing w:val="-3"/>
          <w:w w:val="100"/>
        </w:rPr>
        <w:t>国</w:t>
      </w:r>
      <w:r>
        <w:rPr>
          <w:w w:val="100"/>
        </w:rPr>
        <w:t>资</w:t>
      </w:r>
      <w:r>
        <w:rPr>
          <w:spacing w:val="-3"/>
          <w:w w:val="100"/>
        </w:rPr>
        <w:t>法</w:t>
      </w:r>
      <w:r>
        <w:rPr>
          <w:spacing w:val="-82"/>
          <w:w w:val="100"/>
        </w:rPr>
        <w:t>产</w:t>
      </w:r>
      <w:r>
        <w:rPr>
          <w:spacing w:val="-1"/>
          <w:w w:val="100"/>
        </w:rPr>
        <w:t>〔</w:t>
      </w:r>
      <w:r>
        <w:rPr>
          <w:rFonts w:ascii="宋体" w:hAnsi="宋体" w:cs="宋体" w:eastAsia="宋体" w:hint="default"/>
          <w:spacing w:val="-3"/>
          <w:w w:val="100"/>
        </w:rPr>
        <w:t>2</w:t>
      </w:r>
      <w:r>
        <w:rPr>
          <w:rFonts w:ascii="宋体" w:hAnsi="宋体" w:cs="宋体" w:eastAsia="宋体" w:hint="default"/>
          <w:w w:val="100"/>
        </w:rPr>
        <w:t>008</w:t>
      </w:r>
      <w:r>
        <w:rPr>
          <w:spacing w:val="-82"/>
          <w:w w:val="100"/>
        </w:rPr>
        <w:t>〕</w:t>
      </w:r>
      <w:r>
        <w:rPr>
          <w:rFonts w:ascii="宋体" w:hAnsi="宋体" w:cs="宋体" w:eastAsia="宋体" w:hint="default"/>
          <w:w w:val="100"/>
        </w:rPr>
        <w:t>72</w:t>
      </w:r>
      <w:r>
        <w:rPr>
          <w:rFonts w:ascii="宋体" w:hAnsi="宋体" w:cs="宋体" w:eastAsia="宋体" w:hint="default"/>
          <w:spacing w:val="-55"/>
        </w:rPr>
        <w:t> </w:t>
      </w:r>
      <w:r>
        <w:rPr>
          <w:w w:val="100"/>
        </w:rPr>
        <w:t>号</w:t>
      </w:r>
      <w:r>
        <w:rPr>
          <w:spacing w:val="-82"/>
          <w:w w:val="100"/>
        </w:rPr>
        <w:t>），</w:t>
      </w:r>
      <w:r>
        <w:rPr>
          <w:spacing w:val="-3"/>
          <w:w w:val="100"/>
        </w:rPr>
        <w:t>同</w:t>
      </w:r>
      <w:r>
        <w:rPr>
          <w:w w:val="100"/>
        </w:rPr>
        <w:t>意</w:t>
      </w:r>
      <w:r>
        <w:rPr>
          <w:spacing w:val="-3"/>
          <w:w w:val="100"/>
        </w:rPr>
        <w:t>财</w:t>
      </w:r>
      <w:r>
        <w:rPr>
          <w:w w:val="100"/>
        </w:rPr>
        <w:t>通</w:t>
      </w:r>
      <w:r>
        <w:rPr>
          <w:spacing w:val="-3"/>
          <w:w w:val="100"/>
        </w:rPr>
        <w:t>经纪</w:t>
      </w:r>
      <w:r>
        <w:rPr>
          <w:w w:val="100"/>
        </w:rPr>
        <w:t>增资</w:t>
      </w:r>
      <w:r>
        <w:rPr>
          <w:spacing w:val="-53"/>
        </w:rPr>
        <w:t> </w:t>
      </w:r>
      <w:r>
        <w:rPr>
          <w:rFonts w:ascii="宋体" w:hAnsi="宋体" w:cs="宋体" w:eastAsia="宋体" w:hint="default"/>
          <w:spacing w:val="-3"/>
          <w:w w:val="100"/>
        </w:rPr>
        <w:t>3</w:t>
      </w:r>
      <w:r>
        <w:rPr>
          <w:rFonts w:ascii="宋体" w:hAnsi="宋体" w:cs="宋体" w:eastAsia="宋体" w:hint="default"/>
          <w:w w:val="100"/>
        </w:rPr>
        <w:t>45,</w:t>
      </w:r>
      <w:r>
        <w:rPr>
          <w:rFonts w:ascii="宋体" w:hAnsi="宋体" w:cs="宋体" w:eastAsia="宋体" w:hint="default"/>
          <w:spacing w:val="-3"/>
          <w:w w:val="100"/>
        </w:rPr>
        <w:t>1</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1"/>
          <w:w w:val="100"/>
        </w:rPr>
        <w:t>0</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40" w:lineRule="auto" w:before="133"/>
        <w:ind w:right="0"/>
        <w:jc w:val="left"/>
      </w:pPr>
      <w:r>
        <w:rPr/>
        <w:t>元。</w:t>
      </w:r>
      <w:r>
        <w:rPr>
          <w:rFonts w:ascii="宋体" w:hAnsi="宋体" w:cs="宋体" w:eastAsia="宋体" w:hint="default"/>
        </w:rPr>
        <w:t>2008</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8"/>
        </w:rPr>
        <w:t> </w:t>
      </w:r>
      <w:r>
        <w:rPr/>
        <w:t>月</w:t>
      </w:r>
      <w:r>
        <w:rPr>
          <w:spacing w:val="-57"/>
        </w:rPr>
        <w:t> </w:t>
      </w:r>
      <w:r>
        <w:rPr>
          <w:rFonts w:ascii="宋体" w:hAnsi="宋体" w:cs="宋体" w:eastAsia="宋体" w:hint="default"/>
        </w:rPr>
        <w:t>12</w:t>
      </w:r>
      <w:r>
        <w:rPr>
          <w:rFonts w:ascii="宋体" w:hAnsi="宋体" w:cs="宋体" w:eastAsia="宋体" w:hint="default"/>
          <w:spacing w:val="-57"/>
        </w:rPr>
        <w:t> </w:t>
      </w:r>
      <w:r>
        <w:rPr/>
        <w:t>日，财通经纪在浙江省工商局办理了工商变更登记，领取了新的《企业法人营</w:t>
      </w:r>
    </w:p>
    <w:p>
      <w:pPr>
        <w:spacing w:line="357" w:lineRule="auto" w:before="133"/>
        <w:ind w:left="561" w:right="0" w:hanging="423"/>
        <w:jc w:val="left"/>
        <w:rPr>
          <w:rFonts w:ascii="宋体" w:hAnsi="宋体" w:cs="宋体" w:eastAsia="宋体" w:hint="default"/>
          <w:sz w:val="21"/>
          <w:szCs w:val="21"/>
        </w:rPr>
      </w:pPr>
      <w:r>
        <w:rPr>
          <w:rFonts w:ascii="宋体" w:hAnsi="宋体" w:cs="宋体" w:eastAsia="宋体" w:hint="default"/>
          <w:sz w:val="21"/>
          <w:szCs w:val="21"/>
        </w:rPr>
        <w:t>业执照》，注册资本增加至</w:t>
      </w:r>
      <w:r>
        <w:rPr>
          <w:rFonts w:ascii="宋体" w:hAnsi="宋体" w:cs="宋体" w:eastAsia="宋体" w:hint="default"/>
          <w:spacing w:val="-54"/>
          <w:sz w:val="21"/>
          <w:szCs w:val="21"/>
        </w:rPr>
        <w:t> </w:t>
      </w:r>
      <w:r>
        <w:rPr>
          <w:rFonts w:ascii="宋体" w:hAnsi="宋体" w:cs="宋体" w:eastAsia="宋体" w:hint="default"/>
          <w:sz w:val="21"/>
          <w:szCs w:val="21"/>
        </w:rPr>
        <w:t>1,126,859,522.00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、财通证券经纪有限责任公司变更为财通证券有限责任公司</w:t>
      </w:r>
      <w:r>
        <w:rPr>
          <w:rFonts w:ascii="宋体" w:hAnsi="宋体" w:cs="宋体" w:eastAsia="宋体" w:hint="default"/>
          <w:spacing w:val="-1"/>
          <w:sz w:val="21"/>
          <w:szCs w:val="21"/>
        </w:rPr>
      </w:r>
    </w:p>
    <w:p>
      <w:pPr>
        <w:pStyle w:val="BodyText"/>
        <w:spacing w:line="357" w:lineRule="auto" w:before="30"/>
        <w:ind w:right="0" w:firstLine="420"/>
        <w:jc w:val="left"/>
      </w:pPr>
      <w:r>
        <w:rPr>
          <w:rFonts w:ascii="宋体" w:hAnsi="宋体" w:cs="宋体" w:eastAsia="宋体" w:hint="default"/>
        </w:rPr>
        <w:t>2009</w:t>
      </w:r>
      <w:r>
        <w:rPr>
          <w:rFonts w:ascii="宋体" w:hAnsi="宋体" w:cs="宋体" w:eastAsia="宋体" w:hint="default"/>
          <w:spacing w:val="-58"/>
        </w:rPr>
        <w:t> </w:t>
      </w:r>
      <w:r>
        <w:rPr/>
        <w:t>年</w:t>
      </w:r>
      <w:r>
        <w:rPr>
          <w:spacing w:val="-56"/>
        </w:rPr>
        <w:t> </w:t>
      </w:r>
      <w:r>
        <w:rPr>
          <w:rFonts w:ascii="宋体" w:hAnsi="宋体" w:cs="宋体" w:eastAsia="宋体" w:hint="default"/>
        </w:rPr>
        <w:t>3</w:t>
      </w:r>
      <w:r>
        <w:rPr>
          <w:rFonts w:ascii="宋体" w:hAnsi="宋体" w:cs="宋体" w:eastAsia="宋体" w:hint="default"/>
          <w:spacing w:val="-58"/>
        </w:rPr>
        <w:t> </w:t>
      </w:r>
      <w:r>
        <w:rPr/>
        <w:t>月</w:t>
      </w:r>
      <w:r>
        <w:rPr>
          <w:spacing w:val="-56"/>
        </w:rPr>
        <w:t> </w:t>
      </w:r>
      <w:r>
        <w:rPr>
          <w:rFonts w:ascii="宋体" w:hAnsi="宋体" w:cs="宋体" w:eastAsia="宋体" w:hint="default"/>
        </w:rPr>
        <w:t>9</w:t>
      </w:r>
      <w:r>
        <w:rPr>
          <w:rFonts w:ascii="宋体" w:hAnsi="宋体" w:cs="宋体" w:eastAsia="宋体" w:hint="default"/>
          <w:spacing w:val="-58"/>
        </w:rPr>
        <w:t> </w:t>
      </w:r>
      <w:r>
        <w:rPr/>
        <w:t>日，中国证监会下发了《关于核准财通证券经纪有限责任公司变更公司章程重要</w:t>
      </w:r>
      <w:r>
        <w:rPr>
          <w:w w:val="100"/>
        </w:rPr>
        <w:t> </w:t>
      </w:r>
      <w:r>
        <w:rPr>
          <w:spacing w:val="-4"/>
        </w:rPr>
        <w:t>条款的批复》（证监许可〔</w:t>
      </w:r>
      <w:r>
        <w:rPr>
          <w:rFonts w:ascii="宋体" w:hAnsi="宋体" w:cs="宋体" w:eastAsia="宋体" w:hint="default"/>
          <w:spacing w:val="-4"/>
        </w:rPr>
        <w:t>2009</w:t>
      </w:r>
      <w:r>
        <w:rPr>
          <w:spacing w:val="-4"/>
        </w:rPr>
        <w:t>〕</w:t>
      </w:r>
      <w:r>
        <w:rPr>
          <w:rFonts w:ascii="宋体" w:hAnsi="宋体" w:cs="宋体" w:eastAsia="宋体" w:hint="default"/>
          <w:spacing w:val="-4"/>
        </w:rPr>
        <w:t>217 </w:t>
      </w:r>
      <w:r>
        <w:rPr>
          <w:spacing w:val="-4"/>
        </w:rPr>
        <w:t>号），核准财通经纪名称变更为“财通证券有限责任公司”。</w:t>
      </w:r>
      <w:r>
        <w:rPr>
          <w:spacing w:val="-90"/>
        </w:rPr>
        <w:t> </w:t>
      </w:r>
      <w:r>
        <w:rPr>
          <w:spacing w:val="-90"/>
        </w:rPr>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日，财通经纪就上述变更事项在浙江省工商局办理了工商变更登记手续，并领取了</w:t>
      </w:r>
      <w:r>
        <w:rPr>
          <w:w w:val="100"/>
        </w:rPr>
        <w:t> </w:t>
      </w:r>
      <w:r>
        <w:rPr/>
        <w:t>新的《企业法人营业执照》。</w:t>
      </w:r>
    </w:p>
    <w:p>
      <w:pPr>
        <w:pStyle w:val="Heading5"/>
        <w:spacing w:line="240" w:lineRule="auto" w:before="30"/>
        <w:ind w:left="561" w:right="0"/>
        <w:jc w:val="left"/>
        <w:rPr>
          <w:b w:val="0"/>
          <w:bCs w:val="0"/>
        </w:rPr>
      </w:pPr>
      <w:r>
        <w:rPr>
          <w:rFonts w:ascii="宋体" w:hAnsi="宋体" w:cs="宋体" w:eastAsia="宋体" w:hint="default"/>
        </w:rPr>
        <w:t>5</w:t>
      </w:r>
      <w:r>
        <w:rPr/>
        <w:t>、财通证券有限责任公司增资</w:t>
      </w:r>
      <w:r>
        <w:rPr>
          <w:b w:val="0"/>
          <w:bCs w:val="0"/>
        </w:rPr>
      </w:r>
    </w:p>
    <w:p>
      <w:pPr>
        <w:pStyle w:val="BodyText"/>
        <w:spacing w:line="240" w:lineRule="auto" w:before="133"/>
        <w:ind w:left="558" w:right="0"/>
        <w:jc w:val="left"/>
      </w:pPr>
      <w:r>
        <w:rPr>
          <w:rFonts w:ascii="宋体" w:hAnsi="宋体" w:cs="宋体" w:eastAsia="宋体" w:hint="default"/>
        </w:rPr>
        <w:t>2011</w:t>
      </w:r>
      <w:r>
        <w:rPr>
          <w:rFonts w:ascii="宋体" w:hAnsi="宋体" w:cs="宋体" w:eastAsia="宋体" w:hint="default"/>
          <w:spacing w:val="-40"/>
        </w:rPr>
        <w:t> </w:t>
      </w:r>
      <w:r>
        <w:rPr/>
        <w:t>年</w:t>
      </w:r>
      <w:r>
        <w:rPr>
          <w:spacing w:val="-33"/>
        </w:rPr>
        <w:t> </w:t>
      </w:r>
      <w:r>
        <w:rPr>
          <w:rFonts w:ascii="宋体" w:hAnsi="宋体" w:cs="宋体" w:eastAsia="宋体" w:hint="default"/>
        </w:rPr>
        <w:t>8</w:t>
      </w:r>
      <w:r>
        <w:rPr>
          <w:rFonts w:ascii="宋体" w:hAnsi="宋体" w:cs="宋体" w:eastAsia="宋体" w:hint="default"/>
          <w:spacing w:val="-37"/>
        </w:rPr>
        <w:t> </w:t>
      </w:r>
      <w:r>
        <w:rPr/>
        <w:t>月</w:t>
      </w:r>
      <w:r>
        <w:rPr>
          <w:spacing w:val="-33"/>
        </w:rPr>
        <w:t> </w:t>
      </w:r>
      <w:r>
        <w:rPr>
          <w:rFonts w:ascii="宋体" w:hAnsi="宋体" w:cs="宋体" w:eastAsia="宋体" w:hint="default"/>
        </w:rPr>
        <w:t>4</w:t>
      </w:r>
      <w:r>
        <w:rPr>
          <w:rFonts w:ascii="宋体" w:hAnsi="宋体" w:cs="宋体" w:eastAsia="宋体" w:hint="default"/>
          <w:spacing w:val="-37"/>
        </w:rPr>
        <w:t> </w:t>
      </w:r>
      <w:r>
        <w:rPr/>
        <w:t>日，浙江省财政厅下发《关于同意财通证券有限责任公司增资扩股方案的复函》</w:t>
      </w:r>
    </w:p>
    <w:p>
      <w:pPr>
        <w:pStyle w:val="BodyText"/>
        <w:spacing w:line="357" w:lineRule="auto" w:before="133"/>
        <w:ind w:right="0"/>
        <w:jc w:val="left"/>
      </w:pPr>
      <w:r>
        <w:rPr/>
        <w:t>（浙财外金〔</w:t>
      </w:r>
      <w:r>
        <w:rPr>
          <w:rFonts w:ascii="宋体" w:hAnsi="宋体" w:cs="宋体" w:eastAsia="宋体" w:hint="default"/>
        </w:rPr>
        <w:t>2011</w:t>
      </w:r>
      <w:r>
        <w:rPr/>
        <w:t>〕</w:t>
      </w:r>
      <w:r>
        <w:rPr>
          <w:rFonts w:ascii="宋体" w:hAnsi="宋体" w:cs="宋体" w:eastAsia="宋体" w:hint="default"/>
        </w:rPr>
        <w:t>48</w:t>
      </w:r>
      <w:r>
        <w:rPr>
          <w:rFonts w:ascii="宋体" w:hAnsi="宋体" w:cs="宋体" w:eastAsia="宋体" w:hint="default"/>
          <w:spacing w:val="-56"/>
        </w:rPr>
        <w:t> </w:t>
      </w:r>
      <w:r>
        <w:rPr/>
        <w:t>号），同意财通证券注册资本增加至</w:t>
      </w:r>
      <w:r>
        <w:rPr>
          <w:spacing w:val="-53"/>
        </w:rPr>
        <w:t> </w:t>
      </w:r>
      <w:r>
        <w:rPr>
          <w:rFonts w:ascii="宋体" w:hAnsi="宋体" w:cs="宋体" w:eastAsia="宋体" w:hint="default"/>
        </w:rPr>
        <w:t>14</w:t>
      </w:r>
      <w:r>
        <w:rPr>
          <w:rFonts w:ascii="宋体" w:hAnsi="宋体" w:cs="宋体" w:eastAsia="宋体" w:hint="default"/>
          <w:spacing w:val="-54"/>
        </w:rPr>
        <w:t> </w:t>
      </w:r>
      <w:r>
        <w:rPr/>
        <w:t>亿元。</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3"/>
        </w:rPr>
        <w:t> </w:t>
      </w:r>
      <w:r>
        <w:rPr>
          <w:rFonts w:ascii="宋体" w:hAnsi="宋体" w:cs="宋体" w:eastAsia="宋体" w:hint="default"/>
        </w:rPr>
        <w:t>23</w:t>
      </w:r>
      <w:r>
        <w:rPr>
          <w:rFonts w:ascii="宋体" w:hAnsi="宋体" w:cs="宋体" w:eastAsia="宋体" w:hint="default"/>
          <w:spacing w:val="-56"/>
        </w:rPr>
        <w:t> </w:t>
      </w:r>
      <w:r>
        <w:rPr/>
        <w:t>日，中国证</w:t>
      </w:r>
      <w:r>
        <w:rPr>
          <w:w w:val="100"/>
        </w:rPr>
        <w:t> </w:t>
      </w:r>
      <w:r>
        <w:rPr>
          <w:spacing w:val="-6"/>
        </w:rPr>
        <w:t>监会下发了《关于核准财通证券有限责任公司变更注册资本的批复》（证监许可〔</w:t>
      </w:r>
      <w:r>
        <w:rPr>
          <w:rFonts w:ascii="宋体" w:hAnsi="宋体" w:cs="宋体" w:eastAsia="宋体" w:hint="default"/>
          <w:spacing w:val="-6"/>
        </w:rPr>
        <w:t>2011</w:t>
      </w:r>
      <w:r>
        <w:rPr>
          <w:spacing w:val="-6"/>
        </w:rPr>
        <w:t>〕</w:t>
      </w:r>
      <w:r>
        <w:rPr>
          <w:rFonts w:ascii="宋体" w:hAnsi="宋体" w:cs="宋体" w:eastAsia="宋体" w:hint="default"/>
          <w:spacing w:val="-6"/>
        </w:rPr>
        <w:t>1859 </w:t>
      </w:r>
      <w:r>
        <w:rPr>
          <w:spacing w:val="-13"/>
        </w:rPr>
        <w:t>号），</w:t>
      </w:r>
      <w:r>
        <w:rPr>
          <w:spacing w:val="-73"/>
        </w:rPr>
        <w:t> </w:t>
      </w:r>
      <w:r>
        <w:rPr>
          <w:spacing w:val="-73"/>
        </w:rPr>
      </w:r>
      <w:r>
        <w:rPr/>
        <w:t>核准财通有限注册资本由</w:t>
      </w:r>
      <w:r>
        <w:rPr>
          <w:spacing w:val="-49"/>
        </w:rPr>
        <w:t> </w:t>
      </w:r>
      <w:r>
        <w:rPr>
          <w:rFonts w:ascii="宋体" w:hAnsi="宋体" w:cs="宋体" w:eastAsia="宋体" w:hint="default"/>
        </w:rPr>
        <w:t>1,126,859,522.00</w:t>
      </w:r>
      <w:r>
        <w:rPr>
          <w:rFonts w:ascii="宋体" w:hAnsi="宋体" w:cs="宋体" w:eastAsia="宋体" w:hint="default"/>
          <w:spacing w:val="-44"/>
        </w:rPr>
        <w:t> </w:t>
      </w:r>
      <w:r>
        <w:rPr/>
        <w:t>元变更为</w:t>
      </w:r>
      <w:r>
        <w:rPr>
          <w:spacing w:val="-42"/>
        </w:rPr>
        <w:t> </w:t>
      </w:r>
      <w:r>
        <w:rPr>
          <w:rFonts w:ascii="宋体" w:hAnsi="宋体" w:cs="宋体" w:eastAsia="宋体" w:hint="default"/>
        </w:rPr>
        <w:t>1,400,000,000.00</w:t>
      </w:r>
      <w:r>
        <w:rPr>
          <w:rFonts w:ascii="宋体" w:hAnsi="宋体" w:cs="宋体" w:eastAsia="宋体" w:hint="default"/>
          <w:spacing w:val="-42"/>
        </w:rPr>
        <w:t> </w:t>
      </w:r>
      <w:r>
        <w:rPr/>
        <w:t>元。</w:t>
      </w:r>
      <w:r>
        <w:rPr>
          <w:rFonts w:ascii="宋体" w:hAnsi="宋体" w:cs="宋体" w:eastAsia="宋体" w:hint="default"/>
        </w:rPr>
        <w:t>2011</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14</w:t>
      </w:r>
      <w:r>
        <w:rPr>
          <w:rFonts w:ascii="宋体" w:hAnsi="宋体" w:cs="宋体" w:eastAsia="宋体" w:hint="default"/>
          <w:spacing w:val="-42"/>
        </w:rPr>
        <w:t> </w:t>
      </w:r>
      <w:r>
        <w:rPr/>
        <w:t>日，</w:t>
      </w:r>
      <w:r>
        <w:rPr>
          <w:spacing w:val="-102"/>
        </w:rPr>
        <w:t> </w:t>
      </w:r>
      <w:r>
        <w:rPr/>
        <w:t>财通有限在浙江省工商局办理了工商变更登记，领取了新的《企业法人营业执照》。</w:t>
      </w:r>
      <w:r>
        <w:rPr>
          <w:w w:val="100"/>
        </w:rPr>
        <w:t> </w:t>
      </w:r>
      <w:r>
        <w:rPr/>
        <w:t>本次增资完成后，财通有限的注册资本为</w:t>
      </w:r>
      <w:r>
        <w:rPr>
          <w:spacing w:val="-54"/>
        </w:rPr>
        <w:t> </w:t>
      </w:r>
      <w:r>
        <w:rPr>
          <w:rFonts w:ascii="宋体" w:hAnsi="宋体" w:cs="宋体" w:eastAsia="宋体" w:hint="default"/>
        </w:rPr>
        <w:t>14</w:t>
      </w:r>
      <w:r>
        <w:rPr>
          <w:rFonts w:ascii="宋体" w:hAnsi="宋体" w:cs="宋体" w:eastAsia="宋体" w:hint="default"/>
          <w:spacing w:val="-56"/>
        </w:rPr>
        <w:t> </w:t>
      </w:r>
      <w:r>
        <w:rPr/>
        <w:t>亿元。</w:t>
      </w:r>
    </w:p>
    <w:p>
      <w:pPr>
        <w:pStyle w:val="Heading5"/>
        <w:spacing w:line="240" w:lineRule="auto" w:before="30"/>
        <w:ind w:left="561" w:right="0"/>
        <w:jc w:val="left"/>
        <w:rPr>
          <w:b w:val="0"/>
          <w:bCs w:val="0"/>
        </w:rPr>
      </w:pPr>
      <w:r>
        <w:rPr>
          <w:rFonts w:ascii="宋体" w:hAnsi="宋体" w:cs="宋体" w:eastAsia="宋体" w:hint="default"/>
        </w:rPr>
        <w:t>6</w:t>
      </w:r>
      <w:r>
        <w:rPr/>
        <w:t>、财通证券股份有限公司成立</w:t>
      </w:r>
      <w:r>
        <w:rPr>
          <w:b w:val="0"/>
          <w:bCs w:val="0"/>
        </w:rPr>
      </w:r>
    </w:p>
    <w:p>
      <w:pPr>
        <w:spacing w:after="0" w:line="240" w:lineRule="auto"/>
        <w:jc w:val="left"/>
        <w:sectPr>
          <w:pgSz w:w="11910" w:h="16840"/>
          <w:pgMar w:header="880" w:footer="1195" w:top="1060" w:bottom="1380" w:left="1280" w:right="1200"/>
        </w:sectPr>
      </w:pPr>
    </w:p>
    <w:p>
      <w:pPr>
        <w:spacing w:line="240" w:lineRule="auto" w:before="8"/>
        <w:rPr>
          <w:rFonts w:ascii="宋体" w:hAnsi="宋体" w:cs="宋体" w:eastAsia="宋体" w:hint="default"/>
          <w:b/>
          <w:bCs/>
          <w:sz w:val="28"/>
          <w:szCs w:val="28"/>
        </w:rPr>
      </w:pPr>
    </w:p>
    <w:p>
      <w:pPr>
        <w:pStyle w:val="BodyText"/>
        <w:spacing w:line="357" w:lineRule="auto" w:before="36"/>
        <w:ind w:right="0" w:firstLine="420"/>
        <w:jc w:val="left"/>
      </w:pPr>
      <w:r>
        <w:rPr>
          <w:rFonts w:ascii="宋体" w:hAnsi="宋体" w:cs="宋体" w:eastAsia="宋体" w:hint="default"/>
        </w:rPr>
        <w:t>2013</w:t>
      </w:r>
      <w:r>
        <w:rPr>
          <w:rFonts w:ascii="宋体" w:hAnsi="宋体" w:cs="宋体" w:eastAsia="宋体" w:hint="default"/>
          <w:spacing w:val="-57"/>
        </w:rPr>
        <w:t> </w:t>
      </w:r>
      <w:r>
        <w:rPr/>
        <w:t>年</w:t>
      </w:r>
      <w:r>
        <w:rPr>
          <w:spacing w:val="-55"/>
        </w:rPr>
        <w:t> </w:t>
      </w:r>
      <w:r>
        <w:rPr>
          <w:rFonts w:ascii="宋体" w:hAnsi="宋体" w:cs="宋体" w:eastAsia="宋体" w:hint="default"/>
        </w:rPr>
        <w:t>2</w:t>
      </w:r>
      <w:r>
        <w:rPr>
          <w:rFonts w:ascii="宋体" w:hAnsi="宋体" w:cs="宋体" w:eastAsia="宋体" w:hint="default"/>
          <w:spacing w:val="-57"/>
        </w:rPr>
        <w:t> </w:t>
      </w:r>
      <w:r>
        <w:rPr/>
        <w:t>月</w:t>
      </w:r>
      <w:r>
        <w:rPr>
          <w:spacing w:val="-55"/>
        </w:rPr>
        <w:t> </w:t>
      </w:r>
      <w:r>
        <w:rPr>
          <w:rFonts w:ascii="宋体" w:hAnsi="宋体" w:cs="宋体" w:eastAsia="宋体" w:hint="default"/>
        </w:rPr>
        <w:t>1</w:t>
      </w:r>
      <w:r>
        <w:rPr>
          <w:rFonts w:ascii="宋体" w:hAnsi="宋体" w:cs="宋体" w:eastAsia="宋体" w:hint="default"/>
          <w:spacing w:val="-57"/>
        </w:rPr>
        <w:t> </w:t>
      </w:r>
      <w:r>
        <w:rPr/>
        <w:t>日，浙江省财政厅下发《浙江省财政厅关于同意财通证券有限责任公司整体变更</w:t>
      </w:r>
      <w:r>
        <w:rPr>
          <w:w w:val="100"/>
        </w:rPr>
        <w:t> </w:t>
      </w:r>
      <w:r>
        <w:rPr/>
        <w:t>设立股份有限公司的批复》（浙财金〔</w:t>
      </w:r>
      <w:r>
        <w:rPr>
          <w:rFonts w:ascii="宋体" w:hAnsi="宋体" w:cs="宋体" w:eastAsia="宋体" w:hint="default"/>
        </w:rPr>
        <w:t>2013</w:t>
      </w:r>
      <w:r>
        <w:rPr/>
        <w:t>〕</w:t>
      </w:r>
      <w:r>
        <w:rPr>
          <w:rFonts w:ascii="宋体" w:hAnsi="宋体" w:cs="宋体" w:eastAsia="宋体" w:hint="default"/>
        </w:rPr>
        <w:t>11 </w:t>
      </w:r>
      <w:r>
        <w:rPr/>
        <w:t>号），同意财通有限整体变更设立股份有限公司。</w:t>
      </w:r>
      <w:r>
        <w:rPr>
          <w:spacing w:val="-72"/>
        </w:rPr>
        <w:t> </w:t>
      </w:r>
      <w:r>
        <w:rPr>
          <w:spacing w:val="-72"/>
        </w:rPr>
      </w:r>
      <w:r>
        <w:rPr>
          <w:rFonts w:ascii="宋体" w:hAnsi="宋体" w:cs="宋体" w:eastAsia="宋体" w:hint="default"/>
        </w:rPr>
        <w:t>2013</w:t>
      </w:r>
      <w:r>
        <w:rPr>
          <w:rFonts w:ascii="宋体" w:hAnsi="宋体" w:cs="宋体" w:eastAsia="宋体" w:hint="default"/>
          <w:spacing w:val="-41"/>
        </w:rPr>
        <w:t> </w:t>
      </w:r>
      <w:r>
        <w:rPr/>
        <w:t>年</w:t>
      </w:r>
      <w:r>
        <w:rPr>
          <w:spacing w:val="-39"/>
        </w:rPr>
        <w:t> </w:t>
      </w:r>
      <w:r>
        <w:rPr>
          <w:rFonts w:ascii="宋体" w:hAnsi="宋体" w:cs="宋体" w:eastAsia="宋体" w:hint="default"/>
        </w:rPr>
        <w:t>7</w:t>
      </w:r>
      <w:r>
        <w:rPr>
          <w:rFonts w:ascii="宋体" w:hAnsi="宋体" w:cs="宋体" w:eastAsia="宋体" w:hint="default"/>
          <w:spacing w:val="-41"/>
        </w:rPr>
        <w:t> </w:t>
      </w:r>
      <w:r>
        <w:rPr/>
        <w:t>月</w:t>
      </w:r>
      <w:r>
        <w:rPr>
          <w:spacing w:val="-39"/>
        </w:rPr>
        <w:t> </w:t>
      </w:r>
      <w:r>
        <w:rPr>
          <w:rFonts w:ascii="宋体" w:hAnsi="宋体" w:cs="宋体" w:eastAsia="宋体" w:hint="default"/>
        </w:rPr>
        <w:t>24</w:t>
      </w:r>
      <w:r>
        <w:rPr>
          <w:rFonts w:ascii="宋体" w:hAnsi="宋体" w:cs="宋体" w:eastAsia="宋体" w:hint="default"/>
          <w:spacing w:val="-41"/>
        </w:rPr>
        <w:t> </w:t>
      </w:r>
      <w:r>
        <w:rPr>
          <w:spacing w:val="-5"/>
        </w:rPr>
        <w:t>日，中国证监会下发《关于核准财通证券有限责任公司变更为股份有限公司的批复》</w:t>
      </w:r>
    </w:p>
    <w:p>
      <w:pPr>
        <w:pStyle w:val="BodyText"/>
        <w:spacing w:line="355" w:lineRule="auto" w:before="30"/>
        <w:ind w:right="207"/>
        <w:jc w:val="both"/>
      </w:pPr>
      <w:r>
        <w:rPr/>
        <w:t>（证监许可〔</w:t>
      </w:r>
      <w:r>
        <w:rPr>
          <w:rFonts w:ascii="宋体" w:hAnsi="宋体" w:cs="宋体" w:eastAsia="宋体" w:hint="default"/>
        </w:rPr>
        <w:t>2013</w:t>
      </w:r>
      <w:r>
        <w:rPr/>
        <w:t>〕</w:t>
      </w:r>
      <w:r>
        <w:rPr>
          <w:rFonts w:ascii="宋体" w:hAnsi="宋体" w:cs="宋体" w:eastAsia="宋体" w:hint="default"/>
        </w:rPr>
        <w:t>968</w:t>
      </w:r>
      <w:r>
        <w:rPr>
          <w:rFonts w:ascii="宋体" w:hAnsi="宋体" w:cs="宋体" w:eastAsia="宋体" w:hint="default"/>
          <w:spacing w:val="-56"/>
        </w:rPr>
        <w:t> </w:t>
      </w:r>
      <w:r>
        <w:rPr/>
        <w:t>号），核准财通有限变更为股份有限公司。</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spacing w:val="-53"/>
        </w:rPr>
        <w:t> </w:t>
      </w:r>
      <w:r>
        <w:rPr>
          <w:rFonts w:ascii="宋体" w:hAnsi="宋体" w:cs="宋体" w:eastAsia="宋体" w:hint="default"/>
        </w:rPr>
        <w:t>15</w:t>
      </w:r>
      <w:r>
        <w:rPr>
          <w:rFonts w:ascii="宋体" w:hAnsi="宋体" w:cs="宋体" w:eastAsia="宋体" w:hint="default"/>
          <w:spacing w:val="-54"/>
        </w:rPr>
        <w:t> </w:t>
      </w:r>
      <w:r>
        <w:rPr/>
        <w:t>日，财通证券</w:t>
      </w:r>
      <w:r>
        <w:rPr>
          <w:w w:val="100"/>
        </w:rPr>
        <w:t> </w:t>
      </w:r>
      <w:r>
        <w:rPr>
          <w:spacing w:val="-3"/>
        </w:rPr>
        <w:t>在浙江省工商局办理了变更登记，换发《企业法人营业执照》（注册号：</w:t>
      </w:r>
      <w:r>
        <w:rPr>
          <w:rFonts w:ascii="宋体" w:hAnsi="宋体" w:cs="宋体" w:eastAsia="宋体" w:hint="default"/>
          <w:spacing w:val="-3"/>
        </w:rPr>
        <w:t>330000000022291</w:t>
      </w:r>
      <w:r>
        <w:rPr>
          <w:spacing w:val="-3"/>
        </w:rPr>
        <w:t>），注册</w:t>
      </w:r>
      <w:r>
        <w:rPr>
          <w:spacing w:val="-24"/>
        </w:rPr>
        <w:t> </w:t>
      </w:r>
      <w:r>
        <w:rPr>
          <w:spacing w:val="-24"/>
        </w:rPr>
      </w:r>
      <w:r>
        <w:rPr/>
        <w:t>资本变更为</w:t>
      </w:r>
      <w:r>
        <w:rPr>
          <w:spacing w:val="-57"/>
        </w:rPr>
        <w:t> </w:t>
      </w:r>
      <w:r>
        <w:rPr>
          <w:rFonts w:ascii="宋体" w:hAnsi="宋体" w:cs="宋体" w:eastAsia="宋体" w:hint="default"/>
        </w:rPr>
        <w:t>1,800,000,000.00</w:t>
      </w:r>
      <w:r>
        <w:rPr>
          <w:rFonts w:ascii="宋体" w:hAnsi="宋体" w:cs="宋体" w:eastAsia="宋体" w:hint="default"/>
          <w:spacing w:val="-59"/>
        </w:rPr>
        <w:t> </w:t>
      </w:r>
      <w:r>
        <w:rPr/>
        <w:t>元，公司类型变更为股份有限公司（非上市）。</w:t>
      </w:r>
    </w:p>
    <w:p>
      <w:pPr>
        <w:pStyle w:val="Heading5"/>
        <w:spacing w:line="240" w:lineRule="auto" w:before="34"/>
        <w:ind w:left="561" w:right="0"/>
        <w:jc w:val="left"/>
        <w:rPr>
          <w:b w:val="0"/>
          <w:bCs w:val="0"/>
        </w:rPr>
      </w:pPr>
      <w:r>
        <w:rPr>
          <w:rFonts w:ascii="宋体" w:hAnsi="宋体" w:cs="宋体" w:eastAsia="宋体" w:hint="default"/>
        </w:rPr>
        <w:t>7</w:t>
      </w:r>
      <w:r>
        <w:rPr/>
        <w:t>、财通证券股份有限公司增资</w:t>
      </w:r>
      <w:r>
        <w:rPr>
          <w:b w:val="0"/>
          <w:bCs w:val="0"/>
        </w:rPr>
      </w:r>
    </w:p>
    <w:p>
      <w:pPr>
        <w:pStyle w:val="BodyText"/>
        <w:spacing w:line="357" w:lineRule="auto" w:before="133"/>
        <w:ind w:right="0" w:firstLine="420"/>
        <w:jc w:val="left"/>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日，浙江省财政厅下发《浙江省财政厅关于同意财通证券股份有限公司增资扩</w:t>
      </w:r>
      <w:r>
        <w:rPr>
          <w:w w:val="100"/>
        </w:rPr>
        <w:t> </w:t>
      </w:r>
      <w:r>
        <w:rPr>
          <w:spacing w:val="-11"/>
        </w:rPr>
        <w:t>股的批复》（浙财金〔</w:t>
      </w:r>
      <w:r>
        <w:rPr>
          <w:rFonts w:ascii="宋体" w:hAnsi="宋体" w:cs="宋体" w:eastAsia="宋体" w:hint="default"/>
          <w:spacing w:val="-11"/>
        </w:rPr>
        <w:t>2014</w:t>
      </w:r>
      <w:r>
        <w:rPr>
          <w:spacing w:val="-11"/>
        </w:rPr>
        <w:t>〕</w:t>
      </w:r>
      <w:r>
        <w:rPr>
          <w:rFonts w:ascii="宋体" w:hAnsi="宋体" w:cs="宋体" w:eastAsia="宋体" w:hint="default"/>
          <w:spacing w:val="-11"/>
        </w:rPr>
        <w:t>63</w:t>
      </w:r>
      <w:r>
        <w:rPr>
          <w:rFonts w:ascii="宋体" w:hAnsi="宋体" w:cs="宋体" w:eastAsia="宋体" w:hint="default"/>
          <w:spacing w:val="-42"/>
        </w:rPr>
        <w:t> </w:t>
      </w:r>
      <w:r>
        <w:rPr>
          <w:spacing w:val="-7"/>
        </w:rPr>
        <w:t>号），同意财通证券实施非公开定向增资扩股。</w:t>
      </w:r>
      <w:r>
        <w:rPr>
          <w:rFonts w:ascii="宋体" w:hAnsi="宋体" w:cs="宋体" w:eastAsia="宋体" w:hint="default"/>
          <w:spacing w:val="-7"/>
        </w:rPr>
        <w:t>2014</w:t>
      </w:r>
      <w:r>
        <w:rPr>
          <w:rFonts w:ascii="宋体" w:hAnsi="宋体" w:cs="宋体" w:eastAsia="宋体" w:hint="default"/>
          <w:spacing w:val="-39"/>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30</w:t>
      </w:r>
      <w:r>
        <w:rPr>
          <w:rFonts w:ascii="宋体" w:hAnsi="宋体" w:cs="宋体" w:eastAsia="宋体" w:hint="default"/>
          <w:spacing w:val="-42"/>
        </w:rPr>
        <w:t> </w:t>
      </w:r>
      <w:r>
        <w:rPr/>
        <w:t>日，</w:t>
      </w:r>
      <w:r>
        <w:rPr>
          <w:spacing w:val="-99"/>
        </w:rPr>
        <w:t> </w:t>
      </w:r>
      <w:r>
        <w:rPr>
          <w:spacing w:val="-3"/>
        </w:rPr>
        <w:t>浙江证监局下发《关于核准财通证券股份有限公司变更注册资本的批复》（浙证监许可〔</w:t>
      </w:r>
      <w:r>
        <w:rPr>
          <w:rFonts w:ascii="宋体" w:hAnsi="宋体" w:cs="宋体" w:eastAsia="宋体" w:hint="default"/>
          <w:spacing w:val="-3"/>
        </w:rPr>
        <w:t>2014</w:t>
      </w:r>
      <w:r>
        <w:rPr>
          <w:spacing w:val="-3"/>
        </w:rPr>
        <w:t>〕</w:t>
      </w:r>
      <w:r>
        <w:rPr>
          <w:rFonts w:ascii="宋体" w:hAnsi="宋体" w:cs="宋体" w:eastAsia="宋体" w:hint="default"/>
          <w:spacing w:val="-3"/>
        </w:rPr>
        <w:t>195</w:t>
      </w:r>
      <w:r>
        <w:rPr>
          <w:rFonts w:ascii="宋体" w:hAnsi="宋体" w:cs="宋体" w:eastAsia="宋体" w:hint="default"/>
          <w:spacing w:val="-38"/>
        </w:rPr>
        <w:t> </w:t>
      </w:r>
      <w:r>
        <w:rPr>
          <w:rFonts w:ascii="宋体" w:hAnsi="宋体" w:cs="宋体" w:eastAsia="宋体" w:hint="default"/>
          <w:spacing w:val="-38"/>
        </w:rPr>
      </w:r>
      <w:r>
        <w:rPr/>
        <w:t>号），核准财通证券注册资本变更为</w:t>
      </w:r>
      <w:r>
        <w:rPr>
          <w:spacing w:val="-53"/>
        </w:rPr>
        <w:t> </w:t>
      </w:r>
      <w:r>
        <w:rPr>
          <w:rFonts w:ascii="宋体" w:hAnsi="宋体" w:cs="宋体" w:eastAsia="宋体" w:hint="default"/>
        </w:rPr>
        <w:t>3,100,000,000.00</w:t>
      </w:r>
      <w:r>
        <w:rPr>
          <w:rFonts w:ascii="宋体" w:hAnsi="宋体" w:cs="宋体" w:eastAsia="宋体" w:hint="default"/>
          <w:spacing w:val="-55"/>
        </w:rPr>
        <w:t> </w:t>
      </w:r>
      <w:r>
        <w:rPr/>
        <w:t>元。</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日，财通证券在浙江省</w:t>
      </w:r>
      <w:r>
        <w:rPr>
          <w:w w:val="100"/>
        </w:rPr>
        <w:t> </w:t>
      </w:r>
      <w:r>
        <w:rPr>
          <w:spacing w:val="-3"/>
        </w:rPr>
        <w:t>工商局办理了变更登记，领取了新的《企业法人营业执照》（注册号：</w:t>
      </w:r>
      <w:r>
        <w:rPr>
          <w:rFonts w:ascii="宋体" w:hAnsi="宋体" w:cs="宋体" w:eastAsia="宋体" w:hint="default"/>
          <w:spacing w:val="-3"/>
        </w:rPr>
        <w:t>330000000022291</w:t>
      </w:r>
      <w:r>
        <w:rPr>
          <w:spacing w:val="-3"/>
        </w:rPr>
        <w:t>），注册资</w:t>
      </w:r>
      <w:r>
        <w:rPr>
          <w:spacing w:val="-24"/>
        </w:rPr>
        <w:t> </w:t>
      </w:r>
      <w:r>
        <w:rPr>
          <w:spacing w:val="-24"/>
        </w:rPr>
      </w:r>
      <w:r>
        <w:rPr/>
        <w:t>本变更为</w:t>
      </w:r>
      <w:r>
        <w:rPr>
          <w:spacing w:val="-54"/>
        </w:rPr>
        <w:t> </w:t>
      </w:r>
      <w:r>
        <w:rPr>
          <w:rFonts w:ascii="宋体" w:hAnsi="宋体" w:cs="宋体" w:eastAsia="宋体" w:hint="default"/>
        </w:rPr>
        <w:t>3,100,000,000.00</w:t>
      </w:r>
      <w:r>
        <w:rPr>
          <w:rFonts w:ascii="宋体" w:hAnsi="宋体" w:cs="宋体" w:eastAsia="宋体" w:hint="default"/>
          <w:spacing w:val="-53"/>
        </w:rPr>
        <w:t> </w:t>
      </w:r>
      <w:r>
        <w:rPr>
          <w:spacing w:val="-3"/>
        </w:rPr>
        <w:t>元。</w:t>
      </w:r>
      <w:r>
        <w:rPr/>
      </w:r>
    </w:p>
    <w:p>
      <w:pPr>
        <w:pStyle w:val="BodyText"/>
        <w:spacing w:line="240" w:lineRule="auto" w:before="30"/>
        <w:ind w:left="558" w:right="0"/>
        <w:jc w:val="left"/>
      </w:pPr>
      <w:r>
        <w:rPr/>
        <w:t>财通证券于</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6"/>
        </w:rPr>
        <w:t> </w:t>
      </w:r>
      <w:r>
        <w:rPr/>
        <w:t>月</w:t>
      </w:r>
      <w:r>
        <w:rPr>
          <w:spacing w:val="-49"/>
        </w:rPr>
        <w:t> </w:t>
      </w:r>
      <w:r>
        <w:rPr>
          <w:rFonts w:ascii="宋体" w:hAnsi="宋体" w:cs="宋体" w:eastAsia="宋体" w:hint="default"/>
        </w:rPr>
        <w:t>27</w:t>
      </w:r>
      <w:r>
        <w:rPr>
          <w:rFonts w:ascii="宋体" w:hAnsi="宋体" w:cs="宋体" w:eastAsia="宋体" w:hint="default"/>
          <w:spacing w:val="-47"/>
        </w:rPr>
        <w:t> </w:t>
      </w:r>
      <w:r>
        <w:rPr/>
        <w:t>日召开</w:t>
      </w:r>
      <w:r>
        <w:rPr>
          <w:spacing w:val="-47"/>
        </w:rPr>
        <w:t> </w:t>
      </w:r>
      <w:r>
        <w:rPr>
          <w:rFonts w:ascii="宋体" w:hAnsi="宋体" w:cs="宋体" w:eastAsia="宋体" w:hint="default"/>
        </w:rPr>
        <w:t>2014</w:t>
      </w:r>
      <w:r>
        <w:rPr>
          <w:rFonts w:ascii="宋体" w:hAnsi="宋体" w:cs="宋体" w:eastAsia="宋体" w:hint="default"/>
          <w:spacing w:val="-49"/>
        </w:rPr>
        <w:t> </w:t>
      </w:r>
      <w:r>
        <w:rPr>
          <w:spacing w:val="-5"/>
        </w:rPr>
        <w:t>年年度股东大会，全体股东一致审议通过了《关于定向</w:t>
      </w:r>
    </w:p>
    <w:p>
      <w:pPr>
        <w:pStyle w:val="BodyText"/>
        <w:spacing w:line="240" w:lineRule="auto" w:before="133"/>
        <w:ind w:right="0"/>
        <w:jc w:val="both"/>
      </w:pPr>
      <w:r>
        <w:rPr>
          <w:spacing w:val="-5"/>
        </w:rPr>
        <w:t>增资的议案》，同意公司向</w:t>
      </w:r>
      <w:r>
        <w:rPr>
          <w:spacing w:val="-39"/>
        </w:rPr>
        <w:t> </w:t>
      </w:r>
      <w:r>
        <w:rPr>
          <w:rFonts w:ascii="宋体" w:hAnsi="宋体" w:cs="宋体" w:eastAsia="宋体" w:hint="default"/>
        </w:rPr>
        <w:t>20</w:t>
      </w:r>
      <w:r>
        <w:rPr>
          <w:rFonts w:ascii="宋体" w:hAnsi="宋体" w:cs="宋体" w:eastAsia="宋体" w:hint="default"/>
          <w:spacing w:val="-43"/>
        </w:rPr>
        <w:t> </w:t>
      </w:r>
      <w:r>
        <w:rPr/>
        <w:t>名老股东定向发行</w:t>
      </w:r>
      <w:r>
        <w:rPr>
          <w:spacing w:val="-43"/>
        </w:rPr>
        <w:t> </w:t>
      </w:r>
      <w:r>
        <w:rPr>
          <w:rFonts w:ascii="宋体" w:hAnsi="宋体" w:cs="宋体" w:eastAsia="宋体" w:hint="default"/>
        </w:rPr>
        <w:t>1.3</w:t>
      </w:r>
      <w:r>
        <w:rPr>
          <w:rFonts w:ascii="宋体" w:hAnsi="宋体" w:cs="宋体" w:eastAsia="宋体" w:hint="default"/>
          <w:spacing w:val="-40"/>
        </w:rPr>
        <w:t> </w:t>
      </w:r>
      <w:r>
        <w:rPr>
          <w:spacing w:val="-3"/>
        </w:rPr>
        <w:t>亿股进行增资，增资完成后，公司注册资本为</w:t>
      </w:r>
    </w:p>
    <w:p>
      <w:pPr>
        <w:pStyle w:val="BodyText"/>
        <w:spacing w:line="240" w:lineRule="auto" w:before="135"/>
        <w:ind w:right="0"/>
        <w:jc w:val="both"/>
      </w:pPr>
      <w:r>
        <w:rPr>
          <w:rFonts w:ascii="宋体" w:hAnsi="宋体" w:cs="宋体" w:eastAsia="宋体" w:hint="default"/>
        </w:rPr>
        <w:t>3,230,000,000.00</w:t>
      </w:r>
      <w:r>
        <w:rPr>
          <w:rFonts w:ascii="宋体" w:hAnsi="宋体" w:cs="宋体" w:eastAsia="宋体" w:hint="default"/>
          <w:spacing w:val="-56"/>
        </w:rPr>
        <w:t> </w:t>
      </w:r>
      <w:r>
        <w:rPr/>
        <w:t>元。</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日，财通证券在浙江省工商局办理了变更登记，领取了新的</w:t>
      </w:r>
    </w:p>
    <w:p>
      <w:pPr>
        <w:pStyle w:val="BodyText"/>
        <w:spacing w:line="355" w:lineRule="auto" w:before="133"/>
        <w:ind w:right="303"/>
        <w:jc w:val="both"/>
      </w:pPr>
      <w:r>
        <w:rPr/>
        <w:t>《企业法人营业执照》。</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日，财通证券就本次增资事项向浙江证监局报送了《财通</w:t>
      </w:r>
      <w:r>
        <w:rPr>
          <w:w w:val="100"/>
        </w:rPr>
        <w:t> </w:t>
      </w:r>
      <w:r>
        <w:rPr>
          <w:spacing w:val="-2"/>
        </w:rPr>
        <w:t>证券股份有限公司关于增加注册资本的备案报告》（财券〔</w:t>
      </w:r>
      <w:r>
        <w:rPr>
          <w:rFonts w:ascii="宋体" w:hAnsi="宋体" w:cs="宋体" w:eastAsia="宋体" w:hint="default"/>
          <w:spacing w:val="-2"/>
        </w:rPr>
        <w:t>2015</w:t>
      </w:r>
      <w:r>
        <w:rPr>
          <w:spacing w:val="-2"/>
        </w:rPr>
        <w:t>〕</w:t>
      </w:r>
      <w:r>
        <w:rPr>
          <w:rFonts w:ascii="宋体" w:hAnsi="宋体" w:cs="宋体" w:eastAsia="宋体" w:hint="default"/>
          <w:spacing w:val="-2"/>
        </w:rPr>
        <w:t>153</w:t>
      </w:r>
      <w:r>
        <w:rPr>
          <w:rFonts w:ascii="宋体" w:hAnsi="宋体" w:cs="宋体" w:eastAsia="宋体" w:hint="default"/>
          <w:spacing w:val="29"/>
        </w:rPr>
        <w:t> </w:t>
      </w:r>
      <w:r>
        <w:rPr>
          <w:spacing w:val="-2"/>
        </w:rPr>
        <w:t>号）及相关备案文件。</w:t>
      </w:r>
    </w:p>
    <w:p>
      <w:pPr>
        <w:pStyle w:val="Heading5"/>
        <w:spacing w:line="240" w:lineRule="auto" w:before="32"/>
        <w:ind w:left="544" w:right="0"/>
        <w:jc w:val="left"/>
        <w:rPr>
          <w:b w:val="0"/>
          <w:bCs w:val="0"/>
        </w:rPr>
      </w:pPr>
      <w:r>
        <w:rPr>
          <w:rFonts w:ascii="宋体" w:hAnsi="宋体" w:cs="宋体" w:eastAsia="宋体" w:hint="default"/>
        </w:rPr>
        <w:t>8</w:t>
      </w:r>
      <w:r>
        <w:rPr/>
        <w:t>、财通证券股份有限公司挂牌上市</w:t>
      </w:r>
      <w:r>
        <w:rPr>
          <w:b w:val="0"/>
          <w:bCs w:val="0"/>
        </w:rPr>
      </w:r>
    </w:p>
    <w:p>
      <w:pPr>
        <w:pStyle w:val="BodyText"/>
        <w:spacing w:line="240" w:lineRule="auto" w:before="133"/>
        <w:ind w:left="544" w:right="0"/>
        <w:jc w:val="left"/>
      </w:pP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22</w:t>
      </w:r>
      <w:r>
        <w:rPr>
          <w:rFonts w:ascii="宋体" w:hAnsi="宋体" w:cs="宋体" w:eastAsia="宋体" w:hint="default"/>
          <w:spacing w:val="-55"/>
        </w:rPr>
        <w:t> </w:t>
      </w:r>
      <w:r>
        <w:rPr/>
        <w:t>日，经中国证监会《关于核准财通证券股份有限公司首次公开发行股票的批复》</w:t>
      </w:r>
    </w:p>
    <w:p>
      <w:pPr>
        <w:pStyle w:val="BodyText"/>
        <w:spacing w:line="355" w:lineRule="auto" w:before="135"/>
        <w:ind w:right="106"/>
        <w:jc w:val="both"/>
      </w:pPr>
      <w:r>
        <w:rPr>
          <w:spacing w:val="-3"/>
        </w:rPr>
        <w:t>（证监许可〔</w:t>
      </w:r>
      <w:r>
        <w:rPr>
          <w:rFonts w:ascii="宋体" w:hAnsi="宋体" w:cs="宋体" w:eastAsia="宋体" w:hint="default"/>
          <w:spacing w:val="-3"/>
        </w:rPr>
        <w:t>2017</w:t>
      </w:r>
      <w:r>
        <w:rPr>
          <w:spacing w:val="-3"/>
        </w:rPr>
        <w:t>〕</w:t>
      </w:r>
      <w:r>
        <w:rPr>
          <w:rFonts w:ascii="宋体" w:hAnsi="宋体" w:cs="宋体" w:eastAsia="宋体" w:hint="default"/>
          <w:spacing w:val="-3"/>
        </w:rPr>
        <w:t>1729</w:t>
      </w:r>
      <w:r>
        <w:rPr>
          <w:rFonts w:ascii="宋体" w:hAnsi="宋体" w:cs="宋体" w:eastAsia="宋体" w:hint="default"/>
          <w:spacing w:val="-45"/>
        </w:rPr>
        <w:t> </w:t>
      </w:r>
      <w:r>
        <w:rPr>
          <w:spacing w:val="-3"/>
        </w:rPr>
        <w:t>号）核准，财通证券公开发行人民币普通股（</w:t>
      </w:r>
      <w:r>
        <w:rPr>
          <w:rFonts w:ascii="宋体" w:hAnsi="宋体" w:cs="宋体" w:eastAsia="宋体" w:hint="default"/>
          <w:spacing w:val="-3"/>
        </w:rPr>
        <w:t>A</w:t>
      </w:r>
      <w:r>
        <w:rPr>
          <w:rFonts w:ascii="宋体" w:hAnsi="宋体" w:cs="宋体" w:eastAsia="宋体" w:hint="default"/>
          <w:spacing w:val="-43"/>
        </w:rPr>
        <w:t> </w:t>
      </w:r>
      <w:r>
        <w:rPr>
          <w:spacing w:val="-4"/>
        </w:rPr>
        <w:t>股）股票</w:t>
      </w:r>
      <w:r>
        <w:rPr>
          <w:spacing w:val="-42"/>
        </w:rPr>
        <w:t> </w:t>
      </w:r>
      <w:r>
        <w:rPr>
          <w:rFonts w:ascii="宋体" w:hAnsi="宋体" w:cs="宋体" w:eastAsia="宋体" w:hint="default"/>
        </w:rPr>
        <w:t>35,900</w:t>
      </w:r>
      <w:r>
        <w:rPr>
          <w:rFonts w:ascii="宋体" w:hAnsi="宋体" w:cs="宋体" w:eastAsia="宋体" w:hint="default"/>
          <w:spacing w:val="-43"/>
        </w:rPr>
        <w:t> </w:t>
      </w:r>
      <w:r>
        <w:rPr>
          <w:spacing w:val="-4"/>
        </w:rPr>
        <w:t>万股。本</w:t>
      </w:r>
      <w:r>
        <w:rPr>
          <w:spacing w:val="-80"/>
        </w:rPr>
        <w:t> </w:t>
      </w:r>
      <w:r>
        <w:rPr>
          <w:spacing w:val="-80"/>
        </w:rPr>
      </w:r>
      <w:r>
        <w:rPr>
          <w:spacing w:val="-6"/>
        </w:rPr>
        <w:t>次发行完成后，公司注册资本由</w:t>
      </w:r>
      <w:r>
        <w:rPr>
          <w:spacing w:val="-48"/>
        </w:rPr>
        <w:t> </w:t>
      </w:r>
      <w:r>
        <w:rPr>
          <w:rFonts w:ascii="宋体" w:hAnsi="宋体" w:cs="宋体" w:eastAsia="宋体" w:hint="default"/>
        </w:rPr>
        <w:t>3,230,000,000</w:t>
      </w:r>
      <w:r>
        <w:rPr>
          <w:rFonts w:ascii="宋体" w:hAnsi="宋体" w:cs="宋体" w:eastAsia="宋体" w:hint="default"/>
          <w:spacing w:val="-48"/>
        </w:rPr>
        <w:t> </w:t>
      </w:r>
      <w:r>
        <w:rPr/>
        <w:t>元变更为</w:t>
      </w:r>
      <w:r>
        <w:rPr>
          <w:spacing w:val="-46"/>
        </w:rPr>
        <w:t> </w:t>
      </w:r>
      <w:r>
        <w:rPr>
          <w:rFonts w:ascii="宋体" w:hAnsi="宋体" w:cs="宋体" w:eastAsia="宋体" w:hint="default"/>
        </w:rPr>
        <w:t>3,589,000,000</w:t>
      </w:r>
      <w:r>
        <w:rPr>
          <w:rFonts w:ascii="宋体" w:hAnsi="宋体" w:cs="宋体" w:eastAsia="宋体" w:hint="default"/>
          <w:spacing w:val="-48"/>
        </w:rPr>
        <w:t> </w:t>
      </w:r>
      <w:r>
        <w:rPr>
          <w:spacing w:val="-11"/>
        </w:rPr>
        <w:t>元，天健会计师事务所（特</w:t>
      </w:r>
      <w:r>
        <w:rPr>
          <w:spacing w:val="-91"/>
        </w:rPr>
        <w:t> </w:t>
      </w:r>
      <w:r>
        <w:rPr>
          <w:spacing w:val="-91"/>
        </w:rPr>
      </w:r>
      <w:r>
        <w:rPr/>
        <w:t>殊普通合伙）出具了天健验〔</w:t>
      </w:r>
      <w:r>
        <w:rPr>
          <w:rFonts w:ascii="宋体" w:hAnsi="宋体" w:cs="宋体" w:eastAsia="宋体" w:hint="default"/>
        </w:rPr>
        <w:t>2017</w:t>
      </w:r>
      <w:r>
        <w:rPr/>
        <w:t>〕</w:t>
      </w:r>
      <w:r>
        <w:rPr>
          <w:rFonts w:ascii="宋体" w:hAnsi="宋体" w:cs="宋体" w:eastAsia="宋体" w:hint="default"/>
        </w:rPr>
        <w:t>406</w:t>
      </w:r>
      <w:r>
        <w:rPr>
          <w:rFonts w:ascii="宋体" w:hAnsi="宋体" w:cs="宋体" w:eastAsia="宋体" w:hint="default"/>
          <w:spacing w:val="-50"/>
        </w:rPr>
        <w:t> </w:t>
      </w:r>
      <w:r>
        <w:rPr/>
        <w:t>号验资报告</w:t>
      </w:r>
      <w:r>
        <w:rPr>
          <w:rFonts w:ascii="宋体" w:hAnsi="宋体" w:cs="宋体" w:eastAsia="宋体" w:hint="default"/>
        </w:rPr>
        <w:t>,2017</w:t>
      </w:r>
      <w:r>
        <w:rPr>
          <w:rFonts w:ascii="宋体" w:hAnsi="宋体" w:cs="宋体" w:eastAsia="宋体" w:hint="default"/>
          <w:spacing w:val="-46"/>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4"/>
        </w:rPr>
        <w:t> </w:t>
      </w:r>
      <w:r>
        <w:rPr>
          <w:rFonts w:ascii="宋体" w:hAnsi="宋体" w:cs="宋体" w:eastAsia="宋体" w:hint="default"/>
        </w:rPr>
        <w:t>21</w:t>
      </w:r>
      <w:r>
        <w:rPr>
          <w:rFonts w:ascii="宋体" w:hAnsi="宋体" w:cs="宋体" w:eastAsia="宋体" w:hint="default"/>
          <w:spacing w:val="-47"/>
        </w:rPr>
        <w:t> </w:t>
      </w:r>
      <w:r>
        <w:rPr/>
        <w:t>日，公司完成工商变更登记。</w:t>
      </w:r>
    </w:p>
    <w:p>
      <w:pPr>
        <w:spacing w:line="240" w:lineRule="auto" w:before="0"/>
        <w:rPr>
          <w:rFonts w:ascii="宋体" w:hAnsi="宋体" w:cs="宋体" w:eastAsia="宋体" w:hint="default"/>
          <w:sz w:val="28"/>
          <w:szCs w:val="28"/>
        </w:rPr>
      </w:pPr>
    </w:p>
    <w:p>
      <w:pPr>
        <w:pStyle w:val="Heading5"/>
        <w:spacing w:line="240" w:lineRule="auto"/>
        <w:ind w:right="0"/>
        <w:jc w:val="both"/>
        <w:rPr>
          <w:b w:val="0"/>
          <w:bCs w:val="0"/>
        </w:rPr>
      </w:pPr>
      <w:r>
        <w:rPr/>
        <w:t>（二）公司组织机构情况</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18"/>
          <w:szCs w:val="18"/>
        </w:rPr>
      </w:pPr>
    </w:p>
    <w:p>
      <w:pPr>
        <w:pStyle w:val="BodyText"/>
        <w:spacing w:line="240" w:lineRule="auto"/>
        <w:ind w:left="558" w:right="0"/>
        <w:jc w:val="left"/>
      </w:pPr>
      <w:r>
        <w:rPr>
          <w:rFonts w:ascii="宋体" w:hAnsi="宋体" w:cs="宋体" w:eastAsia="宋体" w:hint="default"/>
        </w:rPr>
        <w:t>1</w:t>
      </w:r>
      <w:r>
        <w:rPr/>
        <w:t>、公司治理架构及组织结构图（截至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w:t>
      </w:r>
    </w:p>
    <w:p>
      <w:pPr>
        <w:spacing w:after="0" w:line="240" w:lineRule="auto"/>
        <w:jc w:val="left"/>
        <w:sectPr>
          <w:pgSz w:w="11910" w:h="16840"/>
          <w:pgMar w:header="880" w:footer="1195" w:top="1060" w:bottom="1380" w:left="128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6156" w:lineRule="exact"/>
        <w:ind w:left="168"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5757735" cy="39090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757735" cy="3909060"/>
                    </a:xfrm>
                    <a:prstGeom prst="rect">
                      <a:avLst/>
                    </a:prstGeom>
                  </pic:spPr>
                </pic:pic>
              </a:graphicData>
            </a:graphic>
          </wp:inline>
        </w:drawing>
      </w:r>
      <w:r>
        <w:rPr>
          <w:rFonts w:ascii="宋体" w:hAnsi="宋体" w:cs="宋体" w:eastAsia="宋体" w:hint="default"/>
          <w:position w:val="-122"/>
          <w:sz w:val="20"/>
          <w:szCs w:val="20"/>
        </w:rPr>
      </w:r>
    </w:p>
    <w:p>
      <w:pPr>
        <w:spacing w:line="240" w:lineRule="auto" w:before="8"/>
        <w:rPr>
          <w:rFonts w:ascii="宋体" w:hAnsi="宋体" w:cs="宋体" w:eastAsia="宋体" w:hint="default"/>
          <w:sz w:val="19"/>
          <w:szCs w:val="19"/>
        </w:rPr>
      </w:pPr>
    </w:p>
    <w:p>
      <w:pPr>
        <w:pStyle w:val="BodyText"/>
        <w:spacing w:line="240" w:lineRule="auto" w:before="36"/>
        <w:ind w:left="558" w:right="0"/>
        <w:jc w:val="left"/>
      </w:pPr>
      <w:r>
        <w:rPr>
          <w:rFonts w:ascii="宋体" w:hAnsi="宋体" w:cs="宋体" w:eastAsia="宋体" w:hint="default"/>
        </w:rPr>
        <w:t>2</w:t>
      </w:r>
      <w:r>
        <w:rPr/>
        <w:t>、公司主要一级控股公司情况</w:t>
      </w:r>
    </w:p>
    <w:p>
      <w:pPr>
        <w:pStyle w:val="BodyText"/>
        <w:spacing w:line="240" w:lineRule="auto" w:before="133"/>
        <w:ind w:left="618" w:right="0"/>
        <w:jc w:val="left"/>
      </w:pPr>
      <w:r>
        <w:rPr/>
        <w:t>（</w:t>
      </w:r>
      <w:r>
        <w:rPr>
          <w:rFonts w:ascii="宋体" w:hAnsi="宋体" w:cs="宋体" w:eastAsia="宋体" w:hint="default"/>
        </w:rPr>
        <w:t>1</w:t>
      </w:r>
      <w:r>
        <w:rPr/>
        <w:t>）财通证券（香港）有限公司</w:t>
      </w:r>
    </w:p>
    <w:p>
      <w:pPr>
        <w:pStyle w:val="BodyText"/>
        <w:spacing w:line="240" w:lineRule="auto" w:before="133"/>
        <w:ind w:left="618" w:right="0"/>
        <w:jc w:val="left"/>
      </w:pPr>
      <w:r>
        <w:rPr/>
        <w:t>注册地址：香港皇后大道</w:t>
      </w:r>
      <w:r>
        <w:rPr>
          <w:spacing w:val="-56"/>
        </w:rPr>
        <w:t> </w:t>
      </w:r>
      <w:r>
        <w:rPr>
          <w:rFonts w:ascii="宋体" w:hAnsi="宋体" w:cs="宋体" w:eastAsia="宋体" w:hint="default"/>
        </w:rPr>
        <w:t>181</w:t>
      </w:r>
      <w:r>
        <w:rPr>
          <w:rFonts w:ascii="宋体" w:hAnsi="宋体" w:cs="宋体" w:eastAsia="宋体" w:hint="default"/>
          <w:spacing w:val="-54"/>
        </w:rPr>
        <w:t> </w:t>
      </w:r>
      <w:r>
        <w:rPr/>
        <w:t>号新纪元广场</w:t>
      </w:r>
      <w:r>
        <w:rPr>
          <w:spacing w:val="-54"/>
        </w:rPr>
        <w:t> </w:t>
      </w:r>
      <w:r>
        <w:rPr>
          <w:rFonts w:ascii="宋体" w:hAnsi="宋体" w:cs="宋体" w:eastAsia="宋体" w:hint="default"/>
        </w:rPr>
        <w:t>24</w:t>
      </w:r>
      <w:r>
        <w:rPr>
          <w:rFonts w:ascii="宋体" w:hAnsi="宋体" w:cs="宋体" w:eastAsia="宋体" w:hint="default"/>
          <w:spacing w:val="-54"/>
        </w:rPr>
        <w:t> </w:t>
      </w:r>
      <w:r>
        <w:rPr/>
        <w:t>楼</w:t>
      </w:r>
      <w:r>
        <w:rPr>
          <w:spacing w:val="-53"/>
        </w:rPr>
        <w:t> </w:t>
      </w:r>
      <w:r>
        <w:rPr>
          <w:rFonts w:ascii="宋体" w:hAnsi="宋体" w:cs="宋体" w:eastAsia="宋体" w:hint="default"/>
        </w:rPr>
        <w:t>2401-03</w:t>
      </w:r>
      <w:r>
        <w:rPr>
          <w:rFonts w:ascii="宋体" w:hAnsi="宋体" w:cs="宋体" w:eastAsia="宋体" w:hint="default"/>
          <w:spacing w:val="-56"/>
        </w:rPr>
        <w:t> </w:t>
      </w:r>
      <w:r>
        <w:rPr/>
        <w:t>室</w:t>
      </w:r>
    </w:p>
    <w:p>
      <w:pPr>
        <w:pStyle w:val="BodyText"/>
        <w:spacing w:line="357" w:lineRule="auto" w:before="133"/>
        <w:ind w:left="618" w:right="5989"/>
        <w:jc w:val="left"/>
      </w:pPr>
      <w:r>
        <w:rPr/>
        <w:t>成立时间：</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2"/>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w:t>
      </w:r>
      <w:r>
        <w:rPr>
          <w:w w:val="100"/>
        </w:rPr>
        <w:t> </w:t>
      </w:r>
      <w:r>
        <w:rPr/>
        <w:t>已发行股份数目：</w:t>
      </w:r>
      <w:r>
        <w:rPr>
          <w:rFonts w:ascii="宋体" w:hAnsi="宋体" w:cs="宋体" w:eastAsia="宋体" w:hint="default"/>
        </w:rPr>
        <w:t>50,000</w:t>
      </w:r>
      <w:r>
        <w:rPr>
          <w:rFonts w:ascii="宋体" w:hAnsi="宋体" w:cs="宋体" w:eastAsia="宋体" w:hint="default"/>
          <w:spacing w:val="-56"/>
        </w:rPr>
        <w:t> </w:t>
      </w:r>
      <w:r>
        <w:rPr/>
        <w:t>万股</w:t>
      </w:r>
      <w:r>
        <w:rPr>
          <w:w w:val="100"/>
        </w:rPr>
        <w:t> </w:t>
      </w:r>
      <w:r>
        <w:rPr/>
        <w:t>每股面值：</w:t>
      </w:r>
      <w:r>
        <w:rPr>
          <w:rFonts w:ascii="宋体" w:hAnsi="宋体" w:cs="宋体" w:eastAsia="宋体" w:hint="default"/>
        </w:rPr>
        <w:t>1.00</w:t>
      </w:r>
      <w:r>
        <w:rPr>
          <w:rFonts w:ascii="宋体" w:hAnsi="宋体" w:cs="宋体" w:eastAsia="宋体" w:hint="default"/>
          <w:spacing w:val="-52"/>
        </w:rPr>
        <w:t> </w:t>
      </w:r>
      <w:r>
        <w:rPr>
          <w:spacing w:val="-3"/>
        </w:rPr>
        <w:t>港币</w:t>
      </w:r>
      <w:r>
        <w:rPr/>
      </w:r>
    </w:p>
    <w:p>
      <w:pPr>
        <w:pStyle w:val="BodyText"/>
        <w:spacing w:line="355" w:lineRule="auto" w:before="30"/>
        <w:ind w:right="0" w:firstLine="480"/>
        <w:jc w:val="left"/>
      </w:pPr>
      <w:r>
        <w:rPr>
          <w:spacing w:val="-2"/>
        </w:rPr>
        <w:t>主要业务：证券交易、孖展融资；就证券提供意见；就机构融资提供意见；提供资产管理；放</w:t>
      </w:r>
      <w:r>
        <w:rPr>
          <w:w w:val="100"/>
        </w:rPr>
        <w:t> </w:t>
      </w:r>
      <w:r>
        <w:rPr/>
        <w:t>债人业务；咨询业务。</w:t>
      </w:r>
    </w:p>
    <w:p>
      <w:pPr>
        <w:pStyle w:val="BodyText"/>
        <w:spacing w:line="357" w:lineRule="auto" w:before="153"/>
        <w:ind w:left="618" w:right="4049" w:firstLine="2"/>
        <w:jc w:val="left"/>
      </w:pPr>
      <w:r>
        <w:rPr/>
        <w:t>（</w:t>
      </w:r>
      <w:r>
        <w:rPr>
          <w:rFonts w:ascii="宋体" w:hAnsi="宋体" w:cs="宋体" w:eastAsia="宋体" w:hint="default"/>
        </w:rPr>
        <w:t>2</w:t>
      </w:r>
      <w:r>
        <w:rPr/>
        <w:t>）财通证券资产管理有限公司</w:t>
      </w:r>
      <w:r>
        <w:rPr>
          <w:w w:val="100"/>
        </w:rPr>
        <w:t> </w:t>
      </w:r>
      <w:r>
        <w:rPr/>
        <w:t>注册地址：浙江省杭州市上城区白云路</w:t>
      </w:r>
      <w:r>
        <w:rPr>
          <w:spacing w:val="-53"/>
        </w:rPr>
        <w:t> </w:t>
      </w:r>
      <w:r>
        <w:rPr>
          <w:rFonts w:ascii="宋体" w:hAnsi="宋体" w:cs="宋体" w:eastAsia="宋体" w:hint="default"/>
        </w:rPr>
        <w:t>26</w:t>
      </w:r>
      <w:r>
        <w:rPr>
          <w:rFonts w:ascii="宋体" w:hAnsi="宋体" w:cs="宋体" w:eastAsia="宋体" w:hint="default"/>
          <w:spacing w:val="-53"/>
        </w:rPr>
        <w:t> </w:t>
      </w:r>
      <w:r>
        <w:rPr/>
        <w:t>号</w:t>
      </w:r>
      <w:r>
        <w:rPr>
          <w:spacing w:val="-55"/>
        </w:rPr>
        <w:t> </w:t>
      </w:r>
      <w:r>
        <w:rPr>
          <w:rFonts w:ascii="宋体" w:hAnsi="宋体" w:cs="宋体" w:eastAsia="宋体" w:hint="default"/>
        </w:rPr>
        <w:t>143</w:t>
      </w:r>
      <w:r>
        <w:rPr>
          <w:rFonts w:ascii="宋体" w:hAnsi="宋体" w:cs="宋体" w:eastAsia="宋体" w:hint="default"/>
          <w:spacing w:val="-55"/>
        </w:rPr>
        <w:t> </w:t>
      </w:r>
      <w:r>
        <w:rPr/>
        <w:t>室</w:t>
      </w:r>
    </w:p>
    <w:p>
      <w:pPr>
        <w:pStyle w:val="BodyText"/>
        <w:spacing w:line="355" w:lineRule="auto" w:before="30"/>
        <w:ind w:left="618" w:right="5994"/>
        <w:jc w:val="left"/>
      </w:pPr>
      <w:r>
        <w:rPr/>
        <w:t>成立时间：</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20,000.00</w:t>
      </w:r>
      <w:r>
        <w:rPr>
          <w:rFonts w:ascii="宋体" w:hAnsi="宋体" w:cs="宋体" w:eastAsia="宋体" w:hint="default"/>
          <w:spacing w:val="-52"/>
        </w:rPr>
        <w:t> </w:t>
      </w:r>
      <w:r>
        <w:rPr>
          <w:spacing w:val="-3"/>
        </w:rPr>
        <w:t>万元</w:t>
      </w:r>
      <w:r>
        <w:rPr>
          <w:spacing w:val="-3"/>
          <w:w w:val="100"/>
        </w:rPr>
        <w:t> </w:t>
      </w:r>
      <w:r>
        <w:rPr/>
        <w:t>法定代表人：马晓立</w:t>
      </w:r>
    </w:p>
    <w:p>
      <w:pPr>
        <w:pStyle w:val="BodyText"/>
        <w:spacing w:line="357" w:lineRule="auto" w:before="32"/>
        <w:ind w:right="0" w:firstLine="480"/>
        <w:jc w:val="left"/>
      </w:pPr>
      <w:r>
        <w:rPr>
          <w:spacing w:val="-7"/>
          <w:w w:val="100"/>
        </w:rPr>
        <w:t>经营范围：证券资产管理业务，公开募集证券投资基金管理业务；受托管理保险资金业务。（依</w:t>
      </w:r>
      <w:r>
        <w:rPr>
          <w:w w:val="100"/>
        </w:rPr>
        <w:t> </w:t>
      </w:r>
      <w:r>
        <w:rPr/>
        <w:t>法须经批准的项目，经相关部门批准后方可开展经营活动）</w:t>
      </w:r>
    </w:p>
    <w:p>
      <w:pPr>
        <w:pStyle w:val="BodyText"/>
        <w:spacing w:line="357" w:lineRule="auto" w:before="150"/>
        <w:ind w:left="618" w:right="4677"/>
        <w:jc w:val="left"/>
      </w:pPr>
      <w:r>
        <w:rPr/>
        <w:t>（</w:t>
      </w:r>
      <w:r>
        <w:rPr>
          <w:rFonts w:ascii="宋体" w:hAnsi="宋体" w:cs="宋体" w:eastAsia="宋体" w:hint="default"/>
        </w:rPr>
        <w:t>3</w:t>
      </w:r>
      <w:r>
        <w:rPr/>
        <w:t>）浙江财通资本投资有限公司</w:t>
      </w:r>
      <w:r>
        <w:rPr>
          <w:w w:val="100"/>
        </w:rPr>
        <w:t> </w:t>
      </w:r>
      <w:r>
        <w:rPr/>
        <w:t>注册地址：杭州市上城区白云路</w:t>
      </w:r>
      <w:r>
        <w:rPr>
          <w:spacing w:val="-53"/>
        </w:rPr>
        <w:t> </w:t>
      </w:r>
      <w:r>
        <w:rPr>
          <w:rFonts w:ascii="宋体" w:hAnsi="宋体" w:cs="宋体" w:eastAsia="宋体" w:hint="default"/>
        </w:rPr>
        <w:t>22</w:t>
      </w:r>
      <w:r>
        <w:rPr>
          <w:rFonts w:ascii="宋体" w:hAnsi="宋体" w:cs="宋体" w:eastAsia="宋体" w:hint="default"/>
          <w:spacing w:val="-55"/>
        </w:rPr>
        <w:t> </w:t>
      </w:r>
      <w:r>
        <w:rPr/>
        <w:t>号</w:t>
      </w:r>
      <w:r>
        <w:rPr>
          <w:spacing w:val="-53"/>
        </w:rPr>
        <w:t> </w:t>
      </w:r>
      <w:r>
        <w:rPr>
          <w:rFonts w:ascii="宋体" w:hAnsi="宋体" w:cs="宋体" w:eastAsia="宋体" w:hint="default"/>
        </w:rPr>
        <w:t>161</w:t>
      </w:r>
      <w:r>
        <w:rPr>
          <w:rFonts w:ascii="宋体" w:hAnsi="宋体" w:cs="宋体" w:eastAsia="宋体" w:hint="default"/>
          <w:spacing w:val="-53"/>
        </w:rPr>
        <w:t> </w:t>
      </w:r>
      <w:r>
        <w:rPr/>
        <w:t>室</w:t>
      </w:r>
    </w:p>
    <w:p>
      <w:pPr>
        <w:spacing w:after="0" w:line="357" w:lineRule="auto"/>
        <w:jc w:val="left"/>
        <w:sectPr>
          <w:footerReference w:type="default" r:id="rId13"/>
          <w:pgSz w:w="11910" w:h="16840"/>
          <w:pgMar w:footer="1195" w:header="880" w:top="1060" w:bottom="1380" w:left="1280" w:right="1220"/>
        </w:sectPr>
      </w:pPr>
    </w:p>
    <w:p>
      <w:pPr>
        <w:spacing w:line="240" w:lineRule="auto" w:before="8"/>
        <w:rPr>
          <w:rFonts w:ascii="宋体" w:hAnsi="宋体" w:cs="宋体" w:eastAsia="宋体" w:hint="default"/>
          <w:sz w:val="28"/>
          <w:szCs w:val="28"/>
        </w:rPr>
      </w:pPr>
    </w:p>
    <w:p>
      <w:pPr>
        <w:pStyle w:val="BodyText"/>
        <w:spacing w:line="357" w:lineRule="auto" w:before="36"/>
        <w:ind w:left="618" w:right="6114"/>
        <w:jc w:val="left"/>
      </w:pPr>
      <w:r>
        <w:rPr/>
        <w:t>成立时间：</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2"/>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w:t>
      </w:r>
      <w:r>
        <w:rPr>
          <w:w w:val="100"/>
        </w:rPr>
        <w:t> </w:t>
      </w:r>
      <w:r>
        <w:rPr/>
        <w:t>注册资本：</w:t>
      </w:r>
      <w:r>
        <w:rPr>
          <w:rFonts w:ascii="宋体" w:hAnsi="宋体" w:cs="宋体" w:eastAsia="宋体" w:hint="default"/>
        </w:rPr>
        <w:t>50,000.00</w:t>
      </w:r>
      <w:r>
        <w:rPr>
          <w:rFonts w:ascii="宋体" w:hAnsi="宋体" w:cs="宋体" w:eastAsia="宋体" w:hint="default"/>
          <w:spacing w:val="-52"/>
        </w:rPr>
        <w:t> </w:t>
      </w:r>
      <w:r>
        <w:rPr>
          <w:spacing w:val="-3"/>
        </w:rPr>
        <w:t>万元</w:t>
      </w:r>
      <w:r>
        <w:rPr>
          <w:spacing w:val="-3"/>
          <w:w w:val="100"/>
        </w:rPr>
        <w:t> </w:t>
      </w:r>
      <w:r>
        <w:rPr/>
        <w:t>法定代表人：诸慧芳</w:t>
      </w:r>
    </w:p>
    <w:p>
      <w:pPr>
        <w:pStyle w:val="BodyText"/>
        <w:spacing w:line="355" w:lineRule="auto" w:before="30"/>
        <w:ind w:right="0" w:firstLine="480"/>
        <w:jc w:val="left"/>
      </w:pPr>
      <w:r>
        <w:rPr>
          <w:spacing w:val="-2"/>
        </w:rPr>
        <w:t>经营范围：实业投资，股权投资，投资管理，投资咨询，资产管理，财务咨询。（依法需经批</w:t>
      </w:r>
      <w:r>
        <w:rPr>
          <w:w w:val="100"/>
        </w:rPr>
        <w:t> </w:t>
      </w:r>
      <w:r>
        <w:rPr/>
        <w:t>准的项目，经相关部门批准后方可开展经营活动）</w:t>
      </w:r>
    </w:p>
    <w:p>
      <w:pPr>
        <w:pStyle w:val="BodyText"/>
        <w:spacing w:line="357" w:lineRule="auto" w:before="152"/>
        <w:ind w:left="618" w:right="4069"/>
        <w:jc w:val="left"/>
      </w:pPr>
      <w:r>
        <w:rPr/>
        <w:t>（</w:t>
      </w:r>
      <w:r>
        <w:rPr>
          <w:rFonts w:ascii="宋体" w:hAnsi="宋体" w:cs="宋体" w:eastAsia="宋体" w:hint="default"/>
        </w:rPr>
        <w:t>4</w:t>
      </w:r>
      <w:r>
        <w:rPr/>
        <w:t>）财通创新投资有限公司</w:t>
      </w:r>
      <w:r>
        <w:rPr>
          <w:w w:val="100"/>
        </w:rPr>
        <w:t> </w:t>
      </w:r>
      <w:r>
        <w:rPr/>
        <w:t>注册地址：浙江省杭州市上城区白云路</w:t>
      </w:r>
      <w:r>
        <w:rPr>
          <w:spacing w:val="-53"/>
        </w:rPr>
        <w:t> </w:t>
      </w:r>
      <w:r>
        <w:rPr>
          <w:rFonts w:ascii="宋体" w:hAnsi="宋体" w:cs="宋体" w:eastAsia="宋体" w:hint="default"/>
        </w:rPr>
        <w:t>26</w:t>
      </w:r>
      <w:r>
        <w:rPr>
          <w:rFonts w:ascii="宋体" w:hAnsi="宋体" w:cs="宋体" w:eastAsia="宋体" w:hint="default"/>
          <w:spacing w:val="-53"/>
        </w:rPr>
        <w:t> </w:t>
      </w:r>
      <w:r>
        <w:rPr/>
        <w:t>号</w:t>
      </w:r>
      <w:r>
        <w:rPr>
          <w:spacing w:val="-55"/>
        </w:rPr>
        <w:t> </w:t>
      </w:r>
      <w:r>
        <w:rPr>
          <w:rFonts w:ascii="宋体" w:hAnsi="宋体" w:cs="宋体" w:eastAsia="宋体" w:hint="default"/>
        </w:rPr>
        <w:t>285</w:t>
      </w:r>
      <w:r>
        <w:rPr>
          <w:rFonts w:ascii="宋体" w:hAnsi="宋体" w:cs="宋体" w:eastAsia="宋体" w:hint="default"/>
          <w:spacing w:val="-55"/>
        </w:rPr>
        <w:t> </w:t>
      </w:r>
      <w:r>
        <w:rPr/>
        <w:t>室</w:t>
      </w:r>
    </w:p>
    <w:p>
      <w:pPr>
        <w:pStyle w:val="BodyText"/>
        <w:spacing w:line="357" w:lineRule="auto" w:before="30"/>
        <w:ind w:left="618" w:right="6014"/>
        <w:jc w:val="left"/>
      </w:pPr>
      <w:r>
        <w:rPr/>
        <w:t>成立时间：</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380,000.00</w:t>
      </w:r>
      <w:r>
        <w:rPr>
          <w:rFonts w:ascii="宋体" w:hAnsi="宋体" w:cs="宋体" w:eastAsia="宋体" w:hint="default"/>
          <w:spacing w:val="-55"/>
        </w:rPr>
        <w:t> </w:t>
      </w:r>
      <w:r>
        <w:rPr>
          <w:spacing w:val="-3"/>
        </w:rPr>
        <w:t>万元</w:t>
      </w:r>
      <w:r>
        <w:rPr>
          <w:spacing w:val="-103"/>
        </w:rPr>
        <w:t> </w:t>
      </w:r>
      <w:r>
        <w:rPr/>
        <w:t>法定代表人：刘未</w:t>
      </w:r>
    </w:p>
    <w:p>
      <w:pPr>
        <w:pStyle w:val="BodyText"/>
        <w:spacing w:line="355" w:lineRule="auto" w:before="32"/>
        <w:ind w:right="0" w:firstLine="480"/>
        <w:jc w:val="left"/>
      </w:pPr>
      <w:r>
        <w:rPr>
          <w:spacing w:val="-2"/>
        </w:rPr>
        <w:t>经营范围：金融产品投资，股权投资。（依法需经批准的项目，经相关部门批准后方可开展经</w:t>
      </w:r>
      <w:r>
        <w:rPr>
          <w:w w:val="100"/>
        </w:rPr>
        <w:t> </w:t>
      </w:r>
      <w:r>
        <w:rPr/>
        <w:t>营活动）</w:t>
      </w:r>
    </w:p>
    <w:p>
      <w:pPr>
        <w:pStyle w:val="BodyText"/>
        <w:spacing w:line="240" w:lineRule="auto" w:before="32"/>
        <w:ind w:left="544" w:right="0"/>
        <w:jc w:val="left"/>
      </w:pPr>
      <w:r>
        <w:rPr>
          <w:rFonts w:ascii="宋体" w:hAnsi="宋体" w:cs="宋体" w:eastAsia="宋体" w:hint="default"/>
        </w:rPr>
        <w:t>3</w:t>
      </w:r>
      <w:r>
        <w:rPr/>
        <w:t>、公司重要参股公司情况</w:t>
      </w:r>
    </w:p>
    <w:p>
      <w:pPr>
        <w:pStyle w:val="BodyText"/>
        <w:spacing w:line="355" w:lineRule="auto" w:before="133"/>
        <w:ind w:left="618" w:right="4592"/>
        <w:jc w:val="left"/>
      </w:pPr>
      <w:r>
        <w:rPr/>
        <w:t>（</w:t>
      </w:r>
      <w:r>
        <w:rPr>
          <w:rFonts w:ascii="宋体" w:hAnsi="宋体" w:cs="宋体" w:eastAsia="宋体" w:hint="default"/>
        </w:rPr>
        <w:t>1</w:t>
      </w:r>
      <w:r>
        <w:rPr/>
        <w:t>）财通基金管理有限公司</w:t>
      </w:r>
      <w:r>
        <w:rPr>
          <w:w w:val="100"/>
        </w:rPr>
        <w:t> </w:t>
      </w:r>
      <w:r>
        <w:rPr/>
        <w:t>注册地址：上海市虹口区吴淞路</w:t>
      </w:r>
      <w:r>
        <w:rPr>
          <w:spacing w:val="-53"/>
        </w:rPr>
        <w:t> </w:t>
      </w:r>
      <w:r>
        <w:rPr>
          <w:rFonts w:ascii="宋体" w:hAnsi="宋体" w:cs="宋体" w:eastAsia="宋体" w:hint="default"/>
        </w:rPr>
        <w:t>619</w:t>
      </w:r>
      <w:r>
        <w:rPr>
          <w:rFonts w:ascii="宋体" w:hAnsi="宋体" w:cs="宋体" w:eastAsia="宋体" w:hint="default"/>
          <w:spacing w:val="-55"/>
        </w:rPr>
        <w:t> </w:t>
      </w:r>
      <w:r>
        <w:rPr/>
        <w:t>号</w:t>
      </w:r>
      <w:r>
        <w:rPr>
          <w:spacing w:val="-53"/>
        </w:rPr>
        <w:t> </w:t>
      </w:r>
      <w:r>
        <w:rPr>
          <w:rFonts w:ascii="宋体" w:hAnsi="宋体" w:cs="宋体" w:eastAsia="宋体" w:hint="default"/>
        </w:rPr>
        <w:t>505</w:t>
      </w:r>
      <w:r>
        <w:rPr>
          <w:rFonts w:ascii="宋体" w:hAnsi="宋体" w:cs="宋体" w:eastAsia="宋体" w:hint="default"/>
          <w:spacing w:val="-53"/>
        </w:rPr>
        <w:t> </w:t>
      </w:r>
      <w:r>
        <w:rPr/>
        <w:t>室</w:t>
      </w:r>
    </w:p>
    <w:p>
      <w:pPr>
        <w:pStyle w:val="BodyText"/>
        <w:spacing w:line="357" w:lineRule="auto" w:before="34"/>
        <w:ind w:left="618" w:right="6114"/>
        <w:jc w:val="left"/>
      </w:pPr>
      <w:r>
        <w:rPr/>
        <w:t>成立时间：</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2"/>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w:t>
      </w:r>
      <w:r>
        <w:rPr>
          <w:w w:val="100"/>
        </w:rPr>
        <w:t> </w:t>
      </w:r>
      <w:r>
        <w:rPr/>
        <w:t>注册资本：</w:t>
      </w:r>
      <w:r>
        <w:rPr>
          <w:rFonts w:ascii="宋体" w:hAnsi="宋体" w:cs="宋体" w:eastAsia="宋体" w:hint="default"/>
        </w:rPr>
        <w:t>20,000.00</w:t>
      </w:r>
      <w:r>
        <w:rPr>
          <w:rFonts w:ascii="宋体" w:hAnsi="宋体" w:cs="宋体" w:eastAsia="宋体" w:hint="default"/>
          <w:spacing w:val="-52"/>
        </w:rPr>
        <w:t> </w:t>
      </w:r>
      <w:r>
        <w:rPr>
          <w:spacing w:val="-3"/>
        </w:rPr>
        <w:t>万元</w:t>
      </w:r>
      <w:r>
        <w:rPr>
          <w:spacing w:val="-3"/>
          <w:w w:val="100"/>
        </w:rPr>
        <w:t> </w:t>
      </w:r>
      <w:r>
        <w:rPr/>
        <w:t>法定代表人：刘未</w:t>
      </w:r>
    </w:p>
    <w:p>
      <w:pPr>
        <w:pStyle w:val="BodyText"/>
        <w:spacing w:line="240" w:lineRule="auto" w:before="30"/>
        <w:ind w:left="618" w:right="0"/>
        <w:jc w:val="left"/>
      </w:pPr>
      <w:r>
        <w:rPr>
          <w:spacing w:val="-7"/>
        </w:rPr>
        <w:t>经营范围：基金募集、基金销售、特定客户资产管理、资产管理及中国证监会许可的其他业务。</w:t>
      </w:r>
    </w:p>
    <w:p>
      <w:pPr>
        <w:pStyle w:val="BodyText"/>
        <w:spacing w:line="240" w:lineRule="auto" w:before="133"/>
        <w:ind w:right="0"/>
        <w:jc w:val="left"/>
      </w:pPr>
      <w:r>
        <w:rPr/>
        <w:t>（依法须经批准的项目，经相关部门批准后方可开展经营活动）</w:t>
      </w:r>
    </w:p>
    <w:p>
      <w:pPr>
        <w:spacing w:line="240" w:lineRule="auto" w:before="7"/>
        <w:rPr>
          <w:rFonts w:ascii="宋体" w:hAnsi="宋体" w:cs="宋体" w:eastAsia="宋体" w:hint="default"/>
          <w:sz w:val="19"/>
          <w:szCs w:val="19"/>
        </w:rPr>
      </w:pPr>
    </w:p>
    <w:p>
      <w:pPr>
        <w:pStyle w:val="BodyText"/>
        <w:spacing w:line="240" w:lineRule="auto"/>
        <w:ind w:left="618" w:right="0"/>
        <w:jc w:val="left"/>
      </w:pPr>
      <w:r>
        <w:rPr/>
        <w:t>（</w:t>
      </w:r>
      <w:r>
        <w:rPr>
          <w:rFonts w:ascii="宋体" w:hAnsi="宋体" w:cs="宋体" w:eastAsia="宋体" w:hint="default"/>
        </w:rPr>
        <w:t>2</w:t>
      </w:r>
      <w:r>
        <w:rPr/>
        <w:t>）永安期货股份有限公司</w:t>
      </w:r>
    </w:p>
    <w:p>
      <w:pPr>
        <w:pStyle w:val="BodyText"/>
        <w:spacing w:line="355" w:lineRule="auto" w:before="133"/>
        <w:ind w:right="106" w:firstLine="480"/>
        <w:jc w:val="left"/>
      </w:pPr>
      <w:r>
        <w:rPr/>
        <w:t>注册地址：浙江省杭州市新业路</w:t>
      </w:r>
      <w:r>
        <w:rPr>
          <w:spacing w:val="-50"/>
        </w:rPr>
        <w:t> </w:t>
      </w:r>
      <w:r>
        <w:rPr>
          <w:rFonts w:ascii="宋体" w:hAnsi="宋体" w:cs="宋体" w:eastAsia="宋体" w:hint="default"/>
        </w:rPr>
        <w:t>200</w:t>
      </w:r>
      <w:r>
        <w:rPr>
          <w:rFonts w:ascii="宋体" w:hAnsi="宋体" w:cs="宋体" w:eastAsia="宋体" w:hint="default"/>
          <w:spacing w:val="-52"/>
        </w:rPr>
        <w:t> </w:t>
      </w:r>
      <w:r>
        <w:rPr/>
        <w:t>号华峰国际商务大厦</w:t>
      </w:r>
      <w:r>
        <w:rPr>
          <w:spacing w:val="-50"/>
        </w:rPr>
        <w:t> </w:t>
      </w:r>
      <w:r>
        <w:rPr>
          <w:rFonts w:ascii="宋体" w:hAnsi="宋体" w:cs="宋体" w:eastAsia="宋体" w:hint="default"/>
        </w:rPr>
        <w:t>10</w:t>
      </w:r>
      <w:r>
        <w:rPr>
          <w:rFonts w:ascii="宋体" w:hAnsi="宋体" w:cs="宋体" w:eastAsia="宋体" w:hint="default"/>
          <w:spacing w:val="-52"/>
        </w:rPr>
        <w:t> </w:t>
      </w:r>
      <w:r>
        <w:rPr/>
        <w:t>层、</w:t>
      </w:r>
      <w:r>
        <w:rPr>
          <w:rFonts w:ascii="宋体" w:hAnsi="宋体" w:cs="宋体" w:eastAsia="宋体" w:hint="default"/>
        </w:rPr>
        <w:t>1101</w:t>
      </w:r>
      <w:r>
        <w:rPr>
          <w:rFonts w:ascii="宋体" w:hAnsi="宋体" w:cs="宋体" w:eastAsia="宋体" w:hint="default"/>
          <w:spacing w:val="-52"/>
        </w:rPr>
        <w:t> </w:t>
      </w:r>
      <w:r>
        <w:rPr/>
        <w:t>室、</w:t>
      </w:r>
      <w:r>
        <w:rPr>
          <w:rFonts w:ascii="宋体" w:hAnsi="宋体" w:cs="宋体" w:eastAsia="宋体" w:hint="default"/>
        </w:rPr>
        <w:t>1102</w:t>
      </w:r>
      <w:r>
        <w:rPr>
          <w:rFonts w:ascii="宋体" w:hAnsi="宋体" w:cs="宋体" w:eastAsia="宋体" w:hint="default"/>
          <w:spacing w:val="-47"/>
        </w:rPr>
        <w:t> </w:t>
      </w:r>
      <w:r>
        <w:rPr/>
        <w:t>室、</w:t>
      </w:r>
      <w:r>
        <w:rPr>
          <w:rFonts w:ascii="宋体" w:hAnsi="宋体" w:cs="宋体" w:eastAsia="宋体" w:hint="default"/>
        </w:rPr>
        <w:t>1104</w:t>
      </w:r>
      <w:r>
        <w:rPr>
          <w:rFonts w:ascii="宋体" w:hAnsi="宋体" w:cs="宋体" w:eastAsia="宋体" w:hint="default"/>
          <w:spacing w:val="-47"/>
        </w:rPr>
        <w:t> </w:t>
      </w:r>
      <w:r>
        <w:rPr/>
        <w:t>室、</w:t>
      </w:r>
      <w:r>
        <w:rPr>
          <w:w w:val="100"/>
        </w:rPr>
        <w:t> </w:t>
      </w:r>
      <w:r>
        <w:rPr>
          <w:rFonts w:ascii="宋体" w:hAnsi="宋体" w:cs="宋体" w:eastAsia="宋体" w:hint="default"/>
        </w:rPr>
        <w:t>16-17</w:t>
      </w:r>
      <w:r>
        <w:rPr>
          <w:rFonts w:ascii="宋体" w:hAnsi="宋体" w:cs="宋体" w:eastAsia="宋体" w:hint="default"/>
          <w:spacing w:val="-52"/>
        </w:rPr>
        <w:t> </w:t>
      </w:r>
      <w:r>
        <w:rPr/>
        <w:t>层，</w:t>
      </w:r>
      <w:r>
        <w:rPr>
          <w:rFonts w:ascii="宋体" w:hAnsi="宋体" w:cs="宋体" w:eastAsia="宋体" w:hint="default"/>
        </w:rPr>
        <w:t>2702</w:t>
      </w:r>
      <w:r>
        <w:rPr>
          <w:rFonts w:ascii="宋体" w:hAnsi="宋体" w:cs="宋体" w:eastAsia="宋体" w:hint="default"/>
          <w:spacing w:val="-52"/>
        </w:rPr>
        <w:t> </w:t>
      </w:r>
      <w:r>
        <w:rPr/>
        <w:t>室</w:t>
      </w:r>
    </w:p>
    <w:p>
      <w:pPr>
        <w:pStyle w:val="BodyText"/>
        <w:spacing w:line="357" w:lineRule="auto" w:before="32"/>
        <w:ind w:left="618" w:right="6232"/>
        <w:jc w:val="both"/>
      </w:pPr>
      <w:r>
        <w:rPr/>
        <w:t>成立时间：</w:t>
      </w:r>
      <w:r>
        <w:rPr>
          <w:rFonts w:ascii="宋体" w:hAnsi="宋体" w:cs="宋体" w:eastAsia="宋体" w:hint="default"/>
        </w:rPr>
        <w:t>1992</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2"/>
        </w:rPr>
        <w:t> </w:t>
      </w:r>
      <w:r>
        <w:rPr/>
        <w:t>月</w:t>
      </w:r>
      <w:r>
        <w:rPr>
          <w:spacing w:val="-55"/>
        </w:rPr>
        <w:t> </w:t>
      </w:r>
      <w:r>
        <w:rPr>
          <w:rFonts w:ascii="宋体" w:hAnsi="宋体" w:cs="宋体" w:eastAsia="宋体" w:hint="default"/>
        </w:rPr>
        <w:t>7</w:t>
      </w:r>
      <w:r>
        <w:rPr>
          <w:rFonts w:ascii="宋体" w:hAnsi="宋体" w:cs="宋体" w:eastAsia="宋体" w:hint="default"/>
          <w:spacing w:val="-55"/>
        </w:rPr>
        <w:t> </w:t>
      </w:r>
      <w:r>
        <w:rPr/>
        <w:t>日</w:t>
      </w:r>
      <w:r>
        <w:rPr>
          <w:w w:val="100"/>
        </w:rPr>
        <w:t> </w:t>
      </w:r>
      <w:r>
        <w:rPr/>
        <w:t>注册资本：</w:t>
      </w:r>
      <w:r>
        <w:rPr>
          <w:rFonts w:ascii="宋体" w:hAnsi="宋体" w:cs="宋体" w:eastAsia="宋体" w:hint="default"/>
        </w:rPr>
        <w:t>131,000.00</w:t>
      </w:r>
      <w:r>
        <w:rPr>
          <w:rFonts w:ascii="宋体" w:hAnsi="宋体" w:cs="宋体" w:eastAsia="宋体" w:hint="default"/>
          <w:spacing w:val="-54"/>
        </w:rPr>
        <w:t> </w:t>
      </w:r>
      <w:r>
        <w:rPr>
          <w:spacing w:val="-3"/>
        </w:rPr>
        <w:t>万元</w:t>
      </w:r>
      <w:r>
        <w:rPr>
          <w:spacing w:val="-3"/>
          <w:w w:val="100"/>
        </w:rPr>
        <w:t> </w:t>
      </w:r>
      <w:r>
        <w:rPr/>
        <w:t>法定代表人：葛国栋</w:t>
      </w:r>
    </w:p>
    <w:p>
      <w:pPr>
        <w:pStyle w:val="BodyText"/>
        <w:spacing w:line="355" w:lineRule="auto" w:before="30"/>
        <w:ind w:right="0" w:firstLine="480"/>
        <w:jc w:val="left"/>
      </w:pPr>
      <w:r>
        <w:rPr>
          <w:spacing w:val="-2"/>
        </w:rPr>
        <w:t>经营范围：商品期货经纪、金融期货经纪、期货投资咨询，资产管理，基金销售。（依法需经</w:t>
      </w:r>
      <w:r>
        <w:rPr>
          <w:w w:val="100"/>
        </w:rPr>
        <w:t> </w:t>
      </w:r>
      <w:r>
        <w:rPr/>
        <w:t>批准的项目，经相关部门批准后方可开展经营活动）</w:t>
      </w:r>
    </w:p>
    <w:p>
      <w:pPr>
        <w:pStyle w:val="BodyText"/>
        <w:spacing w:line="357" w:lineRule="auto" w:before="152"/>
        <w:ind w:left="618" w:right="5011"/>
        <w:jc w:val="left"/>
      </w:pPr>
      <w:r>
        <w:rPr/>
        <w:t>（</w:t>
      </w:r>
      <w:r>
        <w:rPr>
          <w:rFonts w:ascii="宋体" w:hAnsi="宋体" w:cs="宋体" w:eastAsia="宋体" w:hint="default"/>
        </w:rPr>
        <w:t>3</w:t>
      </w:r>
      <w:r>
        <w:rPr/>
        <w:t>）浙江省浙商资产管理有限公司</w:t>
      </w:r>
      <w:r>
        <w:rPr>
          <w:w w:val="100"/>
        </w:rPr>
        <w:t> </w:t>
      </w:r>
      <w:r>
        <w:rPr/>
        <w:t>注册地址：杭州市西湖大道</w:t>
      </w:r>
      <w:r>
        <w:rPr>
          <w:spacing w:val="-52"/>
        </w:rPr>
        <w:t> </w:t>
      </w:r>
      <w:r>
        <w:rPr>
          <w:rFonts w:ascii="宋体" w:hAnsi="宋体" w:cs="宋体" w:eastAsia="宋体" w:hint="default"/>
        </w:rPr>
        <w:t>193</w:t>
      </w:r>
      <w:r>
        <w:rPr>
          <w:rFonts w:ascii="宋体" w:hAnsi="宋体" w:cs="宋体" w:eastAsia="宋体" w:hint="default"/>
          <w:spacing w:val="-55"/>
        </w:rPr>
        <w:t> </w:t>
      </w:r>
      <w:r>
        <w:rPr/>
        <w:t>号</w:t>
      </w:r>
      <w:r>
        <w:rPr>
          <w:spacing w:val="-53"/>
        </w:rPr>
        <w:t> </w:t>
      </w:r>
      <w:r>
        <w:rPr>
          <w:rFonts w:ascii="宋体" w:hAnsi="宋体" w:cs="宋体" w:eastAsia="宋体" w:hint="default"/>
        </w:rPr>
        <w:t>301</w:t>
      </w:r>
      <w:r>
        <w:rPr>
          <w:rFonts w:ascii="宋体" w:hAnsi="宋体" w:cs="宋体" w:eastAsia="宋体" w:hint="default"/>
          <w:spacing w:val="-53"/>
        </w:rPr>
        <w:t> </w:t>
      </w:r>
      <w:r>
        <w:rPr/>
        <w:t>室</w:t>
      </w:r>
    </w:p>
    <w:p>
      <w:pPr>
        <w:pStyle w:val="BodyText"/>
        <w:spacing w:line="357" w:lineRule="auto" w:before="30"/>
        <w:ind w:left="618" w:right="5797"/>
        <w:jc w:val="left"/>
      </w:pPr>
      <w:r>
        <w:rPr/>
        <w:t>成立时间：</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08</w:t>
      </w:r>
      <w:r>
        <w:rPr>
          <w:rFonts w:ascii="宋体" w:hAnsi="宋体" w:cs="宋体" w:eastAsia="宋体" w:hint="default"/>
          <w:spacing w:val="-53"/>
        </w:rPr>
        <w:t> </w:t>
      </w:r>
      <w:r>
        <w:rPr/>
        <w:t>月</w:t>
      </w:r>
      <w:r>
        <w:rPr>
          <w:spacing w:val="-56"/>
        </w:rPr>
        <w:t> </w:t>
      </w:r>
      <w:r>
        <w:rPr>
          <w:rFonts w:ascii="宋体" w:hAnsi="宋体" w:cs="宋体" w:eastAsia="宋体" w:hint="default"/>
        </w:rPr>
        <w:t>06</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601,800.00</w:t>
      </w:r>
      <w:r>
        <w:rPr>
          <w:rFonts w:ascii="宋体" w:hAnsi="宋体" w:cs="宋体" w:eastAsia="宋体" w:hint="default"/>
          <w:spacing w:val="-54"/>
        </w:rPr>
        <w:t> </w:t>
      </w:r>
      <w:r>
        <w:rPr/>
        <w:t>万人民币</w:t>
      </w:r>
      <w:r>
        <w:rPr>
          <w:w w:val="100"/>
        </w:rPr>
        <w:t> </w:t>
      </w:r>
      <w:r>
        <w:rPr/>
        <w:t>法定代表人：孙建华</w:t>
      </w:r>
    </w:p>
    <w:p>
      <w:pPr>
        <w:spacing w:after="0" w:line="357" w:lineRule="auto"/>
        <w:jc w:val="left"/>
        <w:sectPr>
          <w:footerReference w:type="default" r:id="rId15"/>
          <w:pgSz w:w="11910" w:h="16840"/>
          <w:pgMar w:footer="1195" w:header="880" w:top="1060" w:bottom="1380" w:left="1280" w:right="1200"/>
          <w:pgNumType w:start="11"/>
        </w:sectPr>
      </w:pPr>
    </w:p>
    <w:p>
      <w:pPr>
        <w:spacing w:line="240" w:lineRule="auto" w:before="8"/>
        <w:rPr>
          <w:rFonts w:ascii="宋体" w:hAnsi="宋体" w:cs="宋体" w:eastAsia="宋体" w:hint="default"/>
          <w:sz w:val="28"/>
          <w:szCs w:val="28"/>
        </w:rPr>
      </w:pPr>
    </w:p>
    <w:p>
      <w:pPr>
        <w:pStyle w:val="BodyText"/>
        <w:spacing w:line="357" w:lineRule="auto" w:before="36"/>
        <w:ind w:right="205" w:firstLine="480"/>
        <w:jc w:val="left"/>
      </w:pPr>
      <w:r>
        <w:rPr/>
        <w:t>经营范围：参与省内金融企业不良资产的批量转让业务（凭浙江省人民政府文件经营）。</w:t>
      </w:r>
      <w:r>
        <w:rPr>
          <w:spacing w:val="-4"/>
        </w:rPr>
        <w:t> </w:t>
      </w:r>
      <w:r>
        <w:rPr/>
        <w:t>资</w:t>
      </w:r>
      <w:r>
        <w:rPr>
          <w:w w:val="100"/>
        </w:rPr>
        <w:t> </w:t>
      </w:r>
      <w:r>
        <w:rPr>
          <w:spacing w:val="-6"/>
        </w:rPr>
        <w:t>产管理，资产投资及资产管理相关的重组、兼并、投资管理咨询服务，企业管理、财务咨询及服务。</w:t>
      </w:r>
    </w:p>
    <w:p>
      <w:pPr>
        <w:spacing w:line="240" w:lineRule="auto" w:before="8"/>
        <w:rPr>
          <w:rFonts w:ascii="宋体" w:hAnsi="宋体" w:cs="宋体" w:eastAsia="宋体" w:hint="default"/>
          <w:sz w:val="27"/>
          <w:szCs w:val="27"/>
        </w:rPr>
      </w:pPr>
    </w:p>
    <w:p>
      <w:pPr>
        <w:pStyle w:val="Heading5"/>
        <w:spacing w:line="240" w:lineRule="auto"/>
        <w:ind w:right="205"/>
        <w:jc w:val="left"/>
        <w:rPr>
          <w:b w:val="0"/>
          <w:bCs w:val="0"/>
        </w:rPr>
      </w:pPr>
      <w:r>
        <w:rPr/>
        <w:t>（三）公司证券营业部的数量和分布情况</w:t>
      </w:r>
      <w:r>
        <w:rPr>
          <w:b w:val="0"/>
          <w:bCs w:val="0"/>
        </w:rPr>
      </w:r>
    </w:p>
    <w:p>
      <w:pPr>
        <w:pStyle w:val="BodyText"/>
        <w:spacing w:line="240" w:lineRule="auto" w:before="58"/>
        <w:ind w:right="205"/>
        <w:jc w:val="left"/>
      </w:pPr>
      <w:r>
        <w:rPr/>
        <w:t>√适用 □不适用</w:t>
      </w:r>
    </w:p>
    <w:p>
      <w:pPr>
        <w:spacing w:line="240" w:lineRule="auto" w:before="1"/>
        <w:rPr>
          <w:rFonts w:ascii="宋体" w:hAnsi="宋体" w:cs="宋体" w:eastAsia="宋体" w:hint="default"/>
          <w:sz w:val="18"/>
          <w:szCs w:val="18"/>
        </w:rPr>
      </w:pPr>
    </w:p>
    <w:p>
      <w:pPr>
        <w:pStyle w:val="BodyText"/>
        <w:spacing w:line="240" w:lineRule="auto"/>
        <w:ind w:left="664" w:right="205"/>
        <w:jc w:val="left"/>
      </w:pPr>
      <w:r>
        <w:rPr/>
        <w:t>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日，本公司共设立了</w:t>
      </w:r>
      <w:r>
        <w:rPr>
          <w:spacing w:val="-53"/>
        </w:rPr>
        <w:t> </w:t>
      </w:r>
      <w:r>
        <w:rPr>
          <w:rFonts w:ascii="宋体" w:hAnsi="宋体" w:cs="宋体" w:eastAsia="宋体" w:hint="default"/>
        </w:rPr>
        <w:t>124</w:t>
      </w:r>
      <w:r>
        <w:rPr>
          <w:rFonts w:ascii="宋体" w:hAnsi="宋体" w:cs="宋体" w:eastAsia="宋体" w:hint="default"/>
          <w:spacing w:val="-55"/>
        </w:rPr>
        <w:t> </w:t>
      </w:r>
      <w:r>
        <w:rPr/>
        <w:t>家证券营业部，具体数量和分布情况如下：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560"/>
        <w:gridCol w:w="1417"/>
        <w:gridCol w:w="1560"/>
        <w:gridCol w:w="1560"/>
        <w:gridCol w:w="1561"/>
        <w:gridCol w:w="1416"/>
      </w:tblGrid>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省份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营业部家数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省份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营业部家数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省份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营业部家数</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云南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1</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1</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2</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辽宁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977"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right="205"/>
        <w:jc w:val="left"/>
      </w:pPr>
      <w:r>
        <w:rPr/>
        <w:t>营业部基本情况如下：</w:t>
      </w:r>
    </w:p>
    <w:p>
      <w:pPr>
        <w:spacing w:line="240" w:lineRule="auto" w:before="9"/>
        <w:rPr>
          <w:rFonts w:ascii="宋体" w:hAnsi="宋体" w:cs="宋体" w:eastAsia="宋体" w:hint="default"/>
          <w:sz w:val="20"/>
          <w:szCs w:val="20"/>
        </w:rPr>
      </w:pPr>
    </w:p>
    <w:tbl>
      <w:tblPr>
        <w:tblW w:w="0" w:type="auto"/>
        <w:jc w:val="left"/>
        <w:tblInd w:w="129" w:type="dxa"/>
        <w:tblLayout w:type="fixed"/>
        <w:tblCellMar>
          <w:top w:w="0" w:type="dxa"/>
          <w:left w:w="0" w:type="dxa"/>
          <w:bottom w:w="0" w:type="dxa"/>
          <w:right w:w="0" w:type="dxa"/>
        </w:tblCellMar>
        <w:tblLook w:val="01E0"/>
      </w:tblPr>
      <w:tblGrid>
        <w:gridCol w:w="660"/>
        <w:gridCol w:w="2749"/>
        <w:gridCol w:w="3322"/>
        <w:gridCol w:w="2631"/>
      </w:tblGrid>
      <w:tr>
        <w:trPr>
          <w:trHeight w:val="5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营业部名称</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杭州解放东路证券营业部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杭州市江干区解放东路</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5"/>
                <w:sz w:val="21"/>
                <w:szCs w:val="21"/>
              </w:rPr>
              <w:t> </w:t>
            </w:r>
            <w:r>
              <w:rPr>
                <w:rFonts w:ascii="宋体" w:hAnsi="宋体" w:cs="宋体" w:eastAsia="宋体" w:hint="default"/>
                <w:sz w:val="21"/>
                <w:szCs w:val="21"/>
              </w:rPr>
              <w:t>号财富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金融中心</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1101-1108</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0571-87828100</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杭州体育场路证券营业部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2"/>
                <w:sz w:val="21"/>
                <w:szCs w:val="21"/>
              </w:rPr>
              <w:t> </w:t>
            </w:r>
            <w:r>
              <w:rPr>
                <w:rFonts w:ascii="宋体" w:hAnsi="宋体" w:cs="宋体" w:eastAsia="宋体" w:hint="default"/>
                <w:sz w:val="21"/>
                <w:szCs w:val="21"/>
              </w:rPr>
              <w:t>288,290</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0571-85067007</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杭州庆春路证券营业部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杭州市庆春路</w:t>
            </w:r>
            <w:r>
              <w:rPr>
                <w:rFonts w:ascii="宋体" w:hAnsi="宋体" w:cs="宋体" w:eastAsia="宋体" w:hint="default"/>
                <w:spacing w:val="-53"/>
                <w:sz w:val="21"/>
                <w:szCs w:val="21"/>
              </w:rPr>
              <w:t> </w:t>
            </w:r>
            <w:r>
              <w:rPr>
                <w:rFonts w:ascii="宋体" w:hAnsi="宋体" w:cs="宋体" w:eastAsia="宋体" w:hint="default"/>
                <w:sz w:val="21"/>
                <w:szCs w:val="21"/>
              </w:rPr>
              <w:t>186</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0571-87212520</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杭州丽水路证券营业部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浙江省杭州市拱墅区绿地运河商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务中心</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501-510</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0571-88390953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杭州文二西路证券营业部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浙江省杭州市文二西路</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101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室、</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0571-88913107</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杭州秋涛路证券营业部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杭州市上城区秋涛路</w:t>
            </w:r>
            <w:r>
              <w:rPr>
                <w:rFonts w:ascii="宋体" w:hAnsi="宋体" w:cs="宋体" w:eastAsia="宋体" w:hint="default"/>
                <w:spacing w:val="-73"/>
                <w:sz w:val="21"/>
                <w:szCs w:val="21"/>
              </w:rPr>
              <w:t> </w:t>
            </w:r>
            <w:r>
              <w:rPr>
                <w:rFonts w:ascii="宋体" w:hAnsi="宋体" w:cs="宋体" w:eastAsia="宋体" w:hint="default"/>
                <w:sz w:val="21"/>
                <w:szCs w:val="21"/>
              </w:rPr>
              <w:t>258</w:t>
            </w:r>
            <w:r>
              <w:rPr>
                <w:rFonts w:ascii="宋体" w:hAnsi="宋体" w:cs="宋体" w:eastAsia="宋体" w:hint="default"/>
                <w:spacing w:val="-76"/>
                <w:sz w:val="21"/>
                <w:szCs w:val="21"/>
              </w:rPr>
              <w:t> </w:t>
            </w:r>
            <w:r>
              <w:rPr>
                <w:rFonts w:ascii="宋体" w:hAnsi="宋体" w:cs="宋体" w:eastAsia="宋体" w:hint="default"/>
                <w:sz w:val="21"/>
                <w:szCs w:val="21"/>
              </w:rPr>
              <w:t>号秋涛发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展大厦</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801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sz w:val="21"/>
              </w:rPr>
              <w:t>238-1</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0571-87247931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杭州上塘路证券营业部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浙江省杭州市上塘路</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号武林时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代商务中线</w:t>
            </w:r>
            <w:r>
              <w:rPr>
                <w:rFonts w:ascii="宋体" w:hAnsi="宋体" w:cs="宋体" w:eastAsia="宋体" w:hint="default"/>
                <w:spacing w:val="-53"/>
                <w:sz w:val="21"/>
                <w:szCs w:val="21"/>
              </w:rPr>
              <w:t> </w:t>
            </w:r>
            <w:r>
              <w:rPr>
                <w:rFonts w:ascii="宋体" w:hAnsi="宋体" w:cs="宋体" w:eastAsia="宋体" w:hint="default"/>
                <w:sz w:val="21"/>
                <w:szCs w:val="21"/>
              </w:rPr>
              <w:t>1101-1106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0571-85100573</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杭州金城路证券营业部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杭州市萧山区金城路 </w:t>
            </w:r>
            <w:r>
              <w:rPr>
                <w:rFonts w:ascii="宋体" w:hAnsi="宋体" w:cs="宋体" w:eastAsia="宋体" w:hint="default"/>
                <w:sz w:val="21"/>
                <w:szCs w:val="21"/>
              </w:rPr>
              <w:t>469 </w:t>
            </w:r>
            <w:r>
              <w:rPr>
                <w:rFonts w:ascii="宋体" w:hAnsi="宋体" w:cs="宋体" w:eastAsia="宋体" w:hint="default"/>
                <w:sz w:val="21"/>
                <w:szCs w:val="21"/>
              </w:rPr>
              <w:t>号一层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0571-83696555/83696971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杭州龙井路证券营业部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浙江省杭州市西湖风景名胜区西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湖街道龙井路</w:t>
            </w:r>
            <w:r>
              <w:rPr>
                <w:rFonts w:ascii="宋体" w:hAnsi="宋体" w:cs="宋体" w:eastAsia="宋体" w:hint="default"/>
                <w:spacing w:val="-53"/>
                <w:sz w:val="21"/>
                <w:szCs w:val="21"/>
              </w:rPr>
              <w:t> </w:t>
            </w:r>
            <w:r>
              <w:rPr>
                <w:rFonts w:ascii="宋体" w:hAnsi="宋体" w:cs="宋体" w:eastAsia="宋体" w:hint="default"/>
                <w:sz w:val="21"/>
                <w:szCs w:val="21"/>
              </w:rPr>
              <w:t>71</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0571-87956005/87956309</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杭州东湖南路证券营业部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浙江省杭州市余杭区南苑街道和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合财富中心</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1"/>
                <w:sz w:val="21"/>
                <w:szCs w:val="21"/>
              </w:rPr>
              <w:t> </w:t>
            </w:r>
            <w:r>
              <w:rPr>
                <w:rFonts w:ascii="宋体" w:hAnsi="宋体" w:cs="宋体" w:eastAsia="宋体" w:hint="default"/>
                <w:sz w:val="21"/>
                <w:szCs w:val="21"/>
              </w:rPr>
              <w:t>901-908</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0571-26295555</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杭州江滨西大道证券营业部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杭州市富阳区富春街道江滨西大</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道</w:t>
            </w:r>
            <w:r>
              <w:rPr>
                <w:rFonts w:ascii="宋体" w:hAnsi="宋体" w:cs="宋体" w:eastAsia="宋体" w:hint="default"/>
                <w:spacing w:val="-51"/>
                <w:sz w:val="21"/>
                <w:szCs w:val="21"/>
              </w:rPr>
              <w:t> </w:t>
            </w:r>
            <w:r>
              <w:rPr>
                <w:rFonts w:ascii="宋体" w:hAnsi="宋体" w:cs="宋体" w:eastAsia="宋体" w:hint="default"/>
                <w:sz w:val="21"/>
                <w:szCs w:val="21"/>
              </w:rPr>
              <w:t>49</w:t>
            </w:r>
            <w:r>
              <w:rPr>
                <w:rFonts w:ascii="宋体" w:hAnsi="宋体" w:cs="宋体" w:eastAsia="宋体" w:hint="default"/>
                <w:spacing w:val="-53"/>
                <w:sz w:val="21"/>
                <w:szCs w:val="21"/>
              </w:rPr>
              <w:t> </w:t>
            </w:r>
            <w:r>
              <w:rPr>
                <w:rFonts w:ascii="宋体" w:hAnsi="宋体" w:cs="宋体" w:eastAsia="宋体" w:hint="default"/>
                <w:spacing w:val="-5"/>
                <w:sz w:val="21"/>
                <w:szCs w:val="21"/>
              </w:rPr>
              <w:t>号、</w:t>
            </w:r>
            <w:r>
              <w:rPr>
                <w:rFonts w:ascii="宋体" w:hAnsi="宋体" w:cs="宋体" w:eastAsia="宋体" w:hint="default"/>
                <w:spacing w:val="-5"/>
                <w:sz w:val="21"/>
                <w:szCs w:val="21"/>
              </w:rPr>
              <w:t>50</w:t>
            </w:r>
            <w:r>
              <w:rPr>
                <w:rFonts w:ascii="宋体" w:hAnsi="宋体" w:cs="宋体" w:eastAsia="宋体" w:hint="default"/>
                <w:spacing w:val="-51"/>
                <w:sz w:val="21"/>
                <w:szCs w:val="21"/>
              </w:rPr>
              <w:t> </w:t>
            </w:r>
            <w:r>
              <w:rPr>
                <w:rFonts w:ascii="宋体" w:hAnsi="宋体" w:cs="宋体" w:eastAsia="宋体" w:hint="default"/>
                <w:spacing w:val="-5"/>
                <w:sz w:val="21"/>
                <w:szCs w:val="21"/>
              </w:rPr>
              <w:t>号、</w:t>
            </w:r>
            <w:r>
              <w:rPr>
                <w:rFonts w:ascii="宋体" w:hAnsi="宋体" w:cs="宋体" w:eastAsia="宋体" w:hint="default"/>
                <w:spacing w:val="-5"/>
                <w:sz w:val="21"/>
                <w:szCs w:val="21"/>
              </w:rPr>
              <w:t>51</w:t>
            </w:r>
            <w:r>
              <w:rPr>
                <w:rFonts w:ascii="宋体" w:hAnsi="宋体" w:cs="宋体" w:eastAsia="宋体" w:hint="default"/>
                <w:spacing w:val="-53"/>
                <w:sz w:val="21"/>
                <w:szCs w:val="21"/>
              </w:rPr>
              <w:t> </w:t>
            </w:r>
            <w:r>
              <w:rPr>
                <w:rFonts w:ascii="宋体" w:hAnsi="宋体" w:cs="宋体" w:eastAsia="宋体" w:hint="default"/>
                <w:spacing w:val="-5"/>
                <w:sz w:val="21"/>
                <w:szCs w:val="21"/>
              </w:rPr>
              <w:t>号、</w:t>
            </w:r>
            <w:r>
              <w:rPr>
                <w:rFonts w:ascii="宋体" w:hAnsi="宋体" w:cs="宋体" w:eastAsia="宋体" w:hint="default"/>
                <w:spacing w:val="-5"/>
                <w:sz w:val="21"/>
                <w:szCs w:val="21"/>
              </w:rPr>
              <w:t>52</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0571-63346545/61719159</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淳安新安大街证券营业部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浙江省淳安县千岛湖镇新安大街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102</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0571-64819247/64819277/</w:t>
            </w:r>
          </w:p>
          <w:p>
            <w:pPr>
              <w:pStyle w:val="TableParagraph"/>
              <w:spacing w:line="273" w:lineRule="exact"/>
              <w:ind w:left="103" w:right="0"/>
              <w:jc w:val="left"/>
              <w:rPr>
                <w:rFonts w:ascii="宋体" w:hAnsi="宋体" w:cs="宋体" w:eastAsia="宋体" w:hint="default"/>
                <w:sz w:val="21"/>
                <w:szCs w:val="21"/>
              </w:rPr>
            </w:pPr>
            <w:r>
              <w:rPr>
                <w:rFonts w:ascii="宋体"/>
                <w:sz w:val="21"/>
              </w:rPr>
              <w:t>64816733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杭州环城北路证券营业部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浙江省杭州市下城区环城北路</w:t>
            </w:r>
            <w:r>
              <w:rPr>
                <w:rFonts w:ascii="宋体" w:hAnsi="宋体" w:cs="宋体" w:eastAsia="宋体" w:hint="default"/>
                <w:spacing w:val="-54"/>
                <w:sz w:val="21"/>
                <w:szCs w:val="21"/>
              </w:rPr>
              <w:t> </w:t>
            </w:r>
            <w:r>
              <w:rPr>
                <w:rFonts w:ascii="宋体" w:hAnsi="宋体" w:cs="宋体" w:eastAsia="宋体" w:hint="default"/>
                <w:sz w:val="21"/>
                <w:szCs w:val="21"/>
              </w:rPr>
              <w:t>169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号汇金国际大厦西</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幢</w:t>
            </w:r>
            <w:r>
              <w:rPr>
                <w:rFonts w:ascii="宋体" w:hAnsi="宋体" w:cs="宋体" w:eastAsia="宋体" w:hint="default"/>
                <w:spacing w:val="-54"/>
                <w:sz w:val="21"/>
                <w:szCs w:val="21"/>
              </w:rPr>
              <w:t> </w:t>
            </w:r>
            <w:r>
              <w:rPr>
                <w:rFonts w:ascii="宋体" w:hAnsi="宋体" w:cs="宋体" w:eastAsia="宋体" w:hint="default"/>
                <w:sz w:val="21"/>
                <w:szCs w:val="21"/>
              </w:rPr>
              <w:t>301</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0571-87821828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建德严州大道证券营业部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建德市新安江街道严州大道</w:t>
            </w:r>
            <w:r>
              <w:rPr>
                <w:rFonts w:ascii="宋体" w:hAnsi="宋体" w:cs="宋体" w:eastAsia="宋体" w:hint="default"/>
                <w:spacing w:val="-55"/>
                <w:sz w:val="21"/>
                <w:szCs w:val="21"/>
              </w:rPr>
              <w:t> </w:t>
            </w:r>
            <w:r>
              <w:rPr>
                <w:rFonts w:ascii="宋体" w:hAnsi="宋体" w:cs="宋体" w:eastAsia="宋体" w:hint="default"/>
                <w:sz w:val="21"/>
                <w:szCs w:val="21"/>
              </w:rPr>
              <w:t>1253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0571-60900190/60900192/</w:t>
            </w:r>
          </w:p>
          <w:p>
            <w:pPr>
              <w:pStyle w:val="TableParagraph"/>
              <w:spacing w:line="274" w:lineRule="exact"/>
              <w:ind w:left="103" w:right="0"/>
              <w:jc w:val="left"/>
              <w:rPr>
                <w:rFonts w:ascii="宋体" w:hAnsi="宋体" w:cs="宋体" w:eastAsia="宋体" w:hint="default"/>
                <w:sz w:val="21"/>
                <w:szCs w:val="21"/>
              </w:rPr>
            </w:pPr>
            <w:r>
              <w:rPr>
                <w:rFonts w:ascii="宋体"/>
                <w:sz w:val="21"/>
              </w:rPr>
              <w:t>60900195</w:t>
            </w:r>
          </w:p>
        </w:tc>
      </w:tr>
      <w:tr>
        <w:trPr>
          <w:trHeight w:val="29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杭州瓜沥友谊路证券营业部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萧山区瓜沥镇</w:t>
            </w:r>
            <w:r>
              <w:rPr>
                <w:rFonts w:ascii="宋体" w:hAnsi="宋体" w:cs="宋体" w:eastAsia="宋体" w:hint="default"/>
                <w:spacing w:val="-53"/>
                <w:sz w:val="21"/>
                <w:szCs w:val="21"/>
              </w:rPr>
              <w:t> </w:t>
            </w:r>
            <w:r>
              <w:rPr>
                <w:rFonts w:ascii="宋体" w:hAnsi="宋体" w:cs="宋体" w:eastAsia="宋体" w:hint="default"/>
                <w:sz w:val="21"/>
                <w:szCs w:val="21"/>
              </w:rPr>
              <w:t>528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0571-83686661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杭州下沙证券营业部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浙江省杭州市经济开发区白杨街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道</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号大街</w:t>
            </w:r>
            <w:r>
              <w:rPr>
                <w:rFonts w:ascii="宋体" w:hAnsi="宋体" w:cs="宋体" w:eastAsia="宋体" w:hint="default"/>
                <w:spacing w:val="-54"/>
                <w:sz w:val="21"/>
                <w:szCs w:val="21"/>
              </w:rPr>
              <w:t> </w:t>
            </w:r>
            <w:r>
              <w:rPr>
                <w:rFonts w:ascii="宋体" w:hAnsi="宋体" w:cs="宋体" w:eastAsia="宋体" w:hint="default"/>
                <w:sz w:val="21"/>
                <w:szCs w:val="21"/>
              </w:rPr>
              <w:t>12-20-3</w:t>
            </w:r>
            <w:r>
              <w:rPr>
                <w:rFonts w:ascii="宋体" w:hAnsi="宋体" w:cs="宋体" w:eastAsia="宋体" w:hint="default"/>
                <w:sz w:val="21"/>
                <w:szCs w:val="21"/>
              </w:rPr>
              <w:t>、</w:t>
            </w:r>
            <w:r>
              <w:rPr>
                <w:rFonts w:ascii="宋体" w:hAnsi="宋体" w:cs="宋体" w:eastAsia="宋体" w:hint="default"/>
                <w:sz w:val="21"/>
                <w:szCs w:val="21"/>
              </w:rPr>
              <w:t>12-20-4</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0571-28051569</w:t>
            </w:r>
          </w:p>
        </w:tc>
      </w:tr>
    </w:tbl>
    <w:p>
      <w:pPr>
        <w:spacing w:after="0" w:line="240" w:lineRule="auto"/>
        <w:jc w:val="left"/>
        <w:rPr>
          <w:rFonts w:ascii="宋体" w:hAnsi="宋体" w:cs="宋体" w:eastAsia="宋体" w:hint="default"/>
          <w:sz w:val="21"/>
          <w:szCs w:val="21"/>
        </w:rPr>
        <w:sectPr>
          <w:pgSz w:w="11910" w:h="16840"/>
          <w:pgMar w:header="880" w:footer="1195" w:top="1060" w:bottom="1380" w:left="12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660"/>
        <w:gridCol w:w="2749"/>
        <w:gridCol w:w="3322"/>
        <w:gridCol w:w="2631"/>
      </w:tblGrid>
      <w:tr>
        <w:trPr>
          <w:trHeight w:val="550"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sz w:val="21"/>
              </w:rPr>
              <w:t>17</w:t>
            </w:r>
          </w:p>
        </w:tc>
        <w:tc>
          <w:tcPr>
            <w:tcW w:w="2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临安西苑路证券营业部</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浙江临安市锦城街道西苑路</w:t>
            </w:r>
            <w:r>
              <w:rPr>
                <w:rFonts w:ascii="宋体" w:hAnsi="宋体" w:cs="宋体" w:eastAsia="宋体" w:hint="default"/>
                <w:spacing w:val="-54"/>
                <w:sz w:val="21"/>
                <w:szCs w:val="21"/>
              </w:rPr>
              <w:t> </w:t>
            </w:r>
            <w:r>
              <w:rPr>
                <w:rFonts w:ascii="宋体" w:hAnsi="宋体" w:cs="宋体" w:eastAsia="宋体" w:hint="default"/>
                <w:sz w:val="21"/>
                <w:szCs w:val="21"/>
              </w:rPr>
              <w:t>23-25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0571-61083971</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18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杭州九堡九乔街证券营业部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杭州市江干区九洲芳园</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幢底商</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0571-87234299</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19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杭州桐庐白云源路证券营业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浙江省杭州市桐庐县县城白云源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宋体" w:hAnsi="宋体" w:cs="宋体" w:eastAsia="宋体" w:hint="default"/>
                <w:sz w:val="21"/>
                <w:szCs w:val="21"/>
              </w:rPr>
              <w:t>1003</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0571-69909702</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20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杭州新登新兴路证券营业部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杭州市富阳区新登镇新兴路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19-14</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0571-63256363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1"/>
                <w:szCs w:val="21"/>
              </w:rPr>
            </w:pPr>
            <w:r>
              <w:rPr>
                <w:rFonts w:ascii="宋体"/>
                <w:sz w:val="21"/>
              </w:rPr>
              <w:t>21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杭州江南大道证券营业部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杭州市滨江区长河街道江南大道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380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幢一层</w:t>
            </w:r>
            <w:r>
              <w:rPr>
                <w:rFonts w:ascii="宋体" w:hAnsi="宋体" w:cs="宋体" w:eastAsia="宋体" w:hint="default"/>
                <w:spacing w:val="-54"/>
                <w:sz w:val="21"/>
                <w:szCs w:val="21"/>
              </w:rPr>
              <w:t> </w:t>
            </w:r>
            <w:r>
              <w:rPr>
                <w:rFonts w:ascii="宋体" w:hAnsi="宋体" w:cs="宋体" w:eastAsia="宋体" w:hint="default"/>
                <w:sz w:val="21"/>
                <w:szCs w:val="21"/>
              </w:rPr>
              <w:t>109</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0571-86918080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22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杭州转塘杭新路证券营业部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杭州市西湖区转塘街道金街美地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商业中心</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宋体" w:hAnsi="宋体" w:cs="宋体" w:eastAsia="宋体" w:hint="default"/>
                <w:sz w:val="21"/>
                <w:szCs w:val="21"/>
              </w:rPr>
              <w:t>115</w:t>
            </w:r>
            <w:r>
              <w:rPr>
                <w:rFonts w:ascii="宋体" w:hAnsi="宋体" w:cs="宋体" w:eastAsia="宋体" w:hint="default"/>
                <w:sz w:val="21"/>
                <w:szCs w:val="21"/>
              </w:rPr>
              <w:t>、</w:t>
            </w:r>
            <w:r>
              <w:rPr>
                <w:rFonts w:ascii="宋体" w:hAnsi="宋体" w:cs="宋体" w:eastAsia="宋体" w:hint="default"/>
                <w:sz w:val="21"/>
                <w:szCs w:val="21"/>
              </w:rPr>
              <w:t>116</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0571-89990316</w:t>
            </w:r>
          </w:p>
        </w:tc>
      </w:tr>
      <w:tr>
        <w:trPr>
          <w:trHeight w:val="29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23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杭州余杭塘路证券营业部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杭州市西湖区余杭塘路</w:t>
            </w:r>
            <w:r>
              <w:rPr>
                <w:rFonts w:ascii="宋体" w:hAnsi="宋体" w:cs="宋体" w:eastAsia="宋体" w:hint="default"/>
                <w:spacing w:val="-76"/>
                <w:sz w:val="21"/>
                <w:szCs w:val="21"/>
              </w:rPr>
              <w:t> </w:t>
            </w:r>
            <w:r>
              <w:rPr>
                <w:rFonts w:ascii="宋体" w:hAnsi="宋体" w:cs="宋体" w:eastAsia="宋体" w:hint="default"/>
                <w:sz w:val="21"/>
                <w:szCs w:val="21"/>
              </w:rPr>
              <w:t>813</w:t>
            </w:r>
            <w:r>
              <w:rPr>
                <w:rFonts w:ascii="宋体" w:hAnsi="宋体" w:cs="宋体" w:eastAsia="宋体" w:hint="default"/>
                <w:spacing w:val="-76"/>
                <w:sz w:val="21"/>
                <w:szCs w:val="21"/>
              </w:rPr>
              <w:t> </w:t>
            </w:r>
            <w:r>
              <w:rPr>
                <w:rFonts w:ascii="宋体" w:hAnsi="宋体" w:cs="宋体" w:eastAsia="宋体" w:hint="default"/>
                <w:sz w:val="21"/>
                <w:szCs w:val="21"/>
              </w:rPr>
              <w:t>号一层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0571-87317151</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24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杭州新天地街证券营业部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杭州市下城区新天地街</w:t>
            </w:r>
            <w:r>
              <w:rPr>
                <w:rFonts w:ascii="宋体" w:hAnsi="宋体" w:cs="宋体" w:eastAsia="宋体" w:hint="default"/>
                <w:spacing w:val="-76"/>
                <w:sz w:val="21"/>
                <w:szCs w:val="21"/>
              </w:rPr>
              <w:t> </w:t>
            </w:r>
            <w:r>
              <w:rPr>
                <w:rFonts w:ascii="宋体" w:hAnsi="宋体" w:cs="宋体" w:eastAsia="宋体" w:hint="default"/>
                <w:sz w:val="21"/>
                <w:szCs w:val="21"/>
              </w:rPr>
              <w:t>406</w:t>
            </w:r>
            <w:r>
              <w:rPr>
                <w:rFonts w:ascii="宋体" w:hAnsi="宋体" w:cs="宋体" w:eastAsia="宋体" w:hint="default"/>
                <w:spacing w:val="-76"/>
                <w:sz w:val="21"/>
                <w:szCs w:val="21"/>
              </w:rPr>
              <w:t> </w:t>
            </w:r>
            <w:r>
              <w:rPr>
                <w:rFonts w:ascii="宋体" w:hAnsi="宋体" w:cs="宋体" w:eastAsia="宋体" w:hint="default"/>
                <w:sz w:val="21"/>
                <w:szCs w:val="21"/>
              </w:rPr>
              <w:t>号星城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发展大厦</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幢（商）</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0577-28890705</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25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杭州环丁路证券营业部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杭州市江干区环丁路</w:t>
            </w:r>
            <w:r>
              <w:rPr>
                <w:rFonts w:ascii="宋体" w:hAnsi="宋体" w:cs="宋体" w:eastAsia="宋体" w:hint="default"/>
                <w:spacing w:val="-53"/>
                <w:sz w:val="21"/>
                <w:szCs w:val="21"/>
              </w:rPr>
              <w:t> </w:t>
            </w:r>
            <w:r>
              <w:rPr>
                <w:rFonts w:ascii="宋体" w:hAnsi="宋体" w:cs="宋体" w:eastAsia="宋体" w:hint="default"/>
                <w:sz w:val="21"/>
                <w:szCs w:val="21"/>
              </w:rPr>
              <w:t>277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0571-85352637</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26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杭州文一西路证券营业部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杭州市余杭区余杭街道文一西路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2118</w:t>
            </w:r>
            <w:r>
              <w:rPr>
                <w:rFonts w:ascii="宋体" w:hAnsi="宋体" w:cs="宋体" w:eastAsia="宋体" w:hint="default"/>
                <w:sz w:val="21"/>
                <w:szCs w:val="21"/>
              </w:rPr>
              <w:t>、</w:t>
            </w:r>
            <w:r>
              <w:rPr>
                <w:rFonts w:ascii="宋体" w:hAnsi="宋体" w:cs="宋体" w:eastAsia="宋体" w:hint="default"/>
                <w:sz w:val="21"/>
                <w:szCs w:val="21"/>
              </w:rPr>
              <w:t>2120</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0571-88667313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27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杭州临浦东藩路证券营业部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杭州市萧山区临浦镇东藩中路</w:t>
            </w:r>
            <w:r>
              <w:rPr>
                <w:rFonts w:ascii="宋体" w:hAnsi="宋体" w:cs="宋体" w:eastAsia="宋体" w:hint="default"/>
                <w:spacing w:val="-52"/>
                <w:sz w:val="21"/>
                <w:szCs w:val="21"/>
              </w:rPr>
              <w:t> </w:t>
            </w:r>
            <w:r>
              <w:rPr>
                <w:rFonts w:ascii="宋体" w:hAnsi="宋体" w:cs="宋体" w:eastAsia="宋体" w:hint="default"/>
                <w:spacing w:val="-3"/>
                <w:sz w:val="21"/>
                <w:szCs w:val="21"/>
              </w:rPr>
              <w:t>84</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号一层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0571-83518382</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28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湖州人民路证券营业部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湖州市天元颐城</w:t>
            </w:r>
            <w:r>
              <w:rPr>
                <w:rFonts w:ascii="宋体" w:hAnsi="宋体" w:cs="宋体" w:eastAsia="宋体" w:hint="default"/>
                <w:spacing w:val="-63"/>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幢人民路</w:t>
            </w:r>
            <w:r>
              <w:rPr>
                <w:rFonts w:ascii="宋体" w:hAnsi="宋体" w:cs="宋体" w:eastAsia="宋体" w:hint="default"/>
                <w:spacing w:val="-64"/>
                <w:sz w:val="21"/>
                <w:szCs w:val="21"/>
              </w:rPr>
              <w:t> </w:t>
            </w:r>
            <w:r>
              <w:rPr>
                <w:rFonts w:ascii="宋体" w:hAnsi="宋体" w:cs="宋体" w:eastAsia="宋体" w:hint="default"/>
                <w:sz w:val="21"/>
                <w:szCs w:val="21"/>
              </w:rPr>
              <w:t>425</w:t>
            </w:r>
            <w:r>
              <w:rPr>
                <w:rFonts w:ascii="宋体" w:hAnsi="宋体" w:cs="宋体" w:eastAsia="宋体" w:hint="default"/>
                <w:spacing w:val="-6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0572-2215003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29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长兴金陵北路证券营业部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长兴县雉城镇金陵北路</w:t>
            </w:r>
            <w:r>
              <w:rPr>
                <w:rFonts w:ascii="宋体" w:hAnsi="宋体" w:cs="宋体" w:eastAsia="宋体" w:hint="default"/>
                <w:spacing w:val="-76"/>
                <w:sz w:val="21"/>
                <w:szCs w:val="21"/>
              </w:rPr>
              <w:t> </w:t>
            </w:r>
            <w:r>
              <w:rPr>
                <w:rFonts w:ascii="宋体" w:hAnsi="宋体" w:cs="宋体" w:eastAsia="宋体" w:hint="default"/>
                <w:sz w:val="21"/>
                <w:szCs w:val="21"/>
              </w:rPr>
              <w:t>375</w:t>
            </w:r>
            <w:r>
              <w:rPr>
                <w:rFonts w:ascii="宋体" w:hAnsi="宋体" w:cs="宋体" w:eastAsia="宋体" w:hint="default"/>
                <w:spacing w:val="-76"/>
                <w:sz w:val="21"/>
                <w:szCs w:val="21"/>
              </w:rPr>
              <w:t> </w:t>
            </w:r>
            <w:r>
              <w:rPr>
                <w:rFonts w:ascii="宋体" w:hAnsi="宋体" w:cs="宋体" w:eastAsia="宋体" w:hint="default"/>
                <w:sz w:val="21"/>
                <w:szCs w:val="21"/>
              </w:rPr>
              <w:t>号兴仁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大楼一层</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号、二层</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0572-6252111/6251669</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30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安吉体育场证券营业部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安吉</w:t>
            </w:r>
            <w:r>
              <w:rPr>
                <w:rFonts w:ascii="宋体" w:hAnsi="宋体" w:cs="宋体" w:eastAsia="宋体" w:hint="default"/>
                <w:spacing w:val="-3"/>
                <w:w w:val="100"/>
                <w:sz w:val="21"/>
                <w:szCs w:val="21"/>
              </w:rPr>
              <w:t>县</w:t>
            </w:r>
            <w:r>
              <w:rPr>
                <w:rFonts w:ascii="宋体" w:hAnsi="宋体" w:cs="宋体" w:eastAsia="宋体" w:hint="default"/>
                <w:w w:val="100"/>
                <w:sz w:val="21"/>
                <w:szCs w:val="21"/>
              </w:rPr>
              <w:t>递</w:t>
            </w:r>
            <w:r>
              <w:rPr>
                <w:rFonts w:ascii="宋体" w:hAnsi="宋体" w:cs="宋体" w:eastAsia="宋体" w:hint="default"/>
                <w:spacing w:val="-3"/>
                <w:w w:val="100"/>
                <w:sz w:val="21"/>
                <w:szCs w:val="21"/>
              </w:rPr>
              <w:t>铺</w:t>
            </w:r>
            <w:r>
              <w:rPr>
                <w:rFonts w:ascii="宋体" w:hAnsi="宋体" w:cs="宋体" w:eastAsia="宋体" w:hint="default"/>
                <w:w w:val="100"/>
                <w:sz w:val="21"/>
                <w:szCs w:val="21"/>
              </w:rPr>
              <w:t>镇</w:t>
            </w:r>
            <w:r>
              <w:rPr>
                <w:rFonts w:ascii="宋体" w:hAnsi="宋体" w:cs="宋体" w:eastAsia="宋体" w:hint="default"/>
                <w:spacing w:val="-3"/>
                <w:w w:val="100"/>
                <w:sz w:val="21"/>
                <w:szCs w:val="21"/>
              </w:rPr>
              <w:t>天</w:t>
            </w:r>
            <w:r>
              <w:rPr>
                <w:rFonts w:ascii="宋体" w:hAnsi="宋体" w:cs="宋体" w:eastAsia="宋体" w:hint="default"/>
                <w:w w:val="100"/>
                <w:sz w:val="21"/>
                <w:szCs w:val="21"/>
              </w:rPr>
              <w:t>目</w:t>
            </w:r>
            <w:r>
              <w:rPr>
                <w:rFonts w:ascii="宋体" w:hAnsi="宋体" w:cs="宋体" w:eastAsia="宋体" w:hint="default"/>
                <w:spacing w:val="-3"/>
                <w:w w:val="100"/>
                <w:sz w:val="21"/>
                <w:szCs w:val="21"/>
              </w:rPr>
              <w:t>中</w:t>
            </w:r>
            <w:r>
              <w:rPr>
                <w:rFonts w:ascii="宋体" w:hAnsi="宋体" w:cs="宋体" w:eastAsia="宋体" w:hint="default"/>
                <w:w w:val="100"/>
                <w:sz w:val="21"/>
                <w:szCs w:val="21"/>
              </w:rPr>
              <w:t>路</w:t>
            </w:r>
            <w:r>
              <w:rPr>
                <w:rFonts w:ascii="宋体" w:hAnsi="宋体" w:cs="宋体" w:eastAsia="宋体" w:hint="default"/>
                <w:spacing w:val="-74"/>
                <w:sz w:val="21"/>
                <w:szCs w:val="21"/>
              </w:rPr>
              <w:t> </w:t>
            </w:r>
            <w:r>
              <w:rPr>
                <w:rFonts w:ascii="宋体" w:hAnsi="宋体" w:cs="宋体" w:eastAsia="宋体" w:hint="default"/>
                <w:spacing w:val="-3"/>
                <w:w w:val="100"/>
                <w:sz w:val="21"/>
                <w:szCs w:val="21"/>
              </w:rPr>
              <w:t>39</w:t>
            </w:r>
            <w:r>
              <w:rPr>
                <w:rFonts w:ascii="宋体" w:hAnsi="宋体" w:cs="宋体" w:eastAsia="宋体" w:hint="default"/>
                <w:w w:val="100"/>
                <w:sz w:val="21"/>
                <w:szCs w:val="21"/>
              </w:rPr>
              <w:t>5</w:t>
            </w:r>
            <w:r>
              <w:rPr>
                <w:rFonts w:ascii="宋体" w:hAnsi="宋体" w:cs="宋体" w:eastAsia="宋体" w:hint="default"/>
                <w:spacing w:val="-74"/>
                <w:sz w:val="21"/>
                <w:szCs w:val="21"/>
              </w:rPr>
              <w:t> </w:t>
            </w:r>
            <w:r>
              <w:rPr>
                <w:rFonts w:ascii="宋体" w:hAnsi="宋体" w:cs="宋体" w:eastAsia="宋体" w:hint="default"/>
                <w:spacing w:val="-106"/>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0572-5038098/5880815</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31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德清云岫南路证券营业部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浙江省湖州市德清县武康街道云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岫南路</w:t>
            </w:r>
            <w:r>
              <w:rPr>
                <w:rFonts w:ascii="宋体" w:hAnsi="宋体" w:cs="宋体" w:eastAsia="宋体" w:hint="default"/>
                <w:spacing w:val="-53"/>
                <w:sz w:val="21"/>
                <w:szCs w:val="21"/>
              </w:rPr>
              <w:t> </w:t>
            </w:r>
            <w:r>
              <w:rPr>
                <w:rFonts w:ascii="宋体" w:hAnsi="宋体" w:cs="宋体" w:eastAsia="宋体" w:hint="default"/>
                <w:sz w:val="21"/>
                <w:szCs w:val="21"/>
              </w:rPr>
              <w:t>44-46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0572-8837333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32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湖州织里北路证券营业部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湖州</w:t>
            </w:r>
            <w:r>
              <w:rPr>
                <w:rFonts w:ascii="宋体" w:hAnsi="宋体" w:cs="宋体" w:eastAsia="宋体" w:hint="default"/>
                <w:spacing w:val="-3"/>
                <w:w w:val="100"/>
                <w:sz w:val="21"/>
                <w:szCs w:val="21"/>
              </w:rPr>
              <w:t>市</w:t>
            </w:r>
            <w:r>
              <w:rPr>
                <w:rFonts w:ascii="宋体" w:hAnsi="宋体" w:cs="宋体" w:eastAsia="宋体" w:hint="default"/>
                <w:w w:val="100"/>
                <w:sz w:val="21"/>
                <w:szCs w:val="21"/>
              </w:rPr>
              <w:t>织</w:t>
            </w:r>
            <w:r>
              <w:rPr>
                <w:rFonts w:ascii="宋体" w:hAnsi="宋体" w:cs="宋体" w:eastAsia="宋体" w:hint="default"/>
                <w:spacing w:val="-3"/>
                <w:w w:val="100"/>
                <w:sz w:val="21"/>
                <w:szCs w:val="21"/>
              </w:rPr>
              <w:t>里</w:t>
            </w:r>
            <w:r>
              <w:rPr>
                <w:rFonts w:ascii="宋体" w:hAnsi="宋体" w:cs="宋体" w:eastAsia="宋体" w:hint="default"/>
                <w:w w:val="100"/>
                <w:sz w:val="21"/>
                <w:szCs w:val="21"/>
              </w:rPr>
              <w:t>镇</w:t>
            </w:r>
            <w:r>
              <w:rPr>
                <w:rFonts w:ascii="宋体" w:hAnsi="宋体" w:cs="宋体" w:eastAsia="宋体" w:hint="default"/>
                <w:spacing w:val="-3"/>
                <w:w w:val="100"/>
                <w:sz w:val="21"/>
                <w:szCs w:val="21"/>
              </w:rPr>
              <w:t>织</w:t>
            </w:r>
            <w:r>
              <w:rPr>
                <w:rFonts w:ascii="宋体" w:hAnsi="宋体" w:cs="宋体" w:eastAsia="宋体" w:hint="default"/>
                <w:w w:val="100"/>
                <w:sz w:val="21"/>
                <w:szCs w:val="21"/>
              </w:rPr>
              <w:t>里</w:t>
            </w:r>
            <w:r>
              <w:rPr>
                <w:rFonts w:ascii="宋体" w:hAnsi="宋体" w:cs="宋体" w:eastAsia="宋体" w:hint="default"/>
                <w:spacing w:val="-3"/>
                <w:w w:val="100"/>
                <w:sz w:val="21"/>
                <w:szCs w:val="21"/>
              </w:rPr>
              <w:t>北</w:t>
            </w:r>
            <w:r>
              <w:rPr>
                <w:rFonts w:ascii="宋体" w:hAnsi="宋体" w:cs="宋体" w:eastAsia="宋体" w:hint="default"/>
                <w:w w:val="100"/>
                <w:sz w:val="21"/>
                <w:szCs w:val="21"/>
              </w:rPr>
              <w:t>路</w:t>
            </w:r>
            <w:r>
              <w:rPr>
                <w:rFonts w:ascii="宋体" w:hAnsi="宋体" w:cs="宋体" w:eastAsia="宋体" w:hint="default"/>
                <w:spacing w:val="-53"/>
                <w:sz w:val="21"/>
                <w:szCs w:val="21"/>
              </w:rPr>
              <w:t> </w:t>
            </w:r>
            <w:r>
              <w:rPr>
                <w:rFonts w:ascii="宋体" w:hAnsi="宋体" w:cs="宋体" w:eastAsia="宋体" w:hint="default"/>
                <w:spacing w:val="-3"/>
                <w:w w:val="100"/>
                <w:sz w:val="21"/>
                <w:szCs w:val="21"/>
              </w:rPr>
              <w:t>72</w:t>
            </w:r>
            <w:r>
              <w:rPr>
                <w:rFonts w:ascii="宋体" w:hAnsi="宋体" w:cs="宋体" w:eastAsia="宋体" w:hint="default"/>
                <w:w w:val="100"/>
                <w:sz w:val="21"/>
                <w:szCs w:val="21"/>
              </w:rPr>
              <w:t>A-10</w:t>
            </w:r>
            <w:r>
              <w:rPr>
                <w:rFonts w:ascii="宋体" w:hAnsi="宋体" w:cs="宋体" w:eastAsia="宋体" w:hint="default"/>
                <w:spacing w:val="-99"/>
                <w:w w:val="100"/>
                <w:sz w:val="21"/>
                <w:szCs w:val="21"/>
              </w:rPr>
              <w:t>、</w:t>
            </w:r>
            <w:r>
              <w:rPr>
                <w:rFonts w:ascii="宋体" w:hAnsi="宋体" w:cs="宋体" w:eastAsia="宋体" w:hint="default"/>
                <w:w w:val="100"/>
                <w:sz w:val="21"/>
                <w:szCs w:val="21"/>
              </w:rPr>
              <w:t>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号二楼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0572-3700663</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33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湖州南浔常增路证券营业部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湖州市南浔区南浔镇常增路</w:t>
            </w:r>
            <w:r>
              <w:rPr>
                <w:rFonts w:ascii="宋体" w:hAnsi="宋体" w:cs="宋体" w:eastAsia="宋体" w:hint="default"/>
                <w:spacing w:val="-73"/>
                <w:sz w:val="21"/>
                <w:szCs w:val="21"/>
              </w:rPr>
              <w:t> </w:t>
            </w:r>
            <w:r>
              <w:rPr>
                <w:rFonts w:ascii="宋体" w:hAnsi="宋体" w:cs="宋体" w:eastAsia="宋体" w:hint="default"/>
                <w:sz w:val="21"/>
                <w:szCs w:val="21"/>
              </w:rPr>
              <w:t>225</w:t>
            </w:r>
            <w:r>
              <w:rPr>
                <w:rFonts w:ascii="宋体" w:hAnsi="宋体" w:cs="宋体" w:eastAsia="宋体" w:hint="default"/>
                <w:spacing w:val="-76"/>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0572-3021172</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34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湖州新市西成路证券营业部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德清县新市镇西成路</w:t>
            </w:r>
            <w:r>
              <w:rPr>
                <w:rFonts w:ascii="宋体" w:hAnsi="宋体" w:cs="宋体" w:eastAsia="宋体" w:hint="default"/>
                <w:spacing w:val="-53"/>
                <w:sz w:val="21"/>
                <w:szCs w:val="21"/>
              </w:rPr>
              <w:t> </w:t>
            </w:r>
            <w:r>
              <w:rPr>
                <w:rFonts w:ascii="宋体" w:hAnsi="宋体" w:cs="宋体" w:eastAsia="宋体" w:hint="default"/>
                <w:sz w:val="21"/>
                <w:szCs w:val="21"/>
              </w:rPr>
              <w:t>96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0572-8899925</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35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海宁水月亭西路证券营业部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海宁市水月亭西路</w:t>
            </w:r>
            <w:r>
              <w:rPr>
                <w:rFonts w:ascii="宋体" w:hAnsi="宋体" w:cs="宋体" w:eastAsia="宋体" w:hint="default"/>
                <w:spacing w:val="-53"/>
                <w:sz w:val="21"/>
                <w:szCs w:val="21"/>
              </w:rPr>
              <w:t> </w:t>
            </w:r>
            <w:r>
              <w:rPr>
                <w:rFonts w:ascii="宋体" w:hAnsi="宋体" w:cs="宋体" w:eastAsia="宋体" w:hint="default"/>
                <w:sz w:val="21"/>
                <w:szCs w:val="21"/>
              </w:rPr>
              <w:t>131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0573-87035555</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36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嘉兴禾兴南路证券营业部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嘉兴市禾兴南路</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5"/>
                <w:sz w:val="21"/>
                <w:szCs w:val="21"/>
              </w:rPr>
              <w:t> </w:t>
            </w:r>
            <w:r>
              <w:rPr>
                <w:rFonts w:ascii="宋体" w:hAnsi="宋体" w:cs="宋体" w:eastAsia="宋体" w:hint="default"/>
                <w:sz w:val="21"/>
                <w:szCs w:val="21"/>
              </w:rPr>
              <w:t>号梅湾商务中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0573-82031336</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37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海盐秦山路证券营业部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海盐县武原镇秦山路</w:t>
            </w:r>
            <w:r>
              <w:rPr>
                <w:rFonts w:ascii="宋体" w:hAnsi="宋体" w:cs="宋体" w:eastAsia="宋体" w:hint="default"/>
                <w:spacing w:val="-53"/>
                <w:sz w:val="21"/>
                <w:szCs w:val="21"/>
              </w:rPr>
              <w:t> </w:t>
            </w:r>
            <w:r>
              <w:rPr>
                <w:rFonts w:ascii="宋体" w:hAnsi="宋体" w:cs="宋体" w:eastAsia="宋体" w:hint="default"/>
                <w:sz w:val="21"/>
                <w:szCs w:val="21"/>
              </w:rPr>
              <w:t>96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0573-86027999</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sz w:val="21"/>
              </w:rPr>
              <w:t>38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桐乡庆丰北路证券营业部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浙江省嘉兴市桐乡市梧桐街道庆</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丰北路</w:t>
            </w:r>
            <w:r>
              <w:rPr>
                <w:rFonts w:ascii="宋体" w:hAnsi="宋体" w:cs="宋体" w:eastAsia="宋体" w:hint="default"/>
                <w:spacing w:val="-53"/>
                <w:sz w:val="21"/>
                <w:szCs w:val="21"/>
              </w:rPr>
              <w:t> </w:t>
            </w:r>
            <w:r>
              <w:rPr>
                <w:rFonts w:ascii="宋体" w:hAnsi="宋体" w:cs="宋体" w:eastAsia="宋体" w:hint="default"/>
                <w:sz w:val="21"/>
                <w:szCs w:val="21"/>
              </w:rPr>
              <w:t>231</w:t>
            </w:r>
            <w:r>
              <w:rPr>
                <w:rFonts w:ascii="宋体" w:hAnsi="宋体" w:cs="宋体" w:eastAsia="宋体" w:hint="default"/>
                <w:sz w:val="21"/>
                <w:szCs w:val="21"/>
              </w:rPr>
              <w:t>、</w:t>
            </w:r>
            <w:r>
              <w:rPr>
                <w:rFonts w:ascii="宋体" w:hAnsi="宋体" w:cs="宋体" w:eastAsia="宋体" w:hint="default"/>
                <w:sz w:val="21"/>
                <w:szCs w:val="21"/>
              </w:rPr>
              <w:t>233</w:t>
            </w:r>
            <w:r>
              <w:rPr>
                <w:rFonts w:ascii="宋体" w:hAnsi="宋体" w:cs="宋体" w:eastAsia="宋体" w:hint="default"/>
                <w:sz w:val="21"/>
                <w:szCs w:val="21"/>
              </w:rPr>
              <w:t>、</w:t>
            </w:r>
            <w:r>
              <w:rPr>
                <w:rFonts w:ascii="宋体" w:hAnsi="宋体" w:cs="宋体" w:eastAsia="宋体" w:hint="default"/>
                <w:sz w:val="21"/>
                <w:szCs w:val="21"/>
              </w:rPr>
              <w:t>235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0573-88958998</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39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平湖城南东路证券营业部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平湖市当湖街道城南东路</w:t>
            </w:r>
            <w:r>
              <w:rPr>
                <w:rFonts w:ascii="宋体" w:hAnsi="宋体" w:cs="宋体" w:eastAsia="宋体" w:hint="default"/>
                <w:spacing w:val="-55"/>
                <w:sz w:val="21"/>
                <w:szCs w:val="21"/>
              </w:rPr>
              <w:t> </w:t>
            </w:r>
            <w:r>
              <w:rPr>
                <w:rFonts w:ascii="宋体" w:hAnsi="宋体" w:cs="宋体" w:eastAsia="宋体" w:hint="default"/>
                <w:sz w:val="21"/>
                <w:szCs w:val="21"/>
              </w:rPr>
              <w:t>386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0573-85297900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40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嘉兴嘉善体育南路证券营业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嘉善县体育南路</w:t>
            </w:r>
            <w:r>
              <w:rPr>
                <w:rFonts w:ascii="宋体" w:hAnsi="宋体" w:cs="宋体" w:eastAsia="宋体" w:hint="default"/>
                <w:spacing w:val="-53"/>
                <w:sz w:val="21"/>
                <w:szCs w:val="21"/>
              </w:rPr>
              <w:t> </w:t>
            </w:r>
            <w:r>
              <w:rPr>
                <w:rFonts w:ascii="宋体" w:hAnsi="宋体" w:cs="宋体" w:eastAsia="宋体" w:hint="default"/>
                <w:sz w:val="21"/>
                <w:szCs w:val="21"/>
              </w:rPr>
              <w:t>121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z w:val="21"/>
                <w:szCs w:val="21"/>
              </w:rPr>
              <w:t>123</w:t>
            </w:r>
            <w:r>
              <w:rPr>
                <w:rFonts w:ascii="宋体" w:hAnsi="宋体" w:cs="宋体" w:eastAsia="宋体" w:hint="default"/>
                <w:spacing w:val="-53"/>
                <w:sz w:val="21"/>
                <w:szCs w:val="21"/>
              </w:rPr>
              <w:t> </w:t>
            </w:r>
            <w:r>
              <w:rPr>
                <w:rFonts w:ascii="宋体" w:hAnsi="宋体" w:cs="宋体" w:eastAsia="宋体" w:hint="default"/>
                <w:spacing w:val="-3"/>
                <w:sz w:val="21"/>
                <w:szCs w:val="21"/>
              </w:rPr>
              <w:t>号一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0573-84601228</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41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海宁长安修川路证券营业部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海宁市长安镇修川路</w:t>
            </w:r>
            <w:r>
              <w:rPr>
                <w:rFonts w:ascii="宋体" w:hAnsi="宋体" w:cs="宋体" w:eastAsia="宋体" w:hint="default"/>
                <w:spacing w:val="-53"/>
                <w:sz w:val="21"/>
                <w:szCs w:val="21"/>
              </w:rPr>
              <w:t> </w:t>
            </w:r>
            <w:r>
              <w:rPr>
                <w:rFonts w:ascii="宋体" w:hAnsi="宋体" w:cs="宋体" w:eastAsia="宋体" w:hint="default"/>
                <w:sz w:val="21"/>
                <w:szCs w:val="21"/>
              </w:rPr>
              <w:t>680</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0573-80782058</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42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海宁袁花南街路证券营业部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海宁市袁花镇南街路</w:t>
            </w:r>
            <w:r>
              <w:rPr>
                <w:rFonts w:ascii="宋体" w:hAnsi="宋体" w:cs="宋体" w:eastAsia="宋体" w:hint="default"/>
                <w:spacing w:val="-53"/>
                <w:sz w:val="21"/>
                <w:szCs w:val="21"/>
              </w:rPr>
              <w:t> </w:t>
            </w:r>
            <w:r>
              <w:rPr>
                <w:rFonts w:ascii="宋体" w:hAnsi="宋体" w:cs="宋体" w:eastAsia="宋体" w:hint="default"/>
                <w:sz w:val="21"/>
                <w:szCs w:val="21"/>
              </w:rPr>
              <w:t>271</w:t>
            </w:r>
            <w:r>
              <w:rPr>
                <w:rFonts w:ascii="宋体" w:hAnsi="宋体" w:cs="宋体" w:eastAsia="宋体" w:hint="default"/>
                <w:sz w:val="21"/>
                <w:szCs w:val="21"/>
              </w:rPr>
              <w:t>、</w:t>
            </w:r>
            <w:r>
              <w:rPr>
                <w:rFonts w:ascii="宋体" w:hAnsi="宋体" w:cs="宋体" w:eastAsia="宋体" w:hint="default"/>
                <w:sz w:val="21"/>
                <w:szCs w:val="21"/>
              </w:rPr>
              <w:t>273</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0573-87163727</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43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绍兴人民中路证券营业部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绍兴市人民中路</w:t>
            </w:r>
            <w:r>
              <w:rPr>
                <w:rFonts w:ascii="宋体" w:hAnsi="宋体" w:cs="宋体" w:eastAsia="宋体" w:hint="default"/>
                <w:spacing w:val="-52"/>
                <w:sz w:val="21"/>
                <w:szCs w:val="21"/>
              </w:rPr>
              <w:t> </w:t>
            </w:r>
            <w:r>
              <w:rPr>
                <w:rFonts w:ascii="宋体" w:hAnsi="宋体" w:cs="宋体" w:eastAsia="宋体" w:hint="default"/>
                <w:sz w:val="21"/>
                <w:szCs w:val="21"/>
              </w:rPr>
              <w:t>399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0575-85222114</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44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柯桥湖西路证券营业部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绍兴市柯桥湖西路</w:t>
            </w:r>
            <w:r>
              <w:rPr>
                <w:rFonts w:ascii="宋体" w:hAnsi="宋体" w:cs="宋体" w:eastAsia="宋体" w:hint="default"/>
                <w:spacing w:val="-75"/>
                <w:sz w:val="21"/>
                <w:szCs w:val="21"/>
              </w:rPr>
              <w:t> </w:t>
            </w:r>
            <w:r>
              <w:rPr>
                <w:rFonts w:ascii="宋体" w:hAnsi="宋体" w:cs="宋体" w:eastAsia="宋体" w:hint="default"/>
                <w:sz w:val="21"/>
                <w:szCs w:val="21"/>
              </w:rPr>
              <w:t>228</w:t>
            </w:r>
            <w:r>
              <w:rPr>
                <w:rFonts w:ascii="宋体" w:hAnsi="宋体" w:cs="宋体" w:eastAsia="宋体" w:hint="default"/>
                <w:spacing w:val="-75"/>
                <w:sz w:val="21"/>
                <w:szCs w:val="21"/>
              </w:rPr>
              <w:t> </w:t>
            </w:r>
            <w:r>
              <w:rPr>
                <w:rFonts w:ascii="宋体" w:hAnsi="宋体" w:cs="宋体" w:eastAsia="宋体" w:hint="default"/>
                <w:sz w:val="21"/>
                <w:szCs w:val="21"/>
              </w:rPr>
              <w:t>号轻纺大厦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0575-84098223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45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绍兴柯桥区钱清钱门大道证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绍兴柯桥区钱清镇联合国贸中心</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0575-84512590/85513025</w:t>
            </w:r>
          </w:p>
        </w:tc>
      </w:tr>
      <w:tr>
        <w:trPr>
          <w:trHeight w:val="29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46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新昌环城南路证券营业部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新昌县南明街道环城南路</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0575-86230448</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47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诸暨滨江北路证券营业部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浙江省诸暨市滨江北路</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0575-87110005</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48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绍兴上虞江扬路证券营业部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绍兴上虞江扬路</w:t>
            </w:r>
            <w:r>
              <w:rPr>
                <w:rFonts w:ascii="宋体" w:hAnsi="宋体" w:cs="宋体" w:eastAsia="宋体" w:hint="default"/>
                <w:spacing w:val="-51"/>
                <w:sz w:val="21"/>
                <w:szCs w:val="21"/>
              </w:rPr>
              <w:t> </w:t>
            </w:r>
            <w:r>
              <w:rPr>
                <w:rFonts w:ascii="宋体" w:hAnsi="宋体" w:cs="宋体" w:eastAsia="宋体" w:hint="default"/>
                <w:sz w:val="21"/>
                <w:szCs w:val="21"/>
              </w:rPr>
              <w:t>778</w:t>
            </w:r>
            <w:r>
              <w:rPr>
                <w:rFonts w:ascii="宋体" w:hAnsi="宋体" w:cs="宋体" w:eastAsia="宋体" w:hint="default"/>
                <w:spacing w:val="-53"/>
                <w:sz w:val="21"/>
                <w:szCs w:val="21"/>
              </w:rPr>
              <w:t> </w:t>
            </w:r>
            <w:r>
              <w:rPr>
                <w:rFonts w:ascii="宋体" w:hAnsi="宋体" w:cs="宋体" w:eastAsia="宋体" w:hint="default"/>
                <w:sz w:val="21"/>
                <w:szCs w:val="21"/>
              </w:rPr>
              <w:t>号永利大厦</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0575-82696336</w:t>
            </w:r>
          </w:p>
        </w:tc>
      </w:tr>
    </w:tbl>
    <w:p>
      <w:pPr>
        <w:spacing w:after="0" w:line="248" w:lineRule="exact"/>
        <w:jc w:val="left"/>
        <w:rPr>
          <w:rFonts w:ascii="宋体" w:hAnsi="宋体" w:cs="宋体" w:eastAsia="宋体" w:hint="default"/>
          <w:sz w:val="21"/>
          <w:szCs w:val="21"/>
        </w:rPr>
        <w:sectPr>
          <w:pgSz w:w="11910" w:h="16840"/>
          <w:pgMar w:header="880" w:footer="1195" w:top="1060" w:bottom="1380" w:left="12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660"/>
        <w:gridCol w:w="2749"/>
        <w:gridCol w:w="3322"/>
        <w:gridCol w:w="2631"/>
      </w:tblGrid>
      <w:tr>
        <w:trPr>
          <w:trHeight w:val="291" w:hRule="exact"/>
        </w:trPr>
        <w:tc>
          <w:tcPr>
            <w:tcW w:w="660" w:type="dxa"/>
            <w:tcBorders>
              <w:top w:val="nil" w:sz="6" w:space="0" w:color="auto"/>
              <w:left w:val="single" w:sz="4" w:space="0" w:color="000000"/>
              <w:bottom w:val="single" w:sz="4" w:space="0" w:color="000000"/>
              <w:right w:val="single" w:sz="4" w:space="0" w:color="000000"/>
            </w:tcBorders>
          </w:tcPr>
          <w:p>
            <w:pPr/>
          </w:p>
        </w:tc>
        <w:tc>
          <w:tcPr>
            <w:tcW w:w="2749"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1801-1082</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2631"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49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绍兴袍江袍中北路证券营业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绍兴袍江金湖湾小区</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幢袍中北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186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188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0575-88138311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50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嵊州东南路证券营业部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嵊州市鹿山街道东南路</w:t>
            </w:r>
            <w:r>
              <w:rPr>
                <w:rFonts w:ascii="宋体" w:hAnsi="宋体" w:cs="宋体" w:eastAsia="宋体" w:hint="default"/>
                <w:spacing w:val="-56"/>
                <w:sz w:val="21"/>
                <w:szCs w:val="21"/>
              </w:rPr>
              <w:t> </w:t>
            </w:r>
            <w:r>
              <w:rPr>
                <w:rFonts w:ascii="宋体" w:hAnsi="宋体" w:cs="宋体" w:eastAsia="宋体" w:hint="default"/>
                <w:sz w:val="21"/>
                <w:szCs w:val="21"/>
              </w:rPr>
              <w:t>856</w:t>
            </w:r>
            <w:r>
              <w:rPr>
                <w:rFonts w:ascii="宋体" w:hAnsi="宋体" w:cs="宋体" w:eastAsia="宋体" w:hint="default"/>
                <w:sz w:val="21"/>
                <w:szCs w:val="21"/>
              </w:rPr>
              <w:t>、</w:t>
            </w:r>
            <w:r>
              <w:rPr>
                <w:rFonts w:ascii="宋体" w:hAnsi="宋体" w:cs="宋体" w:eastAsia="宋体" w:hint="default"/>
                <w:sz w:val="21"/>
                <w:szCs w:val="21"/>
              </w:rPr>
              <w:t>858</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860</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0575-83600990</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51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诸暨店口华佳路证券营业部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诸暨市店口镇华佳路</w:t>
            </w:r>
            <w:r>
              <w:rPr>
                <w:rFonts w:ascii="宋体" w:hAnsi="宋体" w:cs="宋体" w:eastAsia="宋体" w:hint="default"/>
                <w:spacing w:val="-53"/>
                <w:sz w:val="21"/>
                <w:szCs w:val="21"/>
              </w:rPr>
              <w:t> </w:t>
            </w:r>
            <w:r>
              <w:rPr>
                <w:rFonts w:ascii="宋体" w:hAnsi="宋体" w:cs="宋体" w:eastAsia="宋体" w:hint="default"/>
                <w:sz w:val="21"/>
                <w:szCs w:val="21"/>
              </w:rPr>
              <w:t>126</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0575-87110061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52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绍兴解放大道证券营业部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浙江省绍兴市越城区北辰商务大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0575-85222127</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53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绍兴平水内环东路证券营业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绍兴市柯桥区平水镇若耶明珠小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0575-85323201</w:t>
            </w:r>
          </w:p>
        </w:tc>
      </w:tr>
      <w:tr>
        <w:trPr>
          <w:trHeight w:val="29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sz w:val="21"/>
              </w:rPr>
              <w:t>54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台州解放南路证券营业部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台州市椒江区解放南路</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0576-88869218</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sz w:val="21"/>
              </w:rPr>
              <w:t>55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温岭中华路证券营业部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浙江省温岭市太平街道中华路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482</w:t>
            </w:r>
            <w:r>
              <w:rPr>
                <w:rFonts w:ascii="宋体" w:hAnsi="宋体" w:cs="宋体" w:eastAsia="宋体" w:hint="default"/>
                <w:sz w:val="21"/>
                <w:szCs w:val="21"/>
              </w:rPr>
              <w:t>、</w:t>
            </w:r>
            <w:r>
              <w:rPr>
                <w:rFonts w:ascii="宋体" w:hAnsi="宋体" w:cs="宋体" w:eastAsia="宋体" w:hint="default"/>
                <w:sz w:val="21"/>
                <w:szCs w:val="21"/>
              </w:rPr>
              <w:t>484</w:t>
            </w:r>
            <w:r>
              <w:rPr>
                <w:rFonts w:ascii="宋体" w:hAnsi="宋体" w:cs="宋体" w:eastAsia="宋体" w:hint="default"/>
                <w:sz w:val="21"/>
                <w:szCs w:val="21"/>
              </w:rPr>
              <w:t>、</w:t>
            </w:r>
            <w:r>
              <w:rPr>
                <w:rFonts w:ascii="宋体" w:hAnsi="宋体" w:cs="宋体" w:eastAsia="宋体" w:hint="default"/>
                <w:sz w:val="21"/>
                <w:szCs w:val="21"/>
              </w:rPr>
              <w:t>486</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0576-86019002</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sz w:val="21"/>
              </w:rPr>
              <w:t>56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玉环广陵路证券营业部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玉环县玉城街道广陵路</w:t>
            </w:r>
            <w:r>
              <w:rPr>
                <w:rFonts w:ascii="宋体" w:hAnsi="宋体" w:cs="宋体" w:eastAsia="宋体" w:hint="default"/>
                <w:spacing w:val="-55"/>
                <w:sz w:val="21"/>
                <w:szCs w:val="21"/>
              </w:rPr>
              <w:t> </w:t>
            </w:r>
            <w:r>
              <w:rPr>
                <w:rFonts w:ascii="宋体" w:hAnsi="宋体" w:cs="宋体" w:eastAsia="宋体" w:hint="default"/>
                <w:sz w:val="21"/>
                <w:szCs w:val="21"/>
              </w:rPr>
              <w:t>130</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0576-87250009</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1"/>
                <w:szCs w:val="21"/>
              </w:rPr>
            </w:pPr>
            <w:r>
              <w:rPr>
                <w:rFonts w:ascii="宋体"/>
                <w:sz w:val="21"/>
              </w:rPr>
              <w:t>57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台州黄岩天长南路证券营业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台州市黄岩东城街道砚池社区天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长南路</w:t>
            </w:r>
            <w:r>
              <w:rPr>
                <w:rFonts w:ascii="宋体" w:hAnsi="宋体" w:cs="宋体" w:eastAsia="宋体" w:hint="default"/>
                <w:spacing w:val="-52"/>
                <w:sz w:val="21"/>
                <w:szCs w:val="21"/>
              </w:rPr>
              <w:t> </w:t>
            </w:r>
            <w:r>
              <w:rPr>
                <w:rFonts w:ascii="宋体" w:hAnsi="宋体" w:cs="宋体" w:eastAsia="宋体" w:hint="default"/>
                <w:sz w:val="21"/>
                <w:szCs w:val="21"/>
              </w:rPr>
              <w:t>92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0576-84848899</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58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临海靖江中路证券营业部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浙江省临海市古城街道靖江中路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199</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302</w:t>
            </w:r>
            <w:r>
              <w:rPr>
                <w:rFonts w:ascii="宋体" w:hAnsi="宋体" w:cs="宋体" w:eastAsia="宋体" w:hint="default"/>
                <w:sz w:val="21"/>
                <w:szCs w:val="21"/>
              </w:rPr>
              <w:t>、</w:t>
            </w:r>
            <w:r>
              <w:rPr>
                <w:rFonts w:ascii="宋体" w:hAnsi="宋体" w:cs="宋体" w:eastAsia="宋体" w:hint="default"/>
                <w:sz w:val="21"/>
                <w:szCs w:val="21"/>
              </w:rPr>
              <w:t>402</w:t>
            </w:r>
            <w:r>
              <w:rPr>
                <w:rFonts w:ascii="宋体" w:hAnsi="宋体" w:cs="宋体" w:eastAsia="宋体" w:hint="default"/>
                <w:spacing w:val="-51"/>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0576-85678119</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59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台州路桥邮电路证券营业部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台州市路桥区邮电路</w:t>
            </w:r>
            <w:r>
              <w:rPr>
                <w:rFonts w:ascii="宋体" w:hAnsi="宋体" w:cs="宋体" w:eastAsia="宋体" w:hint="default"/>
                <w:spacing w:val="-53"/>
                <w:sz w:val="21"/>
                <w:szCs w:val="21"/>
              </w:rPr>
              <w:t> </w:t>
            </w:r>
            <w:r>
              <w:rPr>
                <w:rFonts w:ascii="宋体" w:hAnsi="宋体" w:cs="宋体" w:eastAsia="宋体" w:hint="default"/>
                <w:sz w:val="21"/>
                <w:szCs w:val="21"/>
              </w:rPr>
              <w:t>331</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0576-82581177</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21"/>
                <w:szCs w:val="21"/>
              </w:rPr>
            </w:pPr>
            <w:r>
              <w:rPr>
                <w:rFonts w:ascii="宋体"/>
                <w:sz w:val="21"/>
              </w:rPr>
              <w:t>60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11"/>
              <w:jc w:val="left"/>
              <w:rPr>
                <w:rFonts w:ascii="宋体" w:hAnsi="宋体" w:cs="宋体" w:eastAsia="宋体" w:hint="default"/>
                <w:sz w:val="21"/>
                <w:szCs w:val="21"/>
              </w:rPr>
            </w:pPr>
            <w:r>
              <w:rPr>
                <w:rFonts w:ascii="宋体" w:hAnsi="宋体" w:cs="宋体" w:eastAsia="宋体" w:hint="default"/>
                <w:spacing w:val="-2"/>
                <w:sz w:val="21"/>
                <w:szCs w:val="21"/>
              </w:rPr>
              <w:t>台州仙居城北西路证券营业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浙江省台州市仙居县安洲街道城</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北</w:t>
            </w:r>
            <w:r>
              <w:rPr>
                <w:rFonts w:ascii="宋体" w:hAnsi="宋体" w:cs="宋体" w:eastAsia="宋体" w:hint="default"/>
                <w:spacing w:val="-3"/>
                <w:w w:val="100"/>
                <w:sz w:val="21"/>
                <w:szCs w:val="21"/>
              </w:rPr>
              <w:t>西</w:t>
            </w:r>
            <w:r>
              <w:rPr>
                <w:rFonts w:ascii="宋体" w:hAnsi="宋体" w:cs="宋体" w:eastAsia="宋体" w:hint="default"/>
                <w:w w:val="100"/>
                <w:sz w:val="21"/>
                <w:szCs w:val="21"/>
              </w:rPr>
              <w:t>路</w:t>
            </w:r>
            <w:r>
              <w:rPr>
                <w:rFonts w:ascii="宋体" w:hAnsi="宋体" w:cs="宋体" w:eastAsia="宋体" w:hint="default"/>
                <w:spacing w:val="-53"/>
                <w:sz w:val="21"/>
                <w:szCs w:val="21"/>
              </w:rPr>
              <w:t> </w:t>
            </w:r>
            <w:r>
              <w:rPr>
                <w:rFonts w:ascii="宋体" w:hAnsi="宋体" w:cs="宋体" w:eastAsia="宋体" w:hint="default"/>
                <w:w w:val="100"/>
                <w:sz w:val="21"/>
                <w:szCs w:val="21"/>
              </w:rPr>
              <w:t>61</w:t>
            </w:r>
            <w:r>
              <w:rPr>
                <w:rFonts w:ascii="宋体" w:hAnsi="宋体" w:cs="宋体" w:eastAsia="宋体" w:hint="default"/>
                <w:spacing w:val="-3"/>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4</w:t>
            </w:r>
            <w:r>
              <w:rPr>
                <w:rFonts w:ascii="宋体" w:hAnsi="宋体" w:cs="宋体" w:eastAsia="宋体" w:hint="default"/>
                <w:spacing w:val="-101"/>
                <w:w w:val="100"/>
                <w:sz w:val="21"/>
                <w:szCs w:val="21"/>
              </w:rPr>
              <w:t>、</w:t>
            </w:r>
            <w:r>
              <w:rPr>
                <w:rFonts w:ascii="宋体" w:hAnsi="宋体" w:cs="宋体" w:eastAsia="宋体" w:hint="default"/>
                <w:w w:val="100"/>
                <w:sz w:val="21"/>
                <w:szCs w:val="21"/>
              </w:rPr>
              <w:t>6</w:t>
            </w:r>
            <w:r>
              <w:rPr>
                <w:rFonts w:ascii="宋体" w:hAnsi="宋体" w:cs="宋体" w:eastAsia="宋体" w:hint="default"/>
                <w:spacing w:val="-2"/>
                <w:w w:val="100"/>
                <w:sz w:val="21"/>
                <w:szCs w:val="21"/>
              </w:rPr>
              <w:t>1</w:t>
            </w:r>
            <w:r>
              <w:rPr>
                <w:rFonts w:ascii="宋体" w:hAnsi="宋体" w:cs="宋体" w:eastAsia="宋体" w:hint="default"/>
                <w:w w:val="100"/>
                <w:sz w:val="21"/>
                <w:szCs w:val="21"/>
              </w:rPr>
              <w:t>-1</w:t>
            </w:r>
            <w:r>
              <w:rPr>
                <w:rFonts w:ascii="宋体" w:hAnsi="宋体" w:cs="宋体" w:eastAsia="宋体" w:hint="default"/>
                <w:spacing w:val="-3"/>
                <w:w w:val="100"/>
                <w:sz w:val="21"/>
                <w:szCs w:val="21"/>
              </w:rPr>
              <w:t>5</w:t>
            </w:r>
            <w:r>
              <w:rPr>
                <w:rFonts w:ascii="宋体" w:hAnsi="宋体" w:cs="宋体" w:eastAsia="宋体" w:hint="default"/>
                <w:spacing w:val="-101"/>
                <w:w w:val="100"/>
                <w:sz w:val="21"/>
                <w:szCs w:val="21"/>
              </w:rPr>
              <w:t>、</w:t>
            </w:r>
            <w:r>
              <w:rPr>
                <w:rFonts w:ascii="宋体" w:hAnsi="宋体" w:cs="宋体" w:eastAsia="宋体" w:hint="default"/>
                <w:w w:val="100"/>
                <w:sz w:val="21"/>
                <w:szCs w:val="21"/>
              </w:rPr>
              <w:t>6</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6</w:t>
            </w:r>
            <w:r>
              <w:rPr>
                <w:rFonts w:ascii="宋体" w:hAnsi="宋体" w:cs="宋体" w:eastAsia="宋体" w:hint="default"/>
                <w:w w:val="100"/>
                <w:sz w:val="21"/>
                <w:szCs w:val="21"/>
              </w:rPr>
              <w:t>1-17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0576-87766789</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61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台州天台天一街证券营业部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天台县赤城街道天一街</w:t>
            </w:r>
            <w:r>
              <w:rPr>
                <w:rFonts w:ascii="宋体" w:hAnsi="宋体" w:cs="宋体" w:eastAsia="宋体" w:hint="default"/>
                <w:spacing w:val="-55"/>
                <w:sz w:val="21"/>
                <w:szCs w:val="21"/>
              </w:rPr>
              <w:t> </w:t>
            </w:r>
            <w:r>
              <w:rPr>
                <w:rFonts w:ascii="宋体" w:hAnsi="宋体" w:cs="宋体" w:eastAsia="宋体" w:hint="default"/>
                <w:sz w:val="21"/>
                <w:szCs w:val="21"/>
              </w:rPr>
              <w:t>196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0576-83738299</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sz w:val="21"/>
              </w:rPr>
              <w:t>62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温岭松门滨海大道证券营业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浙江省温岭市松门镇滨海大道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207</w:t>
            </w:r>
            <w:r>
              <w:rPr>
                <w:rFonts w:ascii="宋体" w:hAnsi="宋体" w:cs="宋体" w:eastAsia="宋体" w:hint="default"/>
                <w:sz w:val="21"/>
                <w:szCs w:val="21"/>
              </w:rPr>
              <w:t>、</w:t>
            </w:r>
            <w:r>
              <w:rPr>
                <w:rFonts w:ascii="宋体" w:hAnsi="宋体" w:cs="宋体" w:eastAsia="宋体" w:hint="default"/>
                <w:sz w:val="21"/>
                <w:szCs w:val="21"/>
              </w:rPr>
              <w:t>209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0576-86667123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63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台州三门西区大道证券营业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浙江省三门县海游街道西区大道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号天琴湾小区</w:t>
            </w:r>
            <w:r>
              <w:rPr>
                <w:rFonts w:ascii="宋体" w:hAnsi="宋体" w:cs="宋体" w:eastAsia="宋体" w:hint="default"/>
                <w:spacing w:val="-54"/>
                <w:sz w:val="21"/>
                <w:szCs w:val="21"/>
              </w:rPr>
              <w:t> </w:t>
            </w:r>
            <w:r>
              <w:rPr>
                <w:rFonts w:ascii="宋体" w:hAnsi="宋体" w:cs="宋体" w:eastAsia="宋体" w:hint="default"/>
                <w:sz w:val="21"/>
                <w:szCs w:val="21"/>
              </w:rPr>
              <w:t>133</w:t>
            </w:r>
            <w:r>
              <w:rPr>
                <w:rFonts w:ascii="宋体" w:hAnsi="宋体" w:cs="宋体" w:eastAsia="宋体" w:hint="default"/>
                <w:sz w:val="21"/>
                <w:szCs w:val="21"/>
              </w:rPr>
              <w:t>、</w:t>
            </w:r>
            <w:r>
              <w:rPr>
                <w:rFonts w:ascii="宋体" w:hAnsi="宋体" w:cs="宋体" w:eastAsia="宋体" w:hint="default"/>
                <w:sz w:val="21"/>
                <w:szCs w:val="21"/>
              </w:rPr>
              <w:t>135</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0576-83265558</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64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玉环楚门楚柚北路证券营业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浙江省玉环市楚门镇楚柚北路</w:t>
            </w:r>
            <w:r>
              <w:rPr>
                <w:rFonts w:ascii="宋体" w:hAnsi="宋体" w:cs="宋体" w:eastAsia="宋体" w:hint="default"/>
                <w:spacing w:val="-54"/>
                <w:sz w:val="21"/>
                <w:szCs w:val="21"/>
              </w:rPr>
              <w:t> </w:t>
            </w:r>
            <w:r>
              <w:rPr>
                <w:rFonts w:ascii="宋体" w:hAnsi="宋体" w:cs="宋体" w:eastAsia="宋体" w:hint="default"/>
                <w:sz w:val="21"/>
                <w:szCs w:val="21"/>
              </w:rPr>
              <w:t>119</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0576-87451022</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1"/>
                <w:szCs w:val="21"/>
              </w:rPr>
            </w:pPr>
            <w:r>
              <w:rPr>
                <w:rFonts w:ascii="宋体"/>
                <w:sz w:val="21"/>
              </w:rPr>
              <w:t>65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台州临海杜桥杜北路证券营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浙江省台州市临海市杜桥镇杜北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2"/>
                <w:sz w:val="21"/>
                <w:szCs w:val="21"/>
              </w:rPr>
              <w:t> </w:t>
            </w:r>
            <w:r>
              <w:rPr>
                <w:rFonts w:ascii="宋体" w:hAnsi="宋体" w:cs="宋体" w:eastAsia="宋体" w:hint="default"/>
                <w:sz w:val="21"/>
                <w:szCs w:val="21"/>
              </w:rPr>
              <w:t>126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128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0576-85931868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66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金华兰溪街证券营业部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金华市婺城区兰溪街</w:t>
            </w:r>
            <w:r>
              <w:rPr>
                <w:rFonts w:ascii="宋体" w:hAnsi="宋体" w:cs="宋体" w:eastAsia="宋体" w:hint="default"/>
                <w:spacing w:val="-73"/>
                <w:sz w:val="21"/>
                <w:szCs w:val="21"/>
              </w:rPr>
              <w:t> </w:t>
            </w:r>
            <w:r>
              <w:rPr>
                <w:rFonts w:ascii="宋体" w:hAnsi="宋体" w:cs="宋体" w:eastAsia="宋体" w:hint="default"/>
                <w:sz w:val="21"/>
                <w:szCs w:val="21"/>
              </w:rPr>
              <w:t>456</w:t>
            </w:r>
            <w:r>
              <w:rPr>
                <w:rFonts w:ascii="宋体" w:hAnsi="宋体" w:cs="宋体" w:eastAsia="宋体" w:hint="default"/>
                <w:spacing w:val="-76"/>
                <w:sz w:val="21"/>
                <w:szCs w:val="21"/>
              </w:rPr>
              <w:t> </w:t>
            </w:r>
            <w:r>
              <w:rPr>
                <w:rFonts w:ascii="宋体" w:hAnsi="宋体" w:cs="宋体" w:eastAsia="宋体" w:hint="default"/>
                <w:sz w:val="21"/>
                <w:szCs w:val="21"/>
              </w:rPr>
              <w:t>号瑞海公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寓</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0579-89118428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67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永康九铃东路证券营业部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浙江省永康市东城九铃东路</w:t>
            </w:r>
            <w:r>
              <w:rPr>
                <w:rFonts w:ascii="宋体" w:hAnsi="宋体" w:cs="宋体" w:eastAsia="宋体" w:hint="default"/>
                <w:spacing w:val="-55"/>
                <w:sz w:val="21"/>
                <w:szCs w:val="21"/>
              </w:rPr>
              <w:t> </w:t>
            </w:r>
            <w:r>
              <w:rPr>
                <w:rFonts w:ascii="宋体" w:hAnsi="宋体" w:cs="宋体" w:eastAsia="宋体" w:hint="default"/>
                <w:sz w:val="21"/>
                <w:szCs w:val="21"/>
              </w:rPr>
              <w:t>3284</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号（一楼西侧）</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0579-87111199</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sz w:val="21"/>
              </w:rPr>
              <w:t>68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义乌江滨西路证券营业部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浙江省义乌市江滨西路</w:t>
            </w:r>
            <w:r>
              <w:rPr>
                <w:rFonts w:ascii="宋体" w:hAnsi="宋体" w:cs="宋体" w:eastAsia="宋体" w:hint="default"/>
                <w:spacing w:val="-55"/>
                <w:sz w:val="21"/>
                <w:szCs w:val="21"/>
              </w:rPr>
              <w:t> </w:t>
            </w:r>
            <w:r>
              <w:rPr>
                <w:rFonts w:ascii="宋体" w:hAnsi="宋体" w:cs="宋体" w:eastAsia="宋体" w:hint="default"/>
                <w:sz w:val="21"/>
                <w:szCs w:val="21"/>
              </w:rPr>
              <w:t>142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0579-85405588</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69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兰溪人民南路证券营业部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兰溪市人民南路</w:t>
            </w:r>
            <w:r>
              <w:rPr>
                <w:rFonts w:ascii="宋体" w:hAnsi="宋体" w:cs="宋体" w:eastAsia="宋体" w:hint="default"/>
                <w:spacing w:val="-52"/>
                <w:sz w:val="21"/>
                <w:szCs w:val="21"/>
              </w:rPr>
              <w:t> </w:t>
            </w:r>
            <w:r>
              <w:rPr>
                <w:rFonts w:ascii="宋体" w:hAnsi="宋体" w:cs="宋体" w:eastAsia="宋体" w:hint="default"/>
                <w:sz w:val="21"/>
                <w:szCs w:val="21"/>
              </w:rPr>
              <w:t>103</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0579-88841772</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70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金华浦江东山路证券营业部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浙江省金华市浦江县东山路</w:t>
            </w:r>
            <w:r>
              <w:rPr>
                <w:rFonts w:ascii="宋体" w:hAnsi="宋体" w:cs="宋体" w:eastAsia="宋体" w:hint="default"/>
                <w:spacing w:val="-55"/>
                <w:sz w:val="21"/>
                <w:szCs w:val="21"/>
              </w:rPr>
              <w:t> </w:t>
            </w:r>
            <w:r>
              <w:rPr>
                <w:rFonts w:ascii="宋体" w:hAnsi="宋体" w:cs="宋体" w:eastAsia="宋体" w:hint="default"/>
                <w:sz w:val="21"/>
                <w:szCs w:val="21"/>
              </w:rPr>
              <w:t>78-1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0579-88088110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71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金华武义熟溪北路证券营业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浙江省金华市武义县紫金五圣商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业中心熟溪北路</w:t>
            </w:r>
            <w:r>
              <w:rPr>
                <w:rFonts w:ascii="宋体" w:hAnsi="宋体" w:cs="宋体" w:eastAsia="宋体" w:hint="default"/>
                <w:spacing w:val="-48"/>
                <w:sz w:val="21"/>
                <w:szCs w:val="21"/>
              </w:rPr>
              <w:t> </w:t>
            </w:r>
            <w:r>
              <w:rPr>
                <w:rFonts w:ascii="宋体" w:hAnsi="宋体" w:cs="宋体" w:eastAsia="宋体" w:hint="default"/>
                <w:spacing w:val="-5"/>
                <w:sz w:val="21"/>
                <w:szCs w:val="21"/>
              </w:rPr>
              <w:t>100</w:t>
            </w:r>
            <w:r>
              <w:rPr>
                <w:rFonts w:ascii="宋体" w:hAnsi="宋体" w:cs="宋体" w:eastAsia="宋体" w:hint="default"/>
                <w:spacing w:val="-5"/>
                <w:sz w:val="21"/>
                <w:szCs w:val="21"/>
              </w:rPr>
              <w:t>、</w:t>
            </w:r>
            <w:r>
              <w:rPr>
                <w:rFonts w:ascii="宋体" w:hAnsi="宋体" w:cs="宋体" w:eastAsia="宋体" w:hint="default"/>
                <w:spacing w:val="-5"/>
                <w:sz w:val="21"/>
                <w:szCs w:val="21"/>
              </w:rPr>
              <w:t>101</w:t>
            </w:r>
            <w:r>
              <w:rPr>
                <w:rFonts w:ascii="宋体" w:hAnsi="宋体" w:cs="宋体" w:eastAsia="宋体" w:hint="default"/>
                <w:spacing w:val="-5"/>
                <w:sz w:val="21"/>
                <w:szCs w:val="21"/>
              </w:rPr>
              <w:t>、</w:t>
            </w:r>
            <w:r>
              <w:rPr>
                <w:rFonts w:ascii="宋体" w:hAnsi="宋体" w:cs="宋体" w:eastAsia="宋体" w:hint="default"/>
                <w:spacing w:val="-5"/>
                <w:sz w:val="21"/>
                <w:szCs w:val="21"/>
              </w:rPr>
              <w:t>102</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0579-87628733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72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东阳甘溪西街证券营业部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浙江省东阳市江北街道甘溪西街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25-3</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0579-86827235</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73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衢州县西街证券营业部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衢州市县西街</w:t>
            </w:r>
            <w:r>
              <w:rPr>
                <w:rFonts w:ascii="宋体" w:hAnsi="宋体" w:cs="宋体" w:eastAsia="宋体" w:hint="default"/>
                <w:spacing w:val="-52"/>
                <w:sz w:val="21"/>
                <w:szCs w:val="21"/>
              </w:rPr>
              <w:t> </w:t>
            </w:r>
            <w:r>
              <w:rPr>
                <w:rFonts w:ascii="宋体" w:hAnsi="宋体" w:cs="宋体" w:eastAsia="宋体" w:hint="default"/>
                <w:sz w:val="21"/>
                <w:szCs w:val="21"/>
              </w:rPr>
              <w:t>47,49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0570-8288777</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74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江山中山路证券营业部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浙江省衢州市江山市中山路</w:t>
            </w:r>
            <w:r>
              <w:rPr>
                <w:rFonts w:ascii="宋体" w:hAnsi="宋体" w:cs="宋体" w:eastAsia="宋体" w:hint="default"/>
                <w:spacing w:val="-55"/>
                <w:sz w:val="21"/>
                <w:szCs w:val="21"/>
              </w:rPr>
              <w:t> </w:t>
            </w:r>
            <w:r>
              <w:rPr>
                <w:rFonts w:ascii="宋体" w:hAnsi="宋体" w:cs="宋体" w:eastAsia="宋体" w:hint="default"/>
                <w:sz w:val="21"/>
                <w:szCs w:val="21"/>
              </w:rPr>
              <w:t>66-1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0570-4033789</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75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衢州开化积魁路证券营业部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开化县城关镇积魁路</w:t>
            </w:r>
            <w:r>
              <w:rPr>
                <w:rFonts w:ascii="宋体" w:hAnsi="宋体" w:cs="宋体" w:eastAsia="宋体" w:hint="default"/>
                <w:spacing w:val="-55"/>
                <w:sz w:val="21"/>
                <w:szCs w:val="21"/>
              </w:rPr>
              <w:t> </w:t>
            </w:r>
            <w:r>
              <w:rPr>
                <w:rFonts w:ascii="宋体" w:hAnsi="宋体" w:cs="宋体" w:eastAsia="宋体" w:hint="default"/>
                <w:sz w:val="21"/>
                <w:szCs w:val="21"/>
              </w:rPr>
              <w:t>3-105</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0570-6019911</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76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衢州龙游荣昌路证券营业部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衢州市龙游县荣昌大道</w:t>
            </w:r>
            <w:r>
              <w:rPr>
                <w:rFonts w:ascii="宋体" w:hAnsi="宋体" w:cs="宋体" w:eastAsia="宋体" w:hint="default"/>
                <w:spacing w:val="-55"/>
                <w:sz w:val="21"/>
                <w:szCs w:val="21"/>
              </w:rPr>
              <w:t> </w:t>
            </w:r>
            <w:r>
              <w:rPr>
                <w:rFonts w:ascii="宋体" w:hAnsi="宋体" w:cs="宋体" w:eastAsia="宋体" w:hint="default"/>
                <w:sz w:val="21"/>
                <w:szCs w:val="21"/>
              </w:rPr>
              <w:t>283</w:t>
            </w:r>
            <w:r>
              <w:rPr>
                <w:rFonts w:ascii="宋体" w:hAnsi="宋体" w:cs="宋体" w:eastAsia="宋体" w:hint="default"/>
                <w:sz w:val="21"/>
                <w:szCs w:val="21"/>
              </w:rPr>
              <w:t>、</w:t>
            </w:r>
            <w:r>
              <w:rPr>
                <w:rFonts w:ascii="宋体" w:hAnsi="宋体" w:cs="宋体" w:eastAsia="宋体" w:hint="default"/>
                <w:sz w:val="21"/>
                <w:szCs w:val="21"/>
              </w:rPr>
              <w:t>285</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0570-7181205</w:t>
            </w:r>
          </w:p>
        </w:tc>
      </w:tr>
    </w:tbl>
    <w:p>
      <w:pPr>
        <w:spacing w:after="0" w:line="248" w:lineRule="exact"/>
        <w:jc w:val="left"/>
        <w:rPr>
          <w:rFonts w:ascii="宋体" w:hAnsi="宋体" w:cs="宋体" w:eastAsia="宋体" w:hint="default"/>
          <w:sz w:val="21"/>
          <w:szCs w:val="21"/>
        </w:rPr>
        <w:sectPr>
          <w:pgSz w:w="11910" w:h="16840"/>
          <w:pgMar w:header="880" w:footer="1195" w:top="1060" w:bottom="1380" w:left="12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660"/>
        <w:gridCol w:w="2749"/>
        <w:gridCol w:w="3322"/>
        <w:gridCol w:w="2631"/>
      </w:tblGrid>
      <w:tr>
        <w:trPr>
          <w:trHeight w:val="291" w:hRule="exact"/>
        </w:trPr>
        <w:tc>
          <w:tcPr>
            <w:tcW w:w="660" w:type="dxa"/>
            <w:tcBorders>
              <w:top w:val="nil" w:sz="6" w:space="0" w:color="auto"/>
              <w:left w:val="single" w:sz="4" w:space="0" w:color="000000"/>
              <w:bottom w:val="single" w:sz="4" w:space="0" w:color="000000"/>
              <w:right w:val="single" w:sz="4" w:space="0" w:color="000000"/>
            </w:tcBorders>
          </w:tcPr>
          <w:p>
            <w:pPr/>
          </w:p>
        </w:tc>
        <w:tc>
          <w:tcPr>
            <w:tcW w:w="2749"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号金泽大厦</w:t>
            </w:r>
          </w:p>
        </w:tc>
        <w:tc>
          <w:tcPr>
            <w:tcW w:w="2631" w:type="dxa"/>
            <w:tcBorders>
              <w:top w:val="nil" w:sz="6" w:space="0" w:color="auto"/>
              <w:left w:val="single" w:sz="4" w:space="0" w:color="000000"/>
              <w:bottom w:val="single" w:sz="4" w:space="0" w:color="000000"/>
              <w:right w:val="single" w:sz="4" w:space="0" w:color="000000"/>
            </w:tcBorders>
          </w:tcPr>
          <w:p>
            <w:pP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77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丽水北苑路证券营业部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丽水市北苑路</w:t>
            </w:r>
            <w:r>
              <w:rPr>
                <w:rFonts w:ascii="宋体" w:hAnsi="宋体" w:cs="宋体" w:eastAsia="宋体" w:hint="default"/>
                <w:spacing w:val="-52"/>
                <w:sz w:val="21"/>
                <w:szCs w:val="21"/>
              </w:rPr>
              <w:t> </w:t>
            </w:r>
            <w:r>
              <w:rPr>
                <w:rFonts w:ascii="宋体" w:hAnsi="宋体" w:cs="宋体" w:eastAsia="宋体" w:hint="default"/>
                <w:sz w:val="21"/>
                <w:szCs w:val="21"/>
              </w:rPr>
              <w:t>198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301</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0578-2226666</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78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青田龙东路证券营业部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浙江省丽水市青田县鹤城街道龙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东路</w:t>
            </w:r>
            <w:r>
              <w:rPr>
                <w:rFonts w:ascii="宋体" w:hAnsi="宋体" w:cs="宋体" w:eastAsia="宋体" w:hint="default"/>
                <w:spacing w:val="-53"/>
                <w:sz w:val="21"/>
                <w:szCs w:val="21"/>
              </w:rPr>
              <w:t> </w:t>
            </w: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号上</w:t>
            </w:r>
            <w:r>
              <w:rPr>
                <w:rFonts w:ascii="宋体" w:hAnsi="宋体" w:cs="宋体" w:eastAsia="宋体" w:hint="default"/>
                <w:spacing w:val="-53"/>
                <w:sz w:val="21"/>
                <w:szCs w:val="21"/>
              </w:rPr>
              <w:t> </w:t>
            </w:r>
            <w:r>
              <w:rPr>
                <w:rFonts w:ascii="宋体" w:hAnsi="宋体" w:cs="宋体" w:eastAsia="宋体" w:hint="default"/>
                <w:sz w:val="21"/>
                <w:szCs w:val="21"/>
              </w:rPr>
              <w:t>47</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0578-6078383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79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丽水景宁人民中路证券营业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浙江景宁畲族自治县红星街道人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民中路</w:t>
            </w:r>
            <w:r>
              <w:rPr>
                <w:rFonts w:ascii="宋体" w:hAnsi="宋体" w:cs="宋体" w:eastAsia="宋体" w:hint="default"/>
                <w:spacing w:val="-52"/>
                <w:sz w:val="21"/>
                <w:szCs w:val="21"/>
              </w:rPr>
              <w:t> </w:t>
            </w:r>
            <w:r>
              <w:rPr>
                <w:rFonts w:ascii="宋体" w:hAnsi="宋体" w:cs="宋体" w:eastAsia="宋体" w:hint="default"/>
                <w:sz w:val="21"/>
                <w:szCs w:val="21"/>
              </w:rPr>
              <w:t>77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0578-5099873</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80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丽水松阳要津路证券营业部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丽水市松阳县要津路</w:t>
            </w:r>
            <w:r>
              <w:rPr>
                <w:rFonts w:ascii="宋体" w:hAnsi="宋体" w:cs="宋体" w:eastAsia="宋体" w:hint="default"/>
                <w:spacing w:val="-53"/>
                <w:sz w:val="21"/>
                <w:szCs w:val="21"/>
              </w:rPr>
              <w:t> </w:t>
            </w:r>
            <w:r>
              <w:rPr>
                <w:rFonts w:ascii="宋体" w:hAnsi="宋体" w:cs="宋体" w:eastAsia="宋体" w:hint="default"/>
                <w:sz w:val="21"/>
                <w:szCs w:val="21"/>
              </w:rPr>
              <w:t>146</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0578-8062268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81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丽水遂昌溪边路证券营业部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浙江遂昌县妙高街道溪边路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D08-09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0578-8128100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82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丽水缙云黄龙路证券营业部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浙江省丽水市缙云县五云街道黄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龙路</w:t>
            </w:r>
            <w:r>
              <w:rPr>
                <w:rFonts w:ascii="宋体" w:hAnsi="宋体" w:cs="宋体" w:eastAsia="宋体" w:hint="default"/>
                <w:spacing w:val="-53"/>
                <w:sz w:val="21"/>
                <w:szCs w:val="21"/>
              </w:rPr>
              <w:t> </w:t>
            </w:r>
            <w:r>
              <w:rPr>
                <w:rFonts w:ascii="宋体" w:hAnsi="宋体" w:cs="宋体" w:eastAsia="宋体" w:hint="default"/>
                <w:sz w:val="21"/>
                <w:szCs w:val="21"/>
              </w:rPr>
              <w:t>58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0578-3120678</w:t>
            </w:r>
          </w:p>
        </w:tc>
      </w:tr>
      <w:tr>
        <w:trPr>
          <w:trHeight w:val="29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83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温州人民东路证券营业部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温州市人民东路</w:t>
            </w:r>
            <w:r>
              <w:rPr>
                <w:rFonts w:ascii="宋体" w:hAnsi="宋体" w:cs="宋体" w:eastAsia="宋体" w:hint="default"/>
                <w:spacing w:val="-51"/>
                <w:sz w:val="21"/>
                <w:szCs w:val="21"/>
              </w:rPr>
              <w:t> </w:t>
            </w:r>
            <w:r>
              <w:rPr>
                <w:rFonts w:ascii="宋体" w:hAnsi="宋体" w:cs="宋体" w:eastAsia="宋体" w:hint="default"/>
                <w:sz w:val="21"/>
                <w:szCs w:val="21"/>
              </w:rPr>
              <w:t>117</w:t>
            </w:r>
            <w:r>
              <w:rPr>
                <w:rFonts w:ascii="宋体" w:hAnsi="宋体" w:cs="宋体" w:eastAsia="宋体" w:hint="default"/>
                <w:spacing w:val="-53"/>
                <w:sz w:val="21"/>
                <w:szCs w:val="21"/>
              </w:rPr>
              <w:t> </w:t>
            </w:r>
            <w:r>
              <w:rPr>
                <w:rFonts w:ascii="宋体" w:hAnsi="宋体" w:cs="宋体" w:eastAsia="宋体" w:hint="default"/>
                <w:sz w:val="21"/>
                <w:szCs w:val="21"/>
              </w:rPr>
              <w:t>号中侨大楼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0577-88835959/88833939</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84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瑞安塘河南路证券营业部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瑞安安阳塘河南路嘉宝锦园</w:t>
            </w:r>
            <w:r>
              <w:rPr>
                <w:rFonts w:ascii="宋体" w:hAnsi="宋体" w:cs="宋体" w:eastAsia="宋体" w:hint="default"/>
                <w:spacing w:val="-53"/>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0577-66883000</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21"/>
                <w:szCs w:val="21"/>
              </w:rPr>
            </w:pPr>
            <w:r>
              <w:rPr>
                <w:rFonts w:ascii="宋体"/>
                <w:sz w:val="21"/>
              </w:rPr>
              <w:t>85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乐清良港西路证券营业部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浙江省乐清市城南街道良港西路</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w w:val="100"/>
                <w:sz w:val="21"/>
                <w:szCs w:val="21"/>
              </w:rPr>
              <w:t>40</w:t>
            </w:r>
            <w:r>
              <w:rPr>
                <w:rFonts w:ascii="宋体" w:hAnsi="宋体" w:cs="宋体" w:eastAsia="宋体" w:hint="default"/>
                <w:spacing w:val="-46"/>
                <w:w w:val="100"/>
                <w:sz w:val="21"/>
                <w:szCs w:val="21"/>
              </w:rPr>
              <w:t> </w:t>
            </w:r>
            <w:r>
              <w:rPr>
                <w:rFonts w:ascii="宋体" w:hAnsi="宋体" w:cs="宋体" w:eastAsia="宋体" w:hint="default"/>
                <w:spacing w:val="-9"/>
                <w:w w:val="100"/>
                <w:sz w:val="21"/>
                <w:szCs w:val="21"/>
              </w:rPr>
              <w:t>号（原二环路乐清市房管局集资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房一楼</w:t>
            </w:r>
            <w:r>
              <w:rPr>
                <w:rFonts w:ascii="宋体" w:hAnsi="宋体" w:cs="宋体" w:eastAsia="宋体" w:hint="default"/>
                <w:spacing w:val="-53"/>
                <w:sz w:val="21"/>
                <w:szCs w:val="21"/>
              </w:rPr>
              <w:t> </w:t>
            </w:r>
            <w:r>
              <w:rPr>
                <w:rFonts w:ascii="宋体" w:hAnsi="宋体" w:cs="宋体" w:eastAsia="宋体" w:hint="default"/>
                <w:sz w:val="21"/>
                <w:szCs w:val="21"/>
              </w:rPr>
              <w:t>B3</w:t>
            </w:r>
            <w:r>
              <w:rPr>
                <w:rFonts w:ascii="宋体" w:hAnsi="宋体" w:cs="宋体" w:eastAsia="宋体" w:hint="default"/>
                <w:sz w:val="21"/>
                <w:szCs w:val="21"/>
              </w:rPr>
              <w:t>、</w:t>
            </w:r>
            <w:r>
              <w:rPr>
                <w:rFonts w:ascii="宋体" w:hAnsi="宋体" w:cs="宋体" w:eastAsia="宋体" w:hint="default"/>
                <w:sz w:val="21"/>
                <w:szCs w:val="21"/>
              </w:rPr>
              <w:t>B4</w:t>
            </w:r>
            <w:r>
              <w:rPr>
                <w:rFonts w:ascii="宋体" w:hAnsi="宋体" w:cs="宋体" w:eastAsia="宋体" w:hint="default"/>
                <w:spacing w:val="-55"/>
                <w:sz w:val="21"/>
                <w:szCs w:val="21"/>
              </w:rPr>
              <w:t> </w:t>
            </w:r>
            <w:r>
              <w:rPr>
                <w:rFonts w:ascii="宋体" w:hAnsi="宋体" w:cs="宋体" w:eastAsia="宋体" w:hint="default"/>
                <w:sz w:val="21"/>
                <w:szCs w:val="21"/>
              </w:rPr>
              <w:t>店面）（</w:t>
            </w:r>
            <w:r>
              <w:rPr>
                <w:rFonts w:ascii="宋体" w:hAnsi="宋体" w:cs="宋体" w:eastAsia="宋体" w:hint="default"/>
                <w:sz w:val="21"/>
                <w:szCs w:val="21"/>
              </w:rPr>
              <w:t>325600</w:t>
            </w:r>
            <w:r>
              <w:rPr>
                <w:rFonts w:ascii="宋体" w:hAnsi="宋体" w:cs="宋体" w:eastAsia="宋体" w:hint="default"/>
                <w:sz w:val="21"/>
                <w:szCs w:val="21"/>
              </w:rPr>
              <w:t>）</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0577-27778111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86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温州半塘街证券营业部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温州市瓯海区新桥街道云都锦园</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幢</w:t>
            </w:r>
            <w:r>
              <w:rPr>
                <w:rFonts w:ascii="宋体" w:hAnsi="宋体" w:cs="宋体" w:eastAsia="宋体" w:hint="default"/>
                <w:spacing w:val="-51"/>
                <w:sz w:val="21"/>
                <w:szCs w:val="21"/>
              </w:rPr>
              <w:t> </w:t>
            </w:r>
            <w:r>
              <w:rPr>
                <w:rFonts w:ascii="宋体" w:hAnsi="宋体" w:cs="宋体" w:eastAsia="宋体" w:hint="default"/>
                <w:sz w:val="21"/>
                <w:szCs w:val="21"/>
              </w:rPr>
              <w:t>106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0571-87234278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87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温州永中西路证券营业部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浙江省温州市龙湾区永中街道永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中西路万鑫锦园</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幢</w:t>
            </w:r>
            <w:r>
              <w:rPr>
                <w:rFonts w:ascii="宋体" w:hAnsi="宋体" w:cs="宋体" w:eastAsia="宋体" w:hint="default"/>
                <w:spacing w:val="-54"/>
                <w:sz w:val="21"/>
                <w:szCs w:val="21"/>
              </w:rPr>
              <w:t> </w:t>
            </w:r>
            <w:r>
              <w:rPr>
                <w:rFonts w:ascii="宋体" w:hAnsi="宋体" w:cs="宋体" w:eastAsia="宋体" w:hint="default"/>
                <w:sz w:val="21"/>
                <w:szCs w:val="21"/>
              </w:rPr>
              <w:t>119</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0577-55562588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88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苍南龙港大道证券营业部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浙江省温州市苍南县龙港镇泰安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商城</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1"/>
                <w:sz w:val="21"/>
                <w:szCs w:val="21"/>
              </w:rPr>
              <w:t> </w:t>
            </w:r>
            <w:r>
              <w:rPr>
                <w:rFonts w:ascii="宋体" w:hAnsi="宋体" w:cs="宋体" w:eastAsia="宋体" w:hint="default"/>
                <w:sz w:val="21"/>
                <w:szCs w:val="21"/>
              </w:rPr>
              <w:t>104-105</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0577-68667622</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21"/>
                <w:szCs w:val="21"/>
              </w:rPr>
            </w:pPr>
            <w:r>
              <w:rPr>
                <w:rFonts w:ascii="宋体"/>
                <w:sz w:val="21"/>
              </w:rPr>
              <w:t>89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舟山合兴路证券营业部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浙江省舟山市定海区临城街道合</w:t>
            </w:r>
          </w:p>
          <w:p>
            <w:pPr>
              <w:pStyle w:val="TableParagraph"/>
              <w:spacing w:line="240" w:lineRule="auto"/>
              <w:ind w:left="100" w:right="167"/>
              <w:jc w:val="left"/>
              <w:rPr>
                <w:rFonts w:ascii="宋体" w:hAnsi="宋体" w:cs="宋体" w:eastAsia="宋体" w:hint="default"/>
                <w:sz w:val="21"/>
                <w:szCs w:val="21"/>
              </w:rPr>
            </w:pPr>
            <w:r>
              <w:rPr>
                <w:rFonts w:ascii="宋体" w:hAnsi="宋体" w:cs="宋体" w:eastAsia="宋体" w:hint="default"/>
                <w:sz w:val="21"/>
                <w:szCs w:val="21"/>
              </w:rPr>
              <w:t>兴路</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号中昌国际大厦</w:t>
            </w:r>
            <w:r>
              <w:rPr>
                <w:rFonts w:ascii="宋体" w:hAnsi="宋体" w:cs="宋体" w:eastAsia="宋体" w:hint="default"/>
                <w:spacing w:val="-55"/>
                <w:sz w:val="21"/>
                <w:szCs w:val="21"/>
              </w:rPr>
              <w:t> </w:t>
            </w:r>
            <w:r>
              <w:rPr>
                <w:rFonts w:ascii="宋体" w:hAnsi="宋体" w:cs="宋体" w:eastAsia="宋体" w:hint="default"/>
                <w:sz w:val="21"/>
                <w:szCs w:val="21"/>
              </w:rPr>
              <w:t>102</w:t>
            </w:r>
            <w:r>
              <w:rPr>
                <w:rFonts w:ascii="宋体" w:hAnsi="宋体" w:cs="宋体" w:eastAsia="宋体" w:hint="default"/>
                <w:spacing w:val="-53"/>
                <w:sz w:val="21"/>
                <w:szCs w:val="21"/>
              </w:rPr>
              <w:t> </w:t>
            </w:r>
            <w:r>
              <w:rPr>
                <w:rFonts w:ascii="宋体" w:hAnsi="宋体" w:cs="宋体" w:eastAsia="宋体" w:hint="default"/>
                <w:spacing w:val="-3"/>
                <w:sz w:val="21"/>
                <w:szCs w:val="21"/>
              </w:rPr>
              <w:t>室南</w:t>
            </w:r>
            <w:r>
              <w:rPr>
                <w:rFonts w:ascii="宋体" w:hAnsi="宋体" w:cs="宋体" w:eastAsia="宋体" w:hint="default"/>
                <w:spacing w:val="-3"/>
                <w:w w:val="100"/>
                <w:sz w:val="21"/>
                <w:szCs w:val="21"/>
              </w:rPr>
              <w:t> </w:t>
            </w:r>
            <w:r>
              <w:rPr>
                <w:rFonts w:ascii="宋体" w:hAnsi="宋体" w:cs="宋体" w:eastAsia="宋体" w:hint="default"/>
                <w:sz w:val="21"/>
                <w:szCs w:val="21"/>
              </w:rPr>
              <w:t>面靠西第一间</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0580-2368700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宁波天童南路证券营业部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浙江省宁波市鄞州区首南街道天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健巷</w:t>
            </w:r>
            <w:r>
              <w:rPr>
                <w:rFonts w:ascii="宋体" w:hAnsi="宋体" w:cs="宋体" w:eastAsia="宋体" w:hint="default"/>
                <w:spacing w:val="-53"/>
                <w:sz w:val="21"/>
                <w:szCs w:val="21"/>
              </w:rPr>
              <w:t> </w:t>
            </w:r>
            <w:r>
              <w:rPr>
                <w:rFonts w:ascii="宋体" w:hAnsi="宋体" w:cs="宋体" w:eastAsia="宋体" w:hint="default"/>
                <w:sz w:val="21"/>
                <w:szCs w:val="21"/>
              </w:rPr>
              <w:t>118</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101</w:t>
            </w:r>
            <w:r>
              <w:rPr>
                <w:rFonts w:ascii="宋体" w:hAnsi="宋体" w:cs="宋体" w:eastAsia="宋体" w:hint="default"/>
                <w:spacing w:val="-55"/>
                <w:sz w:val="21"/>
                <w:szCs w:val="21"/>
              </w:rPr>
              <w:t> </w:t>
            </w:r>
            <w:r>
              <w:rPr>
                <w:rFonts w:ascii="宋体" w:hAnsi="宋体" w:cs="宋体" w:eastAsia="宋体" w:hint="default"/>
                <w:sz w:val="21"/>
                <w:szCs w:val="21"/>
              </w:rPr>
              <w:t>室、</w:t>
            </w:r>
            <w:r>
              <w:rPr>
                <w:rFonts w:ascii="宋体" w:hAnsi="宋体" w:cs="宋体" w:eastAsia="宋体" w:hint="default"/>
                <w:sz w:val="21"/>
                <w:szCs w:val="21"/>
              </w:rPr>
              <w:t>1801</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0574-83051688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宁海金融中心证券营业部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宁海县跃龙街道金融中心</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号楼</w:t>
            </w:r>
            <w:r>
              <w:rPr>
                <w:rFonts w:ascii="宋体" w:hAnsi="宋体" w:cs="宋体" w:eastAsia="宋体" w:hint="default"/>
                <w:spacing w:val="-55"/>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楼（学勉路</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0574-25579010/25579002</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21"/>
                <w:szCs w:val="21"/>
              </w:rPr>
            </w:pPr>
            <w:r>
              <w:rPr>
                <w:rFonts w:ascii="宋体"/>
                <w:sz w:val="21"/>
              </w:rPr>
              <w:t>92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慈溪开发大道证券营业部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浙江慈溪市古塘街道开发大道</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209</w:t>
            </w:r>
            <w:r>
              <w:rPr>
                <w:rFonts w:ascii="宋体" w:hAnsi="宋体" w:cs="宋体" w:eastAsia="宋体" w:hint="default"/>
                <w:sz w:val="21"/>
                <w:szCs w:val="21"/>
              </w:rPr>
              <w:t>、</w:t>
            </w:r>
            <w:r>
              <w:rPr>
                <w:rFonts w:ascii="宋体" w:hAnsi="宋体" w:cs="宋体" w:eastAsia="宋体" w:hint="default"/>
                <w:sz w:val="21"/>
                <w:szCs w:val="21"/>
              </w:rPr>
              <w:t>211</w:t>
            </w:r>
            <w:r>
              <w:rPr>
                <w:rFonts w:ascii="宋体" w:hAnsi="宋体" w:cs="宋体" w:eastAsia="宋体" w:hint="default"/>
                <w:sz w:val="21"/>
                <w:szCs w:val="21"/>
              </w:rPr>
              <w:t>、</w:t>
            </w:r>
            <w:r>
              <w:rPr>
                <w:rFonts w:ascii="宋体" w:hAnsi="宋体" w:cs="宋体" w:eastAsia="宋体" w:hint="default"/>
                <w:sz w:val="21"/>
                <w:szCs w:val="21"/>
              </w:rPr>
              <w:t>213</w:t>
            </w:r>
            <w:r>
              <w:rPr>
                <w:rFonts w:ascii="宋体" w:hAnsi="宋体" w:cs="宋体" w:eastAsia="宋体" w:hint="default"/>
                <w:sz w:val="21"/>
                <w:szCs w:val="21"/>
              </w:rPr>
              <w:t>、</w:t>
            </w:r>
            <w:r>
              <w:rPr>
                <w:rFonts w:ascii="宋体" w:hAnsi="宋体" w:cs="宋体" w:eastAsia="宋体" w:hint="default"/>
                <w:sz w:val="21"/>
                <w:szCs w:val="21"/>
              </w:rPr>
              <w:t>215</w:t>
            </w:r>
            <w:r>
              <w:rPr>
                <w:rFonts w:ascii="宋体" w:hAnsi="宋体" w:cs="宋体" w:eastAsia="宋体" w:hint="default"/>
                <w:sz w:val="21"/>
                <w:szCs w:val="21"/>
              </w:rPr>
              <w:t>、</w:t>
            </w:r>
            <w:r>
              <w:rPr>
                <w:rFonts w:ascii="宋体" w:hAnsi="宋体" w:cs="宋体" w:eastAsia="宋体" w:hint="default"/>
                <w:sz w:val="21"/>
                <w:szCs w:val="21"/>
              </w:rPr>
              <w:t>217</w:t>
            </w:r>
            <w:r>
              <w:rPr>
                <w:rFonts w:ascii="宋体" w:hAnsi="宋体" w:cs="宋体" w:eastAsia="宋体" w:hint="default"/>
                <w:spacing w:val="-55"/>
                <w:sz w:val="21"/>
                <w:szCs w:val="21"/>
              </w:rPr>
              <w:t> </w:t>
            </w:r>
            <w:r>
              <w:rPr>
                <w:rFonts w:ascii="宋体" w:hAnsi="宋体" w:cs="宋体" w:eastAsia="宋体" w:hint="default"/>
                <w:sz w:val="21"/>
                <w:szCs w:val="21"/>
              </w:rPr>
              <w:t>号；海</w:t>
            </w:r>
            <w:r>
              <w:rPr>
                <w:rFonts w:ascii="宋体" w:hAnsi="宋体" w:cs="宋体" w:eastAsia="宋体" w:hint="default"/>
                <w:w w:val="100"/>
                <w:sz w:val="21"/>
                <w:szCs w:val="21"/>
              </w:rPr>
              <w:t> </w:t>
            </w:r>
            <w:r>
              <w:rPr>
                <w:rFonts w:ascii="宋体" w:hAnsi="宋体" w:cs="宋体" w:eastAsia="宋体" w:hint="default"/>
                <w:sz w:val="21"/>
                <w:szCs w:val="21"/>
              </w:rPr>
              <w:t>关路</w:t>
            </w:r>
            <w:r>
              <w:rPr>
                <w:rFonts w:ascii="宋体" w:hAnsi="宋体" w:cs="宋体" w:eastAsia="宋体" w:hint="default"/>
                <w:spacing w:val="-55"/>
                <w:sz w:val="21"/>
                <w:szCs w:val="21"/>
              </w:rPr>
              <w:t> </w:t>
            </w:r>
            <w:r>
              <w:rPr>
                <w:rFonts w:ascii="宋体" w:hAnsi="宋体" w:cs="宋体" w:eastAsia="宋体" w:hint="default"/>
                <w:sz w:val="21"/>
                <w:szCs w:val="21"/>
              </w:rPr>
              <w:t>114</w:t>
            </w:r>
            <w:r>
              <w:rPr>
                <w:rFonts w:ascii="宋体" w:hAnsi="宋体" w:cs="宋体" w:eastAsia="宋体" w:hint="default"/>
                <w:sz w:val="21"/>
                <w:szCs w:val="21"/>
              </w:rPr>
              <w:t>、</w:t>
            </w:r>
            <w:r>
              <w:rPr>
                <w:rFonts w:ascii="宋体" w:hAnsi="宋体" w:cs="宋体" w:eastAsia="宋体" w:hint="default"/>
                <w:sz w:val="21"/>
                <w:szCs w:val="21"/>
              </w:rPr>
              <w:t>116</w:t>
            </w:r>
            <w:r>
              <w:rPr>
                <w:rFonts w:ascii="宋体" w:hAnsi="宋体" w:cs="宋体" w:eastAsia="宋体" w:hint="default"/>
                <w:sz w:val="21"/>
                <w:szCs w:val="21"/>
              </w:rPr>
              <w:t>、</w:t>
            </w:r>
            <w:r>
              <w:rPr>
                <w:rFonts w:ascii="宋体" w:hAnsi="宋体" w:cs="宋体" w:eastAsia="宋体" w:hint="default"/>
                <w:sz w:val="21"/>
                <w:szCs w:val="21"/>
              </w:rPr>
              <w:t>116-1</w:t>
            </w:r>
            <w:r>
              <w:rPr>
                <w:rFonts w:ascii="宋体" w:hAnsi="宋体" w:cs="宋体" w:eastAsia="宋体" w:hint="default"/>
                <w:sz w:val="21"/>
                <w:szCs w:val="21"/>
              </w:rPr>
              <w:t>、</w:t>
            </w:r>
            <w:r>
              <w:rPr>
                <w:rFonts w:ascii="宋体" w:hAnsi="宋体" w:cs="宋体" w:eastAsia="宋体" w:hint="default"/>
                <w:sz w:val="21"/>
                <w:szCs w:val="21"/>
              </w:rPr>
              <w:t>116-2</w:t>
            </w:r>
            <w:r>
              <w:rPr>
                <w:rFonts w:ascii="宋体" w:hAnsi="宋体" w:cs="宋体" w:eastAsia="宋体" w:hint="default"/>
                <w:spacing w:val="-57"/>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0574-63087852</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宁波北仑宝山路证券营业部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北仑区新碶宝山路</w:t>
            </w:r>
            <w:r>
              <w:rPr>
                <w:rFonts w:ascii="宋体" w:hAnsi="宋体" w:cs="宋体" w:eastAsia="宋体" w:hint="default"/>
                <w:spacing w:val="-50"/>
                <w:sz w:val="21"/>
                <w:szCs w:val="21"/>
              </w:rPr>
              <w:t> </w:t>
            </w:r>
            <w:r>
              <w:rPr>
                <w:rFonts w:ascii="宋体" w:hAnsi="宋体" w:cs="宋体" w:eastAsia="宋体" w:hint="default"/>
                <w:sz w:val="21"/>
                <w:szCs w:val="21"/>
              </w:rPr>
              <w:t>527</w:t>
            </w:r>
            <w:r>
              <w:rPr>
                <w:rFonts w:ascii="宋体" w:hAnsi="宋体" w:cs="宋体" w:eastAsia="宋体" w:hint="default"/>
                <w:spacing w:val="-50"/>
                <w:sz w:val="21"/>
                <w:szCs w:val="21"/>
              </w:rPr>
              <w:t> </w:t>
            </w:r>
            <w:r>
              <w:rPr>
                <w:rFonts w:ascii="宋体" w:hAnsi="宋体" w:cs="宋体" w:eastAsia="宋体" w:hint="default"/>
                <w:spacing w:val="-10"/>
                <w:sz w:val="21"/>
                <w:szCs w:val="21"/>
              </w:rPr>
              <w:t>号（北仑金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融大厦）</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z w:val="21"/>
                <w:szCs w:val="21"/>
              </w:rPr>
              <w:t>（</w:t>
            </w:r>
            <w:r>
              <w:rPr>
                <w:rFonts w:ascii="宋体" w:hAnsi="宋体" w:cs="宋体" w:eastAsia="宋体" w:hint="default"/>
                <w:sz w:val="21"/>
                <w:szCs w:val="21"/>
              </w:rPr>
              <w:t>202</w:t>
            </w:r>
            <w:r>
              <w:rPr>
                <w:rFonts w:ascii="宋体" w:hAnsi="宋体" w:cs="宋体" w:eastAsia="宋体" w:hint="default"/>
                <w:sz w:val="21"/>
                <w:szCs w:val="21"/>
              </w:rPr>
              <w:t>）</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0574-86995336</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sz w:val="21"/>
              </w:rPr>
              <w:t>94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宁波范江岸路证券营业部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宁波市江北区文教街道范江岸路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268</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0574-83068198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宁波镇海六合街证券营业部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宁波市镇海区骆驼街道六合街</w:t>
            </w:r>
            <w:r>
              <w:rPr>
                <w:rFonts w:ascii="宋体" w:hAnsi="宋体" w:cs="宋体" w:eastAsia="宋体" w:hint="default"/>
                <w:spacing w:val="-52"/>
                <w:sz w:val="21"/>
                <w:szCs w:val="21"/>
              </w:rPr>
              <w:t> </w:t>
            </w:r>
            <w:r>
              <w:rPr>
                <w:rFonts w:ascii="宋体" w:hAnsi="宋体" w:cs="宋体" w:eastAsia="宋体" w:hint="default"/>
                <w:spacing w:val="-3"/>
                <w:sz w:val="21"/>
                <w:szCs w:val="21"/>
              </w:rPr>
              <w:t>60</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0574-86258286</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sz w:val="21"/>
              </w:rPr>
              <w:t>96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余姚四明西路证券营业部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余姚市四明西路</w:t>
            </w:r>
            <w:r>
              <w:rPr>
                <w:rFonts w:ascii="宋体" w:hAnsi="宋体" w:cs="宋体" w:eastAsia="宋体" w:hint="default"/>
                <w:spacing w:val="-54"/>
                <w:sz w:val="21"/>
                <w:szCs w:val="21"/>
              </w:rPr>
              <w:t> </w:t>
            </w:r>
            <w:r>
              <w:rPr>
                <w:rFonts w:ascii="宋体" w:hAnsi="宋体" w:cs="宋体" w:eastAsia="宋体" w:hint="default"/>
                <w:sz w:val="21"/>
                <w:szCs w:val="21"/>
              </w:rPr>
              <w:t>721</w:t>
            </w:r>
            <w:r>
              <w:rPr>
                <w:rFonts w:ascii="宋体" w:hAnsi="宋体" w:cs="宋体" w:eastAsia="宋体" w:hint="default"/>
                <w:sz w:val="21"/>
                <w:szCs w:val="21"/>
              </w:rPr>
              <w:t>、</w:t>
            </w:r>
            <w:r>
              <w:rPr>
                <w:rFonts w:ascii="宋体" w:hAnsi="宋体" w:cs="宋体" w:eastAsia="宋体" w:hint="default"/>
                <w:sz w:val="21"/>
                <w:szCs w:val="21"/>
              </w:rPr>
              <w:t>723</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0574-62755100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宁波中山东路证券营业部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宁波市江东区中山东路</w:t>
            </w:r>
            <w:r>
              <w:rPr>
                <w:rFonts w:ascii="宋体" w:hAnsi="宋体" w:cs="宋体" w:eastAsia="宋体" w:hint="default"/>
                <w:spacing w:val="-55"/>
                <w:sz w:val="21"/>
                <w:szCs w:val="21"/>
              </w:rPr>
              <w:t> </w:t>
            </w:r>
            <w:r>
              <w:rPr>
                <w:rFonts w:ascii="宋体" w:hAnsi="宋体" w:cs="宋体" w:eastAsia="宋体" w:hint="default"/>
                <w:sz w:val="21"/>
                <w:szCs w:val="21"/>
              </w:rPr>
              <w:t>599</w:t>
            </w:r>
            <w:r>
              <w:rPr>
                <w:rFonts w:ascii="宋体" w:hAnsi="宋体" w:cs="宋体" w:eastAsia="宋体" w:hint="default"/>
                <w:spacing w:val="-55"/>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1-10</w:t>
            </w:r>
            <w:r>
              <w:rPr>
                <w:rFonts w:ascii="宋体" w:hAnsi="宋体" w:cs="宋体" w:eastAsia="宋体" w:hint="default"/>
                <w:sz w:val="21"/>
                <w:szCs w:val="21"/>
              </w:rPr>
              <w:t>）</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0574-87767611</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宁波扬帆路证券营业部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浙江省宁波高新区杨帆广场</w:t>
            </w:r>
            <w:r>
              <w:rPr>
                <w:rFonts w:ascii="宋体" w:hAnsi="宋体" w:cs="宋体" w:eastAsia="宋体" w:hint="default"/>
                <w:spacing w:val="-53"/>
                <w:sz w:val="21"/>
                <w:szCs w:val="21"/>
              </w:rPr>
              <w:t> </w:t>
            </w:r>
            <w:r>
              <w:rPr>
                <w:rFonts w:ascii="宋体" w:hAnsi="宋体" w:cs="宋体" w:eastAsia="宋体" w:hint="default"/>
                <w:sz w:val="21"/>
                <w:szCs w:val="21"/>
              </w:rPr>
              <w:t>88</w:t>
            </w:r>
            <w:r>
              <w:rPr>
                <w:rFonts w:ascii="宋体" w:hAnsi="宋体" w:cs="宋体" w:eastAsia="宋体" w:hint="default"/>
                <w:spacing w:val="-55"/>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89</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宋体" w:hAnsi="宋体" w:cs="宋体" w:eastAsia="宋体" w:hint="default"/>
                <w:sz w:val="21"/>
                <w:szCs w:val="21"/>
              </w:rPr>
              <w:t>1-19</w:t>
            </w:r>
            <w:r>
              <w:rPr>
                <w:rFonts w:ascii="宋体" w:hAnsi="宋体" w:cs="宋体" w:eastAsia="宋体" w:hint="default"/>
                <w:sz w:val="21"/>
                <w:szCs w:val="21"/>
              </w:rPr>
              <w:t>、</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1-20</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0574-87560804</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99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成都天泰路证券营业部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成都高新区天泰路</w:t>
            </w:r>
            <w:r>
              <w:rPr>
                <w:rFonts w:ascii="宋体" w:hAnsi="宋体" w:cs="宋体" w:eastAsia="宋体" w:hint="default"/>
                <w:spacing w:val="-60"/>
                <w:sz w:val="21"/>
                <w:szCs w:val="21"/>
              </w:rPr>
              <w:t> </w:t>
            </w:r>
            <w:r>
              <w:rPr>
                <w:rFonts w:ascii="宋体" w:hAnsi="宋体" w:cs="宋体" w:eastAsia="宋体" w:hint="default"/>
                <w:sz w:val="21"/>
                <w:szCs w:val="21"/>
              </w:rPr>
              <w:t>112</w:t>
            </w:r>
            <w:r>
              <w:rPr>
                <w:rFonts w:ascii="宋体" w:hAnsi="宋体" w:cs="宋体" w:eastAsia="宋体" w:hint="default"/>
                <w:spacing w:val="-62"/>
                <w:sz w:val="21"/>
                <w:szCs w:val="21"/>
              </w:rPr>
              <w:t> </w:t>
            </w:r>
            <w:r>
              <w:rPr>
                <w:rFonts w:ascii="宋体" w:hAnsi="宋体" w:cs="宋体" w:eastAsia="宋体" w:hint="default"/>
                <w:sz w:val="21"/>
                <w:szCs w:val="21"/>
              </w:rPr>
              <w:t>号</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楼</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62"/>
                <w:sz w:val="21"/>
                <w:szCs w:val="21"/>
              </w:rPr>
              <w:t> </w:t>
            </w:r>
            <w:r>
              <w:rPr>
                <w:rFonts w:ascii="宋体" w:hAnsi="宋体" w:cs="宋体" w:eastAsia="宋体" w:hint="default"/>
                <w:sz w:val="21"/>
                <w:szCs w:val="21"/>
              </w:rPr>
              <w:t>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附</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028-62790666</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7" w:right="0"/>
              <w:jc w:val="left"/>
              <w:rPr>
                <w:rFonts w:ascii="宋体" w:hAnsi="宋体" w:cs="宋体" w:eastAsia="宋体" w:hint="default"/>
                <w:sz w:val="21"/>
                <w:szCs w:val="21"/>
              </w:rPr>
            </w:pPr>
            <w:r>
              <w:rPr>
                <w:rFonts w:ascii="宋体"/>
                <w:sz w:val="21"/>
              </w:rPr>
              <w:t>100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成都滨河路证券营业部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四川省成都市天府新区华阳街道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滨河路二段</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号翠拥天地</w:t>
            </w:r>
            <w:r>
              <w:rPr>
                <w:rFonts w:ascii="宋体" w:hAnsi="宋体" w:cs="宋体" w:eastAsia="宋体" w:hint="default"/>
                <w:spacing w:val="-56"/>
                <w:sz w:val="21"/>
                <w:szCs w:val="21"/>
              </w:rPr>
              <w:t> </w:t>
            </w:r>
            <w:r>
              <w:rPr>
                <w:rFonts w:ascii="宋体" w:hAnsi="宋体" w:cs="宋体" w:eastAsia="宋体" w:hint="default"/>
                <w:sz w:val="21"/>
                <w:szCs w:val="21"/>
              </w:rPr>
              <w:t>153-5-8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028-63117765</w:t>
            </w:r>
          </w:p>
        </w:tc>
      </w:tr>
    </w:tbl>
    <w:p>
      <w:pPr>
        <w:spacing w:after="0" w:line="240" w:lineRule="auto"/>
        <w:jc w:val="left"/>
        <w:rPr>
          <w:rFonts w:ascii="宋体" w:hAnsi="宋体" w:cs="宋体" w:eastAsia="宋体" w:hint="default"/>
          <w:sz w:val="21"/>
          <w:szCs w:val="21"/>
        </w:rPr>
        <w:sectPr>
          <w:pgSz w:w="11910" w:h="16840"/>
          <w:pgMar w:header="880" w:footer="1195" w:top="1060" w:bottom="1380" w:left="12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660"/>
        <w:gridCol w:w="2749"/>
        <w:gridCol w:w="3322"/>
        <w:gridCol w:w="2631"/>
      </w:tblGrid>
      <w:tr>
        <w:trPr>
          <w:trHeight w:val="550"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101</w:t>
            </w:r>
          </w:p>
        </w:tc>
        <w:tc>
          <w:tcPr>
            <w:tcW w:w="2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成都府青路证券营业部</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四川省成都市成华区府青路二段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177</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207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028-63119079</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成都龙腾东路证券营业部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四川省成都市武侯区龙腾东路</w:t>
            </w:r>
            <w:r>
              <w:rPr>
                <w:rFonts w:ascii="宋体" w:hAnsi="宋体" w:cs="宋体" w:eastAsia="宋体" w:hint="default"/>
                <w:spacing w:val="-52"/>
                <w:sz w:val="21"/>
                <w:szCs w:val="21"/>
              </w:rPr>
              <w:t> </w:t>
            </w:r>
            <w:r>
              <w:rPr>
                <w:rFonts w:ascii="宋体" w:hAnsi="宋体" w:cs="宋体" w:eastAsia="宋体" w:hint="default"/>
                <w:spacing w:val="-3"/>
                <w:sz w:val="21"/>
                <w:szCs w:val="21"/>
              </w:rPr>
              <w:t>36</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号中海大厦</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028-63173818</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103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都江堰宝莲路证券营业部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四川省成都市都江堰市幸福镇宝</w:t>
            </w:r>
          </w:p>
          <w:p>
            <w:pPr>
              <w:pStyle w:val="TableParagraph"/>
              <w:spacing w:line="240" w:lineRule="auto"/>
              <w:ind w:left="100" w:right="161"/>
              <w:jc w:val="left"/>
              <w:rPr>
                <w:rFonts w:ascii="宋体" w:hAnsi="宋体" w:cs="宋体" w:eastAsia="宋体" w:hint="default"/>
                <w:sz w:val="21"/>
                <w:szCs w:val="21"/>
              </w:rPr>
            </w:pPr>
            <w:r>
              <w:rPr>
                <w:rFonts w:ascii="宋体" w:hAnsi="宋体" w:cs="宋体" w:eastAsia="宋体" w:hint="default"/>
                <w:spacing w:val="-2"/>
                <w:sz w:val="21"/>
                <w:szCs w:val="21"/>
              </w:rPr>
              <w:t>莲路“幸福家园二期</w:t>
            </w:r>
            <w:r>
              <w:rPr>
                <w:rFonts w:ascii="宋体" w:hAnsi="宋体" w:cs="宋体" w:eastAsia="宋体" w:hint="default"/>
                <w:spacing w:val="-2"/>
                <w:sz w:val="21"/>
                <w:szCs w:val="21"/>
              </w:rPr>
              <w:t>-</w:t>
            </w:r>
            <w:r>
              <w:rPr>
                <w:rFonts w:ascii="宋体" w:hAnsi="宋体" w:cs="宋体" w:eastAsia="宋体" w:hint="default"/>
                <w:spacing w:val="-2"/>
                <w:sz w:val="21"/>
                <w:szCs w:val="21"/>
              </w:rPr>
              <w:t>泸都家园”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657</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028-67667703</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104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昆明北京路证券营业部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云南省昆明市盘龙区北京路</w:t>
            </w:r>
            <w:r>
              <w:rPr>
                <w:rFonts w:ascii="宋体" w:hAnsi="宋体" w:cs="宋体" w:eastAsia="宋体" w:hint="default"/>
                <w:spacing w:val="-73"/>
                <w:sz w:val="21"/>
                <w:szCs w:val="21"/>
              </w:rPr>
              <w:t> </w:t>
            </w:r>
            <w:r>
              <w:rPr>
                <w:rFonts w:ascii="宋体" w:hAnsi="宋体" w:cs="宋体" w:eastAsia="宋体" w:hint="default"/>
                <w:sz w:val="21"/>
                <w:szCs w:val="21"/>
              </w:rPr>
              <w:t>987</w:t>
            </w:r>
            <w:r>
              <w:rPr>
                <w:rFonts w:ascii="宋体" w:hAnsi="宋体" w:cs="宋体" w:eastAsia="宋体" w:hint="default"/>
                <w:spacing w:val="-76"/>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0871-67373013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北京宣武门证券营业部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北京市西城区宣武门外大街</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B1509</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010-62660160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北京北三环证券营业部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北京市朝阳区安贞西里三区</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906</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010-85518655</w:t>
            </w:r>
          </w:p>
        </w:tc>
      </w:tr>
      <w:tr>
        <w:trPr>
          <w:trHeight w:val="29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sz w:val="21"/>
              </w:rPr>
              <w:t>107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上海漕溪路证券营业部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上海漕溪路</w:t>
            </w:r>
            <w:r>
              <w:rPr>
                <w:rFonts w:ascii="宋体" w:hAnsi="宋体" w:cs="宋体" w:eastAsia="宋体" w:hint="default"/>
                <w:spacing w:val="-52"/>
                <w:sz w:val="21"/>
                <w:szCs w:val="21"/>
              </w:rPr>
              <w:t> </w:t>
            </w:r>
            <w:r>
              <w:rPr>
                <w:rFonts w:ascii="宋体" w:hAnsi="宋体" w:cs="宋体" w:eastAsia="宋体" w:hint="default"/>
                <w:sz w:val="21"/>
                <w:szCs w:val="21"/>
              </w:rPr>
              <w:t>251</w:t>
            </w:r>
            <w:r>
              <w:rPr>
                <w:rFonts w:ascii="宋体" w:hAnsi="宋体" w:cs="宋体" w:eastAsia="宋体" w:hint="default"/>
                <w:spacing w:val="-54"/>
                <w:sz w:val="21"/>
                <w:szCs w:val="21"/>
              </w:rPr>
              <w:t> </w:t>
            </w:r>
            <w:r>
              <w:rPr>
                <w:rFonts w:ascii="宋体" w:hAnsi="宋体" w:cs="宋体" w:eastAsia="宋体" w:hint="default"/>
                <w:sz w:val="21"/>
                <w:szCs w:val="21"/>
              </w:rPr>
              <w:t>弄</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sz w:val="21"/>
              </w:rPr>
              <w:t>021-64848008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上海民生路证券营业部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上海市浦东新区民生路</w:t>
            </w:r>
            <w:r>
              <w:rPr>
                <w:rFonts w:ascii="宋体" w:hAnsi="宋体" w:cs="宋体" w:eastAsia="宋体" w:hint="default"/>
                <w:spacing w:val="-54"/>
                <w:sz w:val="21"/>
                <w:szCs w:val="21"/>
              </w:rPr>
              <w:t> </w:t>
            </w:r>
            <w:r>
              <w:rPr>
                <w:rFonts w:ascii="宋体" w:hAnsi="宋体" w:cs="宋体" w:eastAsia="宋体" w:hint="default"/>
                <w:sz w:val="21"/>
                <w:szCs w:val="21"/>
              </w:rPr>
              <w:t>1518</w:t>
            </w:r>
            <w:r>
              <w:rPr>
                <w:rFonts w:ascii="宋体" w:hAnsi="宋体" w:cs="宋体" w:eastAsia="宋体" w:hint="default"/>
                <w:spacing w:val="-54"/>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含笑路</w:t>
            </w:r>
            <w:r>
              <w:rPr>
                <w:rFonts w:ascii="宋体" w:hAnsi="宋体" w:cs="宋体" w:eastAsia="宋体" w:hint="default"/>
                <w:spacing w:val="-53"/>
                <w:sz w:val="21"/>
                <w:szCs w:val="21"/>
              </w:rPr>
              <w:t> </w:t>
            </w:r>
            <w:r>
              <w:rPr>
                <w:rFonts w:ascii="宋体" w:hAnsi="宋体" w:cs="宋体" w:eastAsia="宋体" w:hint="default"/>
                <w:sz w:val="21"/>
                <w:szCs w:val="21"/>
              </w:rPr>
              <w:t>80</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2"/>
                <w:sz w:val="21"/>
                <w:szCs w:val="21"/>
              </w:rPr>
              <w:t> </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021-68161197</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109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深圳香梅路证券营业部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深圳市福田区香蜜湖街道香蜜社</w:t>
            </w:r>
          </w:p>
          <w:p>
            <w:pPr>
              <w:pStyle w:val="TableParagraph"/>
              <w:spacing w:line="272" w:lineRule="exact" w:before="27"/>
              <w:ind w:left="100" w:right="264"/>
              <w:jc w:val="left"/>
              <w:rPr>
                <w:rFonts w:ascii="宋体" w:hAnsi="宋体" w:cs="宋体" w:eastAsia="宋体" w:hint="default"/>
                <w:sz w:val="21"/>
                <w:szCs w:val="21"/>
              </w:rPr>
            </w:pPr>
            <w:r>
              <w:rPr>
                <w:rFonts w:ascii="宋体" w:hAnsi="宋体" w:cs="宋体" w:eastAsia="宋体" w:hint="default"/>
                <w:spacing w:val="-2"/>
                <w:sz w:val="21"/>
                <w:szCs w:val="21"/>
              </w:rPr>
              <w:t>区香梅路口与红荔西路交汇处中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投国际商务中心</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10B</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0755-88605872/88609007</w:t>
            </w:r>
          </w:p>
        </w:tc>
      </w:tr>
      <w:tr>
        <w:trPr>
          <w:trHeight w:val="82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110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11"/>
              <w:jc w:val="left"/>
              <w:rPr>
                <w:rFonts w:ascii="宋体" w:hAnsi="宋体" w:cs="宋体" w:eastAsia="宋体" w:hint="default"/>
                <w:sz w:val="21"/>
                <w:szCs w:val="21"/>
              </w:rPr>
            </w:pPr>
            <w:r>
              <w:rPr>
                <w:rFonts w:ascii="宋体" w:hAnsi="宋体" w:cs="宋体" w:eastAsia="宋体" w:hint="default"/>
                <w:spacing w:val="-2"/>
                <w:sz w:val="21"/>
                <w:szCs w:val="21"/>
              </w:rPr>
              <w:t>深圳卓越梅林中心广场证券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深圳市福田区梅林街道卓越梅林</w:t>
            </w:r>
          </w:p>
          <w:p>
            <w:pPr>
              <w:pStyle w:val="TableParagraph"/>
              <w:spacing w:line="272" w:lineRule="exact" w:before="27"/>
              <w:ind w:left="100" w:right="161"/>
              <w:jc w:val="left"/>
              <w:rPr>
                <w:rFonts w:ascii="宋体" w:hAnsi="宋体" w:cs="宋体" w:eastAsia="宋体" w:hint="default"/>
                <w:sz w:val="21"/>
                <w:szCs w:val="21"/>
              </w:rPr>
            </w:pPr>
            <w:r>
              <w:rPr>
                <w:rFonts w:ascii="宋体" w:hAnsi="宋体" w:cs="宋体" w:eastAsia="宋体" w:hint="default"/>
                <w:sz w:val="21"/>
                <w:szCs w:val="21"/>
              </w:rPr>
              <w:t>中心广场（南区）第</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座栋</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1809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0755-82730069</w:t>
            </w:r>
          </w:p>
        </w:tc>
      </w:tr>
      <w:tr>
        <w:trPr>
          <w:trHeight w:val="55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佛山近良路证券营业部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广东省佛山市顺德区大良近良路</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号龙的科技大厦八楼</w:t>
            </w:r>
            <w:r>
              <w:rPr>
                <w:rFonts w:ascii="宋体" w:hAnsi="宋体" w:cs="宋体" w:eastAsia="宋体" w:hint="default"/>
                <w:spacing w:val="-53"/>
                <w:sz w:val="21"/>
                <w:szCs w:val="21"/>
              </w:rPr>
              <w:t> </w:t>
            </w:r>
            <w:r>
              <w:rPr>
                <w:rFonts w:ascii="宋体" w:hAnsi="宋体" w:cs="宋体" w:eastAsia="宋体" w:hint="default"/>
                <w:sz w:val="21"/>
                <w:szCs w:val="21"/>
              </w:rPr>
              <w:t>809</w:t>
            </w:r>
            <w:r>
              <w:rPr>
                <w:rFonts w:ascii="宋体" w:hAnsi="宋体" w:cs="宋体" w:eastAsia="宋体" w:hint="default"/>
                <w:sz w:val="21"/>
                <w:szCs w:val="21"/>
              </w:rPr>
              <w:t>、</w:t>
            </w:r>
            <w:r>
              <w:rPr>
                <w:rFonts w:ascii="宋体" w:hAnsi="宋体" w:cs="宋体" w:eastAsia="宋体" w:hint="default"/>
                <w:sz w:val="21"/>
                <w:szCs w:val="21"/>
              </w:rPr>
              <w:t>810</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0757-22623511</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112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南京中山北路证券营业部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南京市鼓楼区中山北路</w:t>
            </w:r>
            <w:r>
              <w:rPr>
                <w:rFonts w:ascii="宋体" w:hAnsi="宋体" w:cs="宋体" w:eastAsia="宋体" w:hint="default"/>
                <w:spacing w:val="-76"/>
                <w:sz w:val="21"/>
                <w:szCs w:val="21"/>
              </w:rPr>
              <w:t> </w:t>
            </w:r>
            <w:r>
              <w:rPr>
                <w:rFonts w:ascii="宋体" w:hAnsi="宋体" w:cs="宋体" w:eastAsia="宋体" w:hint="default"/>
                <w:sz w:val="21"/>
                <w:szCs w:val="21"/>
              </w:rPr>
              <w:t>215</w:t>
            </w:r>
            <w:r>
              <w:rPr>
                <w:rFonts w:ascii="宋体" w:hAnsi="宋体" w:cs="宋体" w:eastAsia="宋体" w:hint="default"/>
                <w:spacing w:val="-76"/>
                <w:sz w:val="21"/>
                <w:szCs w:val="21"/>
              </w:rPr>
              <w:t> </w:t>
            </w:r>
            <w:r>
              <w:rPr>
                <w:rFonts w:ascii="宋体" w:hAnsi="宋体" w:cs="宋体" w:eastAsia="宋体" w:hint="default"/>
                <w:sz w:val="21"/>
                <w:szCs w:val="21"/>
              </w:rPr>
              <w:t>号三乐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025-83176600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无锡人民东路证券营业部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江苏省无锡市人民东路</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号梁州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大楼一楼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0510-83590507</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114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常熟枫林路证券营业部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常熟市枫林路</w:t>
            </w:r>
            <w:r>
              <w:rPr>
                <w:rFonts w:ascii="宋体" w:hAnsi="宋体" w:cs="宋体" w:eastAsia="宋体" w:hint="default"/>
                <w:spacing w:val="-54"/>
                <w:sz w:val="21"/>
                <w:szCs w:val="21"/>
              </w:rPr>
              <w:t> </w:t>
            </w:r>
            <w:r>
              <w:rPr>
                <w:rFonts w:ascii="宋体" w:hAnsi="宋体" w:cs="宋体" w:eastAsia="宋体" w:hint="default"/>
                <w:sz w:val="21"/>
                <w:szCs w:val="21"/>
              </w:rPr>
              <w:t>186</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-6,-7</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0512-52895968</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盐城解放南路证券营业部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盐城市城南新区新都街道金鹰新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天地广场</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106</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0515-88256600</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116</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福州塔头路证券营业部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福州市晋安区塔头路</w:t>
            </w:r>
            <w:r>
              <w:rPr>
                <w:rFonts w:ascii="宋体" w:hAnsi="宋体" w:cs="宋体" w:eastAsia="宋体" w:hint="default"/>
                <w:spacing w:val="-73"/>
                <w:sz w:val="21"/>
                <w:szCs w:val="21"/>
              </w:rPr>
              <w:t> </w:t>
            </w:r>
            <w:r>
              <w:rPr>
                <w:rFonts w:ascii="宋体" w:hAnsi="宋体" w:cs="宋体" w:eastAsia="宋体" w:hint="default"/>
                <w:sz w:val="21"/>
                <w:szCs w:val="21"/>
              </w:rPr>
              <w:t>270</w:t>
            </w:r>
            <w:r>
              <w:rPr>
                <w:rFonts w:ascii="宋体" w:hAnsi="宋体" w:cs="宋体" w:eastAsia="宋体" w:hint="default"/>
                <w:spacing w:val="-76"/>
                <w:sz w:val="21"/>
                <w:szCs w:val="21"/>
              </w:rPr>
              <w:t> </w:t>
            </w:r>
            <w:r>
              <w:rPr>
                <w:rFonts w:ascii="宋体" w:hAnsi="宋体" w:cs="宋体" w:eastAsia="宋体" w:hint="default"/>
                <w:sz w:val="21"/>
                <w:szCs w:val="21"/>
              </w:rPr>
              <w:t>号隆华大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0591-88596333</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117</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厦门厦禾路证券营业部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厦门市思明区</w:t>
            </w:r>
            <w:r>
              <w:rPr>
                <w:rFonts w:ascii="宋体" w:hAnsi="宋体" w:cs="宋体" w:eastAsia="宋体" w:hint="default"/>
                <w:spacing w:val="-53"/>
                <w:sz w:val="21"/>
                <w:szCs w:val="21"/>
              </w:rPr>
              <w:t> </w:t>
            </w:r>
            <w:r>
              <w:rPr>
                <w:rFonts w:ascii="宋体" w:hAnsi="宋体" w:cs="宋体" w:eastAsia="宋体" w:hint="default"/>
                <w:sz w:val="21"/>
                <w:szCs w:val="21"/>
              </w:rPr>
              <w:t>189</w:t>
            </w:r>
            <w:r>
              <w:rPr>
                <w:rFonts w:ascii="宋体" w:hAnsi="宋体" w:cs="宋体" w:eastAsia="宋体" w:hint="default"/>
                <w:spacing w:val="-52"/>
                <w:sz w:val="21"/>
                <w:szCs w:val="21"/>
              </w:rPr>
              <w:t> </w:t>
            </w:r>
            <w:r>
              <w:rPr>
                <w:rFonts w:ascii="宋体" w:hAnsi="宋体" w:cs="宋体" w:eastAsia="宋体" w:hint="default"/>
                <w:sz w:val="21"/>
                <w:szCs w:val="21"/>
              </w:rPr>
              <w:t>号银行中心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2715</w:t>
            </w:r>
            <w:r>
              <w:rPr>
                <w:rFonts w:ascii="宋体" w:hAnsi="宋体" w:cs="宋体" w:eastAsia="宋体" w:hint="default"/>
                <w:sz w:val="21"/>
                <w:szCs w:val="21"/>
              </w:rPr>
              <w:t>、</w:t>
            </w:r>
            <w:r>
              <w:rPr>
                <w:rFonts w:ascii="宋体" w:hAnsi="宋体" w:cs="宋体" w:eastAsia="宋体" w:hint="default"/>
                <w:sz w:val="21"/>
                <w:szCs w:val="21"/>
              </w:rPr>
              <w:t>2716</w:t>
            </w:r>
            <w:r>
              <w:rPr>
                <w:rFonts w:ascii="宋体" w:hAnsi="宋体" w:cs="宋体" w:eastAsia="宋体" w:hint="default"/>
                <w:spacing w:val="-51"/>
                <w:sz w:val="21"/>
                <w:szCs w:val="21"/>
              </w:rPr>
              <w:t> </w:t>
            </w:r>
            <w:r>
              <w:rPr>
                <w:rFonts w:ascii="宋体" w:hAnsi="宋体" w:cs="宋体" w:eastAsia="宋体" w:hint="default"/>
                <w:spacing w:val="-3"/>
                <w:sz w:val="21"/>
                <w:szCs w:val="21"/>
              </w:rPr>
              <w:t>单元</w:t>
            </w:r>
            <w:r>
              <w:rPr>
                <w:rFonts w:ascii="宋体" w:hAnsi="宋体" w:cs="宋体" w:eastAsia="宋体" w:hint="default"/>
                <w:sz w:val="21"/>
                <w:szCs w:val="21"/>
              </w:rPr>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0592-2399910</w:t>
            </w:r>
          </w:p>
        </w:tc>
      </w:tr>
      <w:tr>
        <w:trPr>
          <w:trHeight w:val="29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118</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大连黄浦路证券营业部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大连市甘井子区黄浦路</w:t>
            </w:r>
            <w:r>
              <w:rPr>
                <w:rFonts w:ascii="宋体" w:hAnsi="宋体" w:cs="宋体" w:eastAsia="宋体" w:hint="default"/>
                <w:spacing w:val="-65"/>
                <w:sz w:val="21"/>
                <w:szCs w:val="21"/>
              </w:rPr>
              <w:t> </w:t>
            </w:r>
            <w:r>
              <w:rPr>
                <w:rFonts w:ascii="宋体" w:hAnsi="宋体" w:cs="宋体" w:eastAsia="宋体" w:hint="default"/>
                <w:sz w:val="21"/>
                <w:szCs w:val="21"/>
              </w:rPr>
              <w:t>439</w:t>
            </w:r>
            <w:r>
              <w:rPr>
                <w:rFonts w:ascii="宋体" w:hAnsi="宋体" w:cs="宋体" w:eastAsia="宋体" w:hint="default"/>
                <w:spacing w:val="-65"/>
                <w:sz w:val="21"/>
                <w:szCs w:val="21"/>
              </w:rPr>
              <w:t> </w:t>
            </w:r>
            <w:r>
              <w:rPr>
                <w:rFonts w:ascii="宋体" w:hAnsi="宋体" w:cs="宋体" w:eastAsia="宋体" w:hint="default"/>
                <w:sz w:val="21"/>
                <w:szCs w:val="21"/>
              </w:rPr>
              <w:t>号</w:t>
            </w:r>
            <w:r>
              <w:rPr>
                <w:rFonts w:ascii="宋体" w:hAnsi="宋体" w:cs="宋体" w:eastAsia="宋体" w:hint="default"/>
                <w:spacing w:val="-65"/>
                <w:sz w:val="21"/>
                <w:szCs w:val="21"/>
              </w:rPr>
              <w:t> </w:t>
            </w:r>
            <w:r>
              <w:rPr>
                <w:rFonts w:ascii="宋体" w:hAnsi="宋体" w:cs="宋体" w:eastAsia="宋体" w:hint="default"/>
                <w:sz w:val="21"/>
                <w:szCs w:val="21"/>
              </w:rPr>
              <w:t>3</w:t>
            </w:r>
            <w:r>
              <w:rPr>
                <w:rFonts w:ascii="宋体" w:hAnsi="宋体" w:cs="宋体" w:eastAsia="宋体" w:hint="default"/>
                <w:spacing w:val="-65"/>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sz w:val="21"/>
              </w:rPr>
              <w:t>0411-39776611</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119</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青岛海尔路证券营业部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青岛市崂山区海尔路 </w:t>
            </w:r>
            <w:r>
              <w:rPr>
                <w:rFonts w:ascii="宋体" w:hAnsi="宋体" w:cs="宋体" w:eastAsia="宋体" w:hint="default"/>
                <w:sz w:val="21"/>
                <w:szCs w:val="21"/>
              </w:rPr>
              <w:t>182-8</w:t>
            </w:r>
            <w:r>
              <w:rPr>
                <w:rFonts w:ascii="宋体" w:hAnsi="宋体" w:cs="宋体" w:eastAsia="宋体" w:hint="default"/>
                <w:spacing w:val="-55"/>
                <w:sz w:val="21"/>
                <w:szCs w:val="21"/>
              </w:rPr>
              <w:t> </w:t>
            </w:r>
            <w:r>
              <w:rPr>
                <w:rFonts w:ascii="宋体" w:hAnsi="宋体" w:cs="宋体" w:eastAsia="宋体" w:hint="default"/>
                <w:sz w:val="21"/>
                <w:szCs w:val="21"/>
              </w:rPr>
              <w:t>号半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岛传媒大厦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层</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0532-80955555</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重庆邹容路证券营业部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重庆市渝中区邹容路</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号半岛商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务大厦</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023-88105000</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121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上饶龙潭路证券营业部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江西省上饶市信州区滨江西路以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北（上饶万达广场）第</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52"/>
                <w:sz w:val="21"/>
                <w:szCs w:val="21"/>
              </w:rPr>
              <w:t> </w:t>
            </w:r>
            <w:r>
              <w:rPr>
                <w:rFonts w:ascii="宋体" w:hAnsi="宋体" w:cs="宋体" w:eastAsia="宋体" w:hint="default"/>
                <w:sz w:val="21"/>
                <w:szCs w:val="21"/>
              </w:rPr>
              <w:t>46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0793-8295336</w:t>
            </w:r>
          </w:p>
        </w:tc>
      </w:tr>
      <w:tr>
        <w:trPr>
          <w:trHeight w:val="55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苏州人民路证券营业部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江苏省苏州市姑苏区平泷路</w:t>
            </w:r>
            <w:r>
              <w:rPr>
                <w:rFonts w:ascii="宋体" w:hAnsi="宋体" w:cs="宋体" w:eastAsia="宋体" w:hint="default"/>
                <w:spacing w:val="-73"/>
                <w:sz w:val="21"/>
                <w:szCs w:val="21"/>
              </w:rPr>
              <w:t> </w:t>
            </w:r>
            <w:r>
              <w:rPr>
                <w:rFonts w:ascii="宋体" w:hAnsi="宋体" w:cs="宋体" w:eastAsia="宋体" w:hint="default"/>
                <w:sz w:val="21"/>
                <w:szCs w:val="21"/>
              </w:rPr>
              <w:t>251</w:t>
            </w:r>
            <w:r>
              <w:rPr>
                <w:rFonts w:ascii="宋体" w:hAnsi="宋体" w:cs="宋体" w:eastAsia="宋体" w:hint="default"/>
                <w:spacing w:val="-76"/>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苏州城市生活广场西侧裙楼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0512-67289313</w:t>
            </w:r>
          </w:p>
        </w:tc>
      </w:tr>
      <w:tr>
        <w:trPr>
          <w:trHeight w:val="82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123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深圳华南大道证券营业部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深圳市龙岗区平湖街道华南大道</w:t>
            </w:r>
          </w:p>
          <w:p>
            <w:pPr>
              <w:pStyle w:val="TableParagraph"/>
              <w:spacing w:line="272" w:lineRule="exact" w:before="27"/>
              <w:ind w:left="100" w:right="264"/>
              <w:jc w:val="left"/>
              <w:rPr>
                <w:rFonts w:ascii="宋体" w:hAnsi="宋体" w:cs="宋体" w:eastAsia="宋体" w:hint="default"/>
                <w:sz w:val="21"/>
                <w:szCs w:val="21"/>
              </w:rPr>
            </w:pPr>
            <w:r>
              <w:rPr>
                <w:rFonts w:ascii="宋体" w:hAnsi="宋体" w:cs="宋体" w:eastAsia="宋体" w:hint="default"/>
                <w:spacing w:val="-2"/>
                <w:sz w:val="21"/>
                <w:szCs w:val="21"/>
              </w:rPr>
              <w:t>一号华南国际工业原料城发展中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心二楼</w:t>
            </w:r>
            <w:r>
              <w:rPr>
                <w:rFonts w:ascii="宋体" w:hAnsi="宋体" w:cs="宋体" w:eastAsia="宋体" w:hint="default"/>
                <w:spacing w:val="-53"/>
                <w:sz w:val="21"/>
                <w:szCs w:val="21"/>
              </w:rPr>
              <w:t> </w:t>
            </w:r>
            <w:r>
              <w:rPr>
                <w:rFonts w:ascii="宋体" w:hAnsi="宋体" w:cs="宋体" w:eastAsia="宋体" w:hint="default"/>
                <w:sz w:val="21"/>
                <w:szCs w:val="21"/>
              </w:rPr>
              <w:t>203,209,210,211</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0755-88609007</w:t>
            </w:r>
          </w:p>
        </w:tc>
      </w:tr>
      <w:tr>
        <w:trPr>
          <w:trHeight w:val="55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124</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诸暨大唐永新路证券营业部</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浙江省诸暨市大唐镇永新路大唐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金座</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z w:val="21"/>
                <w:szCs w:val="21"/>
              </w:rPr>
              <w:t>－</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商铺</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0575-87110007</w:t>
            </w:r>
          </w:p>
        </w:tc>
      </w:tr>
    </w:tbl>
    <w:p>
      <w:pPr>
        <w:spacing w:after="0" w:line="240" w:lineRule="auto"/>
        <w:jc w:val="left"/>
        <w:rPr>
          <w:rFonts w:ascii="宋体" w:hAnsi="宋体" w:cs="宋体" w:eastAsia="宋体" w:hint="default"/>
          <w:sz w:val="21"/>
          <w:szCs w:val="21"/>
        </w:rPr>
        <w:sectPr>
          <w:pgSz w:w="11910" w:h="16840"/>
          <w:pgMar w:header="880" w:footer="1195" w:top="1060" w:bottom="1380" w:left="128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5"/>
        <w:spacing w:line="240" w:lineRule="auto" w:before="36"/>
        <w:ind w:left="218" w:right="0"/>
        <w:jc w:val="left"/>
        <w:rPr>
          <w:b w:val="0"/>
          <w:bCs w:val="0"/>
        </w:rPr>
      </w:pPr>
      <w:r>
        <w:rPr/>
        <w:t>（四）其他分支机构数量与分布情况</w:t>
      </w:r>
      <w:r>
        <w:rPr>
          <w:b w:val="0"/>
          <w:bCs w:val="0"/>
        </w:rPr>
      </w:r>
    </w:p>
    <w:p>
      <w:pPr>
        <w:pStyle w:val="BodyText"/>
        <w:spacing w:line="240" w:lineRule="auto" w:before="58"/>
        <w:ind w:left="218" w:right="0"/>
        <w:jc w:val="left"/>
      </w:pPr>
      <w:r>
        <w:rPr/>
        <w:t>√适用 □不适用</w:t>
      </w:r>
    </w:p>
    <w:p>
      <w:pPr>
        <w:spacing w:line="240" w:lineRule="auto" w:before="1"/>
        <w:rPr>
          <w:rFonts w:ascii="宋体" w:hAnsi="宋体" w:cs="宋体" w:eastAsia="宋体" w:hint="default"/>
          <w:sz w:val="18"/>
          <w:szCs w:val="18"/>
        </w:rPr>
      </w:pPr>
    </w:p>
    <w:p>
      <w:pPr>
        <w:pStyle w:val="BodyText"/>
        <w:spacing w:line="240" w:lineRule="auto"/>
        <w:ind w:left="818" w:right="0"/>
        <w:jc w:val="left"/>
      </w:pPr>
      <w:r>
        <w:rPr/>
        <w:t>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日，本公司共设立了</w:t>
      </w:r>
      <w:r>
        <w:rPr>
          <w:spacing w:val="-53"/>
        </w:rPr>
        <w:t> </w:t>
      </w:r>
      <w:r>
        <w:rPr>
          <w:rFonts w:ascii="宋体" w:hAnsi="宋体" w:cs="宋体" w:eastAsia="宋体" w:hint="default"/>
        </w:rPr>
        <w:t>15</w:t>
      </w:r>
      <w:r>
        <w:rPr>
          <w:rFonts w:ascii="宋体" w:hAnsi="宋体" w:cs="宋体" w:eastAsia="宋体" w:hint="default"/>
          <w:spacing w:val="-55"/>
        </w:rPr>
        <w:t> </w:t>
      </w:r>
      <w:r>
        <w:rPr/>
        <w:t>家分公司，具体数量和分布情况如下：</w:t>
      </w:r>
    </w:p>
    <w:p>
      <w:pPr>
        <w:spacing w:line="240" w:lineRule="auto" w:before="11"/>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674"/>
        <w:gridCol w:w="1844"/>
        <w:gridCol w:w="4678"/>
        <w:gridCol w:w="1853"/>
      </w:tblGrid>
      <w:tr>
        <w:trPr>
          <w:trHeight w:val="52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营业部名称</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2" w:right="0"/>
              <w:jc w:val="left"/>
              <w:rPr>
                <w:rFonts w:ascii="宋体" w:hAnsi="宋体" w:cs="宋体" w:eastAsia="宋体" w:hint="default"/>
                <w:sz w:val="21"/>
                <w:szCs w:val="21"/>
              </w:rPr>
            </w:pPr>
            <w:r>
              <w:rPr>
                <w:rFonts w:ascii="宋体" w:hAnsi="宋体" w:cs="宋体" w:eastAsia="宋体" w:hint="default"/>
                <w:sz w:val="21"/>
                <w:szCs w:val="21"/>
              </w:rPr>
              <w:t>联系电话</w:t>
            </w:r>
          </w:p>
        </w:tc>
      </w:tr>
      <w:tr>
        <w:trPr>
          <w:trHeight w:val="557"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杭州第一分公司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浙江省杭州市下城区环城北路 </w:t>
            </w:r>
            <w:r>
              <w:rPr>
                <w:rFonts w:ascii="宋体" w:hAnsi="宋体" w:cs="宋体" w:eastAsia="宋体" w:hint="default"/>
                <w:sz w:val="21"/>
                <w:szCs w:val="21"/>
              </w:rPr>
              <w:t>169</w:t>
            </w:r>
            <w:r>
              <w:rPr>
                <w:rFonts w:ascii="宋体" w:hAnsi="宋体" w:cs="宋体" w:eastAsia="宋体" w:hint="default"/>
                <w:spacing w:val="-55"/>
                <w:sz w:val="21"/>
                <w:szCs w:val="21"/>
              </w:rPr>
              <w:t> </w:t>
            </w:r>
            <w:r>
              <w:rPr>
                <w:rFonts w:ascii="宋体" w:hAnsi="宋体" w:cs="宋体" w:eastAsia="宋体" w:hint="default"/>
                <w:sz w:val="21"/>
                <w:szCs w:val="21"/>
              </w:rPr>
              <w:t>号汇金国际大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厦西</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901</w:t>
            </w:r>
            <w:r>
              <w:rPr>
                <w:rFonts w:ascii="宋体" w:hAnsi="宋体" w:cs="宋体" w:eastAsia="宋体" w:hint="default"/>
                <w:sz w:val="21"/>
                <w:szCs w:val="21"/>
              </w:rPr>
              <w:t>、</w:t>
            </w:r>
            <w:r>
              <w:rPr>
                <w:rFonts w:ascii="宋体" w:hAnsi="宋体" w:cs="宋体" w:eastAsia="宋体" w:hint="default"/>
                <w:sz w:val="21"/>
                <w:szCs w:val="21"/>
              </w:rPr>
              <w:t>902</w:t>
            </w:r>
            <w:r>
              <w:rPr>
                <w:rFonts w:ascii="宋体" w:hAnsi="宋体" w:cs="宋体" w:eastAsia="宋体" w:hint="default"/>
                <w:spacing w:val="-55"/>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5"/>
              <w:jc w:val="right"/>
              <w:rPr>
                <w:rFonts w:ascii="宋体" w:hAnsi="宋体" w:cs="宋体" w:eastAsia="宋体" w:hint="default"/>
                <w:sz w:val="21"/>
                <w:szCs w:val="21"/>
              </w:rPr>
            </w:pPr>
            <w:r>
              <w:rPr>
                <w:rFonts w:ascii="宋体"/>
                <w:spacing w:val="-1"/>
                <w:sz w:val="21"/>
              </w:rPr>
              <w:t>0571-86961118</w:t>
            </w:r>
          </w:p>
        </w:tc>
      </w:tr>
      <w:tr>
        <w:trPr>
          <w:trHeight w:val="55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w w:val="100"/>
                <w:sz w:val="21"/>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杭州第二分公司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浙江省杭州市上城区太和广场</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1701</w:t>
            </w:r>
            <w:r>
              <w:rPr>
                <w:rFonts w:ascii="宋体" w:hAnsi="宋体" w:cs="宋体" w:eastAsia="宋体" w:hint="default"/>
                <w:sz w:val="21"/>
                <w:szCs w:val="21"/>
              </w:rPr>
              <w:t>、</w:t>
            </w:r>
            <w:r>
              <w:rPr>
                <w:rFonts w:ascii="宋体" w:hAnsi="宋体" w:cs="宋体" w:eastAsia="宋体" w:hint="default"/>
                <w:sz w:val="21"/>
                <w:szCs w:val="21"/>
              </w:rPr>
              <w:t>1702</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1703</w:t>
            </w:r>
            <w:r>
              <w:rPr>
                <w:rFonts w:ascii="宋体" w:hAnsi="宋体" w:cs="宋体" w:eastAsia="宋体" w:hint="default"/>
                <w:sz w:val="21"/>
                <w:szCs w:val="21"/>
              </w:rPr>
              <w:t>、</w:t>
            </w:r>
            <w:r>
              <w:rPr>
                <w:rFonts w:ascii="宋体" w:hAnsi="宋体" w:cs="宋体" w:eastAsia="宋体" w:hint="default"/>
                <w:sz w:val="21"/>
                <w:szCs w:val="21"/>
              </w:rPr>
              <w:t>1704</w:t>
            </w:r>
            <w:r>
              <w:rPr>
                <w:rFonts w:ascii="宋体" w:hAnsi="宋体" w:cs="宋体" w:eastAsia="宋体" w:hint="default"/>
                <w:sz w:val="21"/>
                <w:szCs w:val="21"/>
              </w:rPr>
              <w:t>、</w:t>
            </w:r>
            <w:r>
              <w:rPr>
                <w:rFonts w:ascii="宋体" w:hAnsi="宋体" w:cs="宋体" w:eastAsia="宋体" w:hint="default"/>
                <w:sz w:val="21"/>
                <w:szCs w:val="21"/>
              </w:rPr>
              <w:t>1705</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5"/>
              <w:jc w:val="right"/>
              <w:rPr>
                <w:rFonts w:ascii="宋体" w:hAnsi="宋体" w:cs="宋体" w:eastAsia="宋体" w:hint="default"/>
                <w:sz w:val="21"/>
                <w:szCs w:val="21"/>
              </w:rPr>
            </w:pPr>
            <w:r>
              <w:rPr>
                <w:rFonts w:ascii="宋体"/>
                <w:spacing w:val="-1"/>
                <w:sz w:val="21"/>
              </w:rPr>
              <w:t>0571-86963139</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杭州第三分公司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浙江省杭州市西湖区文二路 </w:t>
            </w:r>
            <w:r>
              <w:rPr>
                <w:rFonts w:ascii="宋体" w:hAnsi="宋体" w:cs="宋体" w:eastAsia="宋体" w:hint="default"/>
                <w:sz w:val="21"/>
                <w:szCs w:val="21"/>
              </w:rPr>
              <w:t>391</w:t>
            </w:r>
            <w:r>
              <w:rPr>
                <w:rFonts w:ascii="宋体" w:hAnsi="宋体" w:cs="宋体" w:eastAsia="宋体" w:hint="default"/>
                <w:spacing w:val="-55"/>
                <w:sz w:val="21"/>
                <w:szCs w:val="21"/>
              </w:rPr>
              <w:t> </w:t>
            </w:r>
            <w:r>
              <w:rPr>
                <w:rFonts w:ascii="宋体" w:hAnsi="宋体" w:cs="宋体" w:eastAsia="宋体" w:hint="default"/>
                <w:sz w:val="21"/>
                <w:szCs w:val="21"/>
              </w:rPr>
              <w:t>号西湖国际科技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宋体" w:hAnsi="宋体" w:cs="宋体" w:eastAsia="宋体" w:hint="default"/>
                <w:sz w:val="21"/>
                <w:szCs w:val="21"/>
              </w:rPr>
              <w:t>2308-1</w:t>
            </w:r>
            <w:r>
              <w:rPr>
                <w:rFonts w:ascii="宋体" w:hAnsi="宋体" w:cs="宋体" w:eastAsia="宋体" w:hint="default"/>
                <w:spacing w:val="-54"/>
                <w:sz w:val="21"/>
                <w:szCs w:val="21"/>
              </w:rPr>
              <w:t> </w:t>
            </w:r>
            <w:r>
              <w:rPr>
                <w:rFonts w:ascii="宋体" w:hAnsi="宋体" w:cs="宋体" w:eastAsia="宋体" w:hint="default"/>
                <w:sz w:val="21"/>
                <w:szCs w:val="21"/>
              </w:rPr>
              <w:t>室、</w:t>
            </w:r>
            <w:r>
              <w:rPr>
                <w:rFonts w:ascii="宋体" w:hAnsi="宋体" w:cs="宋体" w:eastAsia="宋体" w:hint="default"/>
                <w:sz w:val="21"/>
                <w:szCs w:val="21"/>
              </w:rPr>
              <w:t>2308-2</w:t>
            </w:r>
            <w:r>
              <w:rPr>
                <w:rFonts w:ascii="宋体" w:hAnsi="宋体" w:cs="宋体" w:eastAsia="宋体" w:hint="default"/>
                <w:spacing w:val="-56"/>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5"/>
              <w:jc w:val="right"/>
              <w:rPr>
                <w:rFonts w:ascii="宋体" w:hAnsi="宋体" w:cs="宋体" w:eastAsia="宋体" w:hint="default"/>
                <w:sz w:val="21"/>
                <w:szCs w:val="21"/>
              </w:rPr>
            </w:pPr>
            <w:r>
              <w:rPr>
                <w:rFonts w:ascii="宋体"/>
                <w:spacing w:val="-1"/>
                <w:sz w:val="21"/>
              </w:rPr>
              <w:t>0571-28311679</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杭州第四分公司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浙江省杭州市拱墅区绿地运河商务中心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1302-1305</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5"/>
              <w:jc w:val="right"/>
              <w:rPr>
                <w:rFonts w:ascii="宋体" w:hAnsi="宋体" w:cs="宋体" w:eastAsia="宋体" w:hint="default"/>
                <w:sz w:val="21"/>
                <w:szCs w:val="21"/>
              </w:rPr>
            </w:pPr>
            <w:r>
              <w:rPr>
                <w:rFonts w:ascii="宋体"/>
                <w:spacing w:val="-1"/>
                <w:sz w:val="21"/>
              </w:rPr>
              <w:t>0571-28806588</w:t>
            </w:r>
          </w:p>
        </w:tc>
      </w:tr>
      <w:tr>
        <w:trPr>
          <w:trHeight w:val="8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湖州分公司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5"/>
                <w:sz w:val="21"/>
                <w:szCs w:val="21"/>
              </w:rPr>
              <w:t> </w:t>
            </w:r>
            <w:r>
              <w:rPr>
                <w:rFonts w:ascii="宋体" w:hAnsi="宋体" w:cs="宋体" w:eastAsia="宋体" w:hint="default"/>
                <w:spacing w:val="11"/>
                <w:sz w:val="21"/>
                <w:szCs w:val="21"/>
              </w:rPr>
              <w:t>江省</w:t>
            </w:r>
            <w:r>
              <w:rPr>
                <w:rFonts w:ascii="宋体" w:hAnsi="宋体" w:cs="宋体" w:eastAsia="宋体" w:hint="default"/>
                <w:spacing w:val="-75"/>
                <w:sz w:val="21"/>
                <w:szCs w:val="21"/>
              </w:rPr>
              <w:t> </w:t>
            </w:r>
            <w:r>
              <w:rPr>
                <w:rFonts w:ascii="宋体" w:hAnsi="宋体" w:cs="宋体" w:eastAsia="宋体" w:hint="default"/>
                <w:spacing w:val="11"/>
                <w:sz w:val="21"/>
                <w:szCs w:val="21"/>
              </w:rPr>
              <w:t>湖州</w:t>
            </w:r>
            <w:r>
              <w:rPr>
                <w:rFonts w:ascii="宋体" w:hAnsi="宋体" w:cs="宋体" w:eastAsia="宋体" w:hint="default"/>
                <w:spacing w:val="-75"/>
                <w:sz w:val="21"/>
                <w:szCs w:val="21"/>
              </w:rPr>
              <w:t> </w:t>
            </w:r>
            <w:r>
              <w:rPr>
                <w:rFonts w:ascii="宋体" w:hAnsi="宋体" w:cs="宋体" w:eastAsia="宋体" w:hint="default"/>
                <w:spacing w:val="14"/>
                <w:sz w:val="21"/>
                <w:szCs w:val="21"/>
              </w:rPr>
              <w:t>市吴兴</w:t>
            </w:r>
            <w:r>
              <w:rPr>
                <w:rFonts w:ascii="宋体" w:hAnsi="宋体" w:cs="宋体" w:eastAsia="宋体" w:hint="default"/>
                <w:spacing w:val="-75"/>
                <w:sz w:val="21"/>
                <w:szCs w:val="21"/>
              </w:rPr>
              <w:t> </w:t>
            </w:r>
            <w:r>
              <w:rPr>
                <w:rFonts w:ascii="宋体" w:hAnsi="宋体" w:cs="宋体" w:eastAsia="宋体" w:hint="default"/>
                <w:spacing w:val="14"/>
                <w:sz w:val="21"/>
                <w:szCs w:val="21"/>
              </w:rPr>
              <w:t>区东吴</w:t>
            </w:r>
            <w:r>
              <w:rPr>
                <w:rFonts w:ascii="宋体" w:hAnsi="宋体" w:cs="宋体" w:eastAsia="宋体" w:hint="default"/>
                <w:spacing w:val="-75"/>
                <w:sz w:val="21"/>
                <w:szCs w:val="21"/>
              </w:rPr>
              <w:t> </w:t>
            </w:r>
            <w:r>
              <w:rPr>
                <w:rFonts w:ascii="宋体" w:hAnsi="宋体" w:cs="宋体" w:eastAsia="宋体" w:hint="default"/>
                <w:spacing w:val="11"/>
                <w:sz w:val="21"/>
                <w:szCs w:val="21"/>
              </w:rPr>
              <w:t>国际</w:t>
            </w:r>
            <w:r>
              <w:rPr>
                <w:rFonts w:ascii="宋体" w:hAnsi="宋体" w:cs="宋体" w:eastAsia="宋体" w:hint="default"/>
                <w:spacing w:val="-75"/>
                <w:sz w:val="21"/>
                <w:szCs w:val="21"/>
              </w:rPr>
              <w:t> </w:t>
            </w:r>
            <w:r>
              <w:rPr>
                <w:rFonts w:ascii="宋体" w:hAnsi="宋体" w:cs="宋体" w:eastAsia="宋体" w:hint="default"/>
                <w:spacing w:val="11"/>
                <w:sz w:val="21"/>
                <w:szCs w:val="21"/>
              </w:rPr>
              <w:t>广场</w:t>
            </w:r>
            <w:r>
              <w:rPr>
                <w:rFonts w:ascii="宋体" w:hAnsi="宋体" w:cs="宋体" w:eastAsia="宋体" w:hint="default"/>
                <w:spacing w:val="-75"/>
                <w:sz w:val="21"/>
                <w:szCs w:val="21"/>
              </w:rPr>
              <w:t> </w:t>
            </w:r>
            <w:r>
              <w:rPr>
                <w:rFonts w:ascii="宋体" w:hAnsi="宋体" w:cs="宋体" w:eastAsia="宋体" w:hint="default"/>
                <w:spacing w:val="14"/>
                <w:sz w:val="21"/>
                <w:szCs w:val="21"/>
              </w:rPr>
              <w:t>龙鼎大</w:t>
            </w:r>
            <w:r>
              <w:rPr>
                <w:rFonts w:ascii="宋体" w:hAnsi="宋体" w:cs="宋体" w:eastAsia="宋体" w:hint="default"/>
                <w:spacing w:val="-75"/>
                <w:sz w:val="21"/>
                <w:szCs w:val="21"/>
              </w:rPr>
              <w:t> </w:t>
            </w:r>
            <w:r>
              <w:rPr>
                <w:rFonts w:ascii="宋体" w:hAnsi="宋体" w:cs="宋体" w:eastAsia="宋体" w:hint="default"/>
                <w:sz w:val="21"/>
                <w:szCs w:val="21"/>
              </w:rPr>
              <w:t>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1610</w:t>
            </w:r>
            <w:r>
              <w:rPr>
                <w:rFonts w:ascii="宋体" w:hAnsi="宋体" w:cs="宋体" w:eastAsia="宋体" w:hint="default"/>
                <w:sz w:val="21"/>
                <w:szCs w:val="21"/>
              </w:rPr>
              <w:t>、</w:t>
            </w:r>
            <w:r>
              <w:rPr>
                <w:rFonts w:ascii="宋体" w:hAnsi="宋体" w:cs="宋体" w:eastAsia="宋体" w:hint="default"/>
                <w:sz w:val="21"/>
                <w:szCs w:val="21"/>
              </w:rPr>
              <w:t>1611</w:t>
            </w:r>
            <w:r>
              <w:rPr>
                <w:rFonts w:ascii="宋体" w:hAnsi="宋体" w:cs="宋体" w:eastAsia="宋体" w:hint="default"/>
                <w:sz w:val="21"/>
                <w:szCs w:val="21"/>
              </w:rPr>
              <w:t>、</w:t>
            </w:r>
            <w:r>
              <w:rPr>
                <w:rFonts w:ascii="宋体" w:hAnsi="宋体" w:cs="宋体" w:eastAsia="宋体" w:hint="default"/>
                <w:sz w:val="21"/>
                <w:szCs w:val="21"/>
              </w:rPr>
              <w:t>1612</w:t>
            </w:r>
            <w:r>
              <w:rPr>
                <w:rFonts w:ascii="宋体" w:hAnsi="宋体" w:cs="宋体" w:eastAsia="宋体" w:hint="default"/>
                <w:sz w:val="21"/>
                <w:szCs w:val="21"/>
              </w:rPr>
              <w:t>、</w:t>
            </w:r>
            <w:r>
              <w:rPr>
                <w:rFonts w:ascii="宋体" w:hAnsi="宋体" w:cs="宋体" w:eastAsia="宋体" w:hint="default"/>
                <w:sz w:val="21"/>
                <w:szCs w:val="21"/>
              </w:rPr>
              <w:t>1615</w:t>
            </w:r>
            <w:r>
              <w:rPr>
                <w:rFonts w:ascii="宋体" w:hAnsi="宋体" w:cs="宋体" w:eastAsia="宋体" w:hint="default"/>
                <w:sz w:val="21"/>
                <w:szCs w:val="21"/>
              </w:rPr>
              <w:t>、</w:t>
            </w:r>
            <w:r>
              <w:rPr>
                <w:rFonts w:ascii="宋体" w:hAnsi="宋体" w:cs="宋体" w:eastAsia="宋体" w:hint="default"/>
                <w:sz w:val="21"/>
                <w:szCs w:val="21"/>
              </w:rPr>
              <w:t>1616</w:t>
            </w:r>
            <w:r>
              <w:rPr>
                <w:rFonts w:ascii="宋体" w:hAnsi="宋体" w:cs="宋体" w:eastAsia="宋体" w:hint="default"/>
                <w:sz w:val="21"/>
                <w:szCs w:val="21"/>
              </w:rPr>
              <w:t>、</w:t>
            </w:r>
            <w:r>
              <w:rPr>
                <w:rFonts w:ascii="宋体" w:hAnsi="宋体" w:cs="宋体" w:eastAsia="宋体" w:hint="default"/>
                <w:sz w:val="21"/>
                <w:szCs w:val="21"/>
              </w:rPr>
              <w:t>1617</w:t>
            </w:r>
            <w:r>
              <w:rPr>
                <w:rFonts w:ascii="宋体" w:hAnsi="宋体" w:cs="宋体" w:eastAsia="宋体" w:hint="default"/>
                <w:sz w:val="21"/>
                <w:szCs w:val="21"/>
              </w:rPr>
              <w:t>、</w:t>
            </w:r>
            <w:r>
              <w:rPr>
                <w:rFonts w:ascii="宋体" w:hAnsi="宋体" w:cs="宋体" w:eastAsia="宋体" w:hint="default"/>
                <w:sz w:val="21"/>
                <w:szCs w:val="21"/>
              </w:rPr>
              <w:t>1618</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1619</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8"/>
              <w:jc w:val="right"/>
              <w:rPr>
                <w:rFonts w:ascii="宋体" w:hAnsi="宋体" w:cs="宋体" w:eastAsia="宋体" w:hint="default"/>
                <w:sz w:val="21"/>
                <w:szCs w:val="21"/>
              </w:rPr>
            </w:pPr>
            <w:r>
              <w:rPr>
                <w:rFonts w:ascii="宋体"/>
                <w:spacing w:val="-1"/>
                <w:sz w:val="21"/>
              </w:rPr>
              <w:t>0572-2767802</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嘉兴分公司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浙江省嘉兴市南湖区嘉欣丝绸广场</w:t>
            </w:r>
            <w:r>
              <w:rPr>
                <w:rFonts w:ascii="宋体" w:hAnsi="宋体" w:cs="宋体" w:eastAsia="宋体" w:hint="default"/>
                <w:spacing w:val="51"/>
                <w:sz w:val="21"/>
                <w:szCs w:val="21"/>
              </w:rPr>
              <w:t> </w:t>
            </w:r>
            <w:r>
              <w:rPr>
                <w:rFonts w:ascii="宋体" w:hAnsi="宋体" w:cs="宋体" w:eastAsia="宋体" w:hint="default"/>
                <w:sz w:val="21"/>
                <w:szCs w:val="21"/>
              </w:rPr>
              <w:t>1-1301</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5"/>
              <w:jc w:val="right"/>
              <w:rPr>
                <w:rFonts w:ascii="宋体" w:hAnsi="宋体" w:cs="宋体" w:eastAsia="宋体" w:hint="default"/>
                <w:sz w:val="21"/>
                <w:szCs w:val="21"/>
              </w:rPr>
            </w:pPr>
            <w:r>
              <w:rPr>
                <w:rFonts w:ascii="宋体"/>
                <w:spacing w:val="-1"/>
                <w:sz w:val="21"/>
              </w:rPr>
              <w:t>0573-89891126</w:t>
            </w:r>
          </w:p>
        </w:tc>
      </w:tr>
      <w:tr>
        <w:trPr>
          <w:trHeight w:val="28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绍兴分公司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浙江省绍兴市越城区人民中路</w:t>
            </w:r>
            <w:r>
              <w:rPr>
                <w:rFonts w:ascii="宋体" w:hAnsi="宋体" w:cs="宋体" w:eastAsia="宋体" w:hint="default"/>
                <w:spacing w:val="-53"/>
                <w:sz w:val="21"/>
                <w:szCs w:val="21"/>
              </w:rPr>
              <w:t> </w:t>
            </w:r>
            <w:r>
              <w:rPr>
                <w:rFonts w:ascii="宋体" w:hAnsi="宋体" w:cs="宋体" w:eastAsia="宋体" w:hint="default"/>
                <w:sz w:val="21"/>
                <w:szCs w:val="21"/>
              </w:rPr>
              <w:t>399</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楼</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pacing w:val="-1"/>
                <w:sz w:val="21"/>
              </w:rPr>
              <w:t>0575-85136339</w:t>
            </w:r>
          </w:p>
        </w:tc>
      </w:tr>
      <w:tr>
        <w:trPr>
          <w:trHeight w:val="55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柯桥分公司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浙江省绍兴市柯桥区柯桥湖西路 </w:t>
            </w:r>
            <w:r>
              <w:rPr>
                <w:rFonts w:ascii="宋体" w:hAnsi="宋体" w:cs="宋体" w:eastAsia="宋体" w:hint="default"/>
                <w:sz w:val="21"/>
                <w:szCs w:val="21"/>
              </w:rPr>
              <w:t>228</w:t>
            </w:r>
            <w:r>
              <w:rPr>
                <w:rFonts w:ascii="宋体" w:hAnsi="宋体" w:cs="宋体" w:eastAsia="宋体" w:hint="default"/>
                <w:spacing w:val="-55"/>
                <w:sz w:val="21"/>
                <w:szCs w:val="21"/>
              </w:rPr>
              <w:t> </w:t>
            </w:r>
            <w:r>
              <w:rPr>
                <w:rFonts w:ascii="宋体" w:hAnsi="宋体" w:cs="宋体" w:eastAsia="宋体" w:hint="default"/>
                <w:sz w:val="21"/>
                <w:szCs w:val="21"/>
              </w:rPr>
              <w:t>号轻纺大厦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层</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5"/>
              <w:jc w:val="right"/>
              <w:rPr>
                <w:rFonts w:ascii="宋体" w:hAnsi="宋体" w:cs="宋体" w:eastAsia="宋体" w:hint="default"/>
                <w:sz w:val="21"/>
                <w:szCs w:val="21"/>
              </w:rPr>
            </w:pPr>
            <w:r>
              <w:rPr>
                <w:rFonts w:ascii="宋体"/>
                <w:spacing w:val="-1"/>
                <w:sz w:val="21"/>
              </w:rPr>
              <w:t>0575-84098210</w:t>
            </w:r>
          </w:p>
        </w:tc>
      </w:tr>
      <w:tr>
        <w:trPr>
          <w:trHeight w:val="28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台州分公司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台州市市府大道</w:t>
            </w:r>
            <w:r>
              <w:rPr>
                <w:rFonts w:ascii="宋体" w:hAnsi="宋体" w:cs="宋体" w:eastAsia="宋体" w:hint="default"/>
                <w:spacing w:val="-53"/>
                <w:sz w:val="21"/>
                <w:szCs w:val="21"/>
              </w:rPr>
              <w:t> </w:t>
            </w:r>
            <w:r>
              <w:rPr>
                <w:rFonts w:ascii="宋体" w:hAnsi="宋体" w:cs="宋体" w:eastAsia="宋体" w:hint="default"/>
                <w:sz w:val="21"/>
                <w:szCs w:val="21"/>
              </w:rPr>
              <w:t>369</w:t>
            </w:r>
            <w:r>
              <w:rPr>
                <w:rFonts w:ascii="宋体" w:hAnsi="宋体" w:cs="宋体" w:eastAsia="宋体" w:hint="default"/>
                <w:spacing w:val="-55"/>
                <w:sz w:val="21"/>
                <w:szCs w:val="21"/>
              </w:rPr>
              <w:t> </w:t>
            </w:r>
            <w:r>
              <w:rPr>
                <w:rFonts w:ascii="宋体" w:hAnsi="宋体" w:cs="宋体" w:eastAsia="宋体" w:hint="default"/>
                <w:sz w:val="21"/>
                <w:szCs w:val="21"/>
              </w:rPr>
              <w:t>号至</w:t>
            </w:r>
            <w:r>
              <w:rPr>
                <w:rFonts w:ascii="宋体" w:hAnsi="宋体" w:cs="宋体" w:eastAsia="宋体" w:hint="default"/>
                <w:spacing w:val="-55"/>
                <w:sz w:val="21"/>
                <w:szCs w:val="21"/>
              </w:rPr>
              <w:t> </w:t>
            </w:r>
            <w:r>
              <w:rPr>
                <w:rFonts w:ascii="宋体" w:hAnsi="宋体" w:cs="宋体" w:eastAsia="宋体" w:hint="default"/>
                <w:sz w:val="21"/>
                <w:szCs w:val="21"/>
              </w:rPr>
              <w:t>377</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层</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
              <w:jc w:val="right"/>
              <w:rPr>
                <w:rFonts w:ascii="宋体" w:hAnsi="宋体" w:cs="宋体" w:eastAsia="宋体" w:hint="default"/>
                <w:sz w:val="21"/>
                <w:szCs w:val="21"/>
              </w:rPr>
            </w:pPr>
            <w:r>
              <w:rPr>
                <w:rFonts w:ascii="宋体"/>
                <w:spacing w:val="-1"/>
                <w:sz w:val="21"/>
              </w:rPr>
              <w:t>0576-88551058</w:t>
            </w:r>
          </w:p>
        </w:tc>
      </w:tr>
      <w:tr>
        <w:trPr>
          <w:trHeight w:val="28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金华分公司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浙江省金华市婺城区八一南街</w:t>
            </w:r>
            <w:r>
              <w:rPr>
                <w:rFonts w:ascii="宋体" w:hAnsi="宋体" w:cs="宋体" w:eastAsia="宋体" w:hint="default"/>
                <w:spacing w:val="-53"/>
                <w:sz w:val="21"/>
                <w:szCs w:val="21"/>
              </w:rPr>
              <w:t> </w:t>
            </w:r>
            <w:r>
              <w:rPr>
                <w:rFonts w:ascii="宋体" w:hAnsi="宋体" w:cs="宋体" w:eastAsia="宋体" w:hint="default"/>
                <w:sz w:val="21"/>
                <w:szCs w:val="21"/>
              </w:rPr>
              <w:t>999</w:t>
            </w:r>
            <w:r>
              <w:rPr>
                <w:rFonts w:ascii="宋体" w:hAnsi="宋体" w:cs="宋体" w:eastAsia="宋体" w:hint="default"/>
                <w:spacing w:val="-53"/>
                <w:sz w:val="21"/>
                <w:szCs w:val="21"/>
              </w:rPr>
              <w:t> </w:t>
            </w:r>
            <w:r>
              <w:rPr>
                <w:rFonts w:ascii="宋体" w:hAnsi="宋体" w:cs="宋体" w:eastAsia="宋体" w:hint="default"/>
                <w:sz w:val="21"/>
                <w:szCs w:val="21"/>
              </w:rPr>
              <w:t>号一号楼</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楼</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pacing w:val="-1"/>
                <w:sz w:val="21"/>
              </w:rPr>
              <w:t>0579-83910709</w:t>
            </w:r>
          </w:p>
        </w:tc>
      </w:tr>
      <w:tr>
        <w:trPr>
          <w:trHeight w:val="28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衢州分公司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浙江省衢州市白云中大道</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号慧谷大厦</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pacing w:val="-1"/>
                <w:sz w:val="21"/>
              </w:rPr>
              <w:t>0570-22288886</w:t>
            </w:r>
          </w:p>
        </w:tc>
      </w:tr>
      <w:tr>
        <w:trPr>
          <w:trHeight w:val="28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宁波分公司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宁波市江东区上东商务中心</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pacing w:val="-13"/>
                <w:sz w:val="21"/>
                <w:szCs w:val="21"/>
              </w:rPr>
              <w:t>幢（</w:t>
            </w:r>
            <w:r>
              <w:rPr>
                <w:rFonts w:ascii="宋体" w:hAnsi="宋体" w:cs="宋体" w:eastAsia="宋体" w:hint="default"/>
                <w:spacing w:val="-13"/>
                <w:sz w:val="21"/>
                <w:szCs w:val="21"/>
              </w:rPr>
              <w:t>22-3</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13"/>
                <w:sz w:val="21"/>
                <w:szCs w:val="21"/>
              </w:rPr>
              <w:t>22-8</w:t>
            </w:r>
            <w:r>
              <w:rPr>
                <w:rFonts w:ascii="宋体" w:hAnsi="宋体" w:cs="宋体" w:eastAsia="宋体" w:hint="default"/>
                <w:spacing w:val="-13"/>
                <w:sz w:val="21"/>
                <w:szCs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spacing w:val="-1"/>
                <w:sz w:val="21"/>
              </w:rPr>
              <w:t>0574-81891555</w:t>
            </w:r>
          </w:p>
        </w:tc>
      </w:tr>
      <w:tr>
        <w:trPr>
          <w:trHeight w:val="28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西南分公司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成都高新区天泰路</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号附</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pacing w:val="-1"/>
                <w:sz w:val="21"/>
              </w:rPr>
              <w:t>028-62790837</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深圳分公司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深圳市福田区福田街道金田路 </w:t>
            </w:r>
            <w:r>
              <w:rPr>
                <w:rFonts w:ascii="宋体" w:hAnsi="宋体" w:cs="宋体" w:eastAsia="宋体" w:hint="default"/>
                <w:sz w:val="21"/>
                <w:szCs w:val="21"/>
              </w:rPr>
              <w:t>3088</w:t>
            </w:r>
            <w:r>
              <w:rPr>
                <w:rFonts w:ascii="宋体" w:hAnsi="宋体" w:cs="宋体" w:eastAsia="宋体" w:hint="default"/>
                <w:spacing w:val="50"/>
                <w:sz w:val="21"/>
                <w:szCs w:val="21"/>
              </w:rPr>
              <w:t> </w:t>
            </w:r>
            <w:r>
              <w:rPr>
                <w:rFonts w:ascii="宋体" w:hAnsi="宋体" w:cs="宋体" w:eastAsia="宋体" w:hint="default"/>
                <w:sz w:val="21"/>
                <w:szCs w:val="21"/>
              </w:rPr>
              <w:t>号中洲大厦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z w:val="21"/>
                <w:szCs w:val="21"/>
              </w:rPr>
              <w:t>、</w:t>
            </w:r>
            <w:r>
              <w:rPr>
                <w:rFonts w:ascii="宋体" w:hAnsi="宋体" w:cs="宋体" w:eastAsia="宋体" w:hint="default"/>
                <w:sz w:val="21"/>
                <w:szCs w:val="21"/>
              </w:rPr>
              <w:t>04B</w:t>
            </w:r>
            <w:r>
              <w:rPr>
                <w:rFonts w:ascii="宋体" w:hAnsi="宋体" w:cs="宋体" w:eastAsia="宋体" w:hint="default"/>
                <w:spacing w:val="-54"/>
                <w:sz w:val="21"/>
                <w:szCs w:val="21"/>
              </w:rPr>
              <w:t> </w:t>
            </w:r>
            <w:r>
              <w:rPr>
                <w:rFonts w:ascii="宋体" w:hAnsi="宋体" w:cs="宋体" w:eastAsia="宋体" w:hint="default"/>
                <w:sz w:val="21"/>
                <w:szCs w:val="21"/>
              </w:rPr>
              <w:t>单元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5"/>
              <w:jc w:val="right"/>
              <w:rPr>
                <w:rFonts w:ascii="宋体" w:hAnsi="宋体" w:cs="宋体" w:eastAsia="宋体" w:hint="default"/>
                <w:sz w:val="21"/>
                <w:szCs w:val="21"/>
              </w:rPr>
            </w:pPr>
            <w:r>
              <w:rPr>
                <w:rFonts w:ascii="宋体"/>
                <w:spacing w:val="-1"/>
                <w:sz w:val="21"/>
              </w:rPr>
              <w:t>0755-23918712</w:t>
            </w:r>
          </w:p>
        </w:tc>
      </w:tr>
      <w:tr>
        <w:trPr>
          <w:trHeight w:val="5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江苏分公司</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江苏省苏州市工业园区苏州中心</w:t>
            </w:r>
            <w:r>
              <w:rPr>
                <w:rFonts w:ascii="宋体" w:hAnsi="宋体" w:cs="宋体" w:eastAsia="宋体" w:hint="default"/>
                <w:spacing w:val="-76"/>
                <w:sz w:val="21"/>
                <w:szCs w:val="21"/>
              </w:rPr>
              <w:t> </w:t>
            </w:r>
            <w:r>
              <w:rPr>
                <w:rFonts w:ascii="宋体" w:hAnsi="宋体" w:cs="宋体" w:eastAsia="宋体" w:hint="default"/>
                <w:sz w:val="21"/>
                <w:szCs w:val="21"/>
              </w:rPr>
              <w:t>A</w:t>
            </w:r>
            <w:r>
              <w:rPr>
                <w:rFonts w:ascii="宋体" w:hAnsi="宋体" w:cs="宋体" w:eastAsia="宋体" w:hint="default"/>
                <w:spacing w:val="-73"/>
                <w:sz w:val="21"/>
                <w:szCs w:val="21"/>
              </w:rPr>
              <w:t> </w:t>
            </w:r>
            <w:r>
              <w:rPr>
                <w:rFonts w:ascii="宋体" w:hAnsi="宋体" w:cs="宋体" w:eastAsia="宋体" w:hint="default"/>
                <w:sz w:val="21"/>
                <w:szCs w:val="21"/>
              </w:rPr>
              <w:t>座</w:t>
            </w:r>
            <w:r>
              <w:rPr>
                <w:rFonts w:ascii="宋体" w:hAnsi="宋体" w:cs="宋体" w:eastAsia="宋体" w:hint="default"/>
                <w:spacing w:val="-73"/>
                <w:sz w:val="21"/>
                <w:szCs w:val="21"/>
              </w:rPr>
              <w:t> </w:t>
            </w:r>
            <w:r>
              <w:rPr>
                <w:rFonts w:ascii="宋体" w:hAnsi="宋体" w:cs="宋体" w:eastAsia="宋体" w:hint="default"/>
                <w:sz w:val="21"/>
                <w:szCs w:val="21"/>
              </w:rPr>
              <w:t>29</w:t>
            </w:r>
            <w:r>
              <w:rPr>
                <w:rFonts w:ascii="宋体" w:hAnsi="宋体" w:cs="宋体" w:eastAsia="宋体" w:hint="default"/>
                <w:spacing w:val="-76"/>
                <w:sz w:val="21"/>
                <w:szCs w:val="21"/>
              </w:rPr>
              <w:t> </w:t>
            </w:r>
            <w:r>
              <w:rPr>
                <w:rFonts w:ascii="宋体" w:hAnsi="宋体" w:cs="宋体" w:eastAsia="宋体" w:hint="default"/>
                <w:sz w:val="21"/>
                <w:szCs w:val="21"/>
              </w:rPr>
              <w:t>楼</w:t>
            </w:r>
            <w:r>
              <w:rPr>
                <w:rFonts w:ascii="宋体" w:hAnsi="宋体" w:cs="宋体" w:eastAsia="宋体" w:hint="default"/>
                <w:spacing w:val="-73"/>
                <w:sz w:val="21"/>
                <w:szCs w:val="21"/>
              </w:rPr>
              <w:t> </w:t>
            </w:r>
            <w:r>
              <w:rPr>
                <w:rFonts w:ascii="宋体" w:hAnsi="宋体" w:cs="宋体" w:eastAsia="宋体" w:hint="default"/>
                <w:sz w:val="21"/>
                <w:szCs w:val="21"/>
              </w:rPr>
              <w:t>2901A</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2902</w:t>
            </w:r>
            <w:r>
              <w:rPr>
                <w:rFonts w:ascii="宋体" w:hAnsi="宋体" w:cs="宋体" w:eastAsia="宋体" w:hint="default"/>
                <w:spacing w:val="-52"/>
                <w:sz w:val="21"/>
                <w:szCs w:val="21"/>
              </w:rPr>
              <w:t> </w:t>
            </w:r>
            <w:r>
              <w:rPr>
                <w:rFonts w:ascii="宋体" w:hAnsi="宋体" w:cs="宋体" w:eastAsia="宋体" w:hint="default"/>
                <w:sz w:val="21"/>
                <w:szCs w:val="21"/>
              </w:rPr>
              <w:t>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5"/>
              <w:jc w:val="right"/>
              <w:rPr>
                <w:rFonts w:ascii="宋体" w:hAnsi="宋体" w:cs="宋体" w:eastAsia="宋体" w:hint="default"/>
                <w:sz w:val="21"/>
                <w:szCs w:val="21"/>
              </w:rPr>
            </w:pPr>
            <w:r>
              <w:rPr>
                <w:rFonts w:ascii="宋体"/>
                <w:spacing w:val="-1"/>
                <w:sz w:val="21"/>
              </w:rPr>
              <w:t>0512-69883052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before="36"/>
        <w:ind w:left="218" w:right="0"/>
        <w:jc w:val="left"/>
        <w:rPr>
          <w:b w:val="0"/>
          <w:bCs w:val="0"/>
        </w:rPr>
      </w:pPr>
      <w:r>
        <w:rPr/>
        <w:t>七、</w:t>
      </w:r>
      <w:r>
        <w:rPr>
          <w:spacing w:val="40"/>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516"/>
        <w:gridCol w:w="2412"/>
        <w:gridCol w:w="4112"/>
      </w:tblGrid>
      <w:tr>
        <w:trPr>
          <w:trHeight w:val="281"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公司聘请的会计师事务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所（境内）</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554" w:hRule="exact"/>
        </w:trPr>
        <w:tc>
          <w:tcPr>
            <w:tcW w:w="2516" w:type="dxa"/>
            <w:vMerge/>
            <w:tcBorders>
              <w:left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1"/>
                <w:sz w:val="21"/>
                <w:szCs w:val="21"/>
              </w:rPr>
              <w:t> </w:t>
            </w:r>
            <w:r>
              <w:rPr>
                <w:rFonts w:ascii="宋体" w:hAnsi="宋体" w:cs="宋体" w:eastAsia="宋体" w:hint="default"/>
                <w:sz w:val="21"/>
                <w:szCs w:val="21"/>
              </w:rPr>
              <w:t>1366</w:t>
            </w:r>
            <w:r>
              <w:rPr>
                <w:rFonts w:ascii="宋体" w:hAnsi="宋体" w:cs="宋体" w:eastAsia="宋体" w:hint="default"/>
                <w:spacing w:val="-53"/>
                <w:sz w:val="21"/>
                <w:szCs w:val="21"/>
              </w:rPr>
              <w:t> </w:t>
            </w:r>
            <w:r>
              <w:rPr>
                <w:rFonts w:ascii="宋体" w:hAnsi="宋体" w:cs="宋体" w:eastAsia="宋体" w:hint="default"/>
                <w:sz w:val="21"/>
                <w:szCs w:val="21"/>
              </w:rPr>
              <w:t>号华润大厦</w:t>
            </w:r>
            <w:r>
              <w:rPr>
                <w:rFonts w:ascii="宋体" w:hAnsi="宋体" w:cs="宋体" w:eastAsia="宋体" w:hint="default"/>
                <w:spacing w:val="-50"/>
                <w:sz w:val="21"/>
                <w:szCs w:val="21"/>
              </w:rPr>
              <w:t> </w:t>
            </w: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楼</w:t>
            </w:r>
          </w:p>
        </w:tc>
      </w:tr>
      <w:tr>
        <w:trPr>
          <w:trHeight w:val="283" w:hRule="exact"/>
        </w:trPr>
        <w:tc>
          <w:tcPr>
            <w:tcW w:w="2516" w:type="dxa"/>
            <w:vMerge/>
            <w:tcBorders>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宋慧娟、陈玉凤</w:t>
            </w:r>
          </w:p>
        </w:tc>
      </w:tr>
      <w:tr>
        <w:trPr>
          <w:trHeight w:val="283"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报告期内履行持续督导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职责的保荐机构</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826" w:hRule="exact"/>
        </w:trPr>
        <w:tc>
          <w:tcPr>
            <w:tcW w:w="2516" w:type="dxa"/>
            <w:vMerge/>
            <w:tcBorders>
              <w:left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广东省深圳市福田区中心三路 </w:t>
            </w:r>
            <w:r>
              <w:rPr>
                <w:rFonts w:ascii="宋体" w:hAnsi="宋体" w:cs="宋体" w:eastAsia="宋体" w:hint="default"/>
                <w:sz w:val="21"/>
                <w:szCs w:val="21"/>
              </w:rPr>
              <w:t>8</w:t>
            </w:r>
            <w:r>
              <w:rPr>
                <w:rFonts w:ascii="宋体" w:hAnsi="宋体" w:cs="宋体" w:eastAsia="宋体" w:hint="default"/>
                <w:spacing w:val="9"/>
                <w:sz w:val="21"/>
                <w:szCs w:val="21"/>
              </w:rPr>
              <w:t> </w:t>
            </w:r>
            <w:r>
              <w:rPr>
                <w:rFonts w:ascii="宋体" w:hAnsi="宋体" w:cs="宋体" w:eastAsia="宋体" w:hint="default"/>
                <w:sz w:val="21"/>
                <w:szCs w:val="21"/>
              </w:rPr>
              <w:t>号卓越时</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代广场（二期）北座</w:t>
            </w:r>
          </w:p>
        </w:tc>
      </w:tr>
      <w:tr>
        <w:trPr>
          <w:trHeight w:val="283" w:hRule="exact"/>
        </w:trPr>
        <w:tc>
          <w:tcPr>
            <w:tcW w:w="2516" w:type="dxa"/>
            <w:vMerge/>
            <w:tcBorders>
              <w:left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周宇、程越</w:t>
            </w:r>
          </w:p>
        </w:tc>
      </w:tr>
      <w:tr>
        <w:trPr>
          <w:trHeight w:val="284" w:hRule="exact"/>
        </w:trPr>
        <w:tc>
          <w:tcPr>
            <w:tcW w:w="2516" w:type="dxa"/>
            <w:vMerge/>
            <w:tcBorders>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报告期内履行持续督导</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瑞银证券有限责任公司</w:t>
            </w:r>
          </w:p>
        </w:tc>
      </w:tr>
    </w:tbl>
    <w:p>
      <w:pPr>
        <w:spacing w:after="0" w:line="241" w:lineRule="exact"/>
        <w:jc w:val="left"/>
        <w:rPr>
          <w:rFonts w:ascii="宋体" w:hAnsi="宋体" w:cs="宋体" w:eastAsia="宋体" w:hint="default"/>
          <w:sz w:val="21"/>
          <w:szCs w:val="21"/>
        </w:rPr>
        <w:sectPr>
          <w:pgSz w:w="11910" w:h="16840"/>
          <w:pgMar w:header="880" w:footer="1195" w:top="1060" w:bottom="1380" w:left="1200" w:right="12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06" w:type="dxa"/>
        <w:tblLayout w:type="fixed"/>
        <w:tblCellMar>
          <w:top w:w="0" w:type="dxa"/>
          <w:left w:w="0" w:type="dxa"/>
          <w:bottom w:w="0" w:type="dxa"/>
          <w:right w:w="0" w:type="dxa"/>
        </w:tblCellMar>
        <w:tblLook w:val="01E0"/>
      </w:tblPr>
      <w:tblGrid>
        <w:gridCol w:w="2516"/>
        <w:gridCol w:w="2412"/>
        <w:gridCol w:w="4112"/>
      </w:tblGrid>
      <w:tr>
        <w:trPr>
          <w:trHeight w:val="828" w:hRule="exact"/>
        </w:trPr>
        <w:tc>
          <w:tcPr>
            <w:tcW w:w="2516"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职责的保荐机构</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北京市西城区金融大街 </w:t>
            </w:r>
            <w:r>
              <w:rPr>
                <w:rFonts w:ascii="宋体" w:hAnsi="宋体" w:cs="宋体" w:eastAsia="宋体" w:hint="default"/>
                <w:sz w:val="21"/>
                <w:szCs w:val="21"/>
              </w:rPr>
              <w:t>7</w:t>
            </w:r>
            <w:r>
              <w:rPr>
                <w:rFonts w:ascii="宋体" w:hAnsi="宋体" w:cs="宋体" w:eastAsia="宋体" w:hint="default"/>
                <w:spacing w:val="10"/>
                <w:sz w:val="21"/>
                <w:szCs w:val="21"/>
              </w:rPr>
              <w:t> </w:t>
            </w:r>
            <w:r>
              <w:rPr>
                <w:rFonts w:ascii="宋体" w:hAnsi="宋体" w:cs="宋体" w:eastAsia="宋体" w:hint="default"/>
                <w:sz w:val="21"/>
                <w:szCs w:val="21"/>
              </w:rPr>
              <w:t>号英蓝国际金融</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层、</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516" w:type="dxa"/>
            <w:vMerge/>
            <w:tcBorders>
              <w:left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刘文成、林瑞晶</w:t>
            </w:r>
          </w:p>
        </w:tc>
      </w:tr>
      <w:tr>
        <w:trPr>
          <w:trHeight w:val="281" w:hRule="exact"/>
        </w:trPr>
        <w:tc>
          <w:tcPr>
            <w:tcW w:w="2516" w:type="dxa"/>
            <w:vMerge/>
            <w:tcBorders>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Style w:val="BodyText"/>
        <w:spacing w:line="241" w:lineRule="exact"/>
        <w:ind w:left="218" w:right="0"/>
        <w:jc w:val="left"/>
      </w:pPr>
      <w:r>
        <w:rPr/>
        <w:t>备注：公司于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27</w:t>
      </w:r>
      <w:r>
        <w:rPr>
          <w:rFonts w:ascii="宋体" w:hAnsi="宋体" w:cs="宋体" w:eastAsia="宋体" w:hint="default"/>
          <w:spacing w:val="-55"/>
        </w:rPr>
        <w:t> </w:t>
      </w:r>
      <w:r>
        <w:rPr/>
        <w:t>日换选了中信证券股份有限公司作为公司持续督导保荐机构。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060" w:bottom="1380" w:left="1200" w:right="1180"/>
        </w:sectPr>
      </w:pPr>
    </w:p>
    <w:p>
      <w:pPr>
        <w:pStyle w:val="Heading5"/>
        <w:tabs>
          <w:tab w:pos="1058" w:val="left" w:leader="none"/>
        </w:tabs>
        <w:spacing w:line="290" w:lineRule="auto" w:before="36"/>
        <w:ind w:left="360" w:right="0" w:hanging="142"/>
        <w:jc w:val="left"/>
        <w:rPr>
          <w:b w:val="0"/>
          <w:bCs w:val="0"/>
        </w:rPr>
      </w:pPr>
      <w:r>
        <w:rPr/>
        <w:t>八、</w:t>
      </w:r>
      <w:r>
        <w:rPr>
          <w:spacing w:val="-32"/>
        </w:rPr>
        <w:t> </w:t>
      </w:r>
      <w:r>
        <w:rPr/>
        <w:t>近三年主要会计数据和财务指标</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200" w:right="1180"/>
          <w:cols w:num="2" w:equalWidth="0">
            <w:col w:w="3668" w:space="3093"/>
            <w:col w:w="276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18"/>
        <w:gridCol w:w="2002"/>
        <w:gridCol w:w="2108"/>
        <w:gridCol w:w="1159"/>
        <w:gridCol w:w="2002"/>
      </w:tblGrid>
      <w:tr>
        <w:trPr>
          <w:trHeight w:val="109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3"/>
              <w:ind w:left="153" w:right="151"/>
              <w:jc w:val="center"/>
              <w:rPr>
                <w:rFonts w:ascii="宋体" w:hAnsi="宋体" w:cs="宋体" w:eastAsia="宋体" w:hint="default"/>
                <w:sz w:val="21"/>
                <w:szCs w:val="21"/>
              </w:rPr>
            </w:pPr>
            <w:r>
              <w:rPr>
                <w:rFonts w:ascii="宋体" w:hAnsi="宋体" w:cs="宋体" w:eastAsia="宋体" w:hint="default"/>
                <w:sz w:val="21"/>
                <w:szCs w:val="21"/>
              </w:rPr>
              <w:t>本期比上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3,167,998,370.32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4,016,866,764.74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-21.13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4,255,580,080.75</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归属于母公司股东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818,836,066.51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1,503,931,618.18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-45.55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1,785,885,436.51</w:t>
            </w:r>
          </w:p>
        </w:tc>
      </w:tr>
      <w:tr>
        <w:trPr>
          <w:trHeight w:val="8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归属于母公司股东</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2"/>
                <w:sz w:val="21"/>
                <w:szCs w:val="21"/>
              </w:rPr>
              <w:t>的扣除非经常性损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792,889,466.09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1,490,095,163.08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-46.79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1,777,797,124.73</w:t>
            </w:r>
          </w:p>
        </w:tc>
      </w:tr>
      <w:tr>
        <w:trPr>
          <w:trHeight w:val="55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2,362,615,194.04</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-13,479,522,627.32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-1,017,605,691.08</w:t>
            </w:r>
          </w:p>
        </w:tc>
      </w:tr>
      <w:tr>
        <w:trPr>
          <w:trHeight w:val="29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-1,270,475,130.01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107,557,712.87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293,347,816.65</w:t>
            </w:r>
          </w:p>
        </w:tc>
      </w:tr>
      <w:tr>
        <w:trPr>
          <w:trHeight w:val="1099" w:hRule="exact"/>
        </w:trPr>
        <w:tc>
          <w:tcPr>
            <w:tcW w:w="201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0" w:right="98"/>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宋体" w:hAnsi="宋体" w:cs="宋体" w:eastAsia="宋体" w:hint="default"/>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29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58,694,804,212.79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57,700,597,132.96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54,777,655,756.67</w:t>
            </w:r>
          </w:p>
        </w:tc>
      </w:tr>
      <w:tr>
        <w:trPr>
          <w:trHeight w:val="29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39,018,624,146.51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36,889,321,413.29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5.77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39,439,623,377.86</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归属于母公司股东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的权益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19,665,347,784.55</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20,790,232,240.37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15,246,197,065.29</w:t>
            </w:r>
          </w:p>
        </w:tc>
      </w:tr>
      <w:tr>
        <w:trPr>
          <w:trHeight w:val="29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所有者权益总额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19,676,180,066.28</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20,811,275,719.67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-5.45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15,338,032,378.81</w:t>
            </w:r>
          </w:p>
        </w:tc>
      </w:tr>
    </w:tbl>
    <w:p>
      <w:pPr>
        <w:spacing w:line="240" w:lineRule="auto" w:before="12"/>
        <w:rPr>
          <w:rFonts w:ascii="宋体" w:hAnsi="宋体" w:cs="宋体" w:eastAsia="宋体" w:hint="default"/>
          <w:sz w:val="22"/>
          <w:szCs w:val="22"/>
        </w:rPr>
      </w:pPr>
    </w:p>
    <w:p>
      <w:pPr>
        <w:pStyle w:val="Heading5"/>
        <w:tabs>
          <w:tab w:pos="1058" w:val="left" w:leader="none"/>
        </w:tabs>
        <w:spacing w:line="240" w:lineRule="auto" w:before="36"/>
        <w:ind w:left="36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3113"/>
        <w:gridCol w:w="1250"/>
        <w:gridCol w:w="1275"/>
        <w:gridCol w:w="2072"/>
        <w:gridCol w:w="1579"/>
      </w:tblGrid>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1"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-53.33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0.55</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9.14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5.09</w:t>
            </w:r>
            <w:r>
              <w:rPr>
                <w:rFonts w:ascii="宋体" w:hAnsi="宋体" w:cs="宋体" w:eastAsia="宋体" w:hint="default"/>
                <w:spacing w:val="-1"/>
                <w:sz w:val="21"/>
                <w:szCs w:val="21"/>
              </w:rPr>
              <w:t>个百分点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13.03</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5.15</w:t>
            </w:r>
            <w:r>
              <w:rPr>
                <w:rFonts w:ascii="宋体" w:hAnsi="宋体" w:cs="宋体" w:eastAsia="宋体" w:hint="default"/>
                <w:spacing w:val="-1"/>
                <w:sz w:val="21"/>
                <w:szCs w:val="21"/>
              </w:rPr>
              <w:t>个百分点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12.97</w:t>
            </w:r>
          </w:p>
        </w:tc>
      </w:tr>
    </w:tbl>
    <w:p>
      <w:pPr>
        <w:spacing w:line="240" w:lineRule="auto" w:before="7"/>
        <w:rPr>
          <w:rFonts w:ascii="宋体" w:hAnsi="宋体" w:cs="宋体" w:eastAsia="宋体" w:hint="default"/>
          <w:b/>
          <w:bCs/>
          <w:sz w:val="18"/>
          <w:szCs w:val="18"/>
        </w:rPr>
      </w:pPr>
    </w:p>
    <w:p>
      <w:pPr>
        <w:pStyle w:val="BodyText"/>
        <w:spacing w:line="274" w:lineRule="exact" w:before="36"/>
        <w:ind w:left="218" w:right="0"/>
        <w:jc w:val="left"/>
      </w:pPr>
      <w:r>
        <w:rPr/>
        <w:t>报告期末公司前三年主要会计数据和财务指标的说明</w:t>
      </w:r>
    </w:p>
    <w:p>
      <w:pPr>
        <w:pStyle w:val="BodyText"/>
        <w:spacing w:line="274" w:lineRule="exact"/>
        <w:ind w:left="218" w:right="0"/>
        <w:jc w:val="left"/>
      </w:pPr>
      <w:r>
        <w:rPr/>
        <w:t>√适用 □不适用</w:t>
      </w:r>
    </w:p>
    <w:p>
      <w:pPr>
        <w:spacing w:after="0" w:line="274" w:lineRule="exact"/>
        <w:jc w:val="left"/>
        <w:sectPr>
          <w:type w:val="continuous"/>
          <w:pgSz w:w="11910" w:h="16840"/>
          <w:pgMar w:top="1060" w:bottom="1380" w:left="1200" w:right="1180"/>
        </w:sectPr>
      </w:pPr>
    </w:p>
    <w:p>
      <w:pPr>
        <w:spacing w:line="240" w:lineRule="auto" w:before="8"/>
        <w:rPr>
          <w:rFonts w:ascii="宋体" w:hAnsi="宋体" w:cs="宋体" w:eastAsia="宋体" w:hint="default"/>
          <w:sz w:val="28"/>
          <w:szCs w:val="28"/>
        </w:rPr>
      </w:pPr>
    </w:p>
    <w:p>
      <w:pPr>
        <w:pStyle w:val="BodyText"/>
        <w:spacing w:line="357" w:lineRule="auto" w:before="36"/>
        <w:ind w:left="218" w:right="0"/>
        <w:jc w:val="left"/>
      </w:pPr>
      <w:r>
        <w:rPr>
          <w:spacing w:val="-4"/>
        </w:rPr>
        <w:t>净资产收益率和每股收益按照《公开发行证券的公司信息披露编报规则第</w:t>
      </w:r>
      <w:r>
        <w:rPr>
          <w:spacing w:val="-28"/>
        </w:rPr>
        <w:t> </w:t>
      </w:r>
      <w:r>
        <w:rPr>
          <w:rFonts w:ascii="宋体" w:hAnsi="宋体" w:cs="宋体" w:eastAsia="宋体" w:hint="default"/>
        </w:rPr>
        <w:t>9</w:t>
      </w:r>
      <w:r>
        <w:rPr>
          <w:rFonts w:ascii="宋体" w:hAnsi="宋体" w:cs="宋体" w:eastAsia="宋体" w:hint="default"/>
          <w:spacing w:val="-31"/>
        </w:rPr>
        <w:t> </w:t>
      </w:r>
      <w:r>
        <w:rPr/>
        <w:t>号</w:t>
      </w:r>
      <w:r>
        <w:rPr>
          <w:rFonts w:ascii="宋体" w:hAnsi="宋体" w:cs="宋体" w:eastAsia="宋体" w:hint="default"/>
        </w:rPr>
        <w:t>---</w:t>
      </w:r>
      <w:r>
        <w:rPr/>
        <w:t>净资产收益率和每</w:t>
      </w:r>
      <w:r>
        <w:rPr>
          <w:spacing w:val="-95"/>
        </w:rPr>
        <w:t> </w:t>
      </w:r>
      <w:r>
        <w:rPr>
          <w:spacing w:val="-95"/>
        </w:rPr>
      </w:r>
      <w:r>
        <w:rPr/>
        <w:t>股收益的计算及披露</w:t>
      </w:r>
      <w:r>
        <w:rPr>
          <w:spacing w:val="-2"/>
        </w:rPr>
        <w:t> </w:t>
      </w:r>
      <w:r>
        <w:rPr/>
        <w:t>》的规定计算。</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060" w:bottom="1380" w:left="1200" w:right="1180"/>
        </w:sectPr>
      </w:pPr>
    </w:p>
    <w:p>
      <w:pPr>
        <w:pStyle w:val="Heading5"/>
        <w:tabs>
          <w:tab w:pos="1058" w:val="left" w:leader="none"/>
        </w:tabs>
        <w:spacing w:line="240" w:lineRule="auto" w:before="36"/>
        <w:ind w:left="218" w:right="-5"/>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母公司的净资本及风险控制指标</w:t>
      </w:r>
      <w:r>
        <w:rPr>
          <w:b w:val="0"/>
          <w:bCs w:val="0"/>
          <w:spacing w:val="-1"/>
        </w:rPr>
      </w:r>
    </w:p>
    <w:p>
      <w:pPr>
        <w:pStyle w:val="BodyText"/>
        <w:tabs>
          <w:tab w:pos="1061" w:val="left" w:leader="none"/>
        </w:tabs>
        <w:spacing w:line="240" w:lineRule="auto" w:before="56"/>
        <w:ind w:left="218"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200" w:right="1180"/>
          <w:cols w:num="2" w:equalWidth="0">
            <w:col w:w="4011" w:space="2750"/>
            <w:col w:w="276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078"/>
        <w:gridCol w:w="2693"/>
        <w:gridCol w:w="2518"/>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本报告期末</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上年度末</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15,400,127,878.03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16,613,797,334.56</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18,758,638,667.00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19,755,776,608.86</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风险覆盖率</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350.51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293.70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r>
              <w:rPr>
                <w:rFonts w:ascii="宋体" w:hAnsi="宋体" w:cs="宋体" w:eastAsia="宋体" w:hint="default"/>
                <w:sz w:val="21"/>
                <w:szCs w:val="21"/>
              </w:rPr>
              <w:t>/</w:t>
            </w:r>
            <w:r>
              <w:rPr>
                <w:rFonts w:ascii="宋体" w:hAnsi="宋体" w:cs="宋体" w:eastAsia="宋体" w:hint="default"/>
                <w:sz w:val="21"/>
                <w:szCs w:val="21"/>
              </w:rPr>
              <w:t>净资产</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82.10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84.10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净资本</w:t>
            </w:r>
            <w:r>
              <w:rPr>
                <w:rFonts w:ascii="宋体" w:hAnsi="宋体" w:cs="宋体" w:eastAsia="宋体" w:hint="default"/>
                <w:sz w:val="21"/>
                <w:szCs w:val="21"/>
              </w:rPr>
              <w:t>/</w:t>
            </w:r>
            <w:r>
              <w:rPr>
                <w:rFonts w:ascii="宋体" w:hAnsi="宋体" w:cs="宋体" w:eastAsia="宋体" w:hint="default"/>
                <w:sz w:val="21"/>
                <w:szCs w:val="21"/>
              </w:rPr>
              <w:t>负债</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57.18</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66.44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w:t>
            </w:r>
            <w:r>
              <w:rPr>
                <w:rFonts w:ascii="宋体" w:hAnsi="宋体" w:cs="宋体" w:eastAsia="宋体" w:hint="default"/>
                <w:sz w:val="21"/>
                <w:szCs w:val="21"/>
              </w:rPr>
              <w:t>负债</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69.64</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79.01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资本杠杆率（</w:t>
            </w:r>
            <w:r>
              <w:rPr>
                <w:rFonts w:ascii="宋体" w:hAnsi="宋体" w:cs="宋体" w:eastAsia="宋体" w:hint="default"/>
                <w:sz w:val="21"/>
                <w:szCs w:val="21"/>
              </w:rPr>
              <w:t>%</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23.27</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31.45</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融资（含融券）的金额</w:t>
            </w:r>
            <w:r>
              <w:rPr>
                <w:rFonts w:ascii="宋体" w:hAnsi="宋体" w:cs="宋体" w:eastAsia="宋体" w:hint="default"/>
                <w:sz w:val="21"/>
                <w:szCs w:val="21"/>
              </w:rPr>
              <w:t>/</w:t>
            </w:r>
            <w:r>
              <w:rPr>
                <w:rFonts w:ascii="宋体" w:hAnsi="宋体" w:cs="宋体" w:eastAsia="宋体" w:hint="default"/>
                <w:sz w:val="21"/>
                <w:szCs w:val="21"/>
              </w:rPr>
              <w:t>净资本（</w:t>
            </w:r>
            <w:r>
              <w:rPr>
                <w:rFonts w:ascii="宋体" w:hAnsi="宋体" w:cs="宋体" w:eastAsia="宋体" w:hint="default"/>
                <w:sz w:val="21"/>
                <w:szCs w:val="21"/>
              </w:rPr>
              <w:t>%</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60.56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85.55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流动性覆盖率</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843.15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246.29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净稳定资金率</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141.31</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128.00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自营权益类证券及证券衍生品</w:t>
            </w:r>
            <w:r>
              <w:rPr>
                <w:rFonts w:ascii="宋体" w:hAnsi="宋体" w:cs="宋体" w:eastAsia="宋体" w:hint="default"/>
                <w:sz w:val="21"/>
                <w:szCs w:val="21"/>
              </w:rPr>
              <w:t>/</w:t>
            </w:r>
            <w:r>
              <w:rPr>
                <w:rFonts w:ascii="宋体" w:hAnsi="宋体" w:cs="宋体" w:eastAsia="宋体" w:hint="default"/>
                <w:sz w:val="21"/>
                <w:szCs w:val="21"/>
              </w:rPr>
              <w:t>净资本</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自营非权益类证券及其衍生品</w:t>
            </w:r>
            <w:r>
              <w:rPr>
                <w:rFonts w:ascii="宋体" w:hAnsi="宋体" w:cs="宋体" w:eastAsia="宋体" w:hint="default"/>
                <w:sz w:val="21"/>
                <w:szCs w:val="21"/>
              </w:rPr>
              <w:t>/</w:t>
            </w:r>
            <w:r>
              <w:rPr>
                <w:rFonts w:ascii="宋体" w:hAnsi="宋体" w:cs="宋体" w:eastAsia="宋体" w:hint="default"/>
                <w:sz w:val="21"/>
                <w:szCs w:val="21"/>
              </w:rPr>
              <w:t>净资本</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144.43</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218" w:right="0"/>
        <w:jc w:val="left"/>
        <w:rPr>
          <w:b w:val="0"/>
          <w:bCs w:val="0"/>
        </w:rPr>
      </w:pPr>
      <w:r>
        <w:rPr/>
        <w:t>九、</w:t>
      </w:r>
      <w:r>
        <w:rPr>
          <w:spacing w:val="-32"/>
        </w:rPr>
        <w:t> </w:t>
      </w:r>
      <w:r>
        <w:rPr/>
        <w:t>境内外会计准则下会计数据差异</w:t>
      </w:r>
      <w:r>
        <w:rPr>
          <w:b w:val="0"/>
          <w:bCs w:val="0"/>
        </w:rPr>
      </w:r>
    </w:p>
    <w:p>
      <w:pPr>
        <w:pStyle w:val="Heading5"/>
        <w:tabs>
          <w:tab w:pos="1058" w:val="left" w:leader="none"/>
        </w:tabs>
        <w:spacing w:line="272" w:lineRule="exact" w:before="87"/>
        <w:ind w:left="638" w:right="228" w:hanging="42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同时按照国际会计准则与按中国会计准则披露的财务报告中净利润和归属于上市公司股东</w:t>
      </w:r>
      <w:r>
        <w:rPr>
          <w:spacing w:val="-92"/>
        </w:rPr>
        <w:t> </w:t>
      </w:r>
      <w:r>
        <w:rPr/>
        <w:t>的净资产差异情况</w:t>
      </w:r>
      <w:r>
        <w:rPr>
          <w:b w:val="0"/>
          <w:bCs w:val="0"/>
        </w:rPr>
      </w:r>
    </w:p>
    <w:p>
      <w:pPr>
        <w:pStyle w:val="BodyText"/>
        <w:spacing w:line="240" w:lineRule="auto" w:before="34"/>
        <w:ind w:left="218" w:right="0"/>
        <w:jc w:val="left"/>
      </w:pPr>
      <w:r>
        <w:rPr/>
        <w:t>□适用 √不适用</w:t>
      </w:r>
    </w:p>
    <w:p>
      <w:pPr>
        <w:pStyle w:val="Heading5"/>
        <w:tabs>
          <w:tab w:pos="1058" w:val="left" w:leader="none"/>
        </w:tabs>
        <w:spacing w:line="240" w:lineRule="auto" w:before="56"/>
        <w:ind w:left="638" w:right="227" w:hanging="42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同时按照境外会计准则与按中国会计准则披露的财务报告中净利润和归属于上市公司股东</w:t>
      </w:r>
      <w:r>
        <w:rPr>
          <w:spacing w:val="-91"/>
        </w:rPr>
        <w:t> </w:t>
      </w:r>
      <w:r>
        <w:rPr>
          <w:spacing w:val="-91"/>
        </w:rPr>
      </w:r>
      <w:r>
        <w:rPr/>
        <w:t>的净资产差异情况</w:t>
      </w:r>
      <w:r>
        <w:rPr>
          <w:b w:val="0"/>
          <w:bCs w:val="0"/>
        </w:rPr>
      </w:r>
    </w:p>
    <w:p>
      <w:pPr>
        <w:pStyle w:val="BodyText"/>
        <w:spacing w:line="240" w:lineRule="auto" w:before="56"/>
        <w:ind w:left="218" w:right="0"/>
        <w:jc w:val="left"/>
      </w:pPr>
      <w:r>
        <w:rPr/>
        <w:t>□适用 √不适用</w:t>
      </w:r>
    </w:p>
    <w:p>
      <w:pPr>
        <w:pStyle w:val="Heading5"/>
        <w:tabs>
          <w:tab w:pos="1058" w:val="left" w:leader="none"/>
        </w:tabs>
        <w:spacing w:line="240" w:lineRule="auto" w:before="58"/>
        <w:ind w:left="21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境内外会计准则差异的说明：</w:t>
      </w:r>
      <w:r>
        <w:rPr>
          <w:b w:val="0"/>
          <w:bCs w:val="0"/>
        </w:rPr>
      </w:r>
    </w:p>
    <w:p>
      <w:pPr>
        <w:pStyle w:val="BodyText"/>
        <w:spacing w:line="240" w:lineRule="auto" w:before="56"/>
        <w:ind w:left="218" w:right="0"/>
        <w:jc w:val="left"/>
      </w:pPr>
      <w:r>
        <w:rPr/>
        <w:t>□适用 √不适用</w:t>
      </w:r>
    </w:p>
    <w:p>
      <w:pPr>
        <w:spacing w:line="240" w:lineRule="auto" w:before="5"/>
        <w:rPr>
          <w:rFonts w:ascii="宋体" w:hAnsi="宋体" w:cs="宋体" w:eastAsia="宋体" w:hint="default"/>
          <w:sz w:val="25"/>
          <w:szCs w:val="25"/>
        </w:rPr>
      </w:pPr>
    </w:p>
    <w:p>
      <w:pPr>
        <w:pStyle w:val="Heading5"/>
        <w:spacing w:line="240" w:lineRule="auto" w:before="36"/>
        <w:ind w:left="218" w:right="0"/>
        <w:jc w:val="left"/>
        <w:rPr>
          <w:b w:val="0"/>
          <w:bCs w:val="0"/>
        </w:rPr>
      </w:pPr>
      <w:r>
        <w:rPr/>
        <w:t>十、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2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83" w:type="dxa"/>
        <w:tblLayout w:type="fixed"/>
        <w:tblCellMar>
          <w:top w:w="0" w:type="dxa"/>
          <w:left w:w="0" w:type="dxa"/>
          <w:bottom w:w="0" w:type="dxa"/>
          <w:right w:w="0" w:type="dxa"/>
        </w:tblCellMar>
        <w:tblLook w:val="01E0"/>
      </w:tblPr>
      <w:tblGrid>
        <w:gridCol w:w="1843"/>
        <w:gridCol w:w="1719"/>
        <w:gridCol w:w="1824"/>
        <w:gridCol w:w="1846"/>
        <w:gridCol w:w="1700"/>
      </w:tblGrid>
      <w:tr>
        <w:trPr>
          <w:trHeight w:val="478"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24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931,077,636.23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883,065,039.76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532,921,062.73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820,934,631.60</w:t>
            </w:r>
          </w:p>
        </w:tc>
      </w:tr>
      <w:tr>
        <w:trPr>
          <w:trHeight w:val="47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359,276,790.64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225,229,981.75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88,290,740.44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146,038,553.68</w:t>
            </w:r>
          </w:p>
        </w:tc>
      </w:tr>
      <w:tr>
        <w:trPr>
          <w:trHeight w:val="7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的扣除非经常性损益 后的净利润</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357,216,580.57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214,870,833.56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86,454,489.93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134,347,562.03</w:t>
            </w:r>
          </w:p>
        </w:tc>
      </w:tr>
      <w:tr>
        <w:trPr>
          <w:trHeight w:val="47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3,448,266,154.64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-1,543,215,658.65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-3,408,575,762.71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3,866,140,460.76</w:t>
            </w:r>
          </w:p>
        </w:tc>
      </w:tr>
    </w:tbl>
    <w:p>
      <w:pPr>
        <w:spacing w:line="240" w:lineRule="auto" w:before="6"/>
        <w:rPr>
          <w:rFonts w:ascii="宋体" w:hAnsi="宋体" w:cs="宋体" w:eastAsia="宋体" w:hint="default"/>
          <w:sz w:val="18"/>
          <w:szCs w:val="18"/>
        </w:rPr>
      </w:pPr>
    </w:p>
    <w:p>
      <w:pPr>
        <w:pStyle w:val="BodyText"/>
        <w:spacing w:line="273" w:lineRule="exact" w:before="36"/>
        <w:ind w:left="218" w:right="0"/>
        <w:jc w:val="left"/>
      </w:pPr>
      <w:r>
        <w:rPr/>
        <w:t>季度数据与已披露定期报告数据差异说明</w:t>
      </w:r>
    </w:p>
    <w:p>
      <w:pPr>
        <w:pStyle w:val="BodyText"/>
        <w:spacing w:line="273" w:lineRule="exact"/>
        <w:ind w:left="218" w:right="0"/>
        <w:jc w:val="left"/>
      </w:pPr>
      <w:r>
        <w:rPr/>
        <w:t>□适用 √不适用</w:t>
      </w:r>
    </w:p>
    <w:p>
      <w:pPr>
        <w:spacing w:after="0" w:line="273" w:lineRule="exact"/>
        <w:jc w:val="left"/>
        <w:sectPr>
          <w:type w:val="continuous"/>
          <w:pgSz w:w="11910" w:h="16840"/>
          <w:pgMar w:top="1060" w:bottom="1380" w:left="1200" w:right="1180"/>
        </w:sect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6"/>
          <w:pgSz w:w="11910" w:h="16840"/>
          <w:pgMar w:footer="1195" w:header="880" w:top="1060" w:bottom="1380" w:left="1200" w:right="1180"/>
        </w:sectPr>
      </w:pPr>
    </w:p>
    <w:p>
      <w:pPr>
        <w:pStyle w:val="Heading5"/>
        <w:tabs>
          <w:tab w:pos="1058" w:val="left" w:leader="none"/>
        </w:tabs>
        <w:spacing w:line="240" w:lineRule="auto" w:before="36"/>
        <w:ind w:left="218" w:right="-7"/>
        <w:jc w:val="left"/>
        <w:rPr>
          <w:b w:val="0"/>
          <w:bCs w:val="0"/>
        </w:rPr>
      </w:pPr>
      <w:r>
        <w:rPr/>
        <w:t>十一、</w:t>
        <w:tab/>
      </w:r>
      <w:r>
        <w:rPr>
          <w:spacing w:val="-1"/>
        </w:rPr>
        <w:t>非经常性损益项目和金额</w:t>
      </w:r>
      <w:r>
        <w:rPr>
          <w:b w:val="0"/>
          <w:bCs w:val="0"/>
          <w:spacing w:val="-1"/>
        </w:rPr>
      </w:r>
    </w:p>
    <w:p>
      <w:pPr>
        <w:pStyle w:val="BodyText"/>
        <w:spacing w:line="240" w:lineRule="auto" w:before="58"/>
        <w:ind w:left="218"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5"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00" w:right="1180"/>
          <w:cols w:num="2" w:equalWidth="0">
            <w:col w:w="3380" w:space="3593"/>
            <w:col w:w="255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89"/>
        <w:gridCol w:w="1687"/>
        <w:gridCol w:w="1352"/>
        <w:gridCol w:w="1580"/>
        <w:gridCol w:w="1582"/>
      </w:tblGrid>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附注（如适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478"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2,832,087.52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主要是固定资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产处置收益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141,694.45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56,896.96</w:t>
            </w: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计入当期损益的政府补助，但与</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6"/>
                <w:sz w:val="21"/>
                <w:szCs w:val="21"/>
              </w:rPr>
              <w:t>公司正常经营业务密切相关，符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7"/>
                <w:sz w:val="21"/>
                <w:szCs w:val="21"/>
              </w:rPr>
              <w:t>合国家政策规定、按照一定标准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8"/>
                <w:sz w:val="21"/>
                <w:szCs w:val="21"/>
              </w:rPr>
              <w:t>定额或定量持续享受的政府补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助除外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31,864,973.63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pacing w:val="8"/>
                <w:sz w:val="18"/>
                <w:szCs w:val="18"/>
              </w:rPr>
              <w:t>主要是政府补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18,027,105.45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12,867,899.69</w:t>
            </w: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企业取得子公司、联营企业及合</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营企业的投资成本小于取得投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8"/>
                <w:sz w:val="21"/>
                <w:szCs w:val="21"/>
              </w:rPr>
              <w:t>资时应享有被投资单位可辨认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净资产公允价值产生的收益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同一控制下企业合并产生的子</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8"/>
                <w:sz w:val="21"/>
                <w:szCs w:val="21"/>
              </w:rPr>
              <w:t>公司期初至合并日的当期净损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除同公司正常经营业务相关的</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7"/>
                <w:sz w:val="21"/>
                <w:szCs w:val="21"/>
              </w:rPr>
              <w:t>有效套期保值业务外，持有交易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性金融资产、交易性金融负债产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生的公允价值变动损益，以及处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置交易性金融资产、交易性金融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sz w:val="21"/>
                <w:szCs w:val="21"/>
              </w:rPr>
              <w:t>负债和可供出售金融资产取得</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的投资收益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8"/>
                <w:sz w:val="21"/>
                <w:szCs w:val="21"/>
              </w:rPr>
              <w:t>单独进行减值测试的应收款项</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减值准备转回</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9,655,100.00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8"/>
                <w:sz w:val="18"/>
                <w:szCs w:val="18"/>
              </w:rPr>
              <w:t>主要是收到已</w:t>
            </w:r>
          </w:p>
          <w:p>
            <w:pPr>
              <w:pStyle w:val="TableParagraph"/>
              <w:spacing w:line="232" w:lineRule="exact" w:before="23"/>
              <w:ind w:left="100" w:right="102"/>
              <w:jc w:val="both"/>
              <w:rPr>
                <w:rFonts w:ascii="宋体" w:hAnsi="宋体" w:cs="宋体" w:eastAsia="宋体" w:hint="default"/>
                <w:sz w:val="18"/>
                <w:szCs w:val="18"/>
              </w:rPr>
            </w:pPr>
            <w:r>
              <w:rPr>
                <w:rFonts w:ascii="宋体" w:hAnsi="宋体" w:cs="宋体" w:eastAsia="宋体" w:hint="default"/>
                <w:spacing w:val="8"/>
                <w:sz w:val="18"/>
                <w:szCs w:val="18"/>
              </w:rPr>
              <w:t>单独计提坏账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准备的应收款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的还款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1,114,050.00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371,350.00</w:t>
            </w:r>
          </w:p>
        </w:tc>
      </w:tr>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采用公允价值模式进行后续计</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量的投资性房地产公允价值变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动产生的损益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0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089"/>
        <w:gridCol w:w="1687"/>
        <w:gridCol w:w="1352"/>
        <w:gridCol w:w="1580"/>
        <w:gridCol w:w="1582"/>
      </w:tblGrid>
      <w:tr>
        <w:trPr>
          <w:trHeight w:val="828"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要求对当期损益进行一次性调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整对当期损益的影响</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-14,290,521.82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0" w:right="102"/>
              <w:jc w:val="left"/>
              <w:rPr>
                <w:rFonts w:ascii="宋体" w:hAnsi="宋体" w:cs="宋体" w:eastAsia="宋体" w:hint="default"/>
                <w:sz w:val="18"/>
                <w:szCs w:val="18"/>
              </w:rPr>
            </w:pPr>
            <w:r>
              <w:rPr>
                <w:rFonts w:ascii="宋体" w:hAnsi="宋体" w:cs="宋体" w:eastAsia="宋体" w:hint="default"/>
                <w:spacing w:val="8"/>
                <w:sz w:val="18"/>
                <w:szCs w:val="18"/>
              </w:rPr>
              <w:t>主要是对外捐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-2,597,730.64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-2,305,217.01</w:t>
            </w:r>
          </w:p>
        </w:tc>
      </w:tr>
      <w:tr>
        <w:trPr>
          <w:trHeight w:val="710"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102"/>
              <w:jc w:val="left"/>
              <w:rPr>
                <w:rFonts w:ascii="宋体" w:hAnsi="宋体" w:cs="宋体" w:eastAsia="宋体" w:hint="default"/>
                <w:sz w:val="21"/>
                <w:szCs w:val="21"/>
              </w:rPr>
            </w:pPr>
            <w:r>
              <w:rPr>
                <w:rFonts w:ascii="宋体" w:hAnsi="宋体" w:cs="宋体" w:eastAsia="宋体" w:hint="default"/>
                <w:spacing w:val="8"/>
                <w:sz w:val="21"/>
                <w:szCs w:val="21"/>
              </w:rPr>
              <w:t>其他符合非经常性损益定义的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损益项目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13" w:right="0"/>
              <w:jc w:val="center"/>
              <w:rPr>
                <w:rFonts w:ascii="宋体" w:hAnsi="宋体" w:cs="宋体" w:eastAsia="宋体" w:hint="default"/>
                <w:sz w:val="21"/>
                <w:szCs w:val="21"/>
              </w:rPr>
            </w:pPr>
            <w:r>
              <w:rPr>
                <w:rFonts w:ascii="宋体"/>
                <w:sz w:val="21"/>
              </w:rPr>
              <w:t>1,340,782.57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主要是收到已</w:t>
            </w:r>
          </w:p>
          <w:p>
            <w:pPr>
              <w:pStyle w:val="TableParagraph"/>
              <w:spacing w:line="232" w:lineRule="exact" w:before="23"/>
              <w:ind w:left="100" w:right="102"/>
              <w:jc w:val="left"/>
              <w:rPr>
                <w:rFonts w:ascii="宋体" w:hAnsi="宋体" w:cs="宋体" w:eastAsia="宋体" w:hint="default"/>
                <w:sz w:val="18"/>
                <w:szCs w:val="18"/>
              </w:rPr>
            </w:pPr>
            <w:r>
              <w:rPr>
                <w:rFonts w:ascii="宋体" w:hAnsi="宋体" w:cs="宋体" w:eastAsia="宋体" w:hint="default"/>
                <w:spacing w:val="8"/>
                <w:sz w:val="18"/>
                <w:szCs w:val="18"/>
              </w:rPr>
              <w:t>核销债权的还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2,062,742.42</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-5,455,821.48</w:t>
            </w: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-4,911,406.58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-2,902,617.86</w:t>
            </w: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25,946,600.42</w:t>
            </w:r>
          </w:p>
        </w:tc>
        <w:tc>
          <w:tcPr>
            <w:tcW w:w="13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13,836,455.10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8,088,311.78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7"/>
          <w:pgSz w:w="11910" w:h="16840"/>
          <w:pgMar w:footer="1195" w:header="880" w:top="1060" w:bottom="1380" w:left="1200" w:right="1180"/>
          <w:pgNumType w:start="21"/>
        </w:sectPr>
      </w:pPr>
    </w:p>
    <w:p>
      <w:pPr>
        <w:pStyle w:val="Heading5"/>
        <w:tabs>
          <w:tab w:pos="1058" w:val="left" w:leader="none"/>
        </w:tabs>
        <w:spacing w:line="240" w:lineRule="auto" w:before="36"/>
        <w:ind w:left="218" w:right="-7"/>
        <w:jc w:val="left"/>
        <w:rPr>
          <w:b w:val="0"/>
          <w:bCs w:val="0"/>
        </w:rPr>
      </w:pPr>
      <w:r>
        <w:rPr/>
        <w:t>十二、</w:t>
        <w:tab/>
      </w:r>
      <w:r>
        <w:rPr>
          <w:spacing w:val="-1"/>
        </w:rPr>
        <w:t>采用公允价值计量的项目</w:t>
      </w:r>
      <w:r>
        <w:rPr>
          <w:b w:val="0"/>
          <w:bCs w:val="0"/>
          <w:spacing w:val="-1"/>
        </w:rPr>
      </w:r>
    </w:p>
    <w:p>
      <w:pPr>
        <w:pStyle w:val="BodyText"/>
        <w:spacing w:line="240" w:lineRule="auto" w:before="58"/>
        <w:ind w:left="218"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200" w:right="1180"/>
          <w:cols w:num="2" w:equalWidth="0">
            <w:col w:w="3380" w:space="3382"/>
            <w:col w:w="276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51"/>
        <w:gridCol w:w="1745"/>
        <w:gridCol w:w="1748"/>
        <w:gridCol w:w="1745"/>
        <w:gridCol w:w="2000"/>
      </w:tblGrid>
      <w:tr>
        <w:trPr>
          <w:trHeight w:val="47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0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08" w:right="0"/>
              <w:jc w:val="left"/>
              <w:rPr>
                <w:rFonts w:ascii="宋体" w:hAnsi="宋体" w:cs="宋体" w:eastAsia="宋体" w:hint="default"/>
                <w:sz w:val="18"/>
                <w:szCs w:val="18"/>
              </w:rPr>
            </w:pPr>
            <w:r>
              <w:rPr>
                <w:rFonts w:ascii="宋体" w:hAnsi="宋体" w:cs="宋体" w:eastAsia="宋体" w:hint="default"/>
                <w:sz w:val="18"/>
                <w:szCs w:val="18"/>
              </w:rPr>
              <w:t>当期变动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对当期利润的影响金</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以公允价值计量且其</w:t>
            </w:r>
            <w:r>
              <w:rPr>
                <w:rFonts w:ascii="宋体" w:hAnsi="宋体" w:cs="宋体" w:eastAsia="宋体" w:hint="default"/>
                <w:sz w:val="18"/>
                <w:szCs w:val="18"/>
              </w:rPr>
            </w:r>
          </w:p>
          <w:p>
            <w:pPr>
              <w:pStyle w:val="TableParagraph"/>
              <w:spacing w:line="232" w:lineRule="exact" w:before="23"/>
              <w:ind w:left="103" w:right="86"/>
              <w:jc w:val="left"/>
              <w:rPr>
                <w:rFonts w:ascii="宋体" w:hAnsi="宋体" w:cs="宋体" w:eastAsia="宋体" w:hint="default"/>
                <w:sz w:val="18"/>
                <w:szCs w:val="18"/>
              </w:rPr>
            </w:pPr>
            <w:r>
              <w:rPr>
                <w:rFonts w:ascii="宋体" w:hAnsi="宋体" w:cs="宋体" w:eastAsia="宋体" w:hint="default"/>
                <w:spacing w:val="14"/>
                <w:sz w:val="18"/>
                <w:szCs w:val="18"/>
              </w:rPr>
              <w:t>变动计入当期损益的 </w:t>
            </w:r>
            <w:r>
              <w:rPr>
                <w:rFonts w:ascii="宋体" w:hAnsi="宋体" w:cs="宋体" w:eastAsia="宋体" w:hint="default"/>
                <w:sz w:val="18"/>
                <w:szCs w:val="18"/>
              </w:rPr>
              <w:t>金融资产</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10,432,974,324.90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9,316,812,002.71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-1,116,162,322.19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-116,096,996.59</w:t>
            </w: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12,454,231,229.11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15,247,396,444.01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2,793,165,214.90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990,901,566.25</w:t>
            </w:r>
          </w:p>
        </w:tc>
      </w:tr>
      <w:tr>
        <w:trPr>
          <w:trHeight w:val="24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-23,679,146.49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112,507,827.16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136,186,973.65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160,633,635.56</w:t>
            </w:r>
          </w:p>
        </w:tc>
      </w:tr>
      <w:tr>
        <w:trPr>
          <w:trHeight w:val="24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22,863,526,407.52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24,676,716,273.88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1,813,189,866.36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1,035,438,205.22</w:t>
            </w:r>
          </w:p>
        </w:tc>
      </w:tr>
    </w:tbl>
    <w:p>
      <w:pPr>
        <w:pStyle w:val="BodyText"/>
        <w:spacing w:line="241" w:lineRule="exact"/>
        <w:ind w:left="218" w:right="0"/>
        <w:jc w:val="left"/>
      </w:pPr>
      <w:r>
        <w:rPr/>
        <w:t>注：对当期利润的影响金额包括：（</w:t>
      </w:r>
      <w:r>
        <w:rPr>
          <w:rFonts w:ascii="宋体" w:hAnsi="宋体" w:cs="宋体" w:eastAsia="宋体" w:hint="default"/>
        </w:rPr>
        <w:t>1</w:t>
      </w:r>
      <w:r>
        <w:rPr/>
        <w:t>）持有处置上述项目取得的投资收益；（</w:t>
      </w:r>
      <w:r>
        <w:rPr>
          <w:rFonts w:ascii="宋体" w:hAnsi="宋体" w:cs="宋体" w:eastAsia="宋体" w:hint="default"/>
        </w:rPr>
        <w:t>2</w:t>
      </w:r>
      <w:r>
        <w:rPr/>
        <w:t>）除可供出售金融</w:t>
      </w:r>
    </w:p>
    <w:p>
      <w:pPr>
        <w:pStyle w:val="BodyText"/>
        <w:spacing w:line="355" w:lineRule="auto" w:before="133"/>
        <w:ind w:left="218" w:right="0"/>
        <w:jc w:val="left"/>
      </w:pPr>
      <w:r>
        <w:rPr>
          <w:spacing w:val="-3"/>
        </w:rPr>
        <w:t>资产外的其他项目发生的公允价值变动损益；（</w:t>
      </w:r>
      <w:r>
        <w:rPr>
          <w:rFonts w:ascii="宋体" w:hAnsi="宋体" w:cs="宋体" w:eastAsia="宋体" w:hint="default"/>
          <w:spacing w:val="-3"/>
        </w:rPr>
        <w:t>3</w:t>
      </w:r>
      <w:r>
        <w:rPr>
          <w:spacing w:val="-3"/>
        </w:rPr>
        <w:t>）可供出售金融资产发生的减值损失。且上述对当</w:t>
      </w:r>
      <w:r>
        <w:rPr>
          <w:spacing w:val="-44"/>
        </w:rPr>
        <w:t> </w:t>
      </w:r>
      <w:r>
        <w:rPr>
          <w:spacing w:val="-44"/>
        </w:rPr>
      </w:r>
      <w:r>
        <w:rPr/>
        <w:t>期利润影响金额均为企业所得税前发生额。</w:t>
      </w:r>
    </w:p>
    <w:p>
      <w:pPr>
        <w:pStyle w:val="Heading5"/>
        <w:tabs>
          <w:tab w:pos="1058" w:val="left" w:leader="none"/>
        </w:tabs>
        <w:spacing w:line="240" w:lineRule="auto" w:before="92"/>
        <w:ind w:left="218" w:right="0"/>
        <w:jc w:val="left"/>
        <w:rPr>
          <w:b w:val="0"/>
          <w:bCs w:val="0"/>
        </w:rPr>
      </w:pPr>
      <w:r>
        <w:rPr/>
        <w:t>十三、</w:t>
        <w:tab/>
        <w:t>其他</w:t>
      </w:r>
      <w:r>
        <w:rPr>
          <w:b w:val="0"/>
          <w:bCs w:val="0"/>
        </w:rPr>
      </w:r>
    </w:p>
    <w:p>
      <w:pPr>
        <w:pStyle w:val="BodyText"/>
        <w:spacing w:line="273" w:lineRule="exact" w:before="58"/>
        <w:ind w:left="218" w:right="0"/>
        <w:jc w:val="left"/>
      </w:pPr>
      <w:r>
        <w:rPr/>
        <w:t>√适用 □不适用</w:t>
      </w:r>
    </w:p>
    <w:p>
      <w:pPr>
        <w:pStyle w:val="BodyText"/>
        <w:spacing w:line="357" w:lineRule="auto"/>
        <w:ind w:left="218" w:right="0" w:firstLine="420"/>
        <w:jc w:val="left"/>
      </w:pPr>
      <w:r>
        <w:rPr>
          <w:spacing w:val="-2"/>
        </w:rPr>
        <w:t>按《证券公司年度报告内容与格式准则》</w:t>
      </w:r>
      <w:r>
        <w:rPr>
          <w:rFonts w:ascii="宋体" w:hAnsi="宋体" w:cs="宋体" w:eastAsia="宋体" w:hint="default"/>
          <w:spacing w:val="-2"/>
        </w:rPr>
        <w:t>(</w:t>
      </w:r>
      <w:r>
        <w:rPr>
          <w:spacing w:val="-2"/>
        </w:rPr>
        <w:t>中国证监会公告〔</w:t>
      </w:r>
      <w:r>
        <w:rPr>
          <w:rFonts w:ascii="宋体" w:hAnsi="宋体" w:cs="宋体" w:eastAsia="宋体" w:hint="default"/>
          <w:spacing w:val="-2"/>
        </w:rPr>
        <w:t>2013</w:t>
      </w:r>
      <w:r>
        <w:rPr>
          <w:spacing w:val="-2"/>
        </w:rPr>
        <w:t>〕</w:t>
      </w:r>
      <w:r>
        <w:rPr>
          <w:rFonts w:ascii="宋体" w:hAnsi="宋体" w:cs="宋体" w:eastAsia="宋体" w:hint="default"/>
          <w:spacing w:val="-2"/>
        </w:rPr>
        <w:t>41</w:t>
      </w:r>
      <w:r>
        <w:rPr>
          <w:rFonts w:ascii="宋体" w:hAnsi="宋体" w:cs="宋体" w:eastAsia="宋体" w:hint="default"/>
          <w:spacing w:val="-6"/>
        </w:rPr>
        <w:t> </w:t>
      </w:r>
      <w:r>
        <w:rPr>
          <w:spacing w:val="-2"/>
        </w:rPr>
        <w:t>号</w:t>
      </w:r>
      <w:r>
        <w:rPr>
          <w:rFonts w:ascii="宋体" w:hAnsi="宋体" w:cs="宋体" w:eastAsia="宋体" w:hint="default"/>
          <w:spacing w:val="-2"/>
        </w:rPr>
        <w:t>)</w:t>
      </w:r>
      <w:r>
        <w:rPr>
          <w:spacing w:val="-2"/>
        </w:rPr>
        <w:t>要求，披露合并财务</w:t>
      </w:r>
      <w:r>
        <w:rPr>
          <w:w w:val="100"/>
        </w:rPr>
        <w:t> </w:t>
      </w:r>
      <w:r>
        <w:rPr/>
        <w:t>报表和母公司财务报表主要项目的会计数据，具体内容如下：</w:t>
      </w:r>
    </w:p>
    <w:p>
      <w:pPr>
        <w:pStyle w:val="BodyText"/>
        <w:spacing w:line="240" w:lineRule="auto" w:before="30"/>
        <w:ind w:left="638" w:right="0"/>
        <w:jc w:val="left"/>
      </w:pPr>
      <w:r>
        <w:rPr>
          <w:rFonts w:ascii="宋体" w:hAnsi="宋体" w:cs="宋体" w:eastAsia="宋体" w:hint="default"/>
        </w:rPr>
        <w:t>1. </w:t>
      </w:r>
      <w:r>
        <w:rPr/>
        <w:t>合并财务报表主要项目会计数据</w:t>
      </w:r>
    </w:p>
    <w:p>
      <w:pPr>
        <w:pStyle w:val="Heading4"/>
        <w:spacing w:line="240" w:lineRule="auto" w:before="129"/>
        <w:ind w:right="230"/>
        <w:jc w:val="right"/>
      </w:pPr>
      <w:r>
        <w:rPr>
          <w:spacing w:val="-1"/>
        </w:rPr>
        <w:t>单位：元币种：人民币</w:t>
      </w:r>
    </w:p>
    <w:p>
      <w:pPr>
        <w:spacing w:line="240" w:lineRule="auto" w:before="10"/>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710"/>
        <w:gridCol w:w="2549"/>
        <w:gridCol w:w="2413"/>
        <w:gridCol w:w="1416"/>
      </w:tblGrid>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0" w:right="0"/>
              <w:jc w:val="left"/>
              <w:rPr>
                <w:rFonts w:ascii="宋体" w:hAnsi="宋体" w:cs="宋体" w:eastAsia="宋体" w:hint="default"/>
                <w:sz w:val="18"/>
                <w:szCs w:val="18"/>
              </w:rPr>
            </w:pPr>
            <w:r>
              <w:rPr>
                <w:rFonts w:ascii="宋体" w:hAnsi="宋体" w:cs="宋体" w:eastAsia="宋体" w:hint="default"/>
                <w:sz w:val="18"/>
                <w:szCs w:val="18"/>
              </w:rPr>
              <w:t>增减幅度</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10,100,665,001.46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10,401,348,355.39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-2.89%</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2,361,676,115.53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2,381,489,952.70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-0.83%</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6,647,103,033.35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10,669,002,273.49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-37.70%</w:t>
            </w:r>
          </w:p>
        </w:tc>
      </w:tr>
      <w:tr>
        <w:trPr>
          <w:trHeight w:val="59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615"/>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9,316,812,002.71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宋体" w:hAnsi="宋体" w:cs="宋体" w:eastAsia="宋体" w:hint="default"/>
                <w:sz w:val="18"/>
                <w:szCs w:val="18"/>
              </w:rPr>
            </w:pPr>
            <w:r>
              <w:rPr>
                <w:rFonts w:ascii="宋体"/>
                <w:spacing w:val="-1"/>
                <w:sz w:val="18"/>
              </w:rPr>
              <w:t>10,432,974,324.90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-10.70%</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118,144,595.38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6,114,246.68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1832.28%</w:t>
            </w:r>
          </w:p>
        </w:tc>
      </w:tr>
      <w:tr>
        <w:trPr>
          <w:trHeight w:val="2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6,618,311,785.55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4"/>
              <w:jc w:val="right"/>
              <w:rPr>
                <w:rFonts w:ascii="宋体" w:hAnsi="宋体" w:cs="宋体" w:eastAsia="宋体" w:hint="default"/>
                <w:sz w:val="18"/>
                <w:szCs w:val="18"/>
              </w:rPr>
            </w:pPr>
            <w:r>
              <w:rPr>
                <w:rFonts w:ascii="宋体"/>
                <w:spacing w:val="-1"/>
                <w:sz w:val="18"/>
              </w:rPr>
              <w:t>6,303,405,943.06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5.00%</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805,376,154.38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194,589,453.80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313.88%</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403,555,482.49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417,883,115.84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-3.43%</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214,540,696.58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105,444,269.48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103.46%</w:t>
            </w:r>
          </w:p>
        </w:tc>
      </w:tr>
    </w:tbl>
    <w:p>
      <w:pPr>
        <w:spacing w:after="0" w:line="240" w:lineRule="auto"/>
        <w:jc w:val="right"/>
        <w:rPr>
          <w:rFonts w:ascii="宋体" w:hAnsi="宋体" w:cs="宋体" w:eastAsia="宋体" w:hint="default"/>
          <w:sz w:val="18"/>
          <w:szCs w:val="18"/>
        </w:rPr>
        <w:sectPr>
          <w:type w:val="continuous"/>
          <w:pgSz w:w="11910" w:h="16840"/>
          <w:pgMar w:top="1060" w:bottom="138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710"/>
        <w:gridCol w:w="2549"/>
        <w:gridCol w:w="2413"/>
        <w:gridCol w:w="1416"/>
      </w:tblGrid>
      <w:tr>
        <w:trPr>
          <w:trHeight w:val="348"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15,719,014,095.41</w:t>
            </w:r>
          </w:p>
        </w:tc>
        <w:tc>
          <w:tcPr>
            <w:tcW w:w="24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12,771,116,027.62</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23.08%</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5,059,131,751.59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2,826,934,542.17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78.96%</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24,970,801.71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26,715,490.71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-6.53%</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83,597,635.43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83,941,316.68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-0.41%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108,085,415.90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57,998,371.31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86.36%</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335,870,613.45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353,611,579.18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-5.02%</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520,178,832.26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297,538,021.65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74.83%</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257,770,199.61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370,489,848.30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-30.42%</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682,997,900.00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543,335,000.00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25.70%</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3,054,930,000.00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7,829,410,000.00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-60.98%</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800,000,000.00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8,915,088.22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28,490,712.97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-68.71%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4,377,137,976.97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3,652,007,791.64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19.86%</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10,315,016,994.36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10,224,604,136.29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0.88%</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1,381,685,743.21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1,350,881,597.60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2.28%</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82,977,391.71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202,142,813.35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-58.95%</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455,279,931.43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-100.00%</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573,394,010.88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347,643,272.32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64.94%</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17,167,971,679.17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10,892,642,370.99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57.61%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30,438,345.63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214,725,100.49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-85.82%</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543,159,016.36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348,158,686.21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56.01%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3,589,000,000.00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3,589,000,000.00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500,000,000.00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500,000,000.00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8,266,130,824.98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8,266,130,824.98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-535,769,004.12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738,930,368.21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-172.51%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776,640,490.41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706,149,987.73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9.98%</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2,165,197,712.14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1,888,927,333.84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14.63%</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4,904,147,761.14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5,101,093,725.61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-3.86%</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10,832,281.73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21,043,479.30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-48.52%</w:t>
            </w:r>
          </w:p>
        </w:tc>
      </w:tr>
    </w:tbl>
    <w:p>
      <w:pPr>
        <w:spacing w:line="240" w:lineRule="auto" w:before="7"/>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2710"/>
        <w:gridCol w:w="2549"/>
        <w:gridCol w:w="2413"/>
        <w:gridCol w:w="1416"/>
      </w:tblGrid>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5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0" w:right="0"/>
              <w:jc w:val="left"/>
              <w:rPr>
                <w:rFonts w:ascii="宋体" w:hAnsi="宋体" w:cs="宋体" w:eastAsia="宋体" w:hint="default"/>
                <w:sz w:val="18"/>
                <w:szCs w:val="18"/>
              </w:rPr>
            </w:pPr>
            <w:r>
              <w:rPr>
                <w:rFonts w:ascii="宋体" w:hAnsi="宋体" w:cs="宋体" w:eastAsia="宋体" w:hint="default"/>
                <w:sz w:val="18"/>
                <w:szCs w:val="18"/>
              </w:rPr>
              <w:t>增减幅度</w:t>
            </w:r>
          </w:p>
        </w:tc>
      </w:tr>
      <w:tr>
        <w:trPr>
          <w:trHeight w:val="31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1,490,413,035.34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1,782,364,648.83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-16.38%</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133,731,909.93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
                <w:sz w:val="18"/>
              </w:rPr>
              <w:t>262,447,086.80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-49.04%</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1,489,741,526.40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2,035,207,475.65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-26.80%</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31,864,973.63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23,360,206.15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36.41%</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8,435,768.73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-95,005,568.73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2,150,112.73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-777,464.44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8,814,720.98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9,270,380.48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-4.92%</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pacing w:val="-1"/>
                <w:sz w:val="18"/>
              </w:rPr>
              <w:t>2,846,322.58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17,360,021.65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20,013,564.53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-13.26%</w:t>
            </w:r>
          </w:p>
        </w:tc>
      </w:tr>
    </w:tbl>
    <w:p>
      <w:pPr>
        <w:spacing w:after="0" w:line="240" w:lineRule="auto"/>
        <w:jc w:val="right"/>
        <w:rPr>
          <w:rFonts w:ascii="宋体" w:hAnsi="宋体" w:cs="宋体" w:eastAsia="宋体" w:hint="default"/>
          <w:sz w:val="18"/>
          <w:szCs w:val="18"/>
        </w:rPr>
        <w:sectPr>
          <w:pgSz w:w="11910" w:h="16840"/>
          <w:pgMar w:header="880" w:footer="1195" w:top="1060" w:bottom="13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710"/>
        <w:gridCol w:w="2549"/>
        <w:gridCol w:w="2413"/>
        <w:gridCol w:w="1416"/>
      </w:tblGrid>
      <w:tr>
        <w:trPr>
          <w:trHeight w:val="305" w:hRule="exact"/>
        </w:trPr>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业务及管理费</w:t>
            </w:r>
          </w:p>
        </w:tc>
        <w:tc>
          <w:tcPr>
            <w:tcW w:w="25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2,054,894,092.60</w:t>
            </w:r>
          </w:p>
        </w:tc>
        <w:tc>
          <w:tcPr>
            <w:tcW w:w="24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2,082,227,452.54</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-1.31%</w:t>
            </w:r>
          </w:p>
        </w:tc>
      </w:tr>
      <w:tr>
        <w:trPr>
          <w:trHeight w:val="31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208,550,201.73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95,094,540.29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119.31%</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1,824,006.97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
                <w:sz w:val="18"/>
              </w:rPr>
              <w:t>1,797,075.63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1.50%</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683,844.21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1,980,726.59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-65.48%</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14,989,344.77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9,772,182.76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53.39%</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871,064,546.81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1,809,942,675.58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-51.87%</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58,020,164.64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333,130,705.53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-82.58%</w:t>
            </w:r>
          </w:p>
        </w:tc>
      </w:tr>
      <w:tr>
        <w:trPr>
          <w:trHeight w:val="31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813,044,382.17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1,476,811,970.05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-44.95%</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-1,270,475,130.01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
                <w:sz w:val="18"/>
              </w:rPr>
              <w:t>107,557,712.87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1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-457,430,747.84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1,584,369,682.92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Times New Roman" w:hAnsi="Times New Roman" w:cs="Times New Roman" w:eastAsia="Times New Roman" w:hint="default"/>
          <w:sz w:val="17"/>
          <w:szCs w:val="17"/>
        </w:rPr>
      </w:pPr>
    </w:p>
    <w:p>
      <w:pPr>
        <w:pStyle w:val="Heading4"/>
        <w:spacing w:line="286" w:lineRule="exact" w:before="32"/>
        <w:ind w:left="558" w:right="0"/>
        <w:jc w:val="left"/>
      </w:pPr>
      <w:r>
        <w:rPr>
          <w:rFonts w:ascii="宋体" w:hAnsi="宋体" w:cs="宋体" w:eastAsia="宋体" w:hint="default"/>
          <w:sz w:val="21"/>
          <w:szCs w:val="21"/>
        </w:rPr>
        <w:t>2.</w:t>
      </w:r>
      <w:r>
        <w:rPr/>
        <w:t>母公司财务报表主要项目会计数据</w:t>
      </w:r>
    </w:p>
    <w:p>
      <w:pPr>
        <w:pStyle w:val="Heading4"/>
        <w:spacing w:line="286" w:lineRule="exact"/>
        <w:ind w:right="520"/>
        <w:jc w:val="right"/>
      </w:pPr>
      <w:r>
        <w:rPr/>
        <w:t>单位：元</w:t>
      </w:r>
      <w:r>
        <w:rPr>
          <w:spacing w:val="3"/>
        </w:rPr>
        <w:t> </w:t>
      </w:r>
      <w:r>
        <w:rPr/>
        <w:t>币种：人民币</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22"/>
        <w:gridCol w:w="2400"/>
        <w:gridCol w:w="2401"/>
        <w:gridCol w:w="1706"/>
      </w:tblGrid>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7" w:right="0"/>
              <w:jc w:val="left"/>
              <w:rPr>
                <w:rFonts w:ascii="宋体" w:hAnsi="宋体" w:cs="宋体" w:eastAsia="宋体" w:hint="default"/>
                <w:sz w:val="18"/>
                <w:szCs w:val="18"/>
              </w:rPr>
            </w:pPr>
            <w:r>
              <w:rPr>
                <w:rFonts w:ascii="宋体" w:hAnsi="宋体" w:cs="宋体" w:eastAsia="宋体" w:hint="default"/>
                <w:sz w:val="18"/>
                <w:szCs w:val="18"/>
              </w:rPr>
              <w:t>增减幅度</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8,815,624,549.22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9,328,692,694.29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-5.50%</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2,360,390,114.47</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2,381,217,598.40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-0.87%</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6,090,620,401.36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10,311,369,007.04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-40.93%</w:t>
            </w:r>
          </w:p>
        </w:tc>
      </w:tr>
      <w:tr>
        <w:trPr>
          <w:trHeight w:val="624"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03" w:right="627"/>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pacing w:val="-1"/>
                <w:sz w:val="18"/>
              </w:rPr>
              <w:t>6,760,404,898.12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pacing w:val="-1"/>
                <w:sz w:val="18"/>
              </w:rPr>
              <w:t>7,522,128,669.03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-10.13%</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116,794,595.38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6,114,246.68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1810.20%</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6,180,600,543.41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5,871,342,755.29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z w:val="18"/>
              </w:rPr>
              <w:t>5.27%</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547,377,493.34</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7,311,887.27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7386.13%</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344,967,612.93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349,171,752.50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-1.20%</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160,267,382.48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91,717,432.28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74.74%</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16,586,850,362.92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13,640,221,099.85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21.60%</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6,308,694,209.46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3,883,754,113.46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62.44%</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24,970,801.71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26,715,490.71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-6.53%</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80,539,113.75</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79,526,845.23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1.27%</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107,237,428.05</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57,998,371.31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84.90%</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320,933,401.91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337,790,412.67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-4.99%</w:t>
            </w:r>
          </w:p>
        </w:tc>
      </w:tr>
      <w:tr>
        <w:trPr>
          <w:trHeight w:val="35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394,167,682.00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238,210,644.40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65.47%</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551,477,764.76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633,828,806.34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-12.99%</w:t>
            </w:r>
          </w:p>
        </w:tc>
      </w:tr>
      <w:tr>
        <w:trPr>
          <w:trHeight w:val="326"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3,054,930,000.00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7,829,410,000.00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-60.98%</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800,000,000.00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800,000,000.00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0.00%</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4,641,115.22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28,490,712.97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-83.71%</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3,793,332,000.00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3,087,530,038.37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22.86%</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10,058,570,686.17</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10,006,352,500.69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0.52%</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975,237,597.78</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900,285,360.69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8.33%</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56,803,837.51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160,675,730.17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-64.65%</w:t>
            </w:r>
          </w:p>
        </w:tc>
      </w:tr>
      <w:tr>
        <w:trPr>
          <w:trHeight w:val="35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400"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455,279,931.43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宋体" w:hAnsi="宋体" w:cs="宋体" w:eastAsia="宋体" w:hint="default"/>
                <w:sz w:val="18"/>
                <w:szCs w:val="18"/>
              </w:rPr>
            </w:pPr>
            <w:r>
              <w:rPr>
                <w:rFonts w:ascii="宋体"/>
                <w:spacing w:val="-1"/>
                <w:sz w:val="18"/>
              </w:rPr>
              <w:t>-100.00%</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570,660,594.79</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344,741,754.16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65.53%</w:t>
            </w:r>
          </w:p>
        </w:tc>
      </w:tr>
    </w:tbl>
    <w:p>
      <w:pPr>
        <w:spacing w:after="0" w:line="240" w:lineRule="auto"/>
        <w:jc w:val="right"/>
        <w:rPr>
          <w:rFonts w:ascii="宋体" w:hAnsi="宋体" w:cs="宋体" w:eastAsia="宋体" w:hint="default"/>
          <w:sz w:val="18"/>
          <w:szCs w:val="18"/>
        </w:rPr>
        <w:sectPr>
          <w:pgSz w:w="11910" w:h="16840"/>
          <w:pgMar w:header="880" w:footer="1195" w:top="1060" w:bottom="1380" w:left="128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400"/>
        <w:gridCol w:w="2401"/>
        <w:gridCol w:w="1706"/>
      </w:tblGrid>
      <w:tr>
        <w:trPr>
          <w:trHeight w:val="348" w:hRule="exact"/>
        </w:trPr>
        <w:tc>
          <w:tcPr>
            <w:tcW w:w="2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17,167,971,679.17</w:t>
            </w:r>
          </w:p>
        </w:tc>
        <w:tc>
          <w:tcPr>
            <w:tcW w:w="24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10,892,642,370.99</w:t>
            </w:r>
          </w:p>
        </w:tc>
        <w:tc>
          <w:tcPr>
            <w:tcW w:w="17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57.61%</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30,236,571.53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209,714,215.63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-85.58%</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480,895,606.10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296,212,602.79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62.35%</w:t>
            </w:r>
          </w:p>
        </w:tc>
      </w:tr>
      <w:tr>
        <w:trPr>
          <w:trHeight w:val="478"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3,589,000,000.00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3,589,000,000.00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78"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500,000,000.00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500,000,000.00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75"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8,454,225,796.66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8,454,225,796.66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-242,828,018.79</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726,111,524.62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-133.44%</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776,640,490.41</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706,149,987.73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9.98%</w:t>
            </w:r>
          </w:p>
        </w:tc>
      </w:tr>
      <w:tr>
        <w:trPr>
          <w:trHeight w:val="35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1,923,970,136.70</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1,789,397,358.87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z w:val="18"/>
              </w:rPr>
              <w:t>7.52%</w:t>
            </w:r>
          </w:p>
        </w:tc>
      </w:tr>
      <w:tr>
        <w:trPr>
          <w:trHeight w:val="35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3,757,630,262.02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3,990,891,940.98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-5.84%</w:t>
            </w:r>
          </w:p>
        </w:tc>
      </w:tr>
    </w:tbl>
    <w:p>
      <w:pPr>
        <w:spacing w:line="240" w:lineRule="auto" w:before="12"/>
        <w:rPr>
          <w:rFonts w:ascii="宋体" w:hAnsi="宋体" w:cs="宋体" w:eastAsia="宋体"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2710"/>
        <w:gridCol w:w="2549"/>
        <w:gridCol w:w="2413"/>
        <w:gridCol w:w="1524"/>
      </w:tblGrid>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3" w:right="0"/>
              <w:jc w:val="left"/>
              <w:rPr>
                <w:rFonts w:ascii="宋体" w:hAnsi="宋体" w:cs="宋体" w:eastAsia="宋体" w:hint="default"/>
                <w:sz w:val="18"/>
                <w:szCs w:val="18"/>
              </w:rPr>
            </w:pPr>
            <w:r>
              <w:rPr>
                <w:rFonts w:ascii="宋体" w:hAnsi="宋体" w:cs="宋体" w:eastAsia="宋体" w:hint="default"/>
                <w:sz w:val="18"/>
                <w:szCs w:val="18"/>
              </w:rPr>
              <w:t>增减幅度</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886,698,218.47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1,153,005,137.83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-23.10%</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90,648,017.29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270,000,564.10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-66.43%</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1,240,329,979.64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1,875,200,502.94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-33.86%</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9,527,577.49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10,420,470.86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-8.57%</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-3,451,413.29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-72,461,889.43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2,241,453.67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-2,701,788.94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9,663,777.58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10,119,437.08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-4.50%</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2,830,353.78</w:t>
            </w:r>
          </w:p>
        </w:tc>
        <w:tc>
          <w:tcPr>
            <w:tcW w:w="24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13,587,692.13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16,812,329.11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-19.18%</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业务及管理费</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1,423,985,677.72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1,494,409,520.65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-4.71%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112,646,475.79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96,171,027.26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
                <w:sz w:val="18"/>
              </w:rPr>
              <w:t>17.13%</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1,824,006.97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1,797,075.63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1.50%</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631,506.00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1,907,520.12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-66.89%</w:t>
            </w:r>
          </w:p>
        </w:tc>
      </w:tr>
      <w:tr>
        <w:trPr>
          <w:trHeight w:val="38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14,735,155.99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spacing w:val="-1"/>
                <w:sz w:val="18"/>
              </w:rPr>
              <w:t>7,372,514.18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99.87%</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672,340,462.03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1,628,927,487.73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-58.72%</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31,517,710.48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253,429,356.16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8"/>
                <w:szCs w:val="18"/>
              </w:rPr>
            </w:pPr>
            <w:r>
              <w:rPr>
                <w:rFonts w:ascii="宋体"/>
                <w:sz w:val="18"/>
              </w:rPr>
              <w:t>-87.56%</w:t>
            </w:r>
          </w:p>
        </w:tc>
      </w:tr>
      <w:tr>
        <w:trPr>
          <w:trHeight w:val="350"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640,822,751.55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1,375,498,131.57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-53.41%</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-968,939,543.41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4,673,674.40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-328,116,791.86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1,380,171,805.97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1"/>
        <w:tabs>
          <w:tab w:pos="1259" w:val="left" w:leader="none"/>
        </w:tabs>
        <w:spacing w:line="240" w:lineRule="auto" w:before="14"/>
        <w:ind w:right="113"/>
        <w:jc w:val="center"/>
        <w:rPr>
          <w:b w:val="0"/>
          <w:bCs w:val="0"/>
        </w:rPr>
      </w:pPr>
      <w:bookmarkStart w:name="_TOC_250010"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5"/>
        <w:spacing w:line="240" w:lineRule="auto"/>
        <w:ind w:left="0" w:right="3277"/>
        <w:jc w:val="center"/>
        <w:rPr>
          <w:b w:val="0"/>
          <w:bCs w:val="0"/>
        </w:rPr>
      </w:pPr>
      <w:r>
        <w:rPr/>
        <w:t>一、报告期内公司所从事的主要业务、经营模式及行业情况说明</w:t>
      </w:r>
      <w:r>
        <w:rPr>
          <w:b w:val="0"/>
          <w:bCs w:val="0"/>
        </w:rPr>
      </w:r>
    </w:p>
    <w:p>
      <w:pPr>
        <w:spacing w:line="240" w:lineRule="auto" w:before="1"/>
        <w:rPr>
          <w:rFonts w:ascii="宋体" w:hAnsi="宋体" w:cs="宋体" w:eastAsia="宋体" w:hint="default"/>
          <w:b/>
          <w:bCs/>
          <w:sz w:val="18"/>
          <w:szCs w:val="18"/>
        </w:rPr>
      </w:pPr>
    </w:p>
    <w:p>
      <w:pPr>
        <w:pStyle w:val="Heading5"/>
        <w:spacing w:line="240" w:lineRule="auto"/>
        <w:ind w:left="0" w:right="3424"/>
        <w:jc w:val="center"/>
        <w:rPr>
          <w:b w:val="0"/>
          <w:bCs w:val="0"/>
        </w:rPr>
      </w:pPr>
      <w:r>
        <w:rPr/>
        <w:t>（一）报告期内公司所从事的主要业务及经营模式</w:t>
      </w:r>
      <w:r>
        <w:rPr>
          <w:b w:val="0"/>
          <w:bCs w:val="0"/>
        </w:rPr>
      </w:r>
    </w:p>
    <w:p>
      <w:pPr>
        <w:spacing w:after="0" w:line="240" w:lineRule="auto"/>
        <w:jc w:val="center"/>
        <w:sectPr>
          <w:pgSz w:w="11910" w:h="16840"/>
          <w:pgMar w:header="880" w:footer="1195" w:top="1060" w:bottom="1380" w:left="1280" w:right="1160"/>
        </w:sectPr>
      </w:pPr>
    </w:p>
    <w:p>
      <w:pPr>
        <w:spacing w:line="240" w:lineRule="auto" w:before="8"/>
        <w:rPr>
          <w:rFonts w:ascii="宋体" w:hAnsi="宋体" w:cs="宋体" w:eastAsia="宋体" w:hint="default"/>
          <w:b/>
          <w:bCs/>
          <w:sz w:val="28"/>
          <w:szCs w:val="28"/>
        </w:rPr>
      </w:pPr>
    </w:p>
    <w:p>
      <w:pPr>
        <w:pStyle w:val="BodyText"/>
        <w:spacing w:line="357" w:lineRule="auto" w:before="36"/>
        <w:ind w:right="207" w:firstLine="561"/>
        <w:jc w:val="both"/>
      </w:pPr>
      <w:r>
        <w:rPr>
          <w:spacing w:val="-4"/>
          <w:w w:val="100"/>
        </w:rPr>
        <w:t>公司致力于成为一家国内一流的现代金融控股集团和具有区域优势特色的综合金融服务商，为</w:t>
      </w:r>
      <w:r>
        <w:rPr>
          <w:w w:val="100"/>
        </w:rPr>
        <w:t> </w:t>
      </w:r>
      <w:r>
        <w:rPr>
          <w:spacing w:val="-2"/>
        </w:rPr>
        <w:t>境内外客户提供全面的金融产品与服务。公司所从事的主要业务分别是证券经纪业务、投资银行业</w:t>
      </w:r>
      <w:r>
        <w:rPr>
          <w:spacing w:val="-25"/>
        </w:rPr>
        <w:t> </w:t>
      </w:r>
      <w:r>
        <w:rPr>
          <w:spacing w:val="-25"/>
        </w:rPr>
      </w:r>
      <w:r>
        <w:rPr/>
        <w:t>务、资产管理业务、自营证券业务、证券信用业务、期货业务、境外证券业务、基金业务等。</w:t>
      </w:r>
    </w:p>
    <w:p>
      <w:pPr>
        <w:pStyle w:val="BodyText"/>
        <w:spacing w:line="355" w:lineRule="auto" w:before="30"/>
        <w:ind w:right="264" w:firstLine="561"/>
        <w:jc w:val="both"/>
      </w:pPr>
      <w:r>
        <w:rPr>
          <w:spacing w:val="-2"/>
        </w:rPr>
        <w:t>证券经纪业务是通过线下和线上相结合的方式为客户提供证券经纪及期货</w:t>
      </w:r>
      <w:r>
        <w:rPr>
          <w:spacing w:val="2"/>
        </w:rPr>
        <w:t> </w:t>
      </w:r>
      <w:r>
        <w:rPr>
          <w:rFonts w:ascii="宋体" w:hAnsi="宋体" w:cs="宋体" w:eastAsia="宋体" w:hint="default"/>
          <w:spacing w:val="-2"/>
        </w:rPr>
        <w:t>IB</w:t>
      </w:r>
      <w:r>
        <w:rPr>
          <w:spacing w:val="-2"/>
        </w:rPr>
        <w:t>、产品销售、投</w:t>
      </w:r>
      <w:r>
        <w:rPr>
          <w:w w:val="100"/>
        </w:rPr>
        <w:t> </w:t>
      </w:r>
      <w:r>
        <w:rPr/>
        <w:t>资顾问等一揽子财富管理服务。</w:t>
      </w:r>
    </w:p>
    <w:p>
      <w:pPr>
        <w:pStyle w:val="BodyText"/>
        <w:spacing w:line="357" w:lineRule="auto" w:before="32"/>
        <w:ind w:right="207" w:firstLine="561"/>
        <w:jc w:val="both"/>
      </w:pPr>
      <w:r>
        <w:rPr>
          <w:spacing w:val="-4"/>
        </w:rPr>
        <w:t>投资银行业务是运用股权融资、债权融资、新三板、并购、财务顾问等多种手段为企业和政府</w:t>
      </w:r>
      <w:r>
        <w:rPr>
          <w:w w:val="100"/>
        </w:rPr>
        <w:t> </w:t>
      </w:r>
      <w:r>
        <w:rPr/>
        <w:t>客户提供直接融资服务</w:t>
      </w:r>
      <w:r>
        <w:rPr>
          <w:rFonts w:ascii="宋体" w:hAnsi="宋体" w:cs="宋体" w:eastAsia="宋体" w:hint="default"/>
        </w:rPr>
        <w:t>,</w:t>
      </w:r>
      <w:r>
        <w:rPr/>
        <w:t>主要包括证券承销与保荐业务、新三板业务及财务顾问业务等。</w:t>
      </w:r>
    </w:p>
    <w:p>
      <w:pPr>
        <w:pStyle w:val="BodyText"/>
        <w:spacing w:line="357" w:lineRule="auto" w:before="30"/>
        <w:ind w:right="207" w:firstLine="561"/>
        <w:jc w:val="both"/>
      </w:pPr>
      <w:r>
        <w:rPr>
          <w:spacing w:val="-4"/>
        </w:rPr>
        <w:t>资产管理业务是通过集合计划、专项计划、定向计划以及公募基金为机构和个人客户提供券商</w:t>
      </w:r>
      <w:r>
        <w:rPr>
          <w:w w:val="100"/>
        </w:rPr>
        <w:t> </w:t>
      </w:r>
      <w:r>
        <w:rPr/>
        <w:t>资产管理服务。</w:t>
      </w:r>
    </w:p>
    <w:p>
      <w:pPr>
        <w:pStyle w:val="BodyText"/>
        <w:spacing w:line="357" w:lineRule="auto" w:before="30"/>
        <w:ind w:right="0" w:firstLine="561"/>
        <w:jc w:val="left"/>
      </w:pPr>
      <w:r>
        <w:rPr>
          <w:spacing w:val="-2"/>
        </w:rPr>
        <w:t>证券自营业务是指公司投资管理部和固定收益部以自有资金在价值投资、稳健经营的前提下，</w:t>
      </w:r>
      <w:r>
        <w:rPr>
          <w:w w:val="100"/>
        </w:rPr>
        <w:t> </w:t>
      </w:r>
      <w:r>
        <w:rPr/>
        <w:t>从事股票、债券、衍生品、股权、另类等多种自营证券、交易和做市业务。</w:t>
      </w:r>
    </w:p>
    <w:p>
      <w:pPr>
        <w:pStyle w:val="BodyText"/>
        <w:spacing w:line="357" w:lineRule="auto" w:before="30"/>
        <w:ind w:left="700" w:right="0"/>
        <w:jc w:val="left"/>
      </w:pPr>
      <w:r>
        <w:rPr/>
        <w:t>证券信用业务是为客户提供融资融券、股票质押式回购、约定式购回等资金融通服务。</w:t>
      </w:r>
      <w:r>
        <w:rPr>
          <w:w w:val="100"/>
        </w:rPr>
        <w:t> </w:t>
      </w:r>
      <w:r>
        <w:rPr/>
        <w:t>期货业务是为客户提供期货经纪、财富管理、资产管理、风险管理等服务。</w:t>
      </w:r>
      <w:r>
        <w:rPr>
          <w:w w:val="100"/>
        </w:rPr>
        <w:t> </w:t>
      </w:r>
      <w:r>
        <w:rPr/>
        <w:t>境外证券业务是为境内外客户提供跨境投资、融资、理财等综合服务。</w:t>
      </w:r>
      <w:r>
        <w:rPr>
          <w:w w:val="100"/>
        </w:rPr>
        <w:t> </w:t>
      </w:r>
      <w:r>
        <w:rPr/>
        <w:t>基金业务是为机构和个人客户提供公募产品、专户产品等资产管理服务。</w:t>
      </w:r>
      <w:r>
        <w:rPr>
          <w:w w:val="100"/>
        </w:rPr>
        <w:t> </w:t>
      </w:r>
      <w:r>
        <w:rPr>
          <w:spacing w:val="-4"/>
          <w:w w:val="100"/>
        </w:rPr>
        <w:t>公司业务主要围绕上述主营业务展开，通过提供综合金融产品和服务获取各类手续费及佣金收</w:t>
      </w:r>
    </w:p>
    <w:p>
      <w:pPr>
        <w:pStyle w:val="BodyText"/>
        <w:spacing w:line="240" w:lineRule="auto" w:before="30"/>
        <w:ind w:right="0"/>
        <w:jc w:val="both"/>
      </w:pPr>
      <w:r>
        <w:rPr/>
        <w:t>入、利息收入及投资收益等。</w:t>
      </w:r>
    </w:p>
    <w:p>
      <w:pPr>
        <w:pStyle w:val="Heading5"/>
        <w:spacing w:line="240" w:lineRule="auto" w:before="133"/>
        <w:ind w:left="700" w:right="0"/>
        <w:jc w:val="left"/>
        <w:rPr>
          <w:b w:val="0"/>
          <w:bCs w:val="0"/>
        </w:rPr>
      </w:pPr>
      <w:r>
        <w:rPr/>
        <w:t>（二）报告期内公司所属行业的情况说明</w:t>
      </w:r>
      <w:r>
        <w:rPr>
          <w:b w:val="0"/>
          <w:bCs w:val="0"/>
        </w:rPr>
      </w:r>
    </w:p>
    <w:p>
      <w:pPr>
        <w:pStyle w:val="BodyText"/>
        <w:spacing w:line="357" w:lineRule="auto" w:before="133"/>
        <w:ind w:right="248" w:firstLine="561"/>
        <w:jc w:val="both"/>
      </w:pPr>
      <w:r>
        <w:rPr>
          <w:rFonts w:ascii="宋体" w:hAnsi="宋体" w:cs="宋体" w:eastAsia="宋体" w:hint="default"/>
        </w:rPr>
        <w:t>2018</w:t>
      </w:r>
      <w:r>
        <w:rPr>
          <w:rFonts w:ascii="宋体" w:hAnsi="宋体" w:cs="宋体" w:eastAsia="宋体" w:hint="default"/>
          <w:spacing w:val="-57"/>
        </w:rPr>
        <w:t> </w:t>
      </w:r>
      <w:r>
        <w:rPr/>
        <w:t>年，证券行业持续低迷，风险事件频发；与此同时，资本市场推出一系列新政策与新举</w:t>
      </w:r>
      <w:r>
        <w:rPr>
          <w:w w:val="100"/>
        </w:rPr>
        <w:t> </w:t>
      </w:r>
      <w:r>
        <w:rPr>
          <w:spacing w:val="-2"/>
        </w:rPr>
        <w:t>措，也给行业发展注入了信心和动力。例如，科创板试点注册制、并购重组审批优化、再融资业务</w:t>
      </w:r>
      <w:r>
        <w:rPr>
          <w:spacing w:val="-25"/>
        </w:rPr>
        <w:t> </w:t>
      </w:r>
      <w:r>
        <w:rPr>
          <w:spacing w:val="-25"/>
        </w:rPr>
      </w:r>
      <w:r>
        <w:rPr>
          <w:spacing w:val="-2"/>
        </w:rPr>
        <w:t>松绑，将为券商带来新机遇；股指期货交易放松，利好券商期货经纪、自营、场外期权业务；金融</w:t>
      </w:r>
      <w:r>
        <w:rPr>
          <w:spacing w:val="-26"/>
        </w:rPr>
        <w:t> </w:t>
      </w:r>
      <w:r>
        <w:rPr>
          <w:spacing w:val="-26"/>
        </w:rPr>
      </w:r>
      <w:r>
        <w:rPr/>
        <w:t>业对外开放进程加快推进，纾困步入落地阶段，有效化解股票质押风险。</w:t>
      </w:r>
    </w:p>
    <w:p>
      <w:pPr>
        <w:pStyle w:val="BodyText"/>
        <w:spacing w:line="357" w:lineRule="auto" w:before="30"/>
        <w:ind w:right="209" w:firstLine="561"/>
        <w:jc w:val="both"/>
      </w:pPr>
      <w:r>
        <w:rPr>
          <w:rFonts w:ascii="宋体" w:hAnsi="宋体" w:cs="宋体" w:eastAsia="宋体" w:hint="default"/>
        </w:rPr>
        <w:t>2018</w:t>
      </w:r>
      <w:r>
        <w:rPr>
          <w:rFonts w:ascii="宋体" w:hAnsi="宋体" w:cs="宋体" w:eastAsia="宋体" w:hint="default"/>
          <w:spacing w:val="-43"/>
        </w:rPr>
        <w:t> </w:t>
      </w:r>
      <w:r>
        <w:rPr>
          <w:spacing w:val="-9"/>
        </w:rPr>
        <w:t>年，</w:t>
      </w:r>
      <w:r>
        <w:rPr>
          <w:rFonts w:ascii="宋体" w:hAnsi="宋体" w:cs="宋体" w:eastAsia="宋体" w:hint="default"/>
          <w:spacing w:val="-9"/>
        </w:rPr>
        <w:t>A</w:t>
      </w:r>
      <w:r>
        <w:rPr>
          <w:rFonts w:ascii="宋体" w:hAnsi="宋体" w:cs="宋体" w:eastAsia="宋体" w:hint="default"/>
          <w:spacing w:val="-40"/>
        </w:rPr>
        <w:t> </w:t>
      </w:r>
      <w:r>
        <w:rPr>
          <w:spacing w:val="-3"/>
        </w:rPr>
        <w:t>股市场振荡下行，上证综指全年下跌</w:t>
      </w:r>
      <w:r>
        <w:rPr>
          <w:spacing w:val="-43"/>
        </w:rPr>
        <w:t> </w:t>
      </w:r>
      <w:r>
        <w:rPr>
          <w:rFonts w:ascii="宋体" w:hAnsi="宋体" w:cs="宋体" w:eastAsia="宋体" w:hint="default"/>
          <w:spacing w:val="-4"/>
        </w:rPr>
        <w:t>24.59%</w:t>
      </w:r>
      <w:r>
        <w:rPr>
          <w:spacing w:val="-4"/>
        </w:rPr>
        <w:t>；股权融资规模持续萎缩，</w:t>
      </w:r>
      <w:r>
        <w:rPr>
          <w:rFonts w:ascii="宋体" w:hAnsi="宋体" w:cs="宋体" w:eastAsia="宋体" w:hint="default"/>
          <w:spacing w:val="-4"/>
        </w:rPr>
        <w:t>IPO</w:t>
      </w:r>
      <w:r>
        <w:rPr>
          <w:rFonts w:ascii="宋体" w:hAnsi="宋体" w:cs="宋体" w:eastAsia="宋体" w:hint="default"/>
          <w:spacing w:val="-43"/>
        </w:rPr>
        <w:t> </w:t>
      </w:r>
      <w:r>
        <w:rPr/>
        <w:t>发审节</w:t>
      </w:r>
      <w:r>
        <w:rPr>
          <w:w w:val="100"/>
        </w:rPr>
        <w:t> </w:t>
      </w:r>
      <w:r>
        <w:rPr>
          <w:spacing w:val="-2"/>
        </w:rPr>
        <w:t>奏放缓、过会率下降，再融资规模大幅下滑。信用债与资产证券化产品发行量同比显著增长，债券</w:t>
      </w:r>
      <w:r>
        <w:rPr>
          <w:spacing w:val="-25"/>
        </w:rPr>
        <w:t> </w:t>
      </w:r>
      <w:r>
        <w:rPr>
          <w:spacing w:val="-25"/>
        </w:rPr>
      </w:r>
      <w:r>
        <w:rPr>
          <w:spacing w:val="-2"/>
        </w:rPr>
        <w:t>二级市场迎来单边上涨行情，中债综合财富指数全年上涨超</w:t>
      </w:r>
      <w:r>
        <w:rPr>
          <w:spacing w:val="-1"/>
        </w:rPr>
        <w:t> </w:t>
      </w:r>
      <w:r>
        <w:rPr>
          <w:rFonts w:ascii="宋体" w:hAnsi="宋体" w:cs="宋体" w:eastAsia="宋体" w:hint="default"/>
          <w:spacing w:val="-1"/>
        </w:rPr>
        <w:t>8%</w:t>
      </w:r>
      <w:r>
        <w:rPr>
          <w:spacing w:val="-1"/>
        </w:rPr>
        <w:t>。</w:t>
      </w:r>
    </w:p>
    <w:p>
      <w:pPr>
        <w:pStyle w:val="BodyText"/>
        <w:spacing w:line="355" w:lineRule="auto" w:before="30"/>
        <w:ind w:right="214" w:firstLine="420"/>
        <w:jc w:val="both"/>
      </w:pPr>
      <w:r>
        <w:rPr/>
        <w:t>报告期内，证券行业实现营业收入人民币</w:t>
      </w:r>
      <w:r>
        <w:rPr>
          <w:spacing w:val="-55"/>
        </w:rPr>
        <w:t> </w:t>
      </w:r>
      <w:r>
        <w:rPr>
          <w:rFonts w:ascii="宋体" w:hAnsi="宋体" w:cs="宋体" w:eastAsia="宋体" w:hint="default"/>
        </w:rPr>
        <w:t>2,662.87</w:t>
      </w:r>
      <w:r>
        <w:rPr>
          <w:rFonts w:ascii="宋体" w:hAnsi="宋体" w:cs="宋体" w:eastAsia="宋体" w:hint="default"/>
          <w:spacing w:val="-57"/>
        </w:rPr>
        <w:t> </w:t>
      </w:r>
      <w:r>
        <w:rPr/>
        <w:t>亿元，较上年同期下降</w:t>
      </w:r>
      <w:r>
        <w:rPr>
          <w:spacing w:val="-55"/>
        </w:rPr>
        <w:t> </w:t>
      </w:r>
      <w:r>
        <w:rPr>
          <w:rFonts w:ascii="宋体" w:hAnsi="宋体" w:cs="宋体" w:eastAsia="宋体" w:hint="default"/>
        </w:rPr>
        <w:t>14.47%</w:t>
      </w:r>
      <w:r>
        <w:rPr/>
        <w:t>；实现净利</w:t>
      </w:r>
      <w:r>
        <w:rPr>
          <w:w w:val="100"/>
        </w:rPr>
        <w:t> </w:t>
      </w:r>
      <w:r>
        <w:rPr/>
        <w:t>润人民币</w:t>
      </w:r>
      <w:r>
        <w:rPr>
          <w:spacing w:val="-55"/>
        </w:rPr>
        <w:t> </w:t>
      </w:r>
      <w:r>
        <w:rPr>
          <w:rFonts w:ascii="宋体" w:hAnsi="宋体" w:cs="宋体" w:eastAsia="宋体" w:hint="default"/>
        </w:rPr>
        <w:t>666.20</w:t>
      </w:r>
      <w:r>
        <w:rPr>
          <w:rFonts w:ascii="宋体" w:hAnsi="宋体" w:cs="宋体" w:eastAsia="宋体" w:hint="default"/>
          <w:spacing w:val="-55"/>
        </w:rPr>
        <w:t> </w:t>
      </w:r>
      <w:r>
        <w:rPr/>
        <w:t>亿元，较上年同期下降</w:t>
      </w:r>
      <w:r>
        <w:rPr>
          <w:spacing w:val="-55"/>
        </w:rPr>
        <w:t> </w:t>
      </w:r>
      <w:r>
        <w:rPr>
          <w:rFonts w:ascii="宋体" w:hAnsi="宋体" w:cs="宋体" w:eastAsia="宋体" w:hint="default"/>
        </w:rPr>
        <w:t>41.04%</w:t>
      </w:r>
      <w:r>
        <w:rPr/>
        <w:t>。营业收入方面，证券行业实现代理买卖证券业务</w:t>
      </w:r>
      <w:r>
        <w:rPr>
          <w:w w:val="100"/>
        </w:rPr>
        <w:t> </w:t>
      </w:r>
      <w:r>
        <w:rPr/>
        <w:t>净收入（含席位租赁收入）人民币</w:t>
      </w:r>
      <w:r>
        <w:rPr>
          <w:spacing w:val="-55"/>
        </w:rPr>
        <w:t> </w:t>
      </w:r>
      <w:r>
        <w:rPr>
          <w:rFonts w:ascii="宋体" w:hAnsi="宋体" w:cs="宋体" w:eastAsia="宋体" w:hint="default"/>
        </w:rPr>
        <w:t>623.42</w:t>
      </w:r>
      <w:r>
        <w:rPr>
          <w:rFonts w:ascii="宋体" w:hAnsi="宋体" w:cs="宋体" w:eastAsia="宋体" w:hint="default"/>
          <w:spacing w:val="-55"/>
        </w:rPr>
        <w:t> </w:t>
      </w:r>
      <w:r>
        <w:rPr/>
        <w:t>亿元，同比减少</w:t>
      </w:r>
      <w:r>
        <w:rPr>
          <w:spacing w:val="-55"/>
        </w:rPr>
        <w:t> </w:t>
      </w:r>
      <w:r>
        <w:rPr>
          <w:rFonts w:ascii="宋体" w:hAnsi="宋体" w:cs="宋体" w:eastAsia="宋体" w:hint="default"/>
        </w:rPr>
        <w:t>24.06%</w:t>
      </w:r>
      <w:r>
        <w:rPr/>
        <w:t>；证券承销与保荐业务净收入人</w:t>
      </w:r>
      <w:r>
        <w:rPr>
          <w:w w:val="100"/>
        </w:rPr>
        <w:t> </w:t>
      </w:r>
      <w:r>
        <w:rPr/>
        <w:t>民币</w:t>
      </w:r>
      <w:r>
        <w:rPr>
          <w:spacing w:val="-59"/>
        </w:rPr>
        <w:t> </w:t>
      </w:r>
      <w:r>
        <w:rPr>
          <w:rFonts w:ascii="宋体" w:hAnsi="宋体" w:cs="宋体" w:eastAsia="宋体" w:hint="default"/>
        </w:rPr>
        <w:t>258.46</w:t>
      </w:r>
      <w:r>
        <w:rPr>
          <w:rFonts w:ascii="宋体" w:hAnsi="宋体" w:cs="宋体" w:eastAsia="宋体" w:hint="default"/>
          <w:spacing w:val="-59"/>
        </w:rPr>
        <w:t> </w:t>
      </w:r>
      <w:r>
        <w:rPr/>
        <w:t>亿元，财务顾问业务净收入人民币</w:t>
      </w:r>
      <w:r>
        <w:rPr>
          <w:spacing w:val="-59"/>
        </w:rPr>
        <w:t> </w:t>
      </w:r>
      <w:r>
        <w:rPr>
          <w:rFonts w:ascii="宋体" w:hAnsi="宋体" w:cs="宋体" w:eastAsia="宋体" w:hint="default"/>
        </w:rPr>
        <w:t>111.50</w:t>
      </w:r>
      <w:r>
        <w:rPr>
          <w:rFonts w:ascii="宋体" w:hAnsi="宋体" w:cs="宋体" w:eastAsia="宋体" w:hint="default"/>
          <w:spacing w:val="-58"/>
        </w:rPr>
        <w:t> </w:t>
      </w:r>
      <w:r>
        <w:rPr/>
        <w:t>亿元，同比分别减少</w:t>
      </w:r>
      <w:r>
        <w:rPr>
          <w:spacing w:val="-61"/>
        </w:rPr>
        <w:t> </w:t>
      </w:r>
      <w:r>
        <w:rPr>
          <w:rFonts w:ascii="宋体" w:hAnsi="宋体" w:cs="宋体" w:eastAsia="宋体" w:hint="default"/>
        </w:rPr>
        <w:t>32.73%</w:t>
      </w:r>
      <w:r>
        <w:rPr/>
        <w:t>、</w:t>
      </w:r>
      <w:r>
        <w:rPr>
          <w:rFonts w:ascii="宋体" w:hAnsi="宋体" w:cs="宋体" w:eastAsia="宋体" w:hint="default"/>
        </w:rPr>
        <w:t>11.06%</w:t>
      </w:r>
      <w:r>
        <w:rPr/>
        <w:t>；证券</w:t>
      </w:r>
    </w:p>
    <w:p>
      <w:pPr>
        <w:pStyle w:val="BodyText"/>
        <w:spacing w:line="355" w:lineRule="auto" w:before="34"/>
        <w:ind w:right="209"/>
        <w:jc w:val="both"/>
      </w:pPr>
      <w:r>
        <w:rPr>
          <w:spacing w:val="-15"/>
          <w:w w:val="100"/>
        </w:rPr>
        <w:t>投资收益（含公允价值变动）人民币</w:t>
      </w:r>
      <w:r>
        <w:rPr>
          <w:spacing w:val="-69"/>
          <w:w w:val="100"/>
        </w:rPr>
        <w:t> </w:t>
      </w:r>
      <w:r>
        <w:rPr>
          <w:rFonts w:ascii="宋体" w:hAnsi="宋体" w:cs="宋体" w:eastAsia="宋体" w:hint="default"/>
          <w:spacing w:val="-1"/>
          <w:w w:val="100"/>
        </w:rPr>
        <w:t>800.27</w:t>
      </w:r>
      <w:r>
        <w:rPr>
          <w:rFonts w:ascii="宋体" w:hAnsi="宋体" w:cs="宋体" w:eastAsia="宋体" w:hint="default"/>
          <w:spacing w:val="-67"/>
          <w:w w:val="100"/>
        </w:rPr>
        <w:t> </w:t>
      </w:r>
      <w:r>
        <w:rPr>
          <w:spacing w:val="-17"/>
          <w:w w:val="100"/>
        </w:rPr>
        <w:t>亿元，同比减少</w:t>
      </w:r>
      <w:r>
        <w:rPr>
          <w:spacing w:val="-66"/>
          <w:w w:val="100"/>
        </w:rPr>
        <w:t> </w:t>
      </w:r>
      <w:r>
        <w:rPr>
          <w:rFonts w:ascii="宋体" w:hAnsi="宋体" w:cs="宋体" w:eastAsia="宋体" w:hint="default"/>
          <w:spacing w:val="-7"/>
          <w:w w:val="100"/>
        </w:rPr>
        <w:t>7.05%</w:t>
      </w:r>
      <w:r>
        <w:rPr>
          <w:spacing w:val="-7"/>
          <w:w w:val="100"/>
        </w:rPr>
        <w:t>；资产管理业务净收入人民币</w:t>
      </w:r>
      <w:r>
        <w:rPr>
          <w:spacing w:val="-66"/>
          <w:w w:val="100"/>
        </w:rPr>
        <w:t> </w:t>
      </w:r>
      <w:r>
        <w:rPr>
          <w:rFonts w:ascii="宋体" w:hAnsi="宋体" w:cs="宋体" w:eastAsia="宋体" w:hint="default"/>
          <w:spacing w:val="-1"/>
          <w:w w:val="100"/>
        </w:rPr>
        <w:t>275.00</w:t>
      </w:r>
      <w:r>
        <w:rPr>
          <w:rFonts w:ascii="宋体" w:hAnsi="宋体" w:cs="宋体" w:eastAsia="宋体" w:hint="default"/>
          <w:spacing w:val="-103"/>
          <w:w w:val="100"/>
        </w:rPr>
        <w:t> </w:t>
      </w:r>
      <w:r>
        <w:rPr>
          <w:rFonts w:ascii="宋体" w:hAnsi="宋体" w:cs="宋体" w:eastAsia="宋体" w:hint="default"/>
          <w:spacing w:val="-103"/>
          <w:w w:val="100"/>
        </w:rPr>
      </w:r>
      <w:r>
        <w:rPr/>
        <w:t>亿元，同比减少</w:t>
      </w:r>
      <w:r>
        <w:rPr>
          <w:spacing w:val="-55"/>
        </w:rPr>
        <w:t> </w:t>
      </w:r>
      <w:r>
        <w:rPr>
          <w:rFonts w:ascii="宋体" w:hAnsi="宋体" w:cs="宋体" w:eastAsia="宋体" w:hint="default"/>
        </w:rPr>
        <w:t>11.35%</w:t>
      </w:r>
      <w:r>
        <w:rPr/>
        <w:t>；利息净收入人民币</w:t>
      </w:r>
      <w:r>
        <w:rPr>
          <w:spacing w:val="-54"/>
        </w:rPr>
        <w:t> </w:t>
      </w:r>
      <w:r>
        <w:rPr>
          <w:rFonts w:ascii="宋体" w:hAnsi="宋体" w:cs="宋体" w:eastAsia="宋体" w:hint="default"/>
        </w:rPr>
        <w:t>214.85</w:t>
      </w:r>
      <w:r>
        <w:rPr>
          <w:rFonts w:ascii="宋体" w:hAnsi="宋体" w:cs="宋体" w:eastAsia="宋体" w:hint="default"/>
          <w:spacing w:val="-57"/>
        </w:rPr>
        <w:t> </w:t>
      </w:r>
      <w:r>
        <w:rPr/>
        <w:t>亿元，同比减少</w:t>
      </w:r>
      <w:r>
        <w:rPr>
          <w:spacing w:val="-55"/>
        </w:rPr>
        <w:t> </w:t>
      </w:r>
      <w:r>
        <w:rPr>
          <w:rFonts w:ascii="宋体" w:hAnsi="宋体" w:cs="宋体" w:eastAsia="宋体" w:hint="default"/>
        </w:rPr>
        <w:t>38.28%</w:t>
      </w:r>
      <w:r>
        <w:rPr/>
        <w:t>。资本规模方面，证券</w:t>
      </w:r>
      <w:r>
        <w:rPr>
          <w:w w:val="100"/>
        </w:rPr>
        <w:t> </w:t>
      </w:r>
      <w:r>
        <w:rPr/>
        <w:t>行业继续夯实资本实力，截至报告期末，证券行业总资产为人民币</w:t>
      </w:r>
      <w:r>
        <w:rPr>
          <w:spacing w:val="-56"/>
        </w:rPr>
        <w:t> </w:t>
      </w:r>
      <w:r>
        <w:rPr>
          <w:rFonts w:ascii="宋体" w:hAnsi="宋体" w:cs="宋体" w:eastAsia="宋体" w:hint="default"/>
        </w:rPr>
        <w:t>6.26</w:t>
      </w:r>
      <w:r>
        <w:rPr>
          <w:rFonts w:ascii="宋体" w:hAnsi="宋体" w:cs="宋体" w:eastAsia="宋体" w:hint="default"/>
          <w:spacing w:val="-57"/>
        </w:rPr>
        <w:t> </w:t>
      </w:r>
      <w:r>
        <w:rPr/>
        <w:t>万亿元，净资产为人民币</w:t>
      </w:r>
    </w:p>
    <w:p>
      <w:pPr>
        <w:pStyle w:val="BodyText"/>
        <w:spacing w:line="240" w:lineRule="auto" w:before="32"/>
        <w:ind w:right="0"/>
        <w:jc w:val="both"/>
      </w:pPr>
      <w:r>
        <w:rPr>
          <w:rFonts w:ascii="宋体" w:hAnsi="宋体" w:cs="宋体" w:eastAsia="宋体" w:hint="default"/>
        </w:rPr>
        <w:t>1.89</w:t>
      </w:r>
      <w:r>
        <w:rPr>
          <w:rFonts w:ascii="宋体" w:hAnsi="宋体" w:cs="宋体" w:eastAsia="宋体" w:hint="default"/>
          <w:spacing w:val="-57"/>
        </w:rPr>
        <w:t> </w:t>
      </w:r>
      <w:r>
        <w:rPr/>
        <w:t>万亿元，较年初分别增长</w:t>
      </w:r>
      <w:r>
        <w:rPr>
          <w:spacing w:val="-55"/>
        </w:rPr>
        <w:t> </w:t>
      </w:r>
      <w:r>
        <w:rPr>
          <w:rFonts w:ascii="宋体" w:hAnsi="宋体" w:cs="宋体" w:eastAsia="宋体" w:hint="default"/>
        </w:rPr>
        <w:t>1.95%</w:t>
      </w:r>
      <w:r>
        <w:rPr/>
        <w:t>、</w:t>
      </w:r>
      <w:r>
        <w:rPr>
          <w:rFonts w:ascii="宋体" w:hAnsi="宋体" w:cs="宋体" w:eastAsia="宋体" w:hint="default"/>
        </w:rPr>
        <w:t>2.16%</w:t>
      </w:r>
      <w:r>
        <w:rPr/>
        <w:t>。</w:t>
      </w:r>
    </w:p>
    <w:p>
      <w:pPr>
        <w:spacing w:after="0" w:line="240" w:lineRule="auto"/>
        <w:jc w:val="both"/>
        <w:sectPr>
          <w:pgSz w:w="11910" w:h="16840"/>
          <w:pgMar w:header="880" w:footer="1195" w:top="1060" w:bottom="1380" w:left="1280" w:right="1200"/>
        </w:sectPr>
      </w:pPr>
    </w:p>
    <w:p>
      <w:pPr>
        <w:spacing w:line="240" w:lineRule="auto" w:before="8"/>
        <w:rPr>
          <w:rFonts w:ascii="宋体" w:hAnsi="宋体" w:cs="宋体" w:eastAsia="宋体" w:hint="default"/>
          <w:sz w:val="28"/>
          <w:szCs w:val="28"/>
        </w:rPr>
      </w:pPr>
    </w:p>
    <w:p>
      <w:pPr>
        <w:pStyle w:val="BodyText"/>
        <w:spacing w:line="274" w:lineRule="exact" w:before="36"/>
        <w:ind w:left="218" w:right="0"/>
        <w:jc w:val="left"/>
      </w:pPr>
      <w:r>
        <w:rPr/>
        <w:t>报告期内公司主要资产发生重大变化情况的说明</w:t>
      </w:r>
    </w:p>
    <w:p>
      <w:pPr>
        <w:pStyle w:val="BodyText"/>
        <w:spacing w:line="274" w:lineRule="exact"/>
        <w:ind w:left="218" w:right="0"/>
        <w:jc w:val="left"/>
      </w:pPr>
      <w:r>
        <w:rPr/>
        <w:t>√适用 □不适用</w:t>
      </w:r>
    </w:p>
    <w:p>
      <w:pPr>
        <w:spacing w:line="240" w:lineRule="auto" w:before="1"/>
        <w:rPr>
          <w:rFonts w:ascii="宋体" w:hAnsi="宋体" w:cs="宋体" w:eastAsia="宋体" w:hint="default"/>
          <w:sz w:val="18"/>
          <w:szCs w:val="18"/>
        </w:rPr>
      </w:pPr>
    </w:p>
    <w:p>
      <w:pPr>
        <w:pStyle w:val="BodyText"/>
        <w:spacing w:line="240" w:lineRule="auto"/>
        <w:ind w:left="638" w:right="0"/>
        <w:jc w:val="left"/>
      </w:pPr>
      <w:r>
        <w:rPr>
          <w:rFonts w:ascii="宋体" w:hAnsi="宋体" w:cs="宋体" w:eastAsia="宋体" w:hint="default"/>
        </w:rPr>
        <w:t>1</w:t>
      </w:r>
      <w:r>
        <w:rPr/>
        <w:t>、财务报表中变动幅度超过</w:t>
      </w:r>
      <w:r>
        <w:rPr>
          <w:spacing w:val="-58"/>
        </w:rPr>
        <w:t> </w:t>
      </w:r>
      <w:r>
        <w:rPr>
          <w:rFonts w:ascii="宋体" w:hAnsi="宋体" w:cs="宋体" w:eastAsia="宋体" w:hint="default"/>
        </w:rPr>
        <w:t>30%</w:t>
      </w:r>
      <w:r>
        <w:rPr/>
        <w:t>以上项目的情况分析。</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4"/>
        <w:gridCol w:w="1561"/>
        <w:gridCol w:w="1704"/>
        <w:gridCol w:w="989"/>
        <w:gridCol w:w="3512"/>
      </w:tblGrid>
      <w:tr>
        <w:trPr>
          <w:trHeight w:val="57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96" w:right="0"/>
              <w:jc w:val="left"/>
              <w:rPr>
                <w:rFonts w:ascii="宋体" w:hAnsi="宋体" w:cs="宋体" w:eastAsia="宋体" w:hint="default"/>
                <w:sz w:val="16"/>
                <w:szCs w:val="16"/>
              </w:rPr>
            </w:pPr>
            <w:r>
              <w:rPr>
                <w:rFonts w:ascii="宋体" w:hAnsi="宋体" w:cs="宋体" w:eastAsia="宋体" w:hint="default"/>
                <w:sz w:val="16"/>
                <w:szCs w:val="16"/>
              </w:rPr>
              <w:t>资产负债表项目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期末数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期初数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6" w:right="329"/>
              <w:jc w:val="center"/>
              <w:rPr>
                <w:rFonts w:ascii="宋体" w:hAnsi="宋体" w:cs="宋体" w:eastAsia="宋体" w:hint="default"/>
                <w:sz w:val="16"/>
                <w:szCs w:val="16"/>
              </w:rPr>
            </w:pPr>
            <w:r>
              <w:rPr>
                <w:rFonts w:ascii="宋体" w:hAnsi="宋体" w:cs="宋体" w:eastAsia="宋体" w:hint="default"/>
                <w:sz w:val="16"/>
                <w:szCs w:val="16"/>
              </w:rPr>
              <w:t>变动</w:t>
            </w:r>
            <w:r>
              <w:rPr>
                <w:rFonts w:ascii="宋体" w:hAnsi="宋体" w:cs="宋体" w:eastAsia="宋体" w:hint="default"/>
                <w:w w:val="100"/>
                <w:sz w:val="16"/>
                <w:szCs w:val="16"/>
              </w:rPr>
              <w:t> </w:t>
            </w:r>
            <w:r>
              <w:rPr>
                <w:rFonts w:ascii="宋体" w:hAnsi="宋体" w:cs="宋体" w:eastAsia="宋体" w:hint="default"/>
                <w:sz w:val="16"/>
                <w:szCs w:val="16"/>
              </w:rPr>
              <w:t>幅度</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变动原因说明</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融出资金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6"/>
                <w:szCs w:val="16"/>
              </w:rPr>
            </w:pPr>
            <w:r>
              <w:rPr>
                <w:rFonts w:ascii="宋体"/>
                <w:spacing w:val="-2"/>
                <w:sz w:val="16"/>
              </w:rPr>
              <w:t>6,647,103,033.35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16"/>
                <w:szCs w:val="16"/>
              </w:rPr>
            </w:pPr>
            <w:r>
              <w:rPr>
                <w:rFonts w:ascii="宋体"/>
                <w:spacing w:val="-2"/>
                <w:sz w:val="16"/>
              </w:rPr>
              <w:t>10,669,002,273.49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1"/>
                <w:sz w:val="16"/>
              </w:rPr>
              <w:t>-37.70%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主要系融资业务减少所致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6"/>
                <w:szCs w:val="16"/>
              </w:rPr>
            </w:pPr>
            <w:r>
              <w:rPr>
                <w:rFonts w:ascii="宋体"/>
                <w:spacing w:val="-2"/>
                <w:sz w:val="16"/>
              </w:rPr>
              <w:t>118,144,595.38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2"/>
                <w:sz w:val="16"/>
              </w:rPr>
              <w:t>6,114,246.68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16"/>
                <w:szCs w:val="16"/>
              </w:rPr>
            </w:pPr>
            <w:r>
              <w:rPr>
                <w:rFonts w:ascii="宋体"/>
                <w:spacing w:val="-1"/>
                <w:sz w:val="16"/>
              </w:rPr>
              <w:t>1832.28%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主要系收益互换公允价值增加所致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应收款项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6"/>
                <w:szCs w:val="16"/>
              </w:rPr>
            </w:pPr>
            <w:r>
              <w:rPr>
                <w:rFonts w:ascii="宋体"/>
                <w:spacing w:val="-2"/>
                <w:sz w:val="16"/>
              </w:rPr>
              <w:t>805,376,154.38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16"/>
                <w:szCs w:val="16"/>
              </w:rPr>
            </w:pPr>
            <w:r>
              <w:rPr>
                <w:rFonts w:ascii="宋体"/>
                <w:spacing w:val="-2"/>
                <w:sz w:val="16"/>
              </w:rPr>
              <w:t>194,589,453.80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2"/>
                <w:sz w:val="16"/>
              </w:rPr>
              <w:t>313.88%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主要系应收清算款增加所致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存出保证金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214,540,696.58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105,444,269.48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103.46%</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主要系转融通担保金增加所致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5,059,131,751.59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2,826,934,542.17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78.96%</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主要系增加对联营企业的投资所致</w:t>
            </w:r>
          </w:p>
        </w:tc>
      </w:tr>
      <w:tr>
        <w:trPr>
          <w:trHeight w:val="29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108,085,415.90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57,998,371.31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86.36%</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主要系新大楼工程支出所致</w:t>
            </w:r>
          </w:p>
        </w:tc>
      </w:tr>
      <w:tr>
        <w:trPr>
          <w:trHeight w:val="42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spacing w:val="-2"/>
                <w:sz w:val="16"/>
              </w:rPr>
              <w:t>520,178,832.26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宋体" w:hAnsi="宋体" w:cs="宋体" w:eastAsia="宋体" w:hint="default"/>
                <w:sz w:val="16"/>
                <w:szCs w:val="16"/>
              </w:rPr>
            </w:pPr>
            <w:r>
              <w:rPr>
                <w:rFonts w:ascii="宋体"/>
                <w:spacing w:val="-2"/>
                <w:sz w:val="16"/>
              </w:rPr>
              <w:t>297,538,021.65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spacing w:val="-1"/>
                <w:sz w:val="16"/>
              </w:rPr>
              <w:t>74.83%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主要系可供出售金融资产公允价值变动以及计</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提的资产减值准备增加所致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其他资产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257,770,199.61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370,489,848.30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-30.42%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主要系资管产品到期清算款减少所致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应付短期融资款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3,054,930,000.00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7,829,410,000.00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-60.98%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主要系一年以内收益凭证规模减少所致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8,915,088.22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28,490,712.97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-68.71%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主要系场外期权及收益互换公允价值变动所致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2"/>
                <w:sz w:val="16"/>
              </w:rPr>
              <w:t>82,977,391.71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202,142,813.35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-58.95%</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主要系应交企业所得税减少所致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应付款项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455,279,931.43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-100.00%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主要系期末应付清算款减少所致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573,394,010.88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347,643,272.32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64.94%</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主要系本期应付次级债利息增加所致</w:t>
            </w:r>
          </w:p>
        </w:tc>
      </w:tr>
      <w:tr>
        <w:trPr>
          <w:trHeight w:val="42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2"/>
                <w:sz w:val="16"/>
              </w:rPr>
              <w:t>17,167,971,679.1</w:t>
            </w:r>
          </w:p>
          <w:p>
            <w:pPr>
              <w:pStyle w:val="TableParagraph"/>
              <w:spacing w:line="208" w:lineRule="exact"/>
              <w:ind w:right="101"/>
              <w:jc w:val="right"/>
              <w:rPr>
                <w:rFonts w:ascii="宋体" w:hAnsi="宋体" w:cs="宋体" w:eastAsia="宋体" w:hint="default"/>
                <w:sz w:val="16"/>
                <w:szCs w:val="16"/>
              </w:rPr>
            </w:pPr>
            <w:r>
              <w:rPr>
                <w:rFonts w:ascii="宋体"/>
                <w:w w:val="100"/>
                <w:sz w:val="16"/>
              </w:rPr>
              <w:t>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2"/>
                <w:sz w:val="16"/>
              </w:rPr>
              <w:t>10,892,642,370.99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6"/>
                <w:szCs w:val="16"/>
              </w:rPr>
            </w:pPr>
            <w:r>
              <w:rPr>
                <w:rFonts w:ascii="宋体"/>
                <w:spacing w:val="-1"/>
                <w:sz w:val="16"/>
              </w:rPr>
              <w:t>57.61%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主要系本期增加次级债融资规模所致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2"/>
                <w:sz w:val="16"/>
              </w:rPr>
              <w:t>30,438,345.63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214,725,100.49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-85.82%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主要系可供出售金融资产的公允价值变动所致</w:t>
            </w:r>
          </w:p>
        </w:tc>
      </w:tr>
      <w:tr>
        <w:trPr>
          <w:trHeight w:val="29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其他负债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543,159,016.36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348,158,686.21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56.01%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主要系收益互换预收款增加所致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6"/>
                <w:szCs w:val="16"/>
              </w:rPr>
            </w:pPr>
            <w:r>
              <w:rPr>
                <w:rFonts w:ascii="宋体"/>
                <w:spacing w:val="-2"/>
                <w:sz w:val="16"/>
              </w:rPr>
              <w:t>-535,769,004.12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16"/>
                <w:szCs w:val="16"/>
              </w:rPr>
            </w:pPr>
            <w:r>
              <w:rPr>
                <w:rFonts w:ascii="宋体"/>
                <w:spacing w:val="-2"/>
                <w:sz w:val="16"/>
              </w:rPr>
              <w:t>738,930,368.21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主要系可供出售金融资产公允价值变动所致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6"/>
                <w:szCs w:val="16"/>
              </w:rPr>
            </w:pPr>
            <w:r>
              <w:rPr>
                <w:rFonts w:ascii="宋体"/>
                <w:spacing w:val="-2"/>
                <w:sz w:val="16"/>
              </w:rPr>
              <w:t>10,832,281.73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2"/>
                <w:sz w:val="16"/>
              </w:rPr>
              <w:t>21,043,479.30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1"/>
                <w:sz w:val="16"/>
              </w:rPr>
              <w:t>-48.52%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主要系纳入合并的结构化主体清算所致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利润表项目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46" w:right="0"/>
              <w:jc w:val="left"/>
              <w:rPr>
                <w:rFonts w:ascii="宋体" w:hAnsi="宋体" w:cs="宋体" w:eastAsia="宋体" w:hint="default"/>
                <w:sz w:val="16"/>
                <w:szCs w:val="16"/>
              </w:rPr>
            </w:pPr>
            <w:r>
              <w:rPr>
                <w:rFonts w:ascii="宋体" w:hAnsi="宋体" w:cs="宋体" w:eastAsia="宋体" w:hint="default"/>
                <w:sz w:val="16"/>
                <w:szCs w:val="16"/>
              </w:rPr>
              <w:t>上年同期数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65" w:right="0"/>
              <w:jc w:val="left"/>
              <w:rPr>
                <w:rFonts w:ascii="宋体" w:hAnsi="宋体" w:cs="宋体" w:eastAsia="宋体" w:hint="default"/>
                <w:sz w:val="16"/>
                <w:szCs w:val="16"/>
              </w:rPr>
            </w:pPr>
            <w:r>
              <w:rPr>
                <w:rFonts w:ascii="宋体" w:hAnsi="宋体" w:cs="宋体" w:eastAsia="宋体" w:hint="default"/>
                <w:sz w:val="16"/>
                <w:szCs w:val="16"/>
              </w:rPr>
              <w:t>变动幅度</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6"/>
                <w:szCs w:val="16"/>
              </w:rPr>
            </w:pPr>
            <w:r>
              <w:rPr>
                <w:rFonts w:ascii="宋体" w:hAnsi="宋体" w:cs="宋体" w:eastAsia="宋体" w:hint="default"/>
                <w:sz w:val="16"/>
                <w:szCs w:val="16"/>
              </w:rPr>
              <w:t>变动原因说明</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利息净收入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133,731,909.93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262,447,086.80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-49.04%</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主要系公司债务融资利息支出增加所致</w:t>
            </w:r>
          </w:p>
        </w:tc>
      </w:tr>
      <w:tr>
        <w:trPr>
          <w:trHeight w:val="50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6"/>
                <w:szCs w:val="16"/>
              </w:rPr>
            </w:pPr>
            <w:r>
              <w:rPr>
                <w:rFonts w:ascii="宋体" w:hAnsi="宋体" w:cs="宋体" w:eastAsia="宋体" w:hint="default"/>
                <w:sz w:val="16"/>
                <w:szCs w:val="16"/>
              </w:rPr>
              <w:t>公允价值变动收益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2"/>
                <w:sz w:val="16"/>
              </w:rPr>
              <w:t>8,435,768.73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6"/>
                <w:szCs w:val="16"/>
              </w:rPr>
            </w:pPr>
            <w:r>
              <w:rPr>
                <w:rFonts w:ascii="宋体"/>
                <w:spacing w:val="-2"/>
                <w:sz w:val="16"/>
              </w:rPr>
              <w:t>-95,005,568.73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6"/>
                <w:szCs w:val="16"/>
              </w:rPr>
            </w:pPr>
            <w:r>
              <w:rPr>
                <w:rFonts w:ascii="宋体" w:hAnsi="宋体" w:cs="宋体" w:eastAsia="宋体" w:hint="default"/>
                <w:sz w:val="16"/>
                <w:szCs w:val="16"/>
              </w:rPr>
              <w:t>主要系衍生金融工具的公允价值变动所致</w:t>
            </w:r>
          </w:p>
        </w:tc>
      </w:tr>
      <w:tr>
        <w:trPr>
          <w:trHeight w:val="29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汇兑收益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2"/>
                <w:sz w:val="16"/>
              </w:rPr>
              <w:t>2,150,112.73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-777,464.44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主要系汇率变动所致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资产处置收益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6"/>
                <w:szCs w:val="16"/>
              </w:rPr>
            </w:pPr>
            <w:r>
              <w:rPr>
                <w:rFonts w:ascii="宋体"/>
                <w:spacing w:val="-2"/>
                <w:sz w:val="16"/>
              </w:rPr>
              <w:t>2,846,322.58</w:t>
            </w:r>
          </w:p>
        </w:tc>
        <w:tc>
          <w:tcPr>
            <w:tcW w:w="170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16"/>
                <w:szCs w:val="16"/>
              </w:rPr>
            </w:pPr>
            <w:r>
              <w:rPr>
                <w:rFonts w:ascii="宋体" w:hAnsi="宋体" w:cs="宋体" w:eastAsia="宋体" w:hint="default"/>
                <w:sz w:val="16"/>
                <w:szCs w:val="16"/>
              </w:rPr>
              <w:t>不适用</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主要系非流动资产处置所致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6"/>
                <w:szCs w:val="16"/>
              </w:rPr>
            </w:pPr>
            <w:r>
              <w:rPr>
                <w:rFonts w:ascii="宋体"/>
                <w:spacing w:val="-2"/>
                <w:sz w:val="16"/>
              </w:rPr>
              <w:t>31,864,973.63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2"/>
                <w:sz w:val="16"/>
              </w:rPr>
              <w:t>23,360,206.15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6"/>
                <w:szCs w:val="16"/>
              </w:rPr>
            </w:pPr>
            <w:r>
              <w:rPr>
                <w:rFonts w:ascii="宋体"/>
                <w:spacing w:val="-1"/>
                <w:sz w:val="16"/>
              </w:rPr>
              <w:t>36.41%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6"/>
                <w:szCs w:val="16"/>
              </w:rPr>
            </w:pPr>
            <w:r>
              <w:rPr>
                <w:rFonts w:ascii="宋体" w:hAnsi="宋体" w:cs="宋体" w:eastAsia="宋体" w:hint="default"/>
                <w:sz w:val="16"/>
                <w:szCs w:val="16"/>
              </w:rPr>
              <w:t>主要系政府补助增加所致</w:t>
            </w:r>
          </w:p>
        </w:tc>
      </w:tr>
      <w:tr>
        <w:trPr>
          <w:trHeight w:val="50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2"/>
                <w:sz w:val="16"/>
              </w:rPr>
              <w:t>208,550,201.73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6"/>
                <w:szCs w:val="16"/>
              </w:rPr>
            </w:pPr>
            <w:r>
              <w:rPr>
                <w:rFonts w:ascii="宋体"/>
                <w:spacing w:val="-2"/>
                <w:sz w:val="16"/>
              </w:rPr>
              <w:t>95,094,540.29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6"/>
                <w:szCs w:val="16"/>
              </w:rPr>
            </w:pPr>
            <w:r>
              <w:rPr>
                <w:rFonts w:ascii="宋体"/>
                <w:spacing w:val="-2"/>
                <w:sz w:val="16"/>
              </w:rPr>
              <w:t>119.31%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94"/>
              <w:jc w:val="left"/>
              <w:rPr>
                <w:rFonts w:ascii="宋体" w:hAnsi="宋体" w:cs="宋体" w:eastAsia="宋体" w:hint="default"/>
                <w:sz w:val="16"/>
                <w:szCs w:val="16"/>
              </w:rPr>
            </w:pPr>
            <w:r>
              <w:rPr>
                <w:rFonts w:ascii="宋体" w:hAnsi="宋体" w:cs="宋体" w:eastAsia="宋体" w:hint="default"/>
                <w:spacing w:val="-1"/>
                <w:sz w:val="16"/>
                <w:szCs w:val="16"/>
              </w:rPr>
              <w:t>主要系可供出售金融资产和买入返售金融资产</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的减值准备增加所致</w:t>
            </w:r>
          </w:p>
        </w:tc>
      </w:tr>
      <w:tr>
        <w:trPr>
          <w:trHeight w:val="29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6"/>
                <w:szCs w:val="16"/>
              </w:rPr>
            </w:pPr>
            <w:r>
              <w:rPr>
                <w:rFonts w:ascii="宋体" w:hAnsi="宋体" w:cs="宋体" w:eastAsia="宋体" w:hint="default"/>
                <w:sz w:val="16"/>
                <w:szCs w:val="16"/>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6"/>
                <w:szCs w:val="16"/>
              </w:rPr>
            </w:pPr>
            <w:r>
              <w:rPr>
                <w:rFonts w:ascii="宋体"/>
                <w:spacing w:val="-2"/>
                <w:sz w:val="16"/>
              </w:rPr>
              <w:t>683,844.21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16"/>
                <w:szCs w:val="16"/>
              </w:rPr>
            </w:pPr>
            <w:r>
              <w:rPr>
                <w:rFonts w:ascii="宋体"/>
                <w:spacing w:val="-2"/>
                <w:sz w:val="16"/>
              </w:rPr>
              <w:t>1,980,726.59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宋体" w:hAnsi="宋体" w:cs="宋体" w:eastAsia="宋体" w:hint="default"/>
                <w:sz w:val="16"/>
                <w:szCs w:val="16"/>
              </w:rPr>
            </w:pPr>
            <w:r>
              <w:rPr>
                <w:rFonts w:ascii="宋体"/>
                <w:spacing w:val="-1"/>
                <w:sz w:val="16"/>
              </w:rPr>
              <w:t>-65.48%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6"/>
                <w:szCs w:val="16"/>
              </w:rPr>
            </w:pPr>
            <w:r>
              <w:rPr>
                <w:rFonts w:ascii="宋体" w:hAnsi="宋体" w:cs="宋体" w:eastAsia="宋体" w:hint="default"/>
                <w:sz w:val="16"/>
                <w:szCs w:val="16"/>
              </w:rPr>
              <w:t>主要系零星赔偿款减少所致</w:t>
            </w:r>
          </w:p>
        </w:tc>
      </w:tr>
      <w:tr>
        <w:trPr>
          <w:trHeight w:val="29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营业外支出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2"/>
                <w:sz w:val="16"/>
              </w:rPr>
              <w:t>14,989,344.77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9,772,182.76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53.39%</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主要系对外捐赠支出增加所致</w:t>
            </w:r>
          </w:p>
        </w:tc>
      </w:tr>
      <w:tr>
        <w:trPr>
          <w:trHeight w:val="29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所得税费用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2"/>
                <w:sz w:val="16"/>
              </w:rPr>
              <w:t>58,020,164.64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2"/>
                <w:sz w:val="16"/>
              </w:rPr>
              <w:t>333,130,705.53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-82.58%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6"/>
                <w:szCs w:val="16"/>
              </w:rPr>
            </w:pPr>
            <w:r>
              <w:rPr>
                <w:rFonts w:ascii="宋体" w:hAnsi="宋体" w:cs="宋体" w:eastAsia="宋体" w:hint="default"/>
                <w:sz w:val="16"/>
                <w:szCs w:val="16"/>
              </w:rPr>
              <w:t>主要系应纳税所得额减少所致</w:t>
            </w: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其他综合收益的税</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后净额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1"/>
              <w:jc w:val="right"/>
              <w:rPr>
                <w:rFonts w:ascii="宋体" w:hAnsi="宋体" w:cs="宋体" w:eastAsia="宋体" w:hint="default"/>
                <w:sz w:val="16"/>
                <w:szCs w:val="16"/>
              </w:rPr>
            </w:pPr>
            <w:r>
              <w:rPr>
                <w:rFonts w:ascii="宋体"/>
                <w:spacing w:val="-2"/>
                <w:sz w:val="16"/>
              </w:rPr>
              <w:t>-1,270,475,130.0</w:t>
            </w:r>
          </w:p>
          <w:p>
            <w:pPr>
              <w:pStyle w:val="TableParagraph"/>
              <w:spacing w:line="208" w:lineRule="exact"/>
              <w:ind w:right="101"/>
              <w:jc w:val="right"/>
              <w:rPr>
                <w:rFonts w:ascii="宋体" w:hAnsi="宋体" w:cs="宋体" w:eastAsia="宋体" w:hint="default"/>
                <w:sz w:val="16"/>
                <w:szCs w:val="16"/>
              </w:rPr>
            </w:pPr>
            <w:r>
              <w:rPr>
                <w:rFonts w:ascii="宋体"/>
                <w:w w:val="100"/>
                <w:sz w:val="16"/>
              </w:rPr>
              <w:t>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107,557,712.87</w:t>
            </w:r>
            <w:r>
              <w:rPr>
                <w:rFonts w:ascii="宋体"/>
                <w:sz w:val="16"/>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hAnsi="宋体" w:cs="宋体" w:eastAsia="宋体" w:hint="default"/>
                <w:sz w:val="16"/>
                <w:szCs w:val="16"/>
              </w:rPr>
              <w:t>不适用</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主要系可供出售金融资产公允价值变动所致</w:t>
            </w:r>
          </w:p>
        </w:tc>
      </w:tr>
    </w:tbl>
    <w:p>
      <w:pPr>
        <w:spacing w:line="240" w:lineRule="auto" w:before="4"/>
        <w:rPr>
          <w:rFonts w:ascii="宋体" w:hAnsi="宋体" w:cs="宋体" w:eastAsia="宋体" w:hint="default"/>
          <w:sz w:val="18"/>
          <w:szCs w:val="18"/>
        </w:rPr>
      </w:pPr>
    </w:p>
    <w:p>
      <w:pPr>
        <w:pStyle w:val="BodyText"/>
        <w:tabs>
          <w:tab w:pos="4683" w:val="left" w:leader="none"/>
        </w:tabs>
        <w:spacing w:line="240" w:lineRule="auto" w:before="36"/>
        <w:ind w:left="218" w:right="0"/>
        <w:jc w:val="left"/>
      </w:pPr>
      <w:r>
        <w:rPr/>
        <w:t>其中：境外资产</w:t>
      </w:r>
      <w:r>
        <w:rPr>
          <w:spacing w:val="-59"/>
        </w:rPr>
        <w:t> </w:t>
      </w:r>
      <w:r>
        <w:rPr>
          <w:rFonts w:ascii="宋体" w:hAnsi="宋体" w:cs="宋体" w:eastAsia="宋体" w:hint="default"/>
        </w:rPr>
        <w:t>1,426,102,017.81</w:t>
      </w:r>
      <w:r>
        <w:rPr/>
        <w:t>（单位：元</w:t>
        <w:tab/>
        <w:t>币种：人民币），占总资产的比例为</w:t>
      </w:r>
      <w:r>
        <w:rPr>
          <w:spacing w:val="-57"/>
        </w:rPr>
        <w:t> </w:t>
      </w:r>
      <w:r>
        <w:rPr>
          <w:rFonts w:ascii="宋体" w:hAnsi="宋体" w:cs="宋体" w:eastAsia="宋体" w:hint="default"/>
        </w:rPr>
        <w:t>2.43%</w:t>
      </w:r>
      <w:r>
        <w:rPr/>
        <w:t>。</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t>二、报告期内核心竞争力分析</w:t>
      </w:r>
      <w:r>
        <w:rPr>
          <w:b w:val="0"/>
          <w:bCs w:val="0"/>
        </w:rPr>
      </w:r>
    </w:p>
    <w:p>
      <w:pPr>
        <w:pStyle w:val="BodyText"/>
        <w:spacing w:line="446" w:lineRule="auto" w:before="58"/>
        <w:ind w:left="638" w:right="4228"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、稳定的经营管理团队和专业的人才队伍</w:t>
      </w:r>
    </w:p>
    <w:p>
      <w:pPr>
        <w:pStyle w:val="BodyText"/>
        <w:spacing w:line="228" w:lineRule="exact"/>
        <w:ind w:left="218" w:right="0" w:firstLine="420"/>
        <w:jc w:val="left"/>
      </w:pPr>
      <w:r>
        <w:rPr/>
        <w:t>公司经营管理团队有着多年的证券及金融行业的从业管理经验，对资本市场及证券和金融行业</w:t>
      </w:r>
    </w:p>
    <w:p>
      <w:pPr>
        <w:pStyle w:val="BodyText"/>
        <w:spacing w:line="240" w:lineRule="auto" w:before="135"/>
        <w:ind w:left="218" w:right="0"/>
        <w:jc w:val="left"/>
      </w:pPr>
      <w:r>
        <w:rPr/>
        <w:t>的发展有深刻的理解和认识。经营管理团队凝聚力强，相互协作、务实有担当，能高效行使经营管</w:t>
      </w:r>
    </w:p>
    <w:p>
      <w:pPr>
        <w:spacing w:after="0" w:line="240" w:lineRule="auto"/>
        <w:jc w:val="left"/>
        <w:sectPr>
          <w:pgSz w:w="11910" w:h="16840"/>
          <w:pgMar w:header="880" w:footer="1195" w:top="1060" w:bottom="1380" w:left="1200" w:right="1180"/>
        </w:sectPr>
      </w:pPr>
    </w:p>
    <w:p>
      <w:pPr>
        <w:spacing w:line="240" w:lineRule="auto" w:before="8"/>
        <w:rPr>
          <w:rFonts w:ascii="宋体" w:hAnsi="宋体" w:cs="宋体" w:eastAsia="宋体" w:hint="default"/>
          <w:sz w:val="28"/>
          <w:szCs w:val="28"/>
        </w:rPr>
      </w:pPr>
    </w:p>
    <w:p>
      <w:pPr>
        <w:pStyle w:val="BodyText"/>
        <w:spacing w:line="357" w:lineRule="auto" w:before="36"/>
        <w:ind w:right="168"/>
        <w:jc w:val="both"/>
      </w:pPr>
      <w:r>
        <w:rPr>
          <w:spacing w:val="-2"/>
        </w:rPr>
        <w:t>理职能。专业化、高素质、稳定的人才队伍是公司的核心竞争力，公司通过多层次、多渠道、多形</w:t>
      </w:r>
      <w:r>
        <w:rPr>
          <w:spacing w:val="-25"/>
        </w:rPr>
        <w:t> </w:t>
      </w:r>
      <w:r>
        <w:rPr>
          <w:spacing w:val="-25"/>
        </w:rPr>
      </w:r>
      <w:r>
        <w:rPr>
          <w:spacing w:val="-2"/>
        </w:rPr>
        <w:t>式的人才引进和培养方式，不断提升员工的专业技能、综合素质、责任心和归属感，并持续加强创</w:t>
      </w:r>
      <w:r>
        <w:rPr>
          <w:spacing w:val="-26"/>
        </w:rPr>
        <w:t> </w:t>
      </w:r>
      <w:r>
        <w:rPr>
          <w:spacing w:val="-26"/>
        </w:rPr>
      </w:r>
      <w:r>
        <w:rPr>
          <w:spacing w:val="-2"/>
        </w:rPr>
        <w:t>新型专业技术人才和经营管理人才储备，完善人员的薪酬水平和晋升机制，形成了与公司快速发展</w:t>
      </w:r>
      <w:r>
        <w:rPr>
          <w:spacing w:val="-25"/>
        </w:rPr>
        <w:t> </w:t>
      </w:r>
      <w:r>
        <w:rPr>
          <w:spacing w:val="-25"/>
        </w:rPr>
      </w:r>
      <w:r>
        <w:rPr/>
        <w:t>相适应的高素质专业人才队伍。</w:t>
      </w:r>
    </w:p>
    <w:p>
      <w:pPr>
        <w:pStyle w:val="BodyText"/>
        <w:spacing w:line="355" w:lineRule="auto" w:before="30"/>
        <w:ind w:left="678" w:right="0" w:hanging="15"/>
        <w:jc w:val="left"/>
      </w:pPr>
      <w:r>
        <w:rPr>
          <w:rFonts w:ascii="宋体" w:hAnsi="宋体" w:cs="宋体" w:eastAsia="宋体" w:hint="default"/>
        </w:rPr>
        <w:t>2</w:t>
      </w:r>
      <w:r>
        <w:rPr/>
        <w:t>、区域竞争优势明显</w:t>
      </w:r>
      <w:r>
        <w:rPr>
          <w:w w:val="100"/>
        </w:rPr>
        <w:t> </w:t>
      </w:r>
      <w:r>
        <w:rPr>
          <w:spacing w:val="-4"/>
        </w:rPr>
        <w:t>浙江民营经济发达，优质企业资源众多，民间资本活跃，投资需求旺盛，聚集了大量高净值客</w:t>
      </w:r>
    </w:p>
    <w:p>
      <w:pPr>
        <w:pStyle w:val="BodyText"/>
        <w:spacing w:line="357" w:lineRule="auto" w:before="34"/>
        <w:ind w:left="258" w:right="127"/>
        <w:jc w:val="both"/>
      </w:pPr>
      <w:r>
        <w:rPr>
          <w:spacing w:val="-4"/>
        </w:rPr>
        <w:t>户，是资本市场发展、创业创新的一块沃土，为公司业务发展提供了良好的客户资源和广阔的拓展</w:t>
      </w:r>
      <w:r>
        <w:rPr>
          <w:spacing w:val="-19"/>
        </w:rPr>
        <w:t> </w:t>
      </w:r>
      <w:r>
        <w:rPr>
          <w:spacing w:val="-19"/>
        </w:rPr>
      </w:r>
      <w:r>
        <w:rPr>
          <w:spacing w:val="-3"/>
        </w:rPr>
        <w:t>空间。公司</w:t>
      </w:r>
      <w:r>
        <w:rPr/>
        <w:t> </w:t>
      </w:r>
      <w:r>
        <w:rPr>
          <w:rFonts w:ascii="宋体" w:hAnsi="宋体" w:cs="宋体" w:eastAsia="宋体" w:hint="default"/>
          <w:spacing w:val="-2"/>
        </w:rPr>
        <w:t>80%</w:t>
      </w:r>
      <w:r>
        <w:rPr>
          <w:spacing w:val="-2"/>
        </w:rPr>
        <w:t>以上分支机构集中在浙江地区，经过多年客户积累和渠道建设，给公司各项业务的</w:t>
      </w:r>
      <w:r>
        <w:rPr>
          <w:spacing w:val="-99"/>
        </w:rPr>
        <w:t> </w:t>
      </w:r>
      <w:r>
        <w:rPr>
          <w:spacing w:val="-99"/>
        </w:rPr>
      </w:r>
      <w:r>
        <w:rPr>
          <w:spacing w:val="-4"/>
        </w:rPr>
        <w:t>持续发展提供了良好的外部环境和发展机遇。浙江省地方政府高度重视地方金融的发展，大力构建</w:t>
      </w:r>
      <w:r>
        <w:rPr>
          <w:spacing w:val="-19"/>
        </w:rPr>
        <w:t> </w:t>
      </w:r>
      <w:r>
        <w:rPr>
          <w:spacing w:val="-19"/>
        </w:rPr>
      </w:r>
      <w:r>
        <w:rPr>
          <w:spacing w:val="-4"/>
        </w:rPr>
        <w:t>“中小企业金融中心”和“民间财富管理中心”，发布实施“凤凰行动”计划，加速促进浙江经济</w:t>
      </w:r>
      <w:r>
        <w:rPr>
          <w:spacing w:val="-24"/>
        </w:rPr>
        <w:t> </w:t>
      </w:r>
      <w:r>
        <w:rPr>
          <w:spacing w:val="-24"/>
        </w:rPr>
      </w:r>
      <w:r>
        <w:rPr>
          <w:spacing w:val="-2"/>
        </w:rPr>
        <w:t>转型升级。作为浙江省唯一省属券商，公司更把“深耕浙江”作为公司发展五大战略之一</w:t>
      </w:r>
      <w:r>
        <w:rPr>
          <w:rFonts w:ascii="宋体" w:hAnsi="宋体" w:cs="宋体" w:eastAsia="宋体" w:hint="default"/>
          <w:spacing w:val="-2"/>
        </w:rPr>
        <w:t>,</w:t>
      </w:r>
      <w:r>
        <w:rPr>
          <w:spacing w:val="-2"/>
        </w:rPr>
        <w:t>充分发</w:t>
      </w:r>
      <w:r>
        <w:rPr>
          <w:spacing w:val="-25"/>
        </w:rPr>
        <w:t> </w:t>
      </w:r>
      <w:r>
        <w:rPr>
          <w:spacing w:val="-25"/>
        </w:rPr>
      </w:r>
      <w:r>
        <w:rPr>
          <w:spacing w:val="-4"/>
        </w:rPr>
        <w:t>挥本土省属券商的总部平台优势，积极走进政府部门，走进各类机构，走进上市公司，牢固确立以</w:t>
      </w:r>
      <w:r>
        <w:rPr>
          <w:spacing w:val="-23"/>
        </w:rPr>
        <w:t> </w:t>
      </w:r>
      <w:r>
        <w:rPr>
          <w:spacing w:val="-23"/>
        </w:rPr>
      </w:r>
      <w:r>
        <w:rPr>
          <w:spacing w:val="-4"/>
        </w:rPr>
        <w:t>客户为中心，服务至上的理念，开展综合金融服务，为浙江企业提供专业融资，为浙江居民提供专</w:t>
      </w:r>
      <w:r>
        <w:rPr>
          <w:spacing w:val="-26"/>
        </w:rPr>
        <w:t> </w:t>
      </w:r>
      <w:r>
        <w:rPr>
          <w:spacing w:val="-26"/>
        </w:rPr>
      </w:r>
      <w:r>
        <w:rPr/>
        <w:t>业理财，做最接地气的浙江人自己的券商。</w:t>
      </w:r>
    </w:p>
    <w:p>
      <w:pPr>
        <w:pStyle w:val="BodyText"/>
        <w:spacing w:line="357" w:lineRule="auto" w:before="30"/>
        <w:ind w:left="258" w:right="127" w:firstLine="420"/>
        <w:jc w:val="both"/>
      </w:pPr>
      <w:r>
        <w:rPr>
          <w:spacing w:val="-4"/>
        </w:rPr>
        <w:t>浙江省又地处我国繁荣的长三角地区，各项经济指标处于全国领先水平。公司充分发挥区位优</w:t>
      </w:r>
      <w:r>
        <w:rPr>
          <w:w w:val="100"/>
        </w:rPr>
        <w:t> </w:t>
      </w:r>
      <w:r>
        <w:rPr>
          <w:spacing w:val="-8"/>
        </w:rPr>
        <w:t>势，深耕细作，全面提升公司的品牌知名度和美誉度，优化区域布局，实现了区域、业务的全覆盖，</w:t>
      </w:r>
      <w:r>
        <w:rPr>
          <w:spacing w:val="-50"/>
        </w:rPr>
        <w:t> </w:t>
      </w:r>
      <w:r>
        <w:rPr>
          <w:spacing w:val="-50"/>
        </w:rPr>
      </w:r>
      <w:r>
        <w:rPr/>
        <w:t>形成了以长三角地区为依托、辐射全国的业务布局。</w:t>
      </w:r>
    </w:p>
    <w:p>
      <w:pPr>
        <w:pStyle w:val="BodyText"/>
        <w:spacing w:line="355" w:lineRule="auto" w:before="30"/>
        <w:ind w:left="678" w:right="0" w:hanging="15"/>
        <w:jc w:val="left"/>
      </w:pPr>
      <w:r>
        <w:rPr>
          <w:rFonts w:ascii="宋体" w:hAnsi="宋体" w:cs="宋体" w:eastAsia="宋体" w:hint="default"/>
        </w:rPr>
        <w:t>3</w:t>
      </w:r>
      <w:r>
        <w:rPr/>
        <w:t>、综合的业务布局，全面协同发展</w:t>
      </w:r>
      <w:r>
        <w:rPr>
          <w:w w:val="100"/>
        </w:rPr>
        <w:t> </w:t>
      </w:r>
      <w:r>
        <w:rPr>
          <w:spacing w:val="-4"/>
        </w:rPr>
        <w:t>公司在保持传统经纪业务竞争优势的同时，加快推进各项业务协同发展，致力于提升全方位综</w:t>
      </w:r>
    </w:p>
    <w:p>
      <w:pPr>
        <w:pStyle w:val="BodyText"/>
        <w:spacing w:line="357" w:lineRule="auto" w:before="32"/>
        <w:ind w:left="258" w:right="129"/>
        <w:jc w:val="both"/>
      </w:pPr>
      <w:r>
        <w:rPr>
          <w:spacing w:val="-4"/>
        </w:rPr>
        <w:t>合化金融服务能力。公司已形成包括证券、资产管理、期货、直接投资、基金、国际业务在内的综</w:t>
      </w:r>
      <w:r>
        <w:rPr>
          <w:spacing w:val="-24"/>
        </w:rPr>
        <w:t> </w:t>
      </w:r>
      <w:r>
        <w:rPr>
          <w:spacing w:val="-24"/>
        </w:rPr>
      </w:r>
      <w:r>
        <w:rPr>
          <w:spacing w:val="-4"/>
        </w:rPr>
        <w:t>合性金融控股平台，并已经具备较强的业务协同发展水平，加快推进公司集团化经营，实现“大资</w:t>
      </w:r>
      <w:r>
        <w:rPr>
          <w:spacing w:val="-24"/>
        </w:rPr>
        <w:t> </w:t>
      </w:r>
      <w:r>
        <w:rPr>
          <w:spacing w:val="-24"/>
        </w:rPr>
      </w:r>
      <w:r>
        <w:rPr>
          <w:spacing w:val="-17"/>
          <w:w w:val="100"/>
        </w:rPr>
        <w:t>管”、“大投行”、“大投资”、“大经纪”业务协同发展，有效促进公司综合竞争实力的提升。公司综</w:t>
      </w:r>
      <w:r>
        <w:rPr>
          <w:spacing w:val="-103"/>
          <w:w w:val="100"/>
        </w:rPr>
        <w:t> </w:t>
      </w:r>
      <w:r>
        <w:rPr>
          <w:spacing w:val="-103"/>
          <w:w w:val="100"/>
        </w:rPr>
      </w:r>
      <w:r>
        <w:rPr/>
        <w:t>合性的财富管理平台构建已取得良好成效，具备特色鲜明的品牌优势。</w:t>
      </w:r>
    </w:p>
    <w:p>
      <w:pPr>
        <w:pStyle w:val="BodyText"/>
        <w:spacing w:line="360" w:lineRule="auto" w:before="30"/>
        <w:ind w:left="678" w:right="0" w:hanging="15"/>
        <w:jc w:val="left"/>
      </w:pPr>
      <w:r>
        <w:rPr>
          <w:rFonts w:ascii="宋体" w:hAnsi="宋体" w:cs="宋体" w:eastAsia="宋体" w:hint="default"/>
        </w:rPr>
        <w:t>4</w:t>
      </w:r>
      <w:r>
        <w:rPr/>
        <w:t>、积极推动业务创新，巩固细分市场优势，强化品牌支撑</w:t>
      </w:r>
      <w:r>
        <w:rPr>
          <w:w w:val="100"/>
        </w:rPr>
        <w:t> </w:t>
      </w:r>
      <w:r>
        <w:rPr>
          <w:spacing w:val="-9"/>
        </w:rPr>
        <w:t>公司积极推进创新业务，努力实现战略转型，提升公司发展空间。目前除证券代理买卖、自营、</w:t>
      </w:r>
    </w:p>
    <w:p>
      <w:pPr>
        <w:pStyle w:val="BodyText"/>
        <w:spacing w:line="355" w:lineRule="auto" w:before="28"/>
        <w:ind w:left="258" w:right="127"/>
        <w:jc w:val="both"/>
      </w:pPr>
      <w:r>
        <w:rPr>
          <w:spacing w:val="-4"/>
        </w:rPr>
        <w:t>资产管理、投行等常规业务以外，还具有融资融券、约定购回式证券交易、质押式回购、代理销售</w:t>
      </w:r>
      <w:r>
        <w:rPr>
          <w:spacing w:val="-18"/>
        </w:rPr>
        <w:t> </w:t>
      </w:r>
      <w:r>
        <w:rPr>
          <w:spacing w:val="-18"/>
        </w:rPr>
      </w:r>
      <w:r>
        <w:rPr>
          <w:spacing w:val="-4"/>
        </w:rPr>
        <w:t>金融产品、中小企业私募债承销、股票期权、场外期权二级交易商资格、互联网证券、柜台市场等</w:t>
      </w:r>
      <w:r>
        <w:rPr>
          <w:spacing w:val="-19"/>
        </w:rPr>
        <w:t> </w:t>
      </w:r>
      <w:r>
        <w:rPr>
          <w:spacing w:val="-19"/>
        </w:rPr>
      </w:r>
      <w:r>
        <w:rPr>
          <w:spacing w:val="-8"/>
          <w:w w:val="100"/>
        </w:rPr>
        <w:t>诸多业务资格。报告期内，公司还与蚂蚁金服签署了战略合作协议，积极推进互联网渠道业务合作，</w:t>
      </w:r>
      <w:r>
        <w:rPr>
          <w:spacing w:val="-102"/>
          <w:w w:val="100"/>
        </w:rPr>
        <w:t> </w:t>
      </w:r>
      <w:r>
        <w:rPr>
          <w:spacing w:val="-102"/>
          <w:w w:val="100"/>
        </w:rPr>
      </w:r>
      <w:r>
        <w:rPr/>
        <w:t>通过不断培育新业务、新渠道实现增长，为公司业务发展提供空间。</w:t>
      </w:r>
    </w:p>
    <w:p>
      <w:pPr>
        <w:pStyle w:val="BodyText"/>
        <w:spacing w:line="355" w:lineRule="auto" w:before="34"/>
        <w:ind w:left="678" w:right="0" w:hanging="120"/>
        <w:jc w:val="left"/>
      </w:pPr>
      <w:r>
        <w:rPr>
          <w:rFonts w:ascii="宋体" w:hAnsi="宋体" w:cs="宋体" w:eastAsia="宋体" w:hint="default"/>
        </w:rPr>
        <w:t>5</w:t>
      </w:r>
      <w:r>
        <w:rPr/>
        <w:t>、务实全面的合规、风险控制体系，促进公司稳健经营。</w:t>
      </w:r>
      <w:r>
        <w:rPr>
          <w:w w:val="100"/>
        </w:rPr>
        <w:t> </w:t>
      </w:r>
      <w:r>
        <w:rPr>
          <w:spacing w:val="-4"/>
        </w:rPr>
        <w:t>公司着力培养内生性合规文化理念，并持续建立健全合规管理制度，确保合规管理工作的有效</w:t>
      </w:r>
    </w:p>
    <w:p>
      <w:pPr>
        <w:pStyle w:val="BodyText"/>
        <w:spacing w:line="357" w:lineRule="auto" w:before="32"/>
        <w:ind w:left="258" w:right="127"/>
        <w:jc w:val="both"/>
      </w:pPr>
      <w:r>
        <w:rPr>
          <w:spacing w:val="-4"/>
        </w:rPr>
        <w:t>落实。公司强化员工合规培训，加强对合规文化的教育和引导，持续推进合规文化建设。公司建立</w:t>
      </w:r>
      <w:r>
        <w:rPr>
          <w:spacing w:val="-26"/>
        </w:rPr>
        <w:t> </w:t>
      </w:r>
      <w:r>
        <w:rPr>
          <w:spacing w:val="-26"/>
        </w:rPr>
      </w:r>
      <w:r>
        <w:rPr>
          <w:spacing w:val="-4"/>
        </w:rPr>
        <w:t>并完善审慎的风险管理意识和全面有效的风险管理体系，致力于推行风险管理创造价值的理念，面</w:t>
      </w:r>
      <w:r>
        <w:rPr>
          <w:spacing w:val="-20"/>
        </w:rPr>
        <w:t> </w:t>
      </w:r>
      <w:r>
        <w:rPr>
          <w:spacing w:val="-20"/>
        </w:rPr>
      </w:r>
      <w:r>
        <w:rPr>
          <w:spacing w:val="-4"/>
        </w:rPr>
        <w:t>对证券市场中的各种风险，在切实做好按业务条线划分的纵向条线风险管理的基础上，借助量化模</w:t>
      </w:r>
    </w:p>
    <w:p>
      <w:pPr>
        <w:spacing w:after="0" w:line="357" w:lineRule="auto"/>
        <w:jc w:val="both"/>
        <w:sectPr>
          <w:footerReference w:type="default" r:id="rId18"/>
          <w:pgSz w:w="11910" w:h="16840"/>
          <w:pgMar w:footer="1195" w:header="880" w:top="1060" w:bottom="1380" w:left="1280" w:right="1280"/>
          <w:pgNumType w:start="27"/>
        </w:sectPr>
      </w:pPr>
    </w:p>
    <w:p>
      <w:pPr>
        <w:spacing w:line="240" w:lineRule="auto" w:before="8"/>
        <w:rPr>
          <w:rFonts w:ascii="宋体" w:hAnsi="宋体" w:cs="宋体" w:eastAsia="宋体" w:hint="default"/>
          <w:sz w:val="28"/>
          <w:szCs w:val="28"/>
        </w:rPr>
      </w:pPr>
    </w:p>
    <w:p>
      <w:pPr>
        <w:pStyle w:val="BodyText"/>
        <w:spacing w:line="357" w:lineRule="auto" w:before="36"/>
        <w:ind w:left="258" w:right="0"/>
        <w:jc w:val="left"/>
      </w:pPr>
      <w:r>
        <w:rPr>
          <w:spacing w:val="-4"/>
        </w:rPr>
        <w:t>型和信息系统等工具，建立起按风险类别划分的横向条线风险管理体系，全面覆盖公司各项业务及</w:t>
      </w:r>
      <w:r>
        <w:rPr>
          <w:spacing w:val="-21"/>
        </w:rPr>
        <w:t> </w:t>
      </w:r>
      <w:r>
        <w:rPr>
          <w:spacing w:val="-21"/>
        </w:rPr>
      </w:r>
      <w:r>
        <w:rPr>
          <w:spacing w:val="-1"/>
        </w:rPr>
        <w:t>重要环节，准确有效地识别、评估、监测和管理各类风险。公司通过积极排查、应对、整治风险，</w:t>
      </w:r>
      <w:r>
        <w:rPr>
          <w:spacing w:val="-46"/>
        </w:rPr>
        <w:t> </w:t>
      </w:r>
      <w:r>
        <w:rPr>
          <w:spacing w:val="-46"/>
        </w:rPr>
      </w:r>
      <w:r>
        <w:rPr/>
        <w:t>不断完善、优化风险管理指标体系，不断完善风险管理机制。</w:t>
      </w:r>
    </w:p>
    <w:p>
      <w:pPr>
        <w:pStyle w:val="BodyText"/>
        <w:spacing w:line="355" w:lineRule="auto" w:before="30"/>
        <w:ind w:left="258" w:right="0" w:firstLine="420"/>
        <w:jc w:val="left"/>
      </w:pPr>
      <w:r>
        <w:rPr>
          <w:spacing w:val="-4"/>
        </w:rPr>
        <w:t>公司高度重视各项业务的稳健经营，建立起全方位多层级的合规风控体系，制定完备的合规风</w:t>
      </w:r>
      <w:r>
        <w:rPr>
          <w:w w:val="100"/>
        </w:rPr>
        <w:t> </w:t>
      </w:r>
      <w:r>
        <w:rPr/>
        <w:t>控制度，对公司各项业务及其各个环节做到合规风控全覆盖。报告期内持续保持稳健经营。</w:t>
      </w:r>
    </w:p>
    <w:p>
      <w:pPr>
        <w:spacing w:line="240" w:lineRule="auto" w:before="10"/>
        <w:rPr>
          <w:rFonts w:ascii="宋体" w:hAnsi="宋体" w:cs="宋体" w:eastAsia="宋体" w:hint="default"/>
          <w:sz w:val="29"/>
          <w:szCs w:val="29"/>
        </w:rPr>
      </w:pPr>
    </w:p>
    <w:p>
      <w:pPr>
        <w:pStyle w:val="Heading1"/>
        <w:tabs>
          <w:tab w:pos="1259" w:val="left" w:leader="none"/>
        </w:tabs>
        <w:spacing w:line="240" w:lineRule="auto"/>
        <w:ind w:right="76"/>
        <w:jc w:val="center"/>
        <w:rPr>
          <w:b w:val="0"/>
          <w:bCs w:val="0"/>
        </w:rPr>
      </w:pPr>
      <w:bookmarkStart w:name="_TOC_250009"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0"/>
        <w:jc w:val="left"/>
        <w:rPr>
          <w:b w:val="0"/>
          <w:bCs w:val="0"/>
        </w:rPr>
      </w:pPr>
      <w:r>
        <w:rPr/>
        <w:t>一、经营情况讨论与分析</w:t>
      </w:r>
      <w:r>
        <w:rPr>
          <w:b w:val="0"/>
          <w:bCs w:val="0"/>
        </w:rPr>
      </w:r>
    </w:p>
    <w:p>
      <w:pPr>
        <w:spacing w:line="240" w:lineRule="auto" w:before="4"/>
        <w:rPr>
          <w:rFonts w:ascii="宋体" w:hAnsi="宋体" w:cs="宋体" w:eastAsia="宋体" w:hint="default"/>
          <w:b/>
          <w:bCs/>
          <w:sz w:val="18"/>
          <w:szCs w:val="18"/>
        </w:rPr>
      </w:pPr>
    </w:p>
    <w:p>
      <w:pPr>
        <w:pStyle w:val="Heading5"/>
        <w:spacing w:line="240" w:lineRule="auto"/>
        <w:ind w:left="698" w:right="0"/>
        <w:jc w:val="left"/>
        <w:rPr>
          <w:b w:val="0"/>
          <w:bCs w:val="0"/>
        </w:rPr>
      </w:pPr>
      <w:r>
        <w:rPr/>
        <w:t>（一）证券经纪业务</w:t>
      </w:r>
      <w:r>
        <w:rPr>
          <w:b w:val="0"/>
          <w:bCs w:val="0"/>
        </w:rPr>
      </w:r>
    </w:p>
    <w:p>
      <w:pPr>
        <w:pStyle w:val="BodyText"/>
        <w:spacing w:line="357" w:lineRule="auto" w:before="133"/>
        <w:ind w:right="0" w:firstLine="420"/>
        <w:jc w:val="left"/>
      </w:pPr>
      <w:r>
        <w:rPr>
          <w:rFonts w:ascii="宋体" w:hAnsi="宋体" w:cs="宋体" w:eastAsia="宋体" w:hint="default"/>
        </w:rPr>
        <w:t>2018</w:t>
      </w:r>
      <w:r>
        <w:rPr>
          <w:rFonts w:ascii="宋体" w:hAnsi="宋体" w:cs="宋体" w:eastAsia="宋体" w:hint="default"/>
          <w:spacing w:val="-40"/>
        </w:rPr>
        <w:t> </w:t>
      </w:r>
      <w:r>
        <w:rPr>
          <w:spacing w:val="-19"/>
        </w:rPr>
        <w:t>年，国内</w:t>
      </w:r>
      <w:r>
        <w:rPr>
          <w:spacing w:val="-38"/>
        </w:rPr>
        <w:t> </w:t>
      </w:r>
      <w:r>
        <w:rPr>
          <w:rFonts w:ascii="宋体" w:hAnsi="宋体" w:cs="宋体" w:eastAsia="宋体" w:hint="default"/>
        </w:rPr>
        <w:t>A</w:t>
      </w:r>
      <w:r>
        <w:rPr>
          <w:rFonts w:ascii="宋体" w:hAnsi="宋体" w:cs="宋体" w:eastAsia="宋体" w:hint="default"/>
          <w:spacing w:val="-40"/>
        </w:rPr>
        <w:t> </w:t>
      </w:r>
      <w:r>
        <w:rPr>
          <w:spacing w:val="-7"/>
        </w:rPr>
        <w:t>股市场进入一轮下行周期。上证综指、深证成指全年分别下跌</w:t>
      </w:r>
      <w:r>
        <w:rPr>
          <w:spacing w:val="-36"/>
        </w:rPr>
        <w:t> </w:t>
      </w:r>
      <w:r>
        <w:rPr>
          <w:rFonts w:ascii="宋体" w:hAnsi="宋体" w:cs="宋体" w:eastAsia="宋体" w:hint="default"/>
          <w:spacing w:val="-6"/>
        </w:rPr>
        <w:t>24.59%</w:t>
      </w:r>
      <w:r>
        <w:rPr>
          <w:spacing w:val="-6"/>
        </w:rPr>
        <w:t>、</w:t>
      </w:r>
      <w:r>
        <w:rPr>
          <w:rFonts w:ascii="宋体" w:hAnsi="宋体" w:cs="宋体" w:eastAsia="宋体" w:hint="default"/>
          <w:spacing w:val="-6"/>
        </w:rPr>
        <w:t>34.42%</w:t>
      </w:r>
      <w:r>
        <w:rPr>
          <w:spacing w:val="-6"/>
        </w:rPr>
        <w:t>，</w:t>
      </w:r>
      <w:r>
        <w:rPr>
          <w:w w:val="100"/>
        </w:rPr>
        <w:t> </w:t>
      </w:r>
      <w:r>
        <w:rPr/>
        <w:t>双双创下</w:t>
      </w:r>
      <w:r>
        <w:rPr>
          <w:spacing w:val="-55"/>
        </w:rPr>
        <w:t> </w:t>
      </w:r>
      <w:r>
        <w:rPr>
          <w:rFonts w:ascii="宋体" w:hAnsi="宋体" w:cs="宋体" w:eastAsia="宋体" w:hint="default"/>
        </w:rPr>
        <w:t>2009</w:t>
      </w:r>
      <w:r>
        <w:rPr>
          <w:rFonts w:ascii="宋体" w:hAnsi="宋体" w:cs="宋体" w:eastAsia="宋体" w:hint="default"/>
          <w:spacing w:val="-57"/>
        </w:rPr>
        <w:t> </w:t>
      </w:r>
      <w:r>
        <w:rPr/>
        <w:t>年以来最大年跌幅；创业板指全年下跌</w:t>
      </w:r>
      <w:r>
        <w:rPr>
          <w:spacing w:val="-55"/>
        </w:rPr>
        <w:t> </w:t>
      </w:r>
      <w:r>
        <w:rPr>
          <w:rFonts w:ascii="宋体" w:hAnsi="宋体" w:cs="宋体" w:eastAsia="宋体" w:hint="default"/>
        </w:rPr>
        <w:t>28.65%</w:t>
      </w:r>
      <w:r>
        <w:rPr/>
        <w:t>，连续第三年下跌。</w:t>
      </w:r>
      <w:r>
        <w:rPr>
          <w:rFonts w:ascii="宋体" w:hAnsi="宋体" w:cs="宋体" w:eastAsia="宋体" w:hint="default"/>
        </w:rPr>
        <w:t>2018</w:t>
      </w:r>
      <w:r>
        <w:rPr>
          <w:rFonts w:ascii="宋体" w:hAnsi="宋体" w:cs="宋体" w:eastAsia="宋体" w:hint="default"/>
          <w:spacing w:val="-57"/>
        </w:rPr>
        <w:t> </w:t>
      </w:r>
      <w:r>
        <w:rPr/>
        <w:t>年沪深日均</w:t>
      </w:r>
      <w:r>
        <w:rPr>
          <w:w w:val="100"/>
        </w:rPr>
        <w:t> </w:t>
      </w:r>
      <w:r>
        <w:rPr/>
        <w:t>两市成交金额为</w:t>
      </w:r>
      <w:r>
        <w:rPr>
          <w:spacing w:val="-55"/>
        </w:rPr>
        <w:t> </w:t>
      </w:r>
      <w:r>
        <w:rPr>
          <w:rFonts w:ascii="宋体" w:hAnsi="宋体" w:cs="宋体" w:eastAsia="宋体" w:hint="default"/>
        </w:rPr>
        <w:t>3,693.96</w:t>
      </w:r>
      <w:r>
        <w:rPr>
          <w:rFonts w:ascii="宋体" w:hAnsi="宋体" w:cs="宋体" w:eastAsia="宋体" w:hint="default"/>
          <w:spacing w:val="-57"/>
        </w:rPr>
        <w:t> </w:t>
      </w:r>
      <w:r>
        <w:rPr/>
        <w:t>亿元，同比下降</w:t>
      </w:r>
      <w:r>
        <w:rPr>
          <w:spacing w:val="-55"/>
        </w:rPr>
        <w:t> </w:t>
      </w:r>
      <w:r>
        <w:rPr>
          <w:rFonts w:ascii="宋体" w:hAnsi="宋体" w:cs="宋体" w:eastAsia="宋体" w:hint="default"/>
        </w:rPr>
        <w:t>19.45%</w:t>
      </w:r>
      <w:r>
        <w:rPr/>
        <w:t>。受交易量及佣金费率下降影响，证券公司经纪</w:t>
      </w:r>
      <w:r>
        <w:rPr>
          <w:w w:val="100"/>
        </w:rPr>
        <w:t> </w:t>
      </w:r>
      <w:r>
        <w:rPr>
          <w:spacing w:val="-3"/>
        </w:rPr>
        <w:t>业务收入同比持续下滑。据中国证券业协会统计，证券行业</w:t>
      </w:r>
      <w:r>
        <w:rPr>
          <w:spacing w:val="-31"/>
        </w:rPr>
        <w:t> </w:t>
      </w:r>
      <w:r>
        <w:rPr>
          <w:rFonts w:ascii="宋体" w:hAnsi="宋体" w:cs="宋体" w:eastAsia="宋体" w:hint="default"/>
        </w:rPr>
        <w:t>2018</w:t>
      </w:r>
      <w:r>
        <w:rPr>
          <w:rFonts w:ascii="宋体" w:hAnsi="宋体" w:cs="宋体" w:eastAsia="宋体" w:hint="default"/>
          <w:spacing w:val="-35"/>
        </w:rPr>
        <w:t> </w:t>
      </w:r>
      <w:r>
        <w:rPr>
          <w:spacing w:val="-3"/>
        </w:rPr>
        <w:t>年代理买卖证券业务净收入（含席</w:t>
      </w:r>
      <w:r>
        <w:rPr>
          <w:spacing w:val="-96"/>
        </w:rPr>
        <w:t> </w:t>
      </w:r>
      <w:r>
        <w:rPr>
          <w:spacing w:val="-96"/>
        </w:rPr>
      </w:r>
      <w:r>
        <w:rPr/>
        <w:t>位租赁）为</w:t>
      </w:r>
      <w:r>
        <w:rPr>
          <w:spacing w:val="-54"/>
        </w:rPr>
        <w:t> </w:t>
      </w:r>
      <w:r>
        <w:rPr>
          <w:rFonts w:ascii="宋体" w:hAnsi="宋体" w:cs="宋体" w:eastAsia="宋体" w:hint="default"/>
        </w:rPr>
        <w:t>623.42</w:t>
      </w:r>
      <w:r>
        <w:rPr>
          <w:rFonts w:ascii="宋体" w:hAnsi="宋体" w:cs="宋体" w:eastAsia="宋体" w:hint="default"/>
          <w:spacing w:val="-56"/>
        </w:rPr>
        <w:t> </w:t>
      </w:r>
      <w:r>
        <w:rPr/>
        <w:t>亿元，同比减少</w:t>
      </w:r>
      <w:r>
        <w:rPr>
          <w:spacing w:val="-53"/>
        </w:rPr>
        <w:t> </w:t>
      </w:r>
      <w:r>
        <w:rPr>
          <w:rFonts w:ascii="宋体" w:hAnsi="宋体" w:cs="宋体" w:eastAsia="宋体" w:hint="default"/>
        </w:rPr>
        <w:t>24.06%</w:t>
      </w:r>
      <w:r>
        <w:rPr/>
        <w:t>。</w:t>
      </w:r>
    </w:p>
    <w:p>
      <w:pPr>
        <w:pStyle w:val="BodyText"/>
        <w:spacing w:line="357" w:lineRule="auto" w:before="30"/>
        <w:ind w:right="0" w:firstLine="420"/>
        <w:jc w:val="left"/>
      </w:pPr>
      <w:r>
        <w:rPr/>
        <w:t>公司紧紧围绕“财富管理转型攻坚战”的中心任务，加快证券经纪业务的改革步伐。</w:t>
      </w:r>
      <w:r>
        <w:rPr>
          <w:rFonts w:ascii="宋体" w:hAnsi="宋体" w:cs="宋体" w:eastAsia="宋体" w:hint="default"/>
        </w:rPr>
        <w:t>2018</w:t>
      </w:r>
      <w:r>
        <w:rPr>
          <w:rFonts w:ascii="宋体" w:hAnsi="宋体" w:cs="宋体" w:eastAsia="宋体" w:hint="default"/>
          <w:spacing w:val="23"/>
        </w:rPr>
        <w:t> </w:t>
      </w:r>
      <w:r>
        <w:rPr/>
        <w:t>年，</w:t>
      </w:r>
      <w:r>
        <w:rPr>
          <w:spacing w:val="2"/>
          <w:w w:val="100"/>
        </w:rPr>
        <w:t> </w:t>
      </w:r>
      <w:r>
        <w:rPr>
          <w:spacing w:val="-9"/>
        </w:rPr>
        <w:t>公司股票基金交易量（含两融）为</w:t>
      </w:r>
      <w:r>
        <w:rPr>
          <w:spacing w:val="-38"/>
        </w:rPr>
        <w:t> </w:t>
      </w:r>
      <w:r>
        <w:rPr>
          <w:rFonts w:ascii="宋体" w:hAnsi="宋体" w:cs="宋体" w:eastAsia="宋体" w:hint="default"/>
        </w:rPr>
        <w:t>2.51</w:t>
      </w:r>
      <w:r>
        <w:rPr>
          <w:rFonts w:ascii="宋体" w:hAnsi="宋体" w:cs="宋体" w:eastAsia="宋体" w:hint="default"/>
          <w:spacing w:val="-42"/>
        </w:rPr>
        <w:t> </w:t>
      </w:r>
      <w:r>
        <w:rPr>
          <w:spacing w:val="-5"/>
        </w:rPr>
        <w:t>万亿元，公司经纪业务客户数量同比增长</w:t>
      </w:r>
      <w:r>
        <w:rPr>
          <w:spacing w:val="-39"/>
        </w:rPr>
        <w:t> </w:t>
      </w:r>
      <w:r>
        <w:rPr>
          <w:rFonts w:ascii="宋体" w:hAnsi="宋体" w:cs="宋体" w:eastAsia="宋体" w:hint="default"/>
          <w:spacing w:val="-7"/>
        </w:rPr>
        <w:t>9.83%</w:t>
      </w:r>
      <w:r>
        <w:rPr>
          <w:spacing w:val="-7"/>
        </w:rPr>
        <w:t>。报告期内，</w:t>
      </w:r>
      <w:r>
        <w:rPr>
          <w:spacing w:val="-71"/>
        </w:rPr>
        <w:t> </w:t>
      </w:r>
      <w:r>
        <w:rPr>
          <w:spacing w:val="-71"/>
        </w:rPr>
      </w:r>
      <w:r>
        <w:rPr/>
        <w:t>公司加强产品销售策略的研究，稳步开展资管固收、优质权益类私募产品的引入和销售工作，重点</w:t>
      </w:r>
      <w:r>
        <w:rPr>
          <w:w w:val="100"/>
        </w:rPr>
        <w:t> </w:t>
      </w:r>
      <w:r>
        <w:rPr/>
        <w:t>加大公募基金的引进力度。</w:t>
      </w:r>
      <w:r>
        <w:rPr>
          <w:rFonts w:ascii="宋体" w:hAnsi="宋体" w:cs="宋体" w:eastAsia="宋体" w:hint="default"/>
        </w:rPr>
        <w:t>2018</w:t>
      </w:r>
      <w:r>
        <w:rPr>
          <w:rFonts w:ascii="宋体" w:hAnsi="宋体" w:cs="宋体" w:eastAsia="宋体" w:hint="default"/>
          <w:spacing w:val="-57"/>
        </w:rPr>
        <w:t> </w:t>
      </w:r>
      <w:r>
        <w:rPr/>
        <w:t>年，公司金融产品保有量占总资产的比重同比增长</w:t>
      </w:r>
      <w:r>
        <w:rPr>
          <w:spacing w:val="-57"/>
        </w:rPr>
        <w:t> </w:t>
      </w:r>
      <w:r>
        <w:rPr>
          <w:rFonts w:ascii="宋体" w:hAnsi="宋体" w:cs="宋体" w:eastAsia="宋体" w:hint="default"/>
        </w:rPr>
        <w:t>10%</w:t>
      </w:r>
      <w:r>
        <w:rPr/>
        <w:t>。</w:t>
      </w:r>
    </w:p>
    <w:p>
      <w:pPr>
        <w:pStyle w:val="BodyText"/>
        <w:spacing w:line="357" w:lineRule="auto" w:before="30"/>
        <w:ind w:right="209" w:firstLine="420"/>
        <w:jc w:val="both"/>
      </w:pPr>
      <w:r>
        <w:rPr/>
        <w:t>公司以客户需求为中心，持续加强线上线下协同服务能力。线上以</w:t>
      </w:r>
      <w:r>
        <w:rPr>
          <w:spacing w:val="-54"/>
        </w:rPr>
        <w:t> </w:t>
      </w:r>
      <w:r>
        <w:rPr>
          <w:rFonts w:ascii="宋体" w:hAnsi="宋体" w:cs="宋体" w:eastAsia="宋体" w:hint="default"/>
        </w:rPr>
        <w:t>APP</w:t>
      </w:r>
      <w:r>
        <w:rPr>
          <w:rFonts w:ascii="宋体" w:hAnsi="宋体" w:cs="宋体" w:eastAsia="宋体" w:hint="default"/>
          <w:spacing w:val="-56"/>
        </w:rPr>
        <w:t> </w:t>
      </w:r>
      <w:r>
        <w:rPr/>
        <w:t>等互联网平台为抓手和</w:t>
      </w:r>
      <w:r>
        <w:rPr>
          <w:w w:val="100"/>
        </w:rPr>
        <w:t> </w:t>
      </w:r>
      <w:r>
        <w:rPr>
          <w:spacing w:val="-6"/>
        </w:rPr>
        <w:t>载体，建立互联网服务营销运营体系；线下扎实推进分支机构的规划布局，加强分支机构队伍管理，</w:t>
      </w:r>
      <w:r>
        <w:rPr>
          <w:spacing w:val="-20"/>
        </w:rPr>
        <w:t> </w:t>
      </w:r>
      <w:r>
        <w:rPr>
          <w:spacing w:val="-20"/>
        </w:rPr>
      </w:r>
      <w:r>
        <w:rPr>
          <w:spacing w:val="-2"/>
        </w:rPr>
        <w:t>优化结构谋转型。报告期内，公司与蚂蚁金服签订战略合作协议，重点聚焦财富管理领域，在金融</w:t>
      </w:r>
      <w:r>
        <w:rPr>
          <w:spacing w:val="-26"/>
        </w:rPr>
        <w:t> </w:t>
      </w:r>
      <w:r>
        <w:rPr>
          <w:spacing w:val="-26"/>
        </w:rPr>
      </w:r>
      <w:r>
        <w:rPr>
          <w:spacing w:val="-2"/>
        </w:rPr>
        <w:t>云、智能风控平台、金融产品服务等方面展开全面合作。在“券商中国”举办的“</w:t>
      </w:r>
      <w:r>
        <w:rPr>
          <w:rFonts w:ascii="宋体" w:hAnsi="宋体" w:cs="宋体" w:eastAsia="宋体" w:hint="default"/>
          <w:spacing w:val="-2"/>
        </w:rPr>
        <w:t>2018</w:t>
      </w:r>
      <w:r>
        <w:rPr>
          <w:rFonts w:ascii="宋体" w:hAnsi="宋体" w:cs="宋体" w:eastAsia="宋体" w:hint="default"/>
        </w:rPr>
        <w:t> </w:t>
      </w:r>
      <w:r>
        <w:rPr>
          <w:spacing w:val="-2"/>
        </w:rPr>
        <w:t>年优秀证券</w:t>
      </w:r>
      <w:r>
        <w:rPr>
          <w:spacing w:val="-89"/>
        </w:rPr>
        <w:t> </w:t>
      </w:r>
      <w:r>
        <w:rPr>
          <w:spacing w:val="-89"/>
        </w:rPr>
      </w:r>
      <w:r>
        <w:rPr/>
        <w:t>公司</w:t>
      </w:r>
      <w:r>
        <w:rPr>
          <w:spacing w:val="-43"/>
        </w:rPr>
        <w:t> </w:t>
      </w:r>
      <w:r>
        <w:rPr>
          <w:rFonts w:ascii="宋体" w:hAnsi="宋体" w:cs="宋体" w:eastAsia="宋体" w:hint="default"/>
        </w:rPr>
        <w:t>APP</w:t>
      </w:r>
      <w:r>
        <w:rPr>
          <w:rFonts w:ascii="宋体" w:hAnsi="宋体" w:cs="宋体" w:eastAsia="宋体" w:hint="default"/>
          <w:spacing w:val="-43"/>
        </w:rPr>
        <w:t> </w:t>
      </w:r>
      <w:r>
        <w:rPr>
          <w:spacing w:val="-8"/>
        </w:rPr>
        <w:t>评选”中，公司囊获“券商</w:t>
      </w:r>
      <w:r>
        <w:rPr>
          <w:spacing w:val="-42"/>
        </w:rPr>
        <w:t> </w:t>
      </w:r>
      <w:r>
        <w:rPr>
          <w:rFonts w:ascii="宋体" w:hAnsi="宋体" w:cs="宋体" w:eastAsia="宋体" w:hint="default"/>
        </w:rPr>
        <w:t>APP</w:t>
      </w:r>
      <w:r>
        <w:rPr>
          <w:rFonts w:ascii="宋体" w:hAnsi="宋体" w:cs="宋体" w:eastAsia="宋体" w:hint="default"/>
          <w:spacing w:val="-46"/>
        </w:rPr>
        <w:t> </w:t>
      </w:r>
      <w:r>
        <w:rPr>
          <w:spacing w:val="-9"/>
        </w:rPr>
        <w:t>突破创新奖”、“券商</w:t>
      </w:r>
      <w:r>
        <w:rPr>
          <w:spacing w:val="-42"/>
        </w:rPr>
        <w:t> </w:t>
      </w:r>
      <w:r>
        <w:rPr>
          <w:rFonts w:ascii="宋体" w:hAnsi="宋体" w:cs="宋体" w:eastAsia="宋体" w:hint="default"/>
        </w:rPr>
        <w:t>APP</w:t>
      </w:r>
      <w:r>
        <w:rPr>
          <w:rFonts w:ascii="宋体" w:hAnsi="宋体" w:cs="宋体" w:eastAsia="宋体" w:hint="default"/>
          <w:spacing w:val="-43"/>
        </w:rPr>
        <w:t> </w:t>
      </w:r>
      <w:r>
        <w:rPr>
          <w:spacing w:val="-4"/>
        </w:rPr>
        <w:t>综合服务满意奖”等两项大奖。</w:t>
      </w:r>
    </w:p>
    <w:p>
      <w:pPr>
        <w:pStyle w:val="Heading5"/>
        <w:spacing w:line="240" w:lineRule="auto" w:before="31"/>
        <w:ind w:left="698" w:right="0"/>
        <w:jc w:val="left"/>
        <w:rPr>
          <w:b w:val="0"/>
          <w:bCs w:val="0"/>
        </w:rPr>
      </w:pPr>
      <w:r>
        <w:rPr/>
        <w:t>（二）投资银行业务</w:t>
      </w:r>
      <w:r>
        <w:rPr>
          <w:b w:val="0"/>
          <w:bCs w:val="0"/>
        </w:rPr>
      </w:r>
    </w:p>
    <w:p>
      <w:pPr>
        <w:pStyle w:val="BodyText"/>
        <w:spacing w:line="240" w:lineRule="auto" w:before="133"/>
        <w:ind w:left="698" w:right="0"/>
        <w:jc w:val="left"/>
      </w:pPr>
      <w:r>
        <w:rPr>
          <w:rFonts w:ascii="宋体" w:hAnsi="宋体" w:cs="宋体" w:eastAsia="宋体" w:hint="default"/>
        </w:rPr>
        <w:t>2018</w:t>
      </w:r>
      <w:r>
        <w:rPr>
          <w:rFonts w:ascii="宋体" w:hAnsi="宋体" w:cs="宋体" w:eastAsia="宋体" w:hint="default"/>
          <w:spacing w:val="-56"/>
        </w:rPr>
        <w:t> </w:t>
      </w:r>
      <w:r>
        <w:rPr/>
        <w:t>年，</w:t>
      </w:r>
      <w:r>
        <w:rPr>
          <w:rFonts w:ascii="宋体" w:hAnsi="宋体" w:cs="宋体" w:eastAsia="宋体" w:hint="default"/>
        </w:rPr>
        <w:t>A</w:t>
      </w:r>
      <w:r>
        <w:rPr>
          <w:rFonts w:ascii="宋体" w:hAnsi="宋体" w:cs="宋体" w:eastAsia="宋体" w:hint="default"/>
          <w:spacing w:val="-56"/>
        </w:rPr>
        <w:t> </w:t>
      </w:r>
      <w:r>
        <w:rPr/>
        <w:t>股市场</w:t>
      </w:r>
      <w:r>
        <w:rPr>
          <w:spacing w:val="-53"/>
        </w:rPr>
        <w:t> </w:t>
      </w:r>
      <w:r>
        <w:rPr>
          <w:rFonts w:ascii="宋体" w:hAnsi="宋体" w:cs="宋体" w:eastAsia="宋体" w:hint="default"/>
        </w:rPr>
        <w:t>IPO</w:t>
      </w:r>
      <w:r>
        <w:rPr>
          <w:rFonts w:ascii="宋体" w:hAnsi="宋体" w:cs="宋体" w:eastAsia="宋体" w:hint="default"/>
          <w:spacing w:val="-53"/>
        </w:rPr>
        <w:t> </w:t>
      </w:r>
      <w:r>
        <w:rPr/>
        <w:t>发行家数</w:t>
      </w:r>
      <w:r>
        <w:rPr>
          <w:spacing w:val="-53"/>
        </w:rPr>
        <w:t> </w:t>
      </w:r>
      <w:r>
        <w:rPr>
          <w:rFonts w:ascii="宋体" w:hAnsi="宋体" w:cs="宋体" w:eastAsia="宋体" w:hint="default"/>
        </w:rPr>
        <w:t>105</w:t>
      </w:r>
      <w:r>
        <w:rPr>
          <w:rFonts w:ascii="宋体" w:hAnsi="宋体" w:cs="宋体" w:eastAsia="宋体" w:hint="default"/>
          <w:spacing w:val="-56"/>
        </w:rPr>
        <w:t> </w:t>
      </w:r>
      <w:r>
        <w:rPr/>
        <w:t>家，同比减少</w:t>
      </w:r>
      <w:r>
        <w:rPr>
          <w:spacing w:val="-56"/>
        </w:rPr>
        <w:t> </w:t>
      </w:r>
      <w:r>
        <w:rPr>
          <w:rFonts w:ascii="宋体" w:hAnsi="宋体" w:cs="宋体" w:eastAsia="宋体" w:hint="default"/>
        </w:rPr>
        <w:t>333</w:t>
      </w:r>
      <w:r>
        <w:rPr>
          <w:rFonts w:ascii="宋体" w:hAnsi="宋体" w:cs="宋体" w:eastAsia="宋体" w:hint="default"/>
          <w:spacing w:val="-53"/>
        </w:rPr>
        <w:t> </w:t>
      </w:r>
      <w:r>
        <w:rPr/>
        <w:t>家；首发融资规模同比减少</w:t>
      </w:r>
      <w:r>
        <w:rPr>
          <w:spacing w:val="-53"/>
        </w:rPr>
        <w:t> </w:t>
      </w:r>
      <w:r>
        <w:rPr>
          <w:rFonts w:ascii="宋体" w:hAnsi="宋体" w:cs="宋体" w:eastAsia="宋体" w:hint="default"/>
        </w:rPr>
        <w:t>40.11%</w:t>
      </w:r>
      <w:r>
        <w:rPr/>
        <w:t>至</w:t>
      </w:r>
    </w:p>
    <w:p>
      <w:pPr>
        <w:pStyle w:val="BodyText"/>
        <w:spacing w:line="240" w:lineRule="auto" w:before="133"/>
        <w:ind w:right="0"/>
        <w:jc w:val="left"/>
      </w:pPr>
      <w:r>
        <w:rPr>
          <w:rFonts w:ascii="宋体" w:hAnsi="宋体" w:cs="宋体" w:eastAsia="宋体" w:hint="default"/>
        </w:rPr>
        <w:t>1,378.15</w:t>
      </w:r>
      <w:r>
        <w:rPr>
          <w:rFonts w:ascii="宋体" w:hAnsi="宋体" w:cs="宋体" w:eastAsia="宋体" w:hint="default"/>
          <w:spacing w:val="-57"/>
        </w:rPr>
        <w:t> </w:t>
      </w:r>
      <w:r>
        <w:rPr/>
        <w:t>亿元；再融资规模同比减少</w:t>
      </w:r>
      <w:r>
        <w:rPr>
          <w:spacing w:val="-55"/>
        </w:rPr>
        <w:t> </w:t>
      </w:r>
      <w:r>
        <w:rPr>
          <w:rFonts w:ascii="宋体" w:hAnsi="宋体" w:cs="宋体" w:eastAsia="宋体" w:hint="default"/>
        </w:rPr>
        <w:t>40.78%</w:t>
      </w:r>
      <w:r>
        <w:rPr/>
        <w:t>至</w:t>
      </w:r>
      <w:r>
        <w:rPr>
          <w:spacing w:val="-55"/>
        </w:rPr>
        <w:t> </w:t>
      </w:r>
      <w:r>
        <w:rPr>
          <w:rFonts w:ascii="宋体" w:hAnsi="宋体" w:cs="宋体" w:eastAsia="宋体" w:hint="default"/>
        </w:rPr>
        <w:t>7,523.52</w:t>
      </w:r>
      <w:r>
        <w:rPr>
          <w:rFonts w:ascii="宋体" w:hAnsi="宋体" w:cs="宋体" w:eastAsia="宋体" w:hint="default"/>
          <w:spacing w:val="-57"/>
        </w:rPr>
        <w:t> </w:t>
      </w:r>
      <w:r>
        <w:rPr/>
        <w:t>亿元；债券融资</w:t>
      </w:r>
      <w:r>
        <w:rPr>
          <w:rFonts w:ascii="宋体" w:hAnsi="宋体" w:cs="宋体" w:eastAsia="宋体" w:hint="default"/>
          <w:position w:val="11"/>
          <w:sz w:val="11"/>
          <w:szCs w:val="11"/>
        </w:rPr>
        <w:t>1</w:t>
      </w:r>
      <w:r>
        <w:rPr/>
        <w:t>规模同比增加</w:t>
      </w:r>
      <w:r>
        <w:rPr>
          <w:spacing w:val="-54"/>
        </w:rPr>
        <w:t> </w:t>
      </w:r>
      <w:r>
        <w:rPr>
          <w:rFonts w:ascii="宋体" w:hAnsi="宋体" w:cs="宋体" w:eastAsia="宋体" w:hint="default"/>
        </w:rPr>
        <w:t>26.59%</w:t>
      </w:r>
      <w:r>
        <w:rPr/>
        <w:t>至</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4.04 </w:t>
      </w:r>
      <w:r>
        <w:rPr>
          <w:spacing w:val="-6"/>
        </w:rPr>
        <w:t>万亿元。新三板市场持续低迷，首年出现摘牌数大于新增挂牌数的情况，全年新增挂牌家数</w:t>
      </w:r>
      <w:r>
        <w:rPr>
          <w:spacing w:val="-48"/>
        </w:rPr>
        <w:t> </w:t>
      </w:r>
      <w:r>
        <w:rPr>
          <w:rFonts w:ascii="宋体" w:hAnsi="宋体" w:cs="宋体" w:eastAsia="宋体" w:hint="default"/>
        </w:rPr>
        <w:t>577</w:t>
      </w:r>
    </w:p>
    <w:p>
      <w:pPr>
        <w:pStyle w:val="BodyText"/>
        <w:spacing w:line="240" w:lineRule="auto" w:before="135"/>
        <w:ind w:right="0"/>
        <w:jc w:val="left"/>
      </w:pPr>
      <w:r>
        <w:rPr/>
        <w:t>家，新增摘牌家数</w:t>
      </w:r>
      <w:r>
        <w:rPr>
          <w:spacing w:val="-53"/>
        </w:rPr>
        <w:t> </w:t>
      </w:r>
      <w:r>
        <w:rPr>
          <w:rFonts w:ascii="宋体" w:hAnsi="宋体" w:cs="宋体" w:eastAsia="宋体" w:hint="default"/>
        </w:rPr>
        <w:t>1,517</w:t>
      </w:r>
      <w:r>
        <w:rPr>
          <w:rFonts w:ascii="宋体" w:hAnsi="宋体" w:cs="宋体" w:eastAsia="宋体" w:hint="default"/>
          <w:spacing w:val="-55"/>
        </w:rPr>
        <w:t> </w:t>
      </w:r>
      <w:r>
        <w:rPr/>
        <w:t>家，年末累计挂牌家数</w:t>
      </w:r>
      <w:r>
        <w:rPr>
          <w:spacing w:val="-52"/>
        </w:rPr>
        <w:t> </w:t>
      </w:r>
      <w:r>
        <w:rPr>
          <w:rFonts w:ascii="宋体" w:hAnsi="宋体" w:cs="宋体" w:eastAsia="宋体" w:hint="default"/>
        </w:rPr>
        <w:t>10,691</w:t>
      </w:r>
      <w:r>
        <w:rPr>
          <w:rFonts w:ascii="宋体" w:hAnsi="宋体" w:cs="宋体" w:eastAsia="宋体" w:hint="default"/>
          <w:spacing w:val="-55"/>
        </w:rPr>
        <w:t> </w:t>
      </w:r>
      <w:r>
        <w:rPr/>
        <w:t>家。</w:t>
      </w:r>
    </w:p>
    <w:p>
      <w:pPr>
        <w:pStyle w:val="BodyText"/>
        <w:spacing w:line="240" w:lineRule="auto" w:before="133"/>
        <w:ind w:left="698" w:right="0"/>
        <w:jc w:val="left"/>
      </w:pPr>
      <w:r>
        <w:rPr/>
        <w:t>报告期内，公司股债承销只数为</w:t>
      </w:r>
      <w:r>
        <w:rPr>
          <w:spacing w:val="-48"/>
        </w:rPr>
        <w:t> </w:t>
      </w:r>
      <w:r>
        <w:rPr>
          <w:rFonts w:ascii="宋体" w:hAnsi="宋体" w:cs="宋体" w:eastAsia="宋体" w:hint="default"/>
        </w:rPr>
        <w:t>36</w:t>
      </w:r>
      <w:r>
        <w:rPr>
          <w:rFonts w:ascii="宋体" w:hAnsi="宋体" w:cs="宋体" w:eastAsia="宋体" w:hint="default"/>
          <w:spacing w:val="-50"/>
        </w:rPr>
        <w:t> </w:t>
      </w:r>
      <w:r>
        <w:rPr>
          <w:spacing w:val="-3"/>
        </w:rPr>
        <w:t>只，总承销金额</w:t>
      </w:r>
      <w:r>
        <w:rPr>
          <w:spacing w:val="-46"/>
        </w:rPr>
        <w:t> </w:t>
      </w:r>
      <w:r>
        <w:rPr>
          <w:rFonts w:ascii="宋体" w:hAnsi="宋体" w:cs="宋体" w:eastAsia="宋体" w:hint="default"/>
        </w:rPr>
        <w:t>205.10</w:t>
      </w:r>
      <w:r>
        <w:rPr>
          <w:rFonts w:ascii="宋体" w:hAnsi="宋体" w:cs="宋体" w:eastAsia="宋体" w:hint="default"/>
          <w:spacing w:val="-50"/>
        </w:rPr>
        <w:t> </w:t>
      </w:r>
      <w:r>
        <w:rPr>
          <w:spacing w:val="-3"/>
        </w:rPr>
        <w:t>亿元，同比增长</w:t>
      </w:r>
      <w:r>
        <w:rPr>
          <w:spacing w:val="-46"/>
        </w:rPr>
        <w:t> </w:t>
      </w:r>
      <w:r>
        <w:rPr>
          <w:rFonts w:ascii="宋体" w:hAnsi="宋体" w:cs="宋体" w:eastAsia="宋体" w:hint="default"/>
          <w:spacing w:val="-4"/>
        </w:rPr>
        <w:t>62%</w:t>
      </w:r>
      <w:r>
        <w:rPr>
          <w:spacing w:val="-4"/>
        </w:rPr>
        <w:t>；其中，企业</w:t>
      </w:r>
    </w:p>
    <w:p>
      <w:pPr>
        <w:pStyle w:val="BodyText"/>
        <w:spacing w:line="240" w:lineRule="auto" w:before="133"/>
        <w:ind w:right="0"/>
        <w:jc w:val="left"/>
      </w:pPr>
      <w:r>
        <w:rPr/>
        <w:t>债承销金额</w:t>
      </w:r>
      <w:r>
        <w:rPr>
          <w:spacing w:val="-57"/>
        </w:rPr>
        <w:t> </w:t>
      </w:r>
      <w:r>
        <w:rPr>
          <w:rFonts w:ascii="宋体" w:hAnsi="宋体" w:cs="宋体" w:eastAsia="宋体" w:hint="default"/>
        </w:rPr>
        <w:t>98.40</w:t>
      </w:r>
      <w:r>
        <w:rPr>
          <w:rFonts w:ascii="宋体" w:hAnsi="宋体" w:cs="宋体" w:eastAsia="宋体" w:hint="default"/>
          <w:spacing w:val="-57"/>
        </w:rPr>
        <w:t> </w:t>
      </w:r>
      <w:r>
        <w:rPr/>
        <w:t>亿元，排名全国第四位。公司股权融资业务项目储备有增加，服务实体经济的能</w:t>
      </w:r>
    </w:p>
    <w:p>
      <w:pPr>
        <w:pStyle w:val="BodyText"/>
        <w:spacing w:line="357" w:lineRule="auto" w:before="133"/>
        <w:ind w:right="0"/>
        <w:jc w:val="left"/>
      </w:pPr>
      <w:r>
        <w:rPr/>
        <w:t>力有所增强；全年共完成</w:t>
      </w:r>
      <w:r>
        <w:rPr>
          <w:spacing w:val="-56"/>
        </w:rPr>
        <w:t> </w:t>
      </w:r>
      <w:r>
        <w:rPr>
          <w:rFonts w:ascii="宋体" w:hAnsi="宋体" w:cs="宋体" w:eastAsia="宋体" w:hint="default"/>
        </w:rPr>
        <w:t>1</w:t>
      </w:r>
      <w:r>
        <w:rPr>
          <w:rFonts w:ascii="宋体" w:hAnsi="宋体" w:cs="宋体" w:eastAsia="宋体" w:hint="default"/>
          <w:spacing w:val="-53"/>
        </w:rPr>
        <w:t> </w:t>
      </w:r>
      <w:r>
        <w:rPr/>
        <w:t>单可转债的发行（联主），我司承销金额</w:t>
      </w:r>
      <w:r>
        <w:rPr>
          <w:spacing w:val="-54"/>
        </w:rPr>
        <w:t> </w:t>
      </w:r>
      <w:r>
        <w:rPr>
          <w:rFonts w:ascii="宋体" w:hAnsi="宋体" w:cs="宋体" w:eastAsia="宋体" w:hint="default"/>
        </w:rPr>
        <w:t>11.40</w:t>
      </w:r>
      <w:r>
        <w:rPr>
          <w:rFonts w:ascii="宋体" w:hAnsi="宋体" w:cs="宋体" w:eastAsia="宋体" w:hint="default"/>
          <w:spacing w:val="-56"/>
        </w:rPr>
        <w:t> </w:t>
      </w:r>
      <w:r>
        <w:rPr/>
        <w:t>亿元；完成</w:t>
      </w:r>
      <w:r>
        <w:rPr>
          <w:spacing w:val="-53"/>
        </w:rPr>
        <w:t> </w:t>
      </w:r>
      <w:r>
        <w:rPr>
          <w:rFonts w:ascii="宋体" w:hAnsi="宋体" w:cs="宋体" w:eastAsia="宋体" w:hint="default"/>
        </w:rPr>
        <w:t>5</w:t>
      </w:r>
      <w:r>
        <w:rPr>
          <w:rFonts w:ascii="宋体" w:hAnsi="宋体" w:cs="宋体" w:eastAsia="宋体" w:hint="default"/>
          <w:spacing w:val="-54"/>
        </w:rPr>
        <w:t> </w:t>
      </w:r>
      <w:r>
        <w:rPr/>
        <w:t>单股权项</w:t>
      </w:r>
      <w:r>
        <w:rPr>
          <w:w w:val="100"/>
        </w:rPr>
        <w:t> </w:t>
      </w:r>
      <w:r>
        <w:rPr>
          <w:spacing w:val="-4"/>
        </w:rPr>
        <w:t>目申报，全部为浙江省内项目，辅导备案</w:t>
      </w:r>
      <w:r>
        <w:rPr>
          <w:spacing w:val="-46"/>
        </w:rPr>
        <w:t> </w:t>
      </w:r>
      <w:r>
        <w:rPr>
          <w:rFonts w:ascii="宋体" w:hAnsi="宋体" w:cs="宋体" w:eastAsia="宋体" w:hint="default"/>
        </w:rPr>
        <w:t>IPO</w:t>
      </w:r>
      <w:r>
        <w:rPr>
          <w:rFonts w:ascii="宋体" w:hAnsi="宋体" w:cs="宋体" w:eastAsia="宋体" w:hint="default"/>
          <w:spacing w:val="-46"/>
        </w:rPr>
        <w:t> </w:t>
      </w:r>
      <w:r>
        <w:rPr/>
        <w:t>企业</w:t>
      </w:r>
      <w:r>
        <w:rPr>
          <w:spacing w:val="-46"/>
        </w:rPr>
        <w:t> </w:t>
      </w:r>
      <w:r>
        <w:rPr>
          <w:rFonts w:ascii="宋体" w:hAnsi="宋体" w:cs="宋体" w:eastAsia="宋体" w:hint="default"/>
        </w:rPr>
        <w:t>12</w:t>
      </w:r>
      <w:r>
        <w:rPr>
          <w:rFonts w:ascii="宋体" w:hAnsi="宋体" w:cs="宋体" w:eastAsia="宋体" w:hint="default"/>
          <w:spacing w:val="-44"/>
        </w:rPr>
        <w:t> </w:t>
      </w:r>
      <w:r>
        <w:rPr>
          <w:spacing w:val="-3"/>
        </w:rPr>
        <w:t>家。为浙江企业承销的债券融资规模达</w:t>
      </w:r>
      <w:r>
        <w:rPr>
          <w:spacing w:val="-44"/>
        </w:rPr>
        <w:t> </w:t>
      </w:r>
      <w:r>
        <w:rPr>
          <w:rFonts w:ascii="宋体" w:hAnsi="宋体" w:cs="宋体" w:eastAsia="宋体" w:hint="default"/>
        </w:rPr>
        <w:t>184</w:t>
      </w:r>
      <w:r>
        <w:rPr>
          <w:rFonts w:ascii="宋体" w:hAnsi="宋体" w:cs="宋体" w:eastAsia="宋体" w:hint="default"/>
          <w:spacing w:val="-44"/>
        </w:rPr>
        <w:t> </w:t>
      </w:r>
      <w:r>
        <w:rPr/>
        <w:t>亿</w:t>
      </w:r>
    </w:p>
    <w:p>
      <w:pPr>
        <w:spacing w:line="240" w:lineRule="auto" w:before="2"/>
        <w:rPr>
          <w:rFonts w:ascii="宋体" w:hAnsi="宋体" w:cs="宋体" w:eastAsia="宋体" w:hint="default"/>
          <w:sz w:val="18"/>
          <w:szCs w:val="1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144.65pt;height:.6pt;mso-position-horizontal-relative:char;mso-position-vertical-relative:line" coordorigin="0,0" coordsize="2893,12">
            <v:group style="position:absolute;left:6;top:6;width:2881;height:2" coordorigin="6,6" coordsize="2881,2">
              <v:shape style="position:absolute;left:6;top:6;width:2881;height:2" coordorigin="6,6" coordsize="2881,0" path="m6,6l2886,6e" filled="false" stroked="true" strokeweight=".60004pt" strokecolor="#000000">
                <v:path arrowok="t"/>
              </v:shape>
            </v:group>
          </v:group>
        </w:pict>
      </w:r>
      <w:r>
        <w:rPr>
          <w:rFonts w:ascii="宋体" w:hAnsi="宋体" w:cs="宋体" w:eastAsia="宋体" w:hint="default"/>
          <w:sz w:val="2"/>
          <w:szCs w:val="2"/>
        </w:rPr>
      </w:r>
    </w:p>
    <w:p>
      <w:pPr>
        <w:spacing w:before="81"/>
        <w:ind w:left="138" w:right="0" w:firstLine="0"/>
        <w:jc w:val="left"/>
        <w:rPr>
          <w:rFonts w:ascii="宋体" w:hAnsi="宋体" w:cs="宋体" w:eastAsia="宋体" w:hint="default"/>
          <w:sz w:val="18"/>
          <w:szCs w:val="18"/>
        </w:rPr>
      </w:pPr>
      <w:r>
        <w:rPr>
          <w:rFonts w:ascii="Calibri" w:hAnsi="Calibri" w:cs="Calibri" w:eastAsia="Calibri" w:hint="default"/>
          <w:position w:val="9"/>
          <w:sz w:val="12"/>
          <w:szCs w:val="12"/>
        </w:rPr>
        <w:t>1</w:t>
      </w:r>
      <w:r>
        <w:rPr>
          <w:rFonts w:ascii="宋体" w:hAnsi="宋体" w:cs="宋体" w:eastAsia="宋体" w:hint="default"/>
          <w:sz w:val="18"/>
          <w:szCs w:val="18"/>
        </w:rPr>
        <w:t>债券融资规模口径为信用债融资规模，包括公司债、企业债、可转债、可交债、</w:t>
      </w:r>
      <w:r>
        <w:rPr>
          <w:rFonts w:ascii="Calibri" w:hAnsi="Calibri" w:cs="Calibri" w:eastAsia="Calibri" w:hint="default"/>
          <w:sz w:val="18"/>
          <w:szCs w:val="18"/>
        </w:rPr>
        <w:t>ABS</w:t>
      </w:r>
      <w:r>
        <w:rPr>
          <w:rFonts w:ascii="Calibri" w:hAnsi="Calibri" w:cs="Calibri" w:eastAsia="Calibri" w:hint="default"/>
          <w:spacing w:val="2"/>
          <w:sz w:val="18"/>
          <w:szCs w:val="18"/>
        </w:rPr>
        <w:t> </w:t>
      </w:r>
      <w:r>
        <w:rPr>
          <w:rFonts w:ascii="宋体" w:hAnsi="宋体" w:cs="宋体" w:eastAsia="宋体" w:hint="default"/>
          <w:sz w:val="18"/>
          <w:szCs w:val="18"/>
        </w:rPr>
        <w:t>五类债券品种。</w:t>
      </w:r>
    </w:p>
    <w:p>
      <w:pPr>
        <w:spacing w:after="0"/>
        <w:jc w:val="left"/>
        <w:rPr>
          <w:rFonts w:ascii="宋体" w:hAnsi="宋体" w:cs="宋体" w:eastAsia="宋体" w:hint="default"/>
          <w:sz w:val="18"/>
          <w:szCs w:val="18"/>
        </w:rPr>
        <w:sectPr>
          <w:pgSz w:w="11910" w:h="16840"/>
          <w:pgMar w:header="880" w:footer="1195" w:top="1060" w:bottom="1380" w:left="1280" w:right="1200"/>
        </w:sectPr>
      </w:pPr>
    </w:p>
    <w:p>
      <w:pPr>
        <w:spacing w:line="240" w:lineRule="auto" w:before="8"/>
        <w:rPr>
          <w:rFonts w:ascii="宋体" w:hAnsi="宋体" w:cs="宋体" w:eastAsia="宋体" w:hint="default"/>
          <w:sz w:val="28"/>
          <w:szCs w:val="28"/>
        </w:rPr>
      </w:pPr>
    </w:p>
    <w:p>
      <w:pPr>
        <w:pStyle w:val="BodyText"/>
        <w:spacing w:line="357" w:lineRule="auto" w:before="36"/>
        <w:ind w:right="0"/>
        <w:jc w:val="left"/>
      </w:pPr>
      <w:r>
        <w:rPr>
          <w:spacing w:val="-3"/>
        </w:rPr>
        <w:t>元，成功发行了“</w:t>
      </w:r>
      <w:r>
        <w:rPr>
          <w:rFonts w:ascii="宋体" w:hAnsi="宋体" w:cs="宋体" w:eastAsia="宋体" w:hint="default"/>
          <w:spacing w:val="-3"/>
        </w:rPr>
        <w:t>18</w:t>
      </w:r>
      <w:r>
        <w:rPr>
          <w:rFonts w:ascii="宋体" w:hAnsi="宋体" w:cs="宋体" w:eastAsia="宋体" w:hint="default"/>
          <w:spacing w:val="-24"/>
        </w:rPr>
        <w:t> </w:t>
      </w:r>
      <w:r>
        <w:rPr>
          <w:spacing w:val="-4"/>
        </w:rPr>
        <w:t>春蕾”扶贫专项公司债券，“</w:t>
      </w:r>
      <w:r>
        <w:rPr>
          <w:rFonts w:ascii="宋体" w:hAnsi="宋体" w:cs="宋体" w:eastAsia="宋体" w:hint="default"/>
          <w:spacing w:val="-4"/>
        </w:rPr>
        <w:t>18</w:t>
      </w:r>
      <w:r>
        <w:rPr>
          <w:rFonts w:ascii="宋体" w:hAnsi="宋体" w:cs="宋体" w:eastAsia="宋体" w:hint="default"/>
          <w:spacing w:val="-20"/>
        </w:rPr>
        <w:t> </w:t>
      </w:r>
      <w:r>
        <w:rPr>
          <w:spacing w:val="-3"/>
        </w:rPr>
        <w:t>华友钴业”绿色公司债券等。新三板业务将防</w:t>
      </w:r>
      <w:r>
        <w:rPr>
          <w:spacing w:val="-91"/>
        </w:rPr>
        <w:t> </w:t>
      </w:r>
      <w:r>
        <w:rPr>
          <w:spacing w:val="-91"/>
        </w:rPr>
      </w:r>
      <w:r>
        <w:rPr/>
        <w:t>控风险放到更加重要的位置，不断提升服务水平。截至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日，公司已累计成功挂牌</w:t>
      </w:r>
    </w:p>
    <w:p>
      <w:pPr>
        <w:pStyle w:val="BodyText"/>
        <w:spacing w:line="240" w:lineRule="auto" w:before="30"/>
        <w:ind w:right="0"/>
        <w:jc w:val="left"/>
      </w:pPr>
      <w:r>
        <w:rPr>
          <w:rFonts w:ascii="宋体" w:hAnsi="宋体" w:cs="宋体" w:eastAsia="宋体" w:hint="default"/>
        </w:rPr>
        <w:t>236</w:t>
      </w:r>
      <w:r>
        <w:rPr>
          <w:rFonts w:ascii="宋体" w:hAnsi="宋体" w:cs="宋体" w:eastAsia="宋体" w:hint="default"/>
          <w:spacing w:val="-54"/>
        </w:rPr>
        <w:t> </w:t>
      </w:r>
      <w:r>
        <w:rPr/>
        <w:t>家、持续督导</w:t>
      </w:r>
      <w:r>
        <w:rPr>
          <w:spacing w:val="-54"/>
        </w:rPr>
        <w:t> </w:t>
      </w:r>
      <w:r>
        <w:rPr>
          <w:rFonts w:ascii="宋体" w:hAnsi="宋体" w:cs="宋体" w:eastAsia="宋体" w:hint="default"/>
        </w:rPr>
        <w:t>220</w:t>
      </w:r>
      <w:r>
        <w:rPr>
          <w:rFonts w:ascii="宋体" w:hAnsi="宋体" w:cs="宋体" w:eastAsia="宋体" w:hint="default"/>
          <w:spacing w:val="-54"/>
        </w:rPr>
        <w:t> </w:t>
      </w:r>
      <w:r>
        <w:rPr/>
        <w:t>家，省内挂牌企业市场份额</w:t>
      </w:r>
      <w:r>
        <w:rPr>
          <w:spacing w:val="-56"/>
        </w:rPr>
        <w:t> </w:t>
      </w:r>
      <w:r>
        <w:rPr>
          <w:rFonts w:ascii="宋体" w:hAnsi="宋体" w:cs="宋体" w:eastAsia="宋体" w:hint="default"/>
        </w:rPr>
        <w:t>16.61%</w:t>
      </w:r>
      <w:r>
        <w:rPr/>
        <w:t>，排名首位。</w:t>
      </w:r>
    </w:p>
    <w:p>
      <w:pPr>
        <w:pStyle w:val="Heading5"/>
        <w:spacing w:line="240" w:lineRule="auto" w:before="133"/>
        <w:ind w:left="698" w:right="0"/>
        <w:jc w:val="left"/>
        <w:rPr>
          <w:b w:val="0"/>
          <w:bCs w:val="0"/>
        </w:rPr>
      </w:pPr>
      <w:r>
        <w:rPr/>
        <w:t>（三）资产管理业务</w:t>
      </w:r>
      <w:r>
        <w:rPr>
          <w:b w:val="0"/>
          <w:bCs w:val="0"/>
        </w:rPr>
      </w:r>
    </w:p>
    <w:p>
      <w:pPr>
        <w:pStyle w:val="BodyText"/>
        <w:spacing w:line="240" w:lineRule="auto" w:before="133"/>
        <w:ind w:left="558" w:right="0"/>
        <w:jc w:val="left"/>
      </w:pPr>
      <w:r>
        <w:rPr>
          <w:rFonts w:ascii="宋体" w:hAnsi="宋体" w:cs="宋体" w:eastAsia="宋体" w:hint="default"/>
        </w:rPr>
        <w:t>2018</w:t>
      </w:r>
      <w:r>
        <w:rPr>
          <w:rFonts w:ascii="宋体" w:hAnsi="宋体" w:cs="宋体" w:eastAsia="宋体" w:hint="default"/>
          <w:spacing w:val="-56"/>
        </w:rPr>
        <w:t> </w:t>
      </w:r>
      <w:r>
        <w:rPr/>
        <w:t>年，证券公司通道类资产管理规模受到明显抑制。据中国证券业协会统计，截至</w:t>
      </w:r>
      <w:r>
        <w:rPr>
          <w:spacing w:val="-53"/>
        </w:rPr>
        <w:t> </w:t>
      </w:r>
      <w:r>
        <w:rPr>
          <w:rFonts w:ascii="宋体" w:hAnsi="宋体" w:cs="宋体" w:eastAsia="宋体" w:hint="default"/>
        </w:rPr>
        <w:t>2018</w:t>
      </w:r>
      <w:r>
        <w:rPr>
          <w:rFonts w:ascii="宋体" w:hAnsi="宋体" w:cs="宋体" w:eastAsia="宋体" w:hint="default"/>
          <w:spacing w:val="-56"/>
        </w:rPr>
        <w:t> </w:t>
      </w:r>
      <w:r>
        <w:rPr/>
        <w:t>年</w:t>
      </w:r>
    </w:p>
    <w:p>
      <w:pPr>
        <w:pStyle w:val="BodyText"/>
        <w:spacing w:line="357" w:lineRule="auto" w:before="133"/>
        <w:ind w:left="558" w:right="0" w:hanging="420"/>
        <w:jc w:val="left"/>
      </w:pPr>
      <w:r>
        <w:rPr/>
        <w:t>末，全行业受托资金降至</w:t>
      </w:r>
      <w:r>
        <w:rPr>
          <w:spacing w:val="-57"/>
        </w:rPr>
        <w:t> </w:t>
      </w:r>
      <w:r>
        <w:rPr>
          <w:rFonts w:ascii="宋体" w:hAnsi="宋体" w:cs="宋体" w:eastAsia="宋体" w:hint="default"/>
        </w:rPr>
        <w:t>14.11</w:t>
      </w:r>
      <w:r>
        <w:rPr>
          <w:rFonts w:ascii="宋体" w:hAnsi="宋体" w:cs="宋体" w:eastAsia="宋体" w:hint="default"/>
          <w:spacing w:val="-55"/>
        </w:rPr>
        <w:t> </w:t>
      </w:r>
      <w:r>
        <w:rPr/>
        <w:t>万亿元，较</w:t>
      </w:r>
      <w:r>
        <w:rPr>
          <w:spacing w:val="-54"/>
        </w:rPr>
        <w:t> </w:t>
      </w:r>
      <w:r>
        <w:rPr>
          <w:rFonts w:ascii="宋体" w:hAnsi="宋体" w:cs="宋体" w:eastAsia="宋体" w:hint="default"/>
        </w:rPr>
        <w:t>2017</w:t>
      </w:r>
      <w:r>
        <w:rPr>
          <w:rFonts w:ascii="宋体" w:hAnsi="宋体" w:cs="宋体" w:eastAsia="宋体" w:hint="default"/>
          <w:spacing w:val="-56"/>
        </w:rPr>
        <w:t> </w:t>
      </w:r>
      <w:r>
        <w:rPr/>
        <w:t>年末下降</w:t>
      </w:r>
      <w:r>
        <w:rPr>
          <w:spacing w:val="-53"/>
        </w:rPr>
        <w:t> </w:t>
      </w:r>
      <w:r>
        <w:rPr>
          <w:rFonts w:ascii="宋体" w:hAnsi="宋体" w:cs="宋体" w:eastAsia="宋体" w:hint="default"/>
        </w:rPr>
        <w:t>3.15</w:t>
      </w:r>
      <w:r>
        <w:rPr>
          <w:rFonts w:ascii="宋体" w:hAnsi="宋体" w:cs="宋体" w:eastAsia="宋体" w:hint="default"/>
          <w:spacing w:val="-54"/>
        </w:rPr>
        <w:t> </w:t>
      </w:r>
      <w:r>
        <w:rPr/>
        <w:t>万亿元，出现了较明显收缩。</w:t>
      </w:r>
      <w:r>
        <w:rPr>
          <w:w w:val="100"/>
        </w:rPr>
        <w:t> </w:t>
      </w:r>
      <w:r>
        <w:rPr>
          <w:spacing w:val="-2"/>
        </w:rPr>
        <w:t>公司通过全资子公司财通证券资管开展境内证券资产管理业务。报告期内，在市场不景气、行</w:t>
      </w:r>
    </w:p>
    <w:p>
      <w:pPr>
        <w:pStyle w:val="BodyText"/>
        <w:spacing w:line="357" w:lineRule="auto" w:before="30"/>
        <w:ind w:right="101"/>
        <w:jc w:val="left"/>
      </w:pPr>
      <w:r>
        <w:rPr/>
        <w:t>业下行、监管严格的大背景下，财通证券资管迎难而上，奋力展业。固收业务方面，保持固收业务</w:t>
      </w:r>
      <w:r>
        <w:rPr>
          <w:w w:val="100"/>
        </w:rPr>
        <w:t> </w:t>
      </w:r>
      <w:r>
        <w:rPr>
          <w:spacing w:val="-3"/>
        </w:rPr>
        <w:t>传统优势，不断推进“固收</w:t>
      </w:r>
      <w:r>
        <w:rPr>
          <w:rFonts w:ascii="宋体" w:hAnsi="宋体" w:cs="宋体" w:eastAsia="宋体" w:hint="default"/>
          <w:spacing w:val="-3"/>
        </w:rPr>
        <w:t>+</w:t>
      </w:r>
      <w:r>
        <w:rPr>
          <w:spacing w:val="-3"/>
        </w:rPr>
        <w:t>”业务发展，其中“固收</w:t>
      </w:r>
      <w:r>
        <w:rPr>
          <w:rFonts w:ascii="宋体" w:hAnsi="宋体" w:cs="宋体" w:eastAsia="宋体" w:hint="default"/>
          <w:spacing w:val="-3"/>
        </w:rPr>
        <w:t>+</w:t>
      </w:r>
      <w:r>
        <w:rPr>
          <w:spacing w:val="-3"/>
        </w:rPr>
        <w:t>可交债”的吉富系列和“固收</w:t>
      </w:r>
      <w:r>
        <w:rPr>
          <w:rFonts w:ascii="宋体" w:hAnsi="宋体" w:cs="宋体" w:eastAsia="宋体" w:hint="default"/>
          <w:spacing w:val="-3"/>
        </w:rPr>
        <w:t>+</w:t>
      </w:r>
      <w:r>
        <w:rPr>
          <w:spacing w:val="-3"/>
        </w:rPr>
        <w:t>量化对冲”的</w:t>
      </w:r>
      <w:r>
        <w:rPr>
          <w:spacing w:val="-49"/>
        </w:rPr>
        <w:t> </w:t>
      </w:r>
      <w:r>
        <w:rPr>
          <w:spacing w:val="-49"/>
        </w:rPr>
      </w:r>
      <w:r>
        <w:rPr/>
        <w:t>聚丰系列受到市场好评；大力发展固收公募业务，截至报告期末，固收公募总规模</w:t>
      </w:r>
      <w:r>
        <w:rPr>
          <w:spacing w:val="-53"/>
        </w:rPr>
        <w:t> </w:t>
      </w:r>
      <w:r>
        <w:rPr>
          <w:rFonts w:ascii="宋体" w:hAnsi="宋体" w:cs="宋体" w:eastAsia="宋体" w:hint="default"/>
        </w:rPr>
        <w:t>253</w:t>
      </w:r>
      <w:r>
        <w:rPr>
          <w:rFonts w:ascii="宋体" w:hAnsi="宋体" w:cs="宋体" w:eastAsia="宋体" w:hint="default"/>
          <w:spacing w:val="-56"/>
        </w:rPr>
        <w:t> </w:t>
      </w:r>
      <w:r>
        <w:rPr/>
        <w:t>亿元，其中</w:t>
      </w:r>
      <w:r>
        <w:rPr>
          <w:w w:val="100"/>
        </w:rPr>
        <w:t> </w:t>
      </w:r>
      <w:r>
        <w:rPr>
          <w:spacing w:val="-2"/>
          <w:w w:val="100"/>
        </w:rPr>
        <w:t>货基鑫管家规模为</w:t>
      </w:r>
      <w:r>
        <w:rPr>
          <w:spacing w:val="-65"/>
          <w:w w:val="100"/>
        </w:rPr>
        <w:t> </w:t>
      </w:r>
      <w:r>
        <w:rPr>
          <w:rFonts w:ascii="宋体" w:hAnsi="宋体" w:cs="宋体" w:eastAsia="宋体" w:hint="default"/>
          <w:spacing w:val="-1"/>
          <w:w w:val="100"/>
        </w:rPr>
        <w:t>178</w:t>
      </w:r>
      <w:r>
        <w:rPr>
          <w:rFonts w:ascii="宋体" w:hAnsi="宋体" w:cs="宋体" w:eastAsia="宋体" w:hint="default"/>
          <w:spacing w:val="-61"/>
          <w:w w:val="100"/>
        </w:rPr>
        <w:t> </w:t>
      </w:r>
      <w:r>
        <w:rPr>
          <w:spacing w:val="-2"/>
          <w:w w:val="100"/>
        </w:rPr>
        <w:t>亿元</w:t>
      </w:r>
      <w:r>
        <w:rPr>
          <w:rFonts w:ascii="宋体" w:hAnsi="宋体" w:cs="宋体" w:eastAsia="宋体" w:hint="default"/>
          <w:spacing w:val="-2"/>
          <w:w w:val="100"/>
        </w:rPr>
        <w:t>,</w:t>
      </w:r>
      <w:r>
        <w:rPr>
          <w:spacing w:val="-2"/>
          <w:w w:val="100"/>
        </w:rPr>
        <w:t>同比增长</w:t>
      </w:r>
      <w:r>
        <w:rPr>
          <w:spacing w:val="-61"/>
          <w:w w:val="100"/>
        </w:rPr>
        <w:t> </w:t>
      </w:r>
      <w:r>
        <w:rPr>
          <w:rFonts w:ascii="宋体" w:hAnsi="宋体" w:cs="宋体" w:eastAsia="宋体" w:hint="default"/>
          <w:spacing w:val="-11"/>
          <w:w w:val="100"/>
        </w:rPr>
        <w:t>128%</w:t>
      </w:r>
      <w:r>
        <w:rPr>
          <w:spacing w:val="-11"/>
          <w:w w:val="100"/>
        </w:rPr>
        <w:t>；债券基金规模</w:t>
      </w:r>
      <w:r>
        <w:rPr>
          <w:spacing w:val="-61"/>
          <w:w w:val="100"/>
        </w:rPr>
        <w:t> </w:t>
      </w:r>
      <w:r>
        <w:rPr>
          <w:rFonts w:ascii="宋体" w:hAnsi="宋体" w:cs="宋体" w:eastAsia="宋体" w:hint="default"/>
          <w:spacing w:val="-2"/>
          <w:w w:val="100"/>
        </w:rPr>
        <w:t>75</w:t>
      </w:r>
      <w:r>
        <w:rPr>
          <w:rFonts w:ascii="宋体" w:hAnsi="宋体" w:cs="宋体" w:eastAsia="宋体" w:hint="default"/>
          <w:spacing w:val="-61"/>
          <w:w w:val="100"/>
        </w:rPr>
        <w:t> </w:t>
      </w:r>
      <w:r>
        <w:rPr>
          <w:spacing w:val="-1"/>
          <w:w w:val="100"/>
        </w:rPr>
        <w:t>亿元</w:t>
      </w:r>
      <w:r>
        <w:rPr>
          <w:rFonts w:ascii="宋体" w:hAnsi="宋体" w:cs="宋体" w:eastAsia="宋体" w:hint="default"/>
          <w:spacing w:val="-1"/>
          <w:w w:val="100"/>
        </w:rPr>
        <w:t>,</w:t>
      </w:r>
      <w:r>
        <w:rPr>
          <w:rFonts w:ascii="宋体" w:hAnsi="宋体" w:cs="宋体" w:eastAsia="宋体" w:hint="default"/>
          <w:spacing w:val="1"/>
          <w:w w:val="100"/>
        </w:rPr>
        <w:t> </w:t>
      </w:r>
      <w:r>
        <w:rPr>
          <w:spacing w:val="-2"/>
          <w:w w:val="100"/>
        </w:rPr>
        <w:t>同比增长</w:t>
      </w:r>
      <w:r>
        <w:rPr>
          <w:spacing w:val="-65"/>
          <w:w w:val="100"/>
        </w:rPr>
        <w:t> </w:t>
      </w:r>
      <w:r>
        <w:rPr>
          <w:rFonts w:ascii="宋体" w:hAnsi="宋体" w:cs="宋体" w:eastAsia="宋体" w:hint="default"/>
          <w:spacing w:val="-10"/>
          <w:w w:val="100"/>
        </w:rPr>
        <w:t>582%</w:t>
      </w:r>
      <w:r>
        <w:rPr>
          <w:spacing w:val="-10"/>
          <w:w w:val="100"/>
        </w:rPr>
        <w:t>；权益业务方面，</w:t>
      </w:r>
      <w:r>
        <w:rPr>
          <w:spacing w:val="-101"/>
          <w:w w:val="100"/>
        </w:rPr>
        <w:t> </w:t>
      </w:r>
      <w:r>
        <w:rPr>
          <w:spacing w:val="-101"/>
          <w:w w:val="100"/>
        </w:rPr>
      </w:r>
      <w:r>
        <w:rPr/>
        <w:t>主动优化人员配置，重塑投研理念，完善考核机制，抓好产品业绩。此外，公司积极培育</w:t>
      </w:r>
      <w:r>
        <w:rPr>
          <w:spacing w:val="-55"/>
        </w:rPr>
        <w:t> </w:t>
      </w:r>
      <w:r>
        <w:rPr>
          <w:rFonts w:ascii="宋体" w:hAnsi="宋体" w:cs="宋体" w:eastAsia="宋体" w:hint="default"/>
        </w:rPr>
        <w:t>ABS</w:t>
      </w:r>
      <w:r>
        <w:rPr/>
        <w:t>、指</w:t>
      </w:r>
      <w:r>
        <w:rPr>
          <w:spacing w:val="-3"/>
          <w:w w:val="100"/>
        </w:rPr>
        <w:t> </w:t>
      </w:r>
      <w:r>
        <w:rPr>
          <w:spacing w:val="-7"/>
        </w:rPr>
        <w:t>数和量化投资、资本市场业务等创新型业务。截至</w:t>
      </w:r>
      <w:r>
        <w:rPr>
          <w:spacing w:val="-44"/>
        </w:rPr>
        <w:t> </w:t>
      </w:r>
      <w:r>
        <w:rPr>
          <w:rFonts w:ascii="宋体" w:hAnsi="宋体" w:cs="宋体" w:eastAsia="宋体" w:hint="default"/>
        </w:rPr>
        <w:t>2018</w:t>
      </w:r>
      <w:r>
        <w:rPr>
          <w:rFonts w:ascii="宋体" w:hAnsi="宋体" w:cs="宋体" w:eastAsia="宋体" w:hint="default"/>
          <w:spacing w:val="-43"/>
        </w:rPr>
        <w:t> </w:t>
      </w:r>
      <w:r>
        <w:rPr>
          <w:spacing w:val="-6"/>
        </w:rPr>
        <w:t>年底，公司受托资产管理总规模</w:t>
      </w:r>
      <w:r>
        <w:rPr>
          <w:spacing w:val="-44"/>
        </w:rPr>
        <w:t> </w:t>
      </w:r>
      <w:r>
        <w:rPr>
          <w:rFonts w:ascii="宋体" w:hAnsi="宋体" w:cs="宋体" w:eastAsia="宋体" w:hint="default"/>
        </w:rPr>
        <w:t>1424</w:t>
      </w:r>
      <w:r>
        <w:rPr>
          <w:rFonts w:ascii="宋体" w:hAnsi="宋体" w:cs="宋体" w:eastAsia="宋体" w:hint="default"/>
          <w:spacing w:val="-47"/>
        </w:rPr>
        <w:t> </w:t>
      </w:r>
      <w:r>
        <w:rPr/>
        <w:t>亿元，</w:t>
      </w:r>
      <w:r>
        <w:rPr>
          <w:spacing w:val="-83"/>
        </w:rPr>
        <w:t> </w:t>
      </w:r>
      <w:r>
        <w:rPr>
          <w:spacing w:val="-83"/>
        </w:rPr>
      </w:r>
      <w:r>
        <w:rPr/>
        <w:t>其中主动管理规模</w:t>
      </w:r>
      <w:r>
        <w:rPr>
          <w:spacing w:val="-43"/>
        </w:rPr>
        <w:t> </w:t>
      </w:r>
      <w:r>
        <w:rPr>
          <w:rFonts w:ascii="宋体" w:hAnsi="宋体" w:cs="宋体" w:eastAsia="宋体" w:hint="default"/>
        </w:rPr>
        <w:t>1010</w:t>
      </w:r>
      <w:r>
        <w:rPr>
          <w:rFonts w:ascii="宋体" w:hAnsi="宋体" w:cs="宋体" w:eastAsia="宋体" w:hint="default"/>
          <w:spacing w:val="-45"/>
        </w:rPr>
        <w:t> </w:t>
      </w:r>
      <w:r>
        <w:rPr/>
        <w:t>亿元，较年初增长</w:t>
      </w:r>
      <w:r>
        <w:rPr>
          <w:spacing w:val="-38"/>
        </w:rPr>
        <w:t> </w:t>
      </w:r>
      <w:r>
        <w:rPr>
          <w:rFonts w:ascii="宋体" w:hAnsi="宋体" w:cs="宋体" w:eastAsia="宋体" w:hint="default"/>
        </w:rPr>
        <w:t>6.19%</w:t>
      </w:r>
      <w:r>
        <w:rPr/>
        <w:t>，公募管理规模</w:t>
      </w:r>
      <w:r>
        <w:rPr>
          <w:spacing w:val="28"/>
        </w:rPr>
        <w:t> </w:t>
      </w:r>
      <w:r>
        <w:rPr>
          <w:rFonts w:ascii="宋体" w:hAnsi="宋体" w:cs="宋体" w:eastAsia="宋体" w:hint="default"/>
        </w:rPr>
        <w:t>257</w:t>
      </w:r>
      <w:r>
        <w:rPr>
          <w:rFonts w:ascii="宋体" w:hAnsi="宋体" w:cs="宋体" w:eastAsia="宋体" w:hint="default"/>
          <w:spacing w:val="-42"/>
        </w:rPr>
        <w:t> </w:t>
      </w:r>
      <w:r>
        <w:rPr/>
        <w:t>亿元，较年初增长</w:t>
      </w:r>
      <w:r>
        <w:rPr>
          <w:spacing w:val="-38"/>
        </w:rPr>
        <w:t> </w:t>
      </w:r>
      <w:r>
        <w:rPr>
          <w:rFonts w:ascii="宋体" w:hAnsi="宋体" w:cs="宋体" w:eastAsia="宋体" w:hint="default"/>
        </w:rPr>
        <w:t>190.02%</w:t>
      </w:r>
      <w:r>
        <w:rPr/>
        <w:t>。</w:t>
      </w:r>
    </w:p>
    <w:p>
      <w:pPr>
        <w:pStyle w:val="BodyText"/>
        <w:spacing w:line="357" w:lineRule="auto" w:before="30"/>
        <w:ind w:right="0" w:firstLine="420"/>
        <w:jc w:val="left"/>
      </w:pPr>
      <w:r>
        <w:rPr>
          <w:spacing w:val="-6"/>
        </w:rPr>
        <w:t>报告期内，财通证券资管获得了一系列荣誉，接连获得“三年期金牛券商集合资产管理人”（据</w:t>
      </w:r>
      <w:r>
        <w:rPr>
          <w:spacing w:val="-3"/>
          <w:w w:val="100"/>
        </w:rPr>
        <w:t> </w:t>
      </w:r>
      <w:r>
        <w:rPr>
          <w:spacing w:val="-6"/>
        </w:rPr>
        <w:t>中国证券报）、“最具实力券商资管”（据每日经济新闻）、“最佳券商资管”（据东方财富网）、</w:t>
      </w:r>
      <w:r>
        <w:rPr>
          <w:spacing w:val="-24"/>
        </w:rPr>
        <w:t> </w:t>
      </w:r>
      <w:r>
        <w:rPr>
          <w:spacing w:val="-24"/>
        </w:rPr>
      </w:r>
      <w:r>
        <w:rPr/>
        <w:t>“</w:t>
      </w:r>
      <w:r>
        <w:rPr>
          <w:rFonts w:ascii="宋体" w:hAnsi="宋体" w:cs="宋体" w:eastAsia="宋体" w:hint="default"/>
        </w:rPr>
        <w:t>2018 </w:t>
      </w:r>
      <w:r>
        <w:rPr/>
        <w:t>中国固收类投资团队君鼎奖”（据证券时报）、“中国券商资管固收奖”（据中国基金报）</w:t>
      </w:r>
      <w:r>
        <w:rPr>
          <w:spacing w:val="-68"/>
        </w:rPr>
        <w:t> </w:t>
      </w:r>
      <w:r>
        <w:rPr>
          <w:spacing w:val="-68"/>
        </w:rPr>
      </w:r>
      <w:r>
        <w:rPr/>
        <w:t>等大奖。</w:t>
      </w:r>
    </w:p>
    <w:p>
      <w:pPr>
        <w:pStyle w:val="Heading5"/>
        <w:spacing w:line="240" w:lineRule="auto" w:before="30"/>
        <w:ind w:left="698" w:right="0"/>
        <w:jc w:val="left"/>
        <w:rPr>
          <w:b w:val="0"/>
          <w:bCs w:val="0"/>
        </w:rPr>
      </w:pPr>
      <w:r>
        <w:rPr/>
        <w:t>（四）证券自营业务</w:t>
      </w:r>
      <w:r>
        <w:rPr>
          <w:b w:val="0"/>
          <w:bCs w:val="0"/>
        </w:rPr>
      </w:r>
    </w:p>
    <w:p>
      <w:pPr>
        <w:pStyle w:val="BodyText"/>
        <w:spacing w:line="357" w:lineRule="auto" w:before="133"/>
        <w:ind w:right="207" w:firstLine="420"/>
        <w:jc w:val="both"/>
      </w:pPr>
      <w:r>
        <w:rPr>
          <w:rFonts w:ascii="宋体" w:hAnsi="宋体" w:cs="宋体" w:eastAsia="宋体" w:hint="default"/>
        </w:rPr>
        <w:t>2018</w:t>
      </w:r>
      <w:r>
        <w:rPr>
          <w:rFonts w:ascii="宋体" w:hAnsi="宋体" w:cs="宋体" w:eastAsia="宋体" w:hint="default"/>
          <w:spacing w:val="-68"/>
        </w:rPr>
        <w:t> </w:t>
      </w:r>
      <w:r>
        <w:rPr>
          <w:spacing w:val="-4"/>
        </w:rPr>
        <w:t>年，上证指数、沪深</w:t>
      </w:r>
      <w:r>
        <w:rPr>
          <w:spacing w:val="-68"/>
        </w:rPr>
        <w:t> </w:t>
      </w:r>
      <w:r>
        <w:rPr>
          <w:rFonts w:ascii="宋体" w:hAnsi="宋体" w:cs="宋体" w:eastAsia="宋体" w:hint="default"/>
        </w:rPr>
        <w:t>300</w:t>
      </w:r>
      <w:r>
        <w:rPr/>
        <w:t>、创业板指分别下跌</w:t>
      </w:r>
      <w:r>
        <w:rPr>
          <w:rFonts w:ascii="宋体" w:hAnsi="宋体" w:cs="宋体" w:eastAsia="宋体" w:hint="default"/>
        </w:rPr>
        <w:t>-24.59%</w:t>
      </w:r>
      <w:r>
        <w:rPr/>
        <w:t>、</w:t>
      </w:r>
      <w:r>
        <w:rPr>
          <w:rFonts w:ascii="宋体" w:hAnsi="宋体" w:cs="宋体" w:eastAsia="宋体" w:hint="default"/>
        </w:rPr>
        <w:t>-25.31%</w:t>
      </w:r>
      <w:r>
        <w:rPr/>
        <w:t>、</w:t>
      </w:r>
      <w:r>
        <w:rPr>
          <w:rFonts w:ascii="宋体" w:hAnsi="宋体" w:cs="宋体" w:eastAsia="宋体" w:hint="default"/>
        </w:rPr>
        <w:t>-28.65%</w:t>
      </w:r>
      <w:r>
        <w:rPr/>
        <w:t>。债券市场受宏</w:t>
      </w:r>
      <w:r>
        <w:rPr>
          <w:w w:val="100"/>
        </w:rPr>
        <w:t> </w:t>
      </w:r>
      <w:r>
        <w:rPr>
          <w:spacing w:val="-2"/>
        </w:rPr>
        <w:t>观经济下行、融资环境收紧、信用风险频繁爆发等影响，利率债和高等级信用债走牛而中低等级信</w:t>
      </w:r>
      <w:r>
        <w:rPr>
          <w:spacing w:val="-26"/>
        </w:rPr>
        <w:t> </w:t>
      </w:r>
      <w:r>
        <w:rPr>
          <w:spacing w:val="-26"/>
        </w:rPr>
      </w:r>
      <w:r>
        <w:rPr/>
        <w:t>用债表现较弱。</w:t>
      </w:r>
    </w:p>
    <w:p>
      <w:pPr>
        <w:pStyle w:val="BodyText"/>
        <w:spacing w:line="357" w:lineRule="auto" w:before="30"/>
        <w:ind w:right="248" w:firstLine="420"/>
        <w:jc w:val="both"/>
      </w:pPr>
      <w:r>
        <w:rPr/>
        <w:t>报告期内，在权益性投资方面，公司持续优化投研队伍，加大对</w:t>
      </w:r>
      <w:r>
        <w:rPr>
          <w:spacing w:val="-54"/>
        </w:rPr>
        <w:t> </w:t>
      </w:r>
      <w:r>
        <w:rPr>
          <w:rFonts w:ascii="宋体" w:hAnsi="宋体" w:cs="宋体" w:eastAsia="宋体" w:hint="default"/>
        </w:rPr>
        <w:t>A</w:t>
      </w:r>
      <w:r>
        <w:rPr>
          <w:rFonts w:ascii="宋体" w:hAnsi="宋体" w:cs="宋体" w:eastAsia="宋体" w:hint="default"/>
          <w:spacing w:val="-56"/>
        </w:rPr>
        <w:t> </w:t>
      </w:r>
      <w:r>
        <w:rPr/>
        <w:t>股市场的重点行业与领域的</w:t>
      </w:r>
      <w:r>
        <w:rPr>
          <w:w w:val="100"/>
        </w:rPr>
        <w:t> </w:t>
      </w:r>
      <w:r>
        <w:rPr>
          <w:spacing w:val="-2"/>
        </w:rPr>
        <w:t>研究；借助公司地域优势，深入了解浙江省新兴产业相关优秀上市公司情况，为公司投研工作打下</w:t>
      </w:r>
      <w:r>
        <w:rPr>
          <w:spacing w:val="-26"/>
        </w:rPr>
        <w:t> </w:t>
      </w:r>
      <w:r>
        <w:rPr>
          <w:spacing w:val="-26"/>
        </w:rPr>
      </w:r>
      <w:r>
        <w:rPr>
          <w:spacing w:val="-2"/>
        </w:rPr>
        <w:t>坚实基础。在固定收益投资方面，准确把握市场时机，及时调整投资策略，不断完善自营投研体系</w:t>
      </w:r>
      <w:r>
        <w:rPr>
          <w:spacing w:val="-26"/>
        </w:rPr>
        <w:t> </w:t>
      </w:r>
      <w:r>
        <w:rPr>
          <w:spacing w:val="-26"/>
        </w:rPr>
      </w:r>
      <w:r>
        <w:rPr/>
        <w:t>建设，并加强风险跟踪与排查，以提高信用甄别能力。</w:t>
      </w:r>
    </w:p>
    <w:p>
      <w:pPr>
        <w:pStyle w:val="Heading5"/>
        <w:spacing w:line="240" w:lineRule="auto" w:before="30"/>
        <w:ind w:left="698" w:right="0"/>
        <w:jc w:val="left"/>
        <w:rPr>
          <w:b w:val="0"/>
          <w:bCs w:val="0"/>
        </w:rPr>
      </w:pPr>
      <w:r>
        <w:rPr/>
        <w:t>（五）证券信用业务</w:t>
      </w:r>
      <w:r>
        <w:rPr>
          <w:b w:val="0"/>
          <w:bCs w:val="0"/>
        </w:rPr>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7"/>
        </w:rPr>
        <w:t> </w:t>
      </w:r>
      <w:r>
        <w:rPr/>
        <w:t>年，受</w:t>
      </w:r>
      <w:r>
        <w:rPr>
          <w:spacing w:val="-55"/>
        </w:rPr>
        <w:t> </w:t>
      </w:r>
      <w:r>
        <w:rPr>
          <w:rFonts w:ascii="宋体" w:hAnsi="宋体" w:cs="宋体" w:eastAsia="宋体" w:hint="default"/>
        </w:rPr>
        <w:t>A</w:t>
      </w:r>
      <w:r>
        <w:rPr>
          <w:rFonts w:ascii="宋体" w:hAnsi="宋体" w:cs="宋体" w:eastAsia="宋体" w:hint="default"/>
          <w:spacing w:val="-57"/>
        </w:rPr>
        <w:t> </w:t>
      </w:r>
      <w:r>
        <w:rPr/>
        <w:t>股市场大跌影响，证券信用业务逐步萎缩。其中，两融余额全年逐步下滑，自</w:t>
      </w:r>
      <w:r>
        <w:rPr>
          <w:spacing w:val="-54"/>
        </w:rPr>
        <w:t> </w:t>
      </w:r>
      <w:r>
        <w:rPr>
          <w:rFonts w:ascii="宋体" w:hAnsi="宋体" w:cs="宋体" w:eastAsia="宋体" w:hint="default"/>
        </w:rPr>
        <w:t>1</w:t>
      </w:r>
    </w:p>
    <w:p>
      <w:pPr>
        <w:pStyle w:val="BodyText"/>
        <w:spacing w:line="357" w:lineRule="auto" w:before="133"/>
        <w:ind w:right="249"/>
        <w:jc w:val="left"/>
      </w:pPr>
      <w:r>
        <w:rPr/>
        <w:t>月的</w:t>
      </w:r>
      <w:r>
        <w:rPr>
          <w:spacing w:val="-55"/>
        </w:rPr>
        <w:t> </w:t>
      </w:r>
      <w:r>
        <w:rPr>
          <w:rFonts w:ascii="宋体" w:hAnsi="宋体" w:cs="宋体" w:eastAsia="宋体" w:hint="default"/>
        </w:rPr>
        <w:t>10,297</w:t>
      </w:r>
      <w:r>
        <w:rPr>
          <w:rFonts w:ascii="宋体" w:hAnsi="宋体" w:cs="宋体" w:eastAsia="宋体" w:hint="default"/>
          <w:spacing w:val="-55"/>
        </w:rPr>
        <w:t> </w:t>
      </w:r>
      <w:r>
        <w:rPr/>
        <w:t>亿元，下降至年末</w:t>
      </w:r>
      <w:r>
        <w:rPr>
          <w:spacing w:val="-54"/>
        </w:rPr>
        <w:t> </w:t>
      </w:r>
      <w:r>
        <w:rPr>
          <w:rFonts w:ascii="宋体" w:hAnsi="宋体" w:cs="宋体" w:eastAsia="宋体" w:hint="default"/>
        </w:rPr>
        <w:t>7557</w:t>
      </w:r>
      <w:r>
        <w:rPr>
          <w:rFonts w:ascii="宋体" w:hAnsi="宋体" w:cs="宋体" w:eastAsia="宋体" w:hint="default"/>
          <w:spacing w:val="-57"/>
        </w:rPr>
        <w:t> </w:t>
      </w:r>
      <w:r>
        <w:rPr/>
        <w:t>亿元，市场风险偏好较低。此外，受到市场低迷、黑天鹅事件</w:t>
      </w:r>
      <w:r>
        <w:rPr>
          <w:w w:val="100"/>
        </w:rPr>
        <w:t> </w:t>
      </w:r>
      <w:r>
        <w:rPr/>
        <w:t>多发等影响，券商谨慎开展股票质押业务，全年股票质押业务余额呈下降态势。</w:t>
      </w:r>
    </w:p>
    <w:p>
      <w:pPr>
        <w:pStyle w:val="BodyText"/>
        <w:spacing w:line="357" w:lineRule="auto" w:before="30"/>
        <w:ind w:right="248" w:firstLine="420"/>
        <w:jc w:val="both"/>
      </w:pPr>
      <w:r>
        <w:rPr>
          <w:spacing w:val="-2"/>
        </w:rPr>
        <w:t>报告期内，公司将控制融资融券业务风险放在首位，积极运用数据平台等技术手段，提前采取</w:t>
      </w:r>
      <w:r>
        <w:rPr>
          <w:w w:val="100"/>
        </w:rPr>
        <w:t> </w:t>
      </w:r>
      <w:r>
        <w:rPr>
          <w:spacing w:val="-2"/>
        </w:rPr>
        <w:t>措施排查化解风险，客户咨询妥善处理，未出现客户投诉纠纷事件。截至报告期末，公司两融日均</w:t>
      </w:r>
      <w:r>
        <w:rPr>
          <w:spacing w:val="-25"/>
        </w:rPr>
        <w:t> </w:t>
      </w:r>
      <w:r>
        <w:rPr>
          <w:spacing w:val="-25"/>
        </w:rPr>
      </w:r>
      <w:r>
        <w:rPr/>
        <w:t>余额</w:t>
      </w:r>
      <w:r>
        <w:rPr>
          <w:spacing w:val="-54"/>
        </w:rPr>
        <w:t> </w:t>
      </w:r>
      <w:r>
        <w:rPr>
          <w:rFonts w:ascii="宋体" w:hAnsi="宋体" w:cs="宋体" w:eastAsia="宋体" w:hint="default"/>
        </w:rPr>
        <w:t>90.35</w:t>
      </w:r>
      <w:r>
        <w:rPr>
          <w:rFonts w:ascii="宋体" w:hAnsi="宋体" w:cs="宋体" w:eastAsia="宋体" w:hint="default"/>
          <w:spacing w:val="-56"/>
        </w:rPr>
        <w:t> </w:t>
      </w:r>
      <w:r>
        <w:rPr/>
        <w:t>亿元，日均市占率为</w:t>
      </w:r>
      <w:r>
        <w:rPr>
          <w:spacing w:val="-53"/>
        </w:rPr>
        <w:t> </w:t>
      </w:r>
      <w:r>
        <w:rPr>
          <w:rFonts w:ascii="宋体" w:hAnsi="宋体" w:cs="宋体" w:eastAsia="宋体" w:hint="default"/>
        </w:rPr>
        <w:t>0.99%</w:t>
      </w:r>
      <w:r>
        <w:rPr/>
        <w:t>，较上年有所增长。</w:t>
      </w:r>
    </w:p>
    <w:p>
      <w:pPr>
        <w:spacing w:after="0" w:line="357" w:lineRule="auto"/>
        <w:jc w:val="both"/>
        <w:sectPr>
          <w:pgSz w:w="11910" w:h="16840"/>
          <w:pgMar w:header="880" w:footer="1195" w:top="1060" w:bottom="1380" w:left="1280" w:right="1200"/>
        </w:sectPr>
      </w:pPr>
    </w:p>
    <w:p>
      <w:pPr>
        <w:spacing w:line="240" w:lineRule="auto" w:before="8"/>
        <w:rPr>
          <w:rFonts w:ascii="宋体" w:hAnsi="宋体" w:cs="宋体" w:eastAsia="宋体" w:hint="default"/>
          <w:sz w:val="28"/>
          <w:szCs w:val="28"/>
        </w:rPr>
      </w:pPr>
    </w:p>
    <w:p>
      <w:pPr>
        <w:pStyle w:val="BodyText"/>
        <w:spacing w:line="357" w:lineRule="auto" w:before="36"/>
        <w:ind w:right="248" w:firstLine="420"/>
        <w:jc w:val="both"/>
      </w:pPr>
      <w:r>
        <w:rPr>
          <w:spacing w:val="-2"/>
        </w:rPr>
        <w:t>股票质押业务方面，公司提出了以“防范和化解业务风险”为重点工作，全面排查存量业务风</w:t>
      </w:r>
      <w:r>
        <w:rPr>
          <w:w w:val="100"/>
        </w:rPr>
        <w:t> </w:t>
      </w:r>
      <w:r>
        <w:rPr>
          <w:spacing w:val="-2"/>
        </w:rPr>
        <w:t>险隐患，积极加强业务风险的防控，高标准谨慎开展新业务，不断提高防范风险的能力。截至报告</w:t>
      </w:r>
      <w:r>
        <w:rPr>
          <w:spacing w:val="-25"/>
        </w:rPr>
        <w:t> </w:t>
      </w:r>
      <w:r>
        <w:rPr>
          <w:spacing w:val="-25"/>
        </w:rPr>
      </w:r>
      <w:r>
        <w:rPr/>
        <w:t>期末，母公司股票质押利息收入</w:t>
      </w:r>
      <w:r>
        <w:rPr>
          <w:spacing w:val="-53"/>
        </w:rPr>
        <w:t> </w:t>
      </w:r>
      <w:r>
        <w:rPr>
          <w:rFonts w:ascii="宋体" w:hAnsi="宋体" w:cs="宋体" w:eastAsia="宋体" w:hint="default"/>
        </w:rPr>
        <w:t>2.09</w:t>
      </w:r>
      <w:r>
        <w:rPr>
          <w:rFonts w:ascii="宋体" w:hAnsi="宋体" w:cs="宋体" w:eastAsia="宋体" w:hint="default"/>
          <w:spacing w:val="-54"/>
        </w:rPr>
        <w:t> </w:t>
      </w:r>
      <w:r>
        <w:rPr/>
        <w:t>亿元，是去年同期的</w:t>
      </w:r>
      <w:r>
        <w:rPr>
          <w:spacing w:val="-54"/>
        </w:rPr>
        <w:t> </w:t>
      </w:r>
      <w:r>
        <w:rPr>
          <w:rFonts w:ascii="宋体" w:hAnsi="宋体" w:cs="宋体" w:eastAsia="宋体" w:hint="default"/>
        </w:rPr>
        <w:t>2.18</w:t>
      </w:r>
      <w:r>
        <w:rPr>
          <w:rFonts w:ascii="宋体" w:hAnsi="宋体" w:cs="宋体" w:eastAsia="宋体" w:hint="default"/>
          <w:spacing w:val="-54"/>
        </w:rPr>
        <w:t> </w:t>
      </w:r>
      <w:r>
        <w:rPr>
          <w:spacing w:val="-3"/>
        </w:rPr>
        <w:t>倍。</w:t>
      </w:r>
      <w:r>
        <w:rPr/>
      </w:r>
    </w:p>
    <w:p>
      <w:pPr>
        <w:pStyle w:val="Heading5"/>
        <w:spacing w:line="240" w:lineRule="auto" w:before="30"/>
        <w:ind w:left="698" w:right="0"/>
        <w:jc w:val="left"/>
        <w:rPr>
          <w:b w:val="0"/>
          <w:bCs w:val="0"/>
        </w:rPr>
      </w:pPr>
      <w:r>
        <w:rPr/>
        <w:t>（六）期货业务</w:t>
      </w:r>
      <w:r>
        <w:rPr>
          <w:b w:val="0"/>
          <w:bCs w:val="0"/>
        </w:rPr>
      </w:r>
    </w:p>
    <w:p>
      <w:pPr>
        <w:pStyle w:val="BodyText"/>
        <w:spacing w:line="357" w:lineRule="auto" w:before="133"/>
        <w:ind w:right="207" w:firstLine="559"/>
        <w:jc w:val="both"/>
      </w:pPr>
      <w:r>
        <w:rPr>
          <w:rFonts w:ascii="宋体" w:hAnsi="宋体" w:cs="宋体" w:eastAsia="宋体" w:hint="default"/>
        </w:rPr>
        <w:t>2018</w:t>
      </w:r>
      <w:r>
        <w:rPr>
          <w:rFonts w:ascii="宋体" w:hAnsi="宋体" w:cs="宋体" w:eastAsia="宋体" w:hint="default"/>
          <w:spacing w:val="-57"/>
        </w:rPr>
        <w:t> </w:t>
      </w:r>
      <w:r>
        <w:rPr/>
        <w:t>年，全国期货市场累计成交量为</w:t>
      </w:r>
      <w:r>
        <w:rPr>
          <w:spacing w:val="-55"/>
        </w:rPr>
        <w:t> </w:t>
      </w:r>
      <w:r>
        <w:rPr>
          <w:rFonts w:ascii="宋体" w:hAnsi="宋体" w:cs="宋体" w:eastAsia="宋体" w:hint="default"/>
        </w:rPr>
        <w:t>30.29</w:t>
      </w:r>
      <w:r>
        <w:rPr>
          <w:rFonts w:ascii="宋体" w:hAnsi="宋体" w:cs="宋体" w:eastAsia="宋体" w:hint="default"/>
          <w:spacing w:val="-55"/>
        </w:rPr>
        <w:t> </w:t>
      </w:r>
      <w:r>
        <w:rPr/>
        <w:t>亿手，同比下降</w:t>
      </w:r>
      <w:r>
        <w:rPr>
          <w:spacing w:val="-55"/>
        </w:rPr>
        <w:t> </w:t>
      </w:r>
      <w:r>
        <w:rPr>
          <w:rFonts w:ascii="宋体" w:hAnsi="宋体" w:cs="宋体" w:eastAsia="宋体" w:hint="default"/>
        </w:rPr>
        <w:t>1.53%</w:t>
      </w:r>
      <w:r>
        <w:rPr/>
        <w:t>，累计成交金额为</w:t>
      </w:r>
      <w:r>
        <w:rPr>
          <w:spacing w:val="-54"/>
        </w:rPr>
        <w:t> </w:t>
      </w:r>
      <w:r>
        <w:rPr>
          <w:rFonts w:ascii="宋体" w:hAnsi="宋体" w:cs="宋体" w:eastAsia="宋体" w:hint="default"/>
        </w:rPr>
        <w:t>210.82</w:t>
      </w:r>
      <w:r>
        <w:rPr>
          <w:rFonts w:ascii="宋体" w:hAnsi="宋体" w:cs="宋体" w:eastAsia="宋体" w:hint="default"/>
          <w:w w:val="100"/>
        </w:rPr>
        <w:t> </w:t>
      </w:r>
      <w:r>
        <w:rPr>
          <w:spacing w:val="-3"/>
        </w:rPr>
        <w:t>万亿元，同比增长</w:t>
      </w:r>
      <w:r>
        <w:rPr>
          <w:spacing w:val="-37"/>
        </w:rPr>
        <w:t> </w:t>
      </w:r>
      <w:r>
        <w:rPr>
          <w:rFonts w:ascii="宋体" w:hAnsi="宋体" w:cs="宋体" w:eastAsia="宋体" w:hint="default"/>
          <w:spacing w:val="-3"/>
        </w:rPr>
        <w:t>12.2%</w:t>
      </w:r>
      <w:r>
        <w:rPr>
          <w:spacing w:val="-3"/>
        </w:rPr>
        <w:t>。期货品种国际化进程加快，以原油期货、铁矿石、</w:t>
      </w:r>
      <w:r>
        <w:rPr>
          <w:rFonts w:ascii="宋体" w:hAnsi="宋体" w:cs="宋体" w:eastAsia="宋体" w:hint="default"/>
          <w:spacing w:val="-3"/>
        </w:rPr>
        <w:t>PTA</w:t>
      </w:r>
      <w:r>
        <w:rPr>
          <w:rFonts w:ascii="宋体" w:hAnsi="宋体" w:cs="宋体" w:eastAsia="宋体" w:hint="default"/>
          <w:spacing w:val="-35"/>
        </w:rPr>
        <w:t> </w:t>
      </w:r>
      <w:r>
        <w:rPr/>
        <w:t>为代表的品种首次</w:t>
      </w:r>
      <w:r>
        <w:rPr>
          <w:spacing w:val="-97"/>
        </w:rPr>
        <w:t> </w:t>
      </w:r>
      <w:r>
        <w:rPr>
          <w:spacing w:val="-97"/>
        </w:rPr>
      </w:r>
      <w:r>
        <w:rPr>
          <w:spacing w:val="-3"/>
        </w:rPr>
        <w:t>引入境外投资者；衍生品市场发展依旧迅速，“保险</w:t>
      </w:r>
      <w:r>
        <w:rPr>
          <w:rFonts w:ascii="宋体" w:hAnsi="宋体" w:cs="宋体" w:eastAsia="宋体" w:hint="default"/>
          <w:spacing w:val="-3"/>
        </w:rPr>
        <w:t>+</w:t>
      </w:r>
      <w:r>
        <w:rPr>
          <w:spacing w:val="-3"/>
        </w:rPr>
        <w:t>期货”数十次试点全部完成；股指期货政策迎</w:t>
      </w:r>
      <w:r>
        <w:rPr>
          <w:spacing w:val="-50"/>
        </w:rPr>
        <w:t> </w:t>
      </w:r>
      <w:r>
        <w:rPr>
          <w:spacing w:val="-50"/>
        </w:rPr>
      </w:r>
      <w:r>
        <w:rPr/>
        <w:t>来第三次调整。</w:t>
      </w:r>
    </w:p>
    <w:p>
      <w:pPr>
        <w:pStyle w:val="BodyText"/>
        <w:spacing w:line="355" w:lineRule="auto" w:before="31"/>
        <w:ind w:right="207" w:firstLine="559"/>
        <w:jc w:val="both"/>
      </w:pPr>
      <w:r>
        <w:rPr>
          <w:spacing w:val="-4"/>
        </w:rPr>
        <w:t>公司通过参股公司永安期货开展期货业务。报告期内，永安期货在行业整体营收和净利润出现</w:t>
      </w:r>
      <w:r>
        <w:rPr>
          <w:w w:val="100"/>
        </w:rPr>
        <w:t> </w:t>
      </w:r>
      <w:r>
        <w:rPr>
          <w:spacing w:val="-3"/>
        </w:rPr>
        <w:t>明显下降的大环境下，实现归母净利润 </w:t>
      </w:r>
      <w:r>
        <w:rPr>
          <w:rFonts w:ascii="宋体" w:hAnsi="宋体" w:cs="宋体" w:eastAsia="宋体" w:hint="default"/>
        </w:rPr>
        <w:t>8.89</w:t>
      </w:r>
      <w:r>
        <w:rPr>
          <w:rFonts w:ascii="宋体" w:hAnsi="宋体" w:cs="宋体" w:eastAsia="宋体" w:hint="default"/>
          <w:spacing w:val="-26"/>
        </w:rPr>
        <w:t> </w:t>
      </w:r>
      <w:r>
        <w:rPr>
          <w:spacing w:val="-4"/>
        </w:rPr>
        <w:t>亿元，经营业绩保持行业领先。公司全年服务实体企业</w:t>
      </w:r>
    </w:p>
    <w:p>
      <w:pPr>
        <w:pStyle w:val="BodyText"/>
        <w:spacing w:line="355" w:lineRule="auto" w:before="34"/>
        <w:ind w:right="250"/>
        <w:jc w:val="both"/>
      </w:pPr>
      <w:r>
        <w:rPr>
          <w:rFonts w:ascii="宋体" w:hAnsi="宋体" w:cs="宋体" w:eastAsia="宋体" w:hint="default"/>
        </w:rPr>
        <w:t>1000</w:t>
      </w:r>
      <w:r>
        <w:rPr>
          <w:rFonts w:ascii="宋体" w:hAnsi="宋体" w:cs="宋体" w:eastAsia="宋体" w:hint="default"/>
          <w:spacing w:val="-57"/>
        </w:rPr>
        <w:t> </w:t>
      </w:r>
      <w:r>
        <w:rPr/>
        <w:t>多家，完成期现业务营业收入</w:t>
      </w:r>
      <w:r>
        <w:rPr>
          <w:spacing w:val="-55"/>
        </w:rPr>
        <w:t> </w:t>
      </w:r>
      <w:r>
        <w:rPr>
          <w:rFonts w:ascii="宋体" w:hAnsi="宋体" w:cs="宋体" w:eastAsia="宋体" w:hint="default"/>
        </w:rPr>
        <w:t>130</w:t>
      </w:r>
      <w:r>
        <w:rPr>
          <w:rFonts w:ascii="宋体" w:hAnsi="宋体" w:cs="宋体" w:eastAsia="宋体" w:hint="default"/>
          <w:spacing w:val="-55"/>
        </w:rPr>
        <w:t> </w:t>
      </w:r>
      <w:r>
        <w:rPr/>
        <w:t>亿元，同比增长</w:t>
      </w:r>
      <w:r>
        <w:rPr>
          <w:spacing w:val="-54"/>
        </w:rPr>
        <w:t> </w:t>
      </w:r>
      <w:r>
        <w:rPr>
          <w:rFonts w:ascii="宋体" w:hAnsi="宋体" w:cs="宋体" w:eastAsia="宋体" w:hint="default"/>
        </w:rPr>
        <w:t>71%</w:t>
      </w:r>
      <w:r>
        <w:rPr/>
        <w:t>，服务实体经济取得新成效。同时，场</w:t>
      </w:r>
      <w:r>
        <w:rPr>
          <w:w w:val="100"/>
        </w:rPr>
        <w:t> </w:t>
      </w:r>
      <w:r>
        <w:rPr/>
        <w:t>外衍生品业务规模增长势头迅猛，场外期权交易名义金额达到</w:t>
      </w:r>
      <w:r>
        <w:rPr>
          <w:spacing w:val="-54"/>
        </w:rPr>
        <w:t> </w:t>
      </w:r>
      <w:r>
        <w:rPr>
          <w:rFonts w:ascii="宋体" w:hAnsi="宋体" w:cs="宋体" w:eastAsia="宋体" w:hint="default"/>
        </w:rPr>
        <w:t>230</w:t>
      </w:r>
      <w:r>
        <w:rPr>
          <w:rFonts w:ascii="宋体" w:hAnsi="宋体" w:cs="宋体" w:eastAsia="宋体" w:hint="default"/>
          <w:spacing w:val="-56"/>
        </w:rPr>
        <w:t> </w:t>
      </w:r>
      <w:r>
        <w:rPr/>
        <w:t>亿元，同比增长</w:t>
      </w:r>
      <w:r>
        <w:rPr>
          <w:spacing w:val="-54"/>
        </w:rPr>
        <w:t> </w:t>
      </w:r>
      <w:r>
        <w:rPr>
          <w:rFonts w:ascii="宋体" w:hAnsi="宋体" w:cs="宋体" w:eastAsia="宋体" w:hint="default"/>
        </w:rPr>
        <w:t>618.75%</w:t>
      </w:r>
      <w:r>
        <w:rPr/>
        <w:t>，成为</w:t>
      </w:r>
      <w:r>
        <w:rPr>
          <w:w w:val="100"/>
        </w:rPr>
        <w:t> </w:t>
      </w:r>
      <w:r>
        <w:rPr/>
        <w:t>期现业务规模发展的新兴抓手。</w:t>
      </w:r>
    </w:p>
    <w:p>
      <w:pPr>
        <w:pStyle w:val="BodyText"/>
        <w:spacing w:line="357" w:lineRule="auto" w:before="32"/>
        <w:ind w:right="207" w:firstLine="559"/>
        <w:jc w:val="both"/>
      </w:pPr>
      <w:r>
        <w:rPr>
          <w:spacing w:val="-4"/>
        </w:rPr>
        <w:t>报告期内，永安期货保持新三板创新层企业，荣获中国百强企业奖、浙江精选企业奖、浙江新</w:t>
      </w:r>
      <w:r>
        <w:rPr>
          <w:w w:val="100"/>
        </w:rPr>
        <w:t> </w:t>
      </w:r>
      <w:r>
        <w:rPr>
          <w:spacing w:val="-2"/>
        </w:rPr>
        <w:t>三板特别贡献奖。收获“金融机构支持浙江经济社会发展二等奖”、“</w:t>
      </w:r>
      <w:r>
        <w:rPr>
          <w:rFonts w:ascii="宋体" w:hAnsi="宋体" w:cs="宋体" w:eastAsia="宋体" w:hint="default"/>
          <w:spacing w:val="-2"/>
        </w:rPr>
        <w:t>2018</w:t>
      </w:r>
      <w:r>
        <w:rPr>
          <w:rFonts w:ascii="宋体" w:hAnsi="宋体" w:cs="宋体" w:eastAsia="宋体" w:hint="default"/>
        </w:rPr>
        <w:t> </w:t>
      </w:r>
      <w:r>
        <w:rPr>
          <w:spacing w:val="-2"/>
        </w:rPr>
        <w:t>中国优秀财富管理机构</w:t>
      </w:r>
      <w:r>
        <w:rPr>
          <w:spacing w:val="-86"/>
        </w:rPr>
        <w:t> </w:t>
      </w:r>
      <w:r>
        <w:rPr>
          <w:spacing w:val="-86"/>
        </w:rPr>
      </w:r>
      <w:r>
        <w:rPr>
          <w:spacing w:val="-12"/>
          <w:w w:val="100"/>
        </w:rPr>
        <w:t>君鼎奖”、“中国最佳期货公司”、浙江省纳税信用</w:t>
      </w:r>
      <w:r>
        <w:rPr>
          <w:spacing w:val="-50"/>
          <w:w w:val="100"/>
        </w:rPr>
        <w:t> </w:t>
      </w:r>
      <w:r>
        <w:rPr>
          <w:rFonts w:ascii="宋体" w:hAnsi="宋体" w:cs="宋体" w:eastAsia="宋体" w:hint="default"/>
          <w:w w:val="100"/>
        </w:rPr>
        <w:t>A</w:t>
      </w:r>
      <w:r>
        <w:rPr>
          <w:rFonts w:ascii="宋体" w:hAnsi="宋体" w:cs="宋体" w:eastAsia="宋体" w:hint="default"/>
          <w:spacing w:val="-50"/>
          <w:w w:val="100"/>
        </w:rPr>
        <w:t> </w:t>
      </w:r>
      <w:r>
        <w:rPr>
          <w:spacing w:val="-1"/>
          <w:w w:val="100"/>
        </w:rPr>
        <w:t>级企业等</w:t>
      </w:r>
      <w:r>
        <w:rPr>
          <w:spacing w:val="-47"/>
          <w:w w:val="100"/>
        </w:rPr>
        <w:t> </w:t>
      </w:r>
      <w:r>
        <w:rPr>
          <w:rFonts w:ascii="宋体" w:hAnsi="宋体" w:cs="宋体" w:eastAsia="宋体" w:hint="default"/>
          <w:spacing w:val="-2"/>
          <w:w w:val="100"/>
        </w:rPr>
        <w:t>30</w:t>
      </w:r>
      <w:r>
        <w:rPr>
          <w:rFonts w:ascii="宋体" w:hAnsi="宋体" w:cs="宋体" w:eastAsia="宋体" w:hint="default"/>
          <w:spacing w:val="-48"/>
          <w:w w:val="100"/>
        </w:rPr>
        <w:t> </w:t>
      </w:r>
      <w:r>
        <w:rPr>
          <w:spacing w:val="-5"/>
          <w:w w:val="100"/>
        </w:rPr>
        <w:t>余项外部荣誉。在技术创新方面，</w:t>
      </w:r>
      <w:r>
        <w:rPr>
          <w:spacing w:val="-103"/>
          <w:w w:val="100"/>
        </w:rPr>
        <w:t> </w:t>
      </w:r>
      <w:r>
        <w:rPr>
          <w:spacing w:val="-103"/>
          <w:w w:val="100"/>
        </w:rPr>
      </w:r>
      <w:r>
        <w:rPr>
          <w:spacing w:val="-2"/>
        </w:rPr>
        <w:t>永安期货荣获“第六届证券期货科学技术优秀奖”、“</w:t>
      </w:r>
      <w:r>
        <w:rPr>
          <w:rFonts w:ascii="宋体" w:hAnsi="宋体" w:cs="宋体" w:eastAsia="宋体" w:hint="default"/>
          <w:spacing w:val="-2"/>
        </w:rPr>
        <w:t>2018</w:t>
      </w:r>
      <w:r>
        <w:rPr>
          <w:rFonts w:ascii="宋体" w:hAnsi="宋体" w:cs="宋体" w:eastAsia="宋体" w:hint="default"/>
        </w:rPr>
        <w:t> </w:t>
      </w:r>
      <w:r>
        <w:rPr>
          <w:spacing w:val="-2"/>
        </w:rPr>
        <w:t>年浙江金融科技十大案例”。同时，永</w:t>
      </w:r>
      <w:r>
        <w:rPr>
          <w:spacing w:val="-87"/>
        </w:rPr>
        <w:t> </w:t>
      </w:r>
      <w:r>
        <w:rPr>
          <w:spacing w:val="-87"/>
        </w:rPr>
      </w:r>
      <w:r>
        <w:rPr>
          <w:spacing w:val="-2"/>
        </w:rPr>
        <w:t>安期货在精准扶贫的工作考核中连续两年排名行业第一，扶贫工作成效显著，并且荣获“</w:t>
      </w:r>
      <w:r>
        <w:rPr>
          <w:rFonts w:ascii="宋体" w:hAnsi="宋体" w:cs="宋体" w:eastAsia="宋体" w:hint="default"/>
          <w:spacing w:val="-2"/>
        </w:rPr>
        <w:t>2018</w:t>
      </w:r>
      <w:r>
        <w:rPr>
          <w:rFonts w:ascii="宋体" w:hAnsi="宋体" w:cs="宋体" w:eastAsia="宋体" w:hint="default"/>
        </w:rPr>
        <w:t> </w:t>
      </w:r>
      <w:r>
        <w:rPr>
          <w:spacing w:val="-3"/>
        </w:rPr>
        <w:t>中国</w:t>
      </w:r>
      <w:r>
        <w:rPr>
          <w:spacing w:val="-89"/>
        </w:rPr>
        <w:t> </w:t>
      </w:r>
      <w:r>
        <w:rPr>
          <w:spacing w:val="-2"/>
        </w:rPr>
        <w:t>证券期货业优秀创新扶贫奖”、“最佳创新金融产品扶贫项目奖”、“最佳精准脱贫项目奖”等奖</w:t>
      </w:r>
      <w:r>
        <w:rPr>
          <w:spacing w:val="-25"/>
        </w:rPr>
        <w:t> </w:t>
      </w:r>
      <w:r>
        <w:rPr>
          <w:spacing w:val="-25"/>
        </w:rPr>
      </w:r>
      <w:r>
        <w:rPr/>
        <w:t>项。</w:t>
      </w:r>
    </w:p>
    <w:p>
      <w:pPr>
        <w:pStyle w:val="Heading5"/>
        <w:spacing w:line="240" w:lineRule="auto" w:before="32"/>
        <w:ind w:left="698" w:right="0"/>
        <w:jc w:val="left"/>
        <w:rPr>
          <w:b w:val="0"/>
          <w:bCs w:val="0"/>
        </w:rPr>
      </w:pPr>
      <w:r>
        <w:rPr/>
        <w:t>（七）境外证券业务</w:t>
      </w:r>
      <w:r>
        <w:rPr>
          <w:b w:val="0"/>
          <w:bCs w:val="0"/>
        </w:rPr>
      </w:r>
    </w:p>
    <w:p>
      <w:pPr>
        <w:pStyle w:val="BodyText"/>
        <w:spacing w:line="355" w:lineRule="auto" w:before="133"/>
        <w:ind w:right="267" w:firstLine="559"/>
        <w:jc w:val="both"/>
      </w:pPr>
      <w:r>
        <w:rPr>
          <w:rFonts w:ascii="宋体" w:hAnsi="宋体" w:cs="宋体" w:eastAsia="宋体" w:hint="default"/>
        </w:rPr>
        <w:t>2018</w:t>
      </w:r>
      <w:r>
        <w:rPr>
          <w:rFonts w:ascii="宋体" w:hAnsi="宋体" w:cs="宋体" w:eastAsia="宋体" w:hint="default"/>
          <w:spacing w:val="-55"/>
        </w:rPr>
        <w:t> </w:t>
      </w:r>
      <w:r>
        <w:rPr/>
        <w:t>年，香港</w:t>
      </w:r>
      <w:r>
        <w:rPr>
          <w:spacing w:val="-53"/>
        </w:rPr>
        <w:t> </w:t>
      </w:r>
      <w:r>
        <w:rPr>
          <w:rFonts w:ascii="宋体" w:hAnsi="宋体" w:cs="宋体" w:eastAsia="宋体" w:hint="default"/>
        </w:rPr>
        <w:t>IPO</w:t>
      </w:r>
      <w:r>
        <w:rPr>
          <w:rFonts w:ascii="宋体" w:hAnsi="宋体" w:cs="宋体" w:eastAsia="宋体" w:hint="default"/>
          <w:spacing w:val="-55"/>
        </w:rPr>
        <w:t> </w:t>
      </w:r>
      <w:r>
        <w:rPr/>
        <w:t>市场继续居于全球领先地位，成功</w:t>
      </w:r>
      <w:r>
        <w:rPr>
          <w:spacing w:val="-52"/>
        </w:rPr>
        <w:t> </w:t>
      </w:r>
      <w:r>
        <w:rPr>
          <w:rFonts w:ascii="宋体" w:hAnsi="宋体" w:cs="宋体" w:eastAsia="宋体" w:hint="default"/>
        </w:rPr>
        <w:t>IPO</w:t>
      </w:r>
      <w:r>
        <w:rPr>
          <w:rFonts w:ascii="宋体" w:hAnsi="宋体" w:cs="宋体" w:eastAsia="宋体" w:hint="default"/>
          <w:spacing w:val="-55"/>
        </w:rPr>
        <w:t> </w:t>
      </w:r>
      <w:r>
        <w:rPr/>
        <w:t>首发上市企业</w:t>
      </w:r>
      <w:r>
        <w:rPr>
          <w:spacing w:val="-53"/>
        </w:rPr>
        <w:t> </w:t>
      </w:r>
      <w:r>
        <w:rPr>
          <w:rFonts w:ascii="宋体" w:hAnsi="宋体" w:cs="宋体" w:eastAsia="宋体" w:hint="default"/>
        </w:rPr>
        <w:t>208</w:t>
      </w:r>
      <w:r>
        <w:rPr>
          <w:rFonts w:ascii="宋体" w:hAnsi="宋体" w:cs="宋体" w:eastAsia="宋体" w:hint="default"/>
          <w:spacing w:val="-54"/>
        </w:rPr>
        <w:t> </w:t>
      </w:r>
      <w:r>
        <w:rPr/>
        <w:t>家，累计募资金</w:t>
      </w:r>
      <w:r>
        <w:rPr>
          <w:w w:val="100"/>
        </w:rPr>
        <w:t> </w:t>
      </w:r>
      <w:r>
        <w:rPr/>
        <w:t>额超过</w:t>
      </w:r>
      <w:r>
        <w:rPr>
          <w:spacing w:val="-55"/>
        </w:rPr>
        <w:t> </w:t>
      </w:r>
      <w:r>
        <w:rPr>
          <w:rFonts w:ascii="宋体" w:hAnsi="宋体" w:cs="宋体" w:eastAsia="宋体" w:hint="default"/>
        </w:rPr>
        <w:t>2800</w:t>
      </w:r>
      <w:r>
        <w:rPr>
          <w:rFonts w:ascii="宋体" w:hAnsi="宋体" w:cs="宋体" w:eastAsia="宋体" w:hint="default"/>
          <w:spacing w:val="-55"/>
        </w:rPr>
        <w:t> </w:t>
      </w:r>
      <w:r>
        <w:rPr/>
        <w:t>亿港元；而受到国际经济下挫的影响，二级市场表现不佳。</w:t>
      </w:r>
      <w:r>
        <w:rPr>
          <w:rFonts w:ascii="宋体" w:hAnsi="宋体" w:cs="宋体" w:eastAsia="宋体" w:hint="default"/>
        </w:rPr>
        <w:t>2018</w:t>
      </w:r>
      <w:r>
        <w:rPr>
          <w:rFonts w:ascii="宋体" w:hAnsi="宋体" w:cs="宋体" w:eastAsia="宋体" w:hint="default"/>
          <w:spacing w:val="-57"/>
        </w:rPr>
        <w:t> </w:t>
      </w:r>
      <w:r>
        <w:rPr/>
        <w:t>年度，恒生指数全年</w:t>
      </w:r>
      <w:r>
        <w:rPr>
          <w:w w:val="100"/>
        </w:rPr>
        <w:t> </w:t>
      </w:r>
      <w:r>
        <w:rPr/>
        <w:t>跌幅</w:t>
      </w:r>
      <w:r>
        <w:rPr>
          <w:spacing w:val="-58"/>
        </w:rPr>
        <w:t> </w:t>
      </w:r>
      <w:r>
        <w:rPr>
          <w:rFonts w:ascii="宋体" w:hAnsi="宋体" w:cs="宋体" w:eastAsia="宋体" w:hint="default"/>
        </w:rPr>
        <w:t>13.61%</w:t>
      </w:r>
      <w:r>
        <w:rPr/>
        <w:t>，创出最近七年最大年度跌幅。</w:t>
      </w:r>
    </w:p>
    <w:p>
      <w:pPr>
        <w:pStyle w:val="BodyText"/>
        <w:spacing w:line="355" w:lineRule="auto" w:before="35"/>
        <w:ind w:right="104" w:firstLine="559"/>
        <w:jc w:val="left"/>
      </w:pPr>
      <w:r>
        <w:rPr>
          <w:spacing w:val="-4"/>
        </w:rPr>
        <w:t>公司全资境外子公司财通香港努力克服不利因素，进一步夯实业务及管理基础、经营业绩，继</w:t>
      </w:r>
      <w:r>
        <w:rPr>
          <w:w w:val="100"/>
        </w:rPr>
        <w:t> </w:t>
      </w:r>
      <w:r>
        <w:rPr/>
        <w:t>续保持增长。</w:t>
      </w:r>
      <w:r>
        <w:rPr>
          <w:rFonts w:ascii="宋体" w:hAnsi="宋体" w:cs="宋体" w:eastAsia="宋体" w:hint="default"/>
        </w:rPr>
        <w:t>2018</w:t>
      </w:r>
      <w:r>
        <w:rPr>
          <w:rFonts w:ascii="宋体" w:hAnsi="宋体" w:cs="宋体" w:eastAsia="宋体" w:hint="default"/>
          <w:spacing w:val="-27"/>
        </w:rPr>
        <w:t> </w:t>
      </w:r>
      <w:r>
        <w:rPr/>
        <w:t>年，财通香港正式获得香港证监会颁发的</w:t>
      </w:r>
      <w:r>
        <w:rPr>
          <w:spacing w:val="-20"/>
        </w:rPr>
        <w:t> </w:t>
      </w:r>
      <w:r>
        <w:rPr>
          <w:rFonts w:ascii="宋体" w:hAnsi="宋体" w:cs="宋体" w:eastAsia="宋体" w:hint="default"/>
        </w:rPr>
        <w:t>6</w:t>
      </w:r>
      <w:r>
        <w:rPr>
          <w:rFonts w:ascii="宋体" w:hAnsi="宋体" w:cs="宋体" w:eastAsia="宋体" w:hint="default"/>
          <w:spacing w:val="-29"/>
        </w:rPr>
        <w:t> </w:t>
      </w:r>
      <w:r>
        <w:rPr/>
        <w:t>号牌，为保荐业务的开展打下基础。</w:t>
      </w:r>
      <w:r>
        <w:rPr>
          <w:spacing w:val="-99"/>
        </w:rPr>
        <w:t> </w:t>
      </w:r>
      <w:r>
        <w:rPr>
          <w:spacing w:val="-99"/>
        </w:rPr>
      </w:r>
      <w:r>
        <w:rPr/>
        <w:t>至此，财通香港已获取主要业务牌照，基本实现全牌照经营。</w:t>
      </w:r>
    </w:p>
    <w:p>
      <w:pPr>
        <w:pStyle w:val="Heading5"/>
        <w:spacing w:line="240" w:lineRule="auto" w:before="32"/>
        <w:ind w:left="698" w:right="0"/>
        <w:jc w:val="left"/>
        <w:rPr>
          <w:b w:val="0"/>
          <w:bCs w:val="0"/>
        </w:rPr>
      </w:pPr>
      <w:r>
        <w:rPr/>
        <w:t>（八）基金业务</w:t>
      </w:r>
      <w:r>
        <w:rPr>
          <w:b w:val="0"/>
          <w:bCs w:val="0"/>
        </w:rPr>
      </w:r>
    </w:p>
    <w:p>
      <w:pPr>
        <w:pStyle w:val="BodyText"/>
        <w:spacing w:line="357" w:lineRule="auto" w:before="133"/>
        <w:ind w:right="206" w:firstLine="420"/>
        <w:jc w:val="both"/>
      </w:pPr>
      <w:r>
        <w:rPr>
          <w:spacing w:val="-2"/>
        </w:rPr>
        <w:t>公司通过参股公司财通基金开展基金管理业务。</w:t>
      </w:r>
      <w:r>
        <w:rPr>
          <w:rFonts w:ascii="宋体" w:hAnsi="宋体" w:cs="宋体" w:eastAsia="宋体" w:hint="default"/>
          <w:spacing w:val="-2"/>
        </w:rPr>
        <w:t>2018</w:t>
      </w:r>
      <w:r>
        <w:rPr>
          <w:rFonts w:ascii="宋体" w:hAnsi="宋体" w:cs="宋体" w:eastAsia="宋体" w:hint="default"/>
          <w:spacing w:val="-5"/>
        </w:rPr>
        <w:t> </w:t>
      </w:r>
      <w:r>
        <w:rPr>
          <w:spacing w:val="-2"/>
        </w:rPr>
        <w:t>年，公司经营层和全体员工坚守共进，积</w:t>
      </w:r>
      <w:r>
        <w:rPr>
          <w:w w:val="100"/>
        </w:rPr>
        <w:t> </w:t>
      </w:r>
      <w:r>
        <w:rPr>
          <w:spacing w:val="-2"/>
        </w:rPr>
        <w:t>极应对所处复杂局面，加紧公募基金发行，扎实推进投研建设，增强对机构客户的拓展，筑牢内控</w:t>
      </w:r>
      <w:r>
        <w:rPr>
          <w:spacing w:val="-25"/>
        </w:rPr>
        <w:t> </w:t>
      </w:r>
      <w:r>
        <w:rPr>
          <w:spacing w:val="-25"/>
        </w:rPr>
      </w:r>
      <w:r>
        <w:rPr/>
        <w:t>防线。</w:t>
      </w:r>
    </w:p>
    <w:p>
      <w:pPr>
        <w:pStyle w:val="BodyText"/>
        <w:spacing w:line="357" w:lineRule="auto" w:before="30"/>
        <w:ind w:right="207" w:firstLine="420"/>
        <w:jc w:val="both"/>
      </w:pPr>
      <w:r>
        <w:rPr/>
        <w:t>公募基金方面，公司全年累计新发</w:t>
      </w:r>
      <w:r>
        <w:rPr>
          <w:spacing w:val="-53"/>
        </w:rPr>
        <w:t> </w:t>
      </w:r>
      <w:r>
        <w:rPr>
          <w:rFonts w:ascii="宋体" w:hAnsi="宋体" w:cs="宋体" w:eastAsia="宋体" w:hint="default"/>
        </w:rPr>
        <w:t>6</w:t>
      </w:r>
      <w:r>
        <w:rPr>
          <w:rFonts w:ascii="宋体" w:hAnsi="宋体" w:cs="宋体" w:eastAsia="宋体" w:hint="default"/>
          <w:spacing w:val="-55"/>
        </w:rPr>
        <w:t> </w:t>
      </w:r>
      <w:r>
        <w:rPr/>
        <w:t>只公募基金，首发规模合计</w:t>
      </w:r>
      <w:r>
        <w:rPr>
          <w:spacing w:val="-53"/>
        </w:rPr>
        <w:t> </w:t>
      </w:r>
      <w:r>
        <w:rPr>
          <w:rFonts w:ascii="宋体" w:hAnsi="宋体" w:cs="宋体" w:eastAsia="宋体" w:hint="default"/>
        </w:rPr>
        <w:t>23.64</w:t>
      </w:r>
      <w:r>
        <w:rPr>
          <w:rFonts w:ascii="宋体" w:hAnsi="宋体" w:cs="宋体" w:eastAsia="宋体" w:hint="default"/>
          <w:spacing w:val="-55"/>
        </w:rPr>
        <w:t> </w:t>
      </w:r>
      <w:r>
        <w:rPr/>
        <w:t>亿元。其中，财通新视</w:t>
      </w:r>
      <w:r>
        <w:rPr>
          <w:w w:val="100"/>
        </w:rPr>
        <w:t> </w:t>
      </w:r>
      <w:r>
        <w:rPr>
          <w:spacing w:val="-2"/>
        </w:rPr>
        <w:t>野混合基金为财通基金三年来首只主动权益基金，首募规模位于同期同类型基金第一；专户产品方</w:t>
      </w:r>
      <w:r>
        <w:rPr>
          <w:spacing w:val="-25"/>
        </w:rPr>
        <w:t> </w:t>
      </w:r>
      <w:r>
        <w:rPr>
          <w:spacing w:val="-25"/>
        </w:rPr>
      </w:r>
      <w:r>
        <w:rPr>
          <w:spacing w:val="-4"/>
        </w:rPr>
        <w:t>面，在定增业务受政策影响大幅下滑的背景下，公司积极加快量化专户、可转债专户和 </w:t>
      </w:r>
      <w:r>
        <w:rPr>
          <w:rFonts w:ascii="宋体" w:hAnsi="宋体" w:cs="宋体" w:eastAsia="宋体" w:hint="default"/>
        </w:rPr>
        <w:t>QDII</w:t>
      </w:r>
      <w:r>
        <w:rPr>
          <w:rFonts w:ascii="宋体" w:hAnsi="宋体" w:cs="宋体" w:eastAsia="宋体" w:hint="default"/>
          <w:spacing w:val="-22"/>
        </w:rPr>
        <w:t> </w:t>
      </w:r>
      <w:r>
        <w:rPr/>
        <w:t>专户的</w:t>
      </w:r>
    </w:p>
    <w:p>
      <w:pPr>
        <w:spacing w:after="0" w:line="357" w:lineRule="auto"/>
        <w:jc w:val="both"/>
        <w:sectPr>
          <w:footerReference w:type="default" r:id="rId19"/>
          <w:pgSz w:w="11910" w:h="16840"/>
          <w:pgMar w:footer="1195" w:header="880" w:top="1060" w:bottom="1380" w:left="1280" w:right="1200"/>
        </w:sectPr>
      </w:pPr>
    </w:p>
    <w:p>
      <w:pPr>
        <w:spacing w:line="240" w:lineRule="auto" w:before="8"/>
        <w:rPr>
          <w:rFonts w:ascii="宋体" w:hAnsi="宋体" w:cs="宋体" w:eastAsia="宋体" w:hint="default"/>
          <w:sz w:val="28"/>
          <w:szCs w:val="28"/>
        </w:rPr>
      </w:pPr>
    </w:p>
    <w:p>
      <w:pPr>
        <w:pStyle w:val="BodyText"/>
        <w:spacing w:line="240" w:lineRule="auto" w:before="36"/>
        <w:ind w:left="218" w:right="0"/>
        <w:jc w:val="left"/>
        <w:rPr>
          <w:rFonts w:ascii="宋体" w:hAnsi="宋体" w:cs="宋体" w:eastAsia="宋体" w:hint="default"/>
        </w:rPr>
      </w:pPr>
      <w:r>
        <w:rPr>
          <w:spacing w:val="-13"/>
        </w:rPr>
        <w:t>发展。截至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spacing w:val="-7"/>
        </w:rPr>
        <w:t>日，公司总资产管理规模为</w:t>
      </w:r>
      <w:r>
        <w:rPr>
          <w:spacing w:val="-48"/>
        </w:rPr>
        <w:t> </w:t>
      </w:r>
      <w:r>
        <w:rPr>
          <w:rFonts w:ascii="宋体" w:hAnsi="宋体" w:cs="宋体" w:eastAsia="宋体" w:hint="default"/>
        </w:rPr>
        <w:t>523.35</w:t>
      </w:r>
      <w:r>
        <w:rPr>
          <w:rFonts w:ascii="宋体" w:hAnsi="宋体" w:cs="宋体" w:eastAsia="宋体" w:hint="default"/>
          <w:spacing w:val="-50"/>
        </w:rPr>
        <w:t> </w:t>
      </w:r>
      <w:r>
        <w:rPr>
          <w:spacing w:val="-10"/>
        </w:rPr>
        <w:t>亿元，其中，公募基金规模为</w:t>
      </w:r>
      <w:r>
        <w:rPr>
          <w:spacing w:val="-47"/>
        </w:rPr>
        <w:t> </w:t>
      </w:r>
      <w:r>
        <w:rPr>
          <w:rFonts w:ascii="宋体" w:hAnsi="宋体" w:cs="宋体" w:eastAsia="宋体" w:hint="default"/>
        </w:rPr>
        <w:t>175.85</w:t>
      </w:r>
    </w:p>
    <w:p>
      <w:pPr>
        <w:pStyle w:val="BodyText"/>
        <w:spacing w:line="240" w:lineRule="auto" w:before="135"/>
        <w:ind w:left="218" w:right="0"/>
        <w:jc w:val="left"/>
      </w:pPr>
      <w:r>
        <w:rPr/>
        <w:t>亿元，专户规模为</w:t>
      </w:r>
      <w:r>
        <w:rPr>
          <w:spacing w:val="-53"/>
        </w:rPr>
        <w:t> </w:t>
      </w:r>
      <w:r>
        <w:rPr>
          <w:rFonts w:ascii="宋体" w:hAnsi="宋体" w:cs="宋体" w:eastAsia="宋体" w:hint="default"/>
        </w:rPr>
        <w:t>347.50</w:t>
      </w:r>
      <w:r>
        <w:rPr>
          <w:rFonts w:ascii="宋体" w:hAnsi="宋体" w:cs="宋体" w:eastAsia="宋体" w:hint="default"/>
          <w:spacing w:val="-55"/>
        </w:rPr>
        <w:t> </w:t>
      </w:r>
      <w:r>
        <w:rPr/>
        <w:t>亿元。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ind w:left="218" w:right="0"/>
        <w:jc w:val="left"/>
        <w:rPr>
          <w:b w:val="0"/>
          <w:bCs w:val="0"/>
        </w:rPr>
      </w:pPr>
      <w:r>
        <w:rPr/>
        <w:t>二、报告期内主要经营情况</w:t>
      </w:r>
      <w:r>
        <w:rPr>
          <w:b w:val="0"/>
          <w:bCs w:val="0"/>
        </w:rPr>
      </w:r>
    </w:p>
    <w:p>
      <w:pPr>
        <w:pStyle w:val="BodyText"/>
        <w:spacing w:line="355" w:lineRule="auto" w:before="58"/>
        <w:ind w:left="218" w:right="124" w:firstLine="480"/>
        <w:jc w:val="both"/>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
        </w:rPr>
        <w:t> </w:t>
      </w:r>
      <w:r>
        <w:rPr/>
        <w:t>月</w:t>
      </w:r>
      <w:r>
        <w:rPr>
          <w:spacing w:val="-50"/>
        </w:rPr>
        <w:t> </w:t>
      </w:r>
      <w:r>
        <w:rPr>
          <w:rFonts w:ascii="宋体" w:hAnsi="宋体" w:cs="宋体" w:eastAsia="宋体" w:hint="default"/>
        </w:rPr>
        <w:t>31</w:t>
      </w:r>
      <w:r>
        <w:rPr>
          <w:rFonts w:ascii="宋体" w:hAnsi="宋体" w:cs="宋体" w:eastAsia="宋体" w:hint="default"/>
          <w:spacing w:val="8"/>
        </w:rPr>
        <w:t> </w:t>
      </w:r>
      <w:r>
        <w:rPr>
          <w:spacing w:val="-5"/>
        </w:rPr>
        <w:t>日，公司总资产为</w:t>
      </w:r>
      <w:r>
        <w:rPr>
          <w:spacing w:val="-52"/>
        </w:rPr>
        <w:t> </w:t>
      </w:r>
      <w:r>
        <w:rPr>
          <w:rFonts w:ascii="宋体" w:hAnsi="宋体" w:cs="宋体" w:eastAsia="宋体" w:hint="default"/>
        </w:rPr>
        <w:t>586.95</w:t>
      </w:r>
      <w:r>
        <w:rPr>
          <w:rFonts w:ascii="宋体" w:hAnsi="宋体" w:cs="宋体" w:eastAsia="宋体" w:hint="default"/>
          <w:spacing w:val="-49"/>
        </w:rPr>
        <w:t> </w:t>
      </w:r>
      <w:r>
        <w:rPr>
          <w:spacing w:val="-5"/>
        </w:rPr>
        <w:t>亿元，较年初增加</w:t>
      </w:r>
      <w:r>
        <w:rPr>
          <w:spacing w:val="-52"/>
        </w:rPr>
        <w:t> </w:t>
      </w:r>
      <w:r>
        <w:rPr>
          <w:rFonts w:ascii="宋体" w:hAnsi="宋体" w:cs="宋体" w:eastAsia="宋体" w:hint="default"/>
          <w:spacing w:val="-3"/>
        </w:rPr>
        <w:t>1.72%</w:t>
      </w:r>
      <w:r>
        <w:rPr>
          <w:spacing w:val="-3"/>
        </w:rPr>
        <w:t>；归属于上市公司股</w:t>
      </w:r>
      <w:r>
        <w:rPr>
          <w:w w:val="100"/>
        </w:rPr>
        <w:t> </w:t>
      </w:r>
      <w:r>
        <w:rPr/>
        <w:t>东的所有者权益为</w:t>
      </w:r>
      <w:r>
        <w:rPr>
          <w:spacing w:val="-48"/>
        </w:rPr>
        <w:t> </w:t>
      </w:r>
      <w:r>
        <w:rPr>
          <w:rFonts w:ascii="宋体" w:hAnsi="宋体" w:cs="宋体" w:eastAsia="宋体" w:hint="default"/>
        </w:rPr>
        <w:t>196.65</w:t>
      </w:r>
      <w:r>
        <w:rPr>
          <w:rFonts w:ascii="宋体" w:hAnsi="宋体" w:cs="宋体" w:eastAsia="宋体" w:hint="default"/>
          <w:spacing w:val="-49"/>
        </w:rPr>
        <w:t> </w:t>
      </w:r>
      <w:r>
        <w:rPr>
          <w:spacing w:val="-4"/>
        </w:rPr>
        <w:t>亿元，较年初减少</w:t>
      </w:r>
      <w:r>
        <w:rPr>
          <w:spacing w:val="-48"/>
        </w:rPr>
        <w:t> </w:t>
      </w:r>
      <w:r>
        <w:rPr>
          <w:rFonts w:ascii="宋体" w:hAnsi="宋体" w:cs="宋体" w:eastAsia="宋体" w:hint="default"/>
          <w:spacing w:val="-3"/>
        </w:rPr>
        <w:t>5.41%</w:t>
      </w:r>
      <w:r>
        <w:rPr>
          <w:spacing w:val="-3"/>
        </w:rPr>
        <w:t>；营业收入为</w:t>
      </w:r>
      <w:r>
        <w:rPr>
          <w:spacing w:val="-47"/>
        </w:rPr>
        <w:t> </w:t>
      </w:r>
      <w:r>
        <w:rPr>
          <w:rFonts w:ascii="宋体" w:hAnsi="宋体" w:cs="宋体" w:eastAsia="宋体" w:hint="default"/>
        </w:rPr>
        <w:t>31.68</w:t>
      </w:r>
      <w:r>
        <w:rPr>
          <w:rFonts w:ascii="宋体" w:hAnsi="宋体" w:cs="宋体" w:eastAsia="宋体" w:hint="default"/>
          <w:spacing w:val="-48"/>
        </w:rPr>
        <w:t> </w:t>
      </w:r>
      <w:r>
        <w:rPr>
          <w:spacing w:val="-4"/>
        </w:rPr>
        <w:t>亿元，同比减少</w:t>
      </w:r>
      <w:r>
        <w:rPr>
          <w:spacing w:val="-47"/>
        </w:rPr>
        <w:t> </w:t>
      </w:r>
      <w:r>
        <w:rPr>
          <w:rFonts w:ascii="宋体" w:hAnsi="宋体" w:cs="宋体" w:eastAsia="宋体" w:hint="default"/>
          <w:spacing w:val="-6"/>
        </w:rPr>
        <w:t>21.13%</w:t>
      </w:r>
      <w:r>
        <w:rPr>
          <w:spacing w:val="-6"/>
        </w:rPr>
        <w:t>；利</w:t>
      </w:r>
      <w:r>
        <w:rPr>
          <w:spacing w:val="-89"/>
        </w:rPr>
        <w:t> </w:t>
      </w:r>
      <w:r>
        <w:rPr>
          <w:spacing w:val="-1"/>
          <w:w w:val="100"/>
        </w:rPr>
        <w:t>润总额为</w:t>
      </w:r>
      <w:r>
        <w:rPr>
          <w:spacing w:val="-61"/>
          <w:w w:val="100"/>
        </w:rPr>
        <w:t> </w:t>
      </w:r>
      <w:r>
        <w:rPr>
          <w:rFonts w:ascii="宋体" w:hAnsi="宋体" w:cs="宋体" w:eastAsia="宋体" w:hint="default"/>
          <w:spacing w:val="-1"/>
          <w:w w:val="100"/>
        </w:rPr>
        <w:t>8.71</w:t>
      </w:r>
      <w:r>
        <w:rPr>
          <w:rFonts w:ascii="宋体" w:hAnsi="宋体" w:cs="宋体" w:eastAsia="宋体" w:hint="default"/>
          <w:spacing w:val="-58"/>
          <w:w w:val="100"/>
        </w:rPr>
        <w:t> </w:t>
      </w:r>
      <w:r>
        <w:rPr>
          <w:spacing w:val="-17"/>
          <w:w w:val="100"/>
        </w:rPr>
        <w:t>亿元，同比减少</w:t>
      </w:r>
      <w:r>
        <w:rPr>
          <w:spacing w:val="-60"/>
          <w:w w:val="100"/>
        </w:rPr>
        <w:t> </w:t>
      </w:r>
      <w:r>
        <w:rPr>
          <w:rFonts w:ascii="宋体" w:hAnsi="宋体" w:cs="宋体" w:eastAsia="宋体" w:hint="default"/>
          <w:spacing w:val="-7"/>
          <w:w w:val="100"/>
        </w:rPr>
        <w:t>51.87%</w:t>
      </w:r>
      <w:r>
        <w:rPr>
          <w:spacing w:val="-7"/>
          <w:w w:val="100"/>
        </w:rPr>
        <w:t>；归属于上市公司股东的净利润为</w:t>
      </w:r>
      <w:r>
        <w:rPr>
          <w:spacing w:val="-58"/>
          <w:w w:val="100"/>
        </w:rPr>
        <w:t> </w:t>
      </w:r>
      <w:r>
        <w:rPr>
          <w:rFonts w:ascii="宋体" w:hAnsi="宋体" w:cs="宋体" w:eastAsia="宋体" w:hint="default"/>
          <w:spacing w:val="-1"/>
          <w:w w:val="100"/>
        </w:rPr>
        <w:t>8.19</w:t>
      </w:r>
      <w:r>
        <w:rPr>
          <w:rFonts w:ascii="宋体" w:hAnsi="宋体" w:cs="宋体" w:eastAsia="宋体" w:hint="default"/>
          <w:spacing w:val="-61"/>
          <w:w w:val="100"/>
        </w:rPr>
        <w:t> </w:t>
      </w:r>
      <w:r>
        <w:rPr>
          <w:spacing w:val="-17"/>
          <w:w w:val="100"/>
        </w:rPr>
        <w:t>亿元，同比减少</w:t>
      </w:r>
      <w:r>
        <w:rPr>
          <w:spacing w:val="-58"/>
          <w:w w:val="100"/>
        </w:rPr>
        <w:t> </w:t>
      </w:r>
      <w:r>
        <w:rPr>
          <w:rFonts w:ascii="宋体" w:hAnsi="宋体" w:cs="宋体" w:eastAsia="宋体" w:hint="default"/>
          <w:spacing w:val="-1"/>
          <w:w w:val="100"/>
        </w:rPr>
        <w:t>45.55%</w:t>
      </w:r>
      <w:r>
        <w:rPr>
          <w:spacing w:val="-1"/>
          <w:w w:val="100"/>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20"/>
          <w:pgSz w:w="11910" w:h="16840"/>
          <w:pgMar w:footer="1195" w:header="880" w:top="1060" w:bottom="1380" w:left="1200" w:right="1180"/>
          <w:pgNumType w:start="31"/>
        </w:sectPr>
      </w:pPr>
    </w:p>
    <w:p>
      <w:pPr>
        <w:pStyle w:val="Heading5"/>
        <w:tabs>
          <w:tab w:pos="1058" w:val="left" w:leader="none"/>
        </w:tabs>
        <w:spacing w:line="240" w:lineRule="auto" w:before="36"/>
        <w:ind w:left="218" w:right="-17"/>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5"/>
        <w:spacing w:line="240" w:lineRule="auto"/>
        <w:ind w:left="21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77"/>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200" w:right="1180"/>
          <w:cols w:num="3" w:equalWidth="0">
            <w:col w:w="2327" w:space="496"/>
            <w:col w:w="4016" w:space="134"/>
            <w:col w:w="2557"/>
          </w:cols>
        </w:sectPr>
      </w:pPr>
    </w:p>
    <w:p>
      <w:pPr>
        <w:spacing w:line="240" w:lineRule="auto" w:before="4"/>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3320"/>
        <w:gridCol w:w="1918"/>
        <w:gridCol w:w="2016"/>
        <w:gridCol w:w="1820"/>
      </w:tblGrid>
      <w:tr>
        <w:trPr>
          <w:trHeight w:val="269"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科目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本期数</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1" w:right="0"/>
              <w:jc w:val="left"/>
              <w:rPr>
                <w:rFonts w:ascii="宋体" w:hAnsi="宋体" w:cs="宋体" w:eastAsia="宋体" w:hint="default"/>
                <w:sz w:val="20"/>
                <w:szCs w:val="20"/>
              </w:rPr>
            </w:pPr>
            <w:r>
              <w:rPr>
                <w:rFonts w:ascii="宋体" w:hAnsi="宋体" w:cs="宋体" w:eastAsia="宋体" w:hint="default"/>
                <w:sz w:val="20"/>
                <w:szCs w:val="20"/>
              </w:rPr>
              <w:t>上年同期数</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宋体" w:hAnsi="宋体" w:cs="宋体" w:eastAsia="宋体" w:hint="default"/>
                <w:sz w:val="20"/>
                <w:szCs w:val="20"/>
              </w:rPr>
            </w:pPr>
            <w:r>
              <w:rPr>
                <w:rFonts w:ascii="宋体" w:hAnsi="宋体" w:cs="宋体" w:eastAsia="宋体" w:hint="default"/>
                <w:sz w:val="20"/>
                <w:szCs w:val="20"/>
              </w:rPr>
              <w:t>变动比例（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271"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3,167,998,370.32</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4,016,866,764.74</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-21.13</w:t>
            </w:r>
            <w:r>
              <w:rPr>
                <w:rFonts w:ascii="宋体"/>
                <w:sz w:val="20"/>
              </w:rPr>
            </w:r>
          </w:p>
        </w:tc>
      </w:tr>
      <w:tr>
        <w:trPr>
          <w:trHeight w:val="269"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2,282,628,322.95</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2,199,132,632.99</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sz w:val="20"/>
              </w:rPr>
              <w:t>3.80</w:t>
            </w:r>
          </w:p>
        </w:tc>
      </w:tr>
      <w:tr>
        <w:trPr>
          <w:trHeight w:val="269"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2,362,615,194.04</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-13,479,522,627.32</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269"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-2,148,485,897.03</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-214,584,264.14</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269"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58,047,106.90</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8,516,997,924.16</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-99.32</w:t>
            </w:r>
            <w:r>
              <w:rPr>
                <w:rFonts w:ascii="宋体"/>
                <w:sz w:val="20"/>
              </w:rPr>
            </w:r>
          </w:p>
        </w:tc>
      </w:tr>
      <w:tr>
        <w:trPr>
          <w:trHeight w:val="271"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15,777,084.75</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9,905,769.19</w:t>
            </w:r>
            <w:r>
              <w:rPr>
                <w:rFonts w:ascii="宋体"/>
                <w:sz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20"/>
                <w:szCs w:val="20"/>
              </w:rPr>
            </w:pPr>
            <w:r>
              <w:rPr>
                <w:rFonts w:ascii="宋体"/>
                <w:w w:val="95"/>
                <w:sz w:val="20"/>
              </w:rPr>
              <w:t>59.27</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5"/>
        <w:tabs>
          <w:tab w:pos="638" w:val="left" w:leader="none"/>
        </w:tabs>
        <w:spacing w:line="240" w:lineRule="auto" w:before="36"/>
        <w:ind w:left="218" w:right="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8"/>
        <w:ind w:left="218" w:right="0"/>
        <w:jc w:val="left"/>
      </w:pPr>
      <w:r>
        <w:rPr/>
        <w:t>□适用 √不适用</w:t>
      </w:r>
    </w:p>
    <w:p>
      <w:pPr>
        <w:spacing w:line="240" w:lineRule="auto" w:before="5"/>
        <w:rPr>
          <w:rFonts w:ascii="宋体" w:hAnsi="宋体" w:cs="宋体" w:eastAsia="宋体" w:hint="default"/>
          <w:sz w:val="25"/>
          <w:szCs w:val="25"/>
        </w:rPr>
      </w:pPr>
    </w:p>
    <w:p>
      <w:pPr>
        <w:pStyle w:val="Heading5"/>
        <w:tabs>
          <w:tab w:pos="1058" w:val="left" w:leader="none"/>
        </w:tabs>
        <w:spacing w:line="240" w:lineRule="auto" w:before="36"/>
        <w:ind w:left="218" w:right="0"/>
        <w:jc w:val="left"/>
        <w:rPr>
          <w:b w:val="0"/>
          <w:bCs w:val="0"/>
        </w:rPr>
      </w:pPr>
      <w:r>
        <w:rPr>
          <w:rFonts w:ascii="宋体" w:hAnsi="宋体" w:cs="宋体" w:eastAsia="宋体" w:hint="default"/>
          <w:w w:val="95"/>
        </w:rPr>
        <w:t>(1).</w:t>
        <w:tab/>
      </w:r>
      <w:r>
        <w:rPr/>
        <w:t>主营业务分行业、分产品、分地区情况</w:t>
      </w:r>
      <w:r>
        <w:rPr>
          <w:b w:val="0"/>
          <w:bCs w:val="0"/>
        </w:rPr>
      </w:r>
    </w:p>
    <w:p>
      <w:pPr>
        <w:pStyle w:val="BodyText"/>
        <w:tabs>
          <w:tab w:pos="946" w:val="left" w:leader="none"/>
        </w:tabs>
        <w:spacing w:line="240" w:lineRule="auto" w:before="56"/>
        <w:ind w:left="0" w:right="229"/>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02"/>
        <w:gridCol w:w="1897"/>
        <w:gridCol w:w="1896"/>
        <w:gridCol w:w="1102"/>
        <w:gridCol w:w="1099"/>
        <w:gridCol w:w="1100"/>
        <w:gridCol w:w="1094"/>
      </w:tblGrid>
      <w:tr>
        <w:trPr>
          <w:trHeight w:val="242"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3"/>
                <w:sz w:val="18"/>
                <w:szCs w:val="18"/>
              </w:rPr>
              <w:t>毛利率（</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225" w:right="185"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227" w:right="183"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证券经纪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944,057,424.23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623,870,476.70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33.92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-16.18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-11.81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1"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3.27</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证券自营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-360,863,776.76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44,063,265.34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-938.91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48.68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4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183,998,609.34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238,846,181.57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-29.81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-28.98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43.73</w:t>
            </w:r>
          </w:p>
          <w:p>
            <w:pPr>
              <w:pStyle w:val="TableParagraph"/>
              <w:spacing w:line="234" w:lineRule="exact"/>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795,788,722.92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594,394,009.75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25.31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-9.90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7.32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11.99</w:t>
            </w:r>
          </w:p>
          <w:p>
            <w:pPr>
              <w:pStyle w:val="TableParagraph"/>
              <w:spacing w:line="234" w:lineRule="exact"/>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证券信用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232,819,844.56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169,189,833.22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-30.36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138.62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51.46</w:t>
            </w:r>
          </w:p>
          <w:p>
            <w:pPr>
              <w:pStyle w:val="TableParagraph"/>
              <w:spacing w:line="240" w:lineRule="auto"/>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境外证券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120,487,646.66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82,355,722.85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9.70</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总部后台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1,251,709,899.37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529,908,833.52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57.67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0.13</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3,167,998,370.32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2,282,628,322.95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-21.13</w:t>
            </w:r>
            <w:r>
              <w:rPr>
                <w:rFonts w:ascii="宋体"/>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17.30</w:t>
            </w:r>
          </w:p>
          <w:p>
            <w:pPr>
              <w:pStyle w:val="TableParagraph"/>
              <w:spacing w:line="240" w:lineRule="auto"/>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2"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24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3"/>
              <w:jc w:val="right"/>
              <w:rPr>
                <w:rFonts w:ascii="宋体" w:hAnsi="宋体" w:cs="宋体" w:eastAsia="宋体" w:hint="default"/>
                <w:sz w:val="18"/>
                <w:szCs w:val="18"/>
              </w:rPr>
            </w:pPr>
            <w:r>
              <w:rPr>
                <w:rFonts w:ascii="宋体" w:hAnsi="宋体" w:cs="宋体" w:eastAsia="宋体" w:hint="default"/>
                <w:sz w:val="18"/>
                <w:szCs w:val="18"/>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hAnsi="宋体" w:cs="宋体" w:eastAsia="宋体" w:hint="default"/>
                <w:spacing w:val="-3"/>
                <w:sz w:val="18"/>
                <w:szCs w:val="18"/>
              </w:rPr>
              <w:t>毛利率（</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2" w:right="0"/>
              <w:jc w:val="left"/>
              <w:rPr>
                <w:rFonts w:ascii="宋体" w:hAnsi="宋体" w:cs="宋体" w:eastAsia="宋体" w:hint="default"/>
                <w:sz w:val="18"/>
                <w:szCs w:val="18"/>
              </w:rPr>
            </w:pPr>
            <w:r>
              <w:rPr>
                <w:rFonts w:ascii="宋体" w:hAnsi="宋体" w:cs="宋体" w:eastAsia="宋体" w:hint="default"/>
                <w:sz w:val="18"/>
                <w:szCs w:val="18"/>
              </w:rPr>
              <w:t>毛利率比</w:t>
            </w:r>
          </w:p>
        </w:tc>
      </w:tr>
    </w:tbl>
    <w:p>
      <w:pPr>
        <w:spacing w:after="0" w:line="208" w:lineRule="exact"/>
        <w:jc w:val="left"/>
        <w:rPr>
          <w:rFonts w:ascii="宋体" w:hAnsi="宋体" w:cs="宋体" w:eastAsia="宋体" w:hint="default"/>
          <w:sz w:val="18"/>
          <w:szCs w:val="18"/>
        </w:rPr>
        <w:sectPr>
          <w:type w:val="continuous"/>
          <w:pgSz w:w="11910" w:h="16840"/>
          <w:pgMar w:top="1060" w:bottom="1380" w:left="120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426" w:type="dxa"/>
        <w:tblLayout w:type="fixed"/>
        <w:tblCellMar>
          <w:top w:w="0" w:type="dxa"/>
          <w:left w:w="0" w:type="dxa"/>
          <w:bottom w:w="0" w:type="dxa"/>
          <w:right w:w="0" w:type="dxa"/>
        </w:tblCellMar>
        <w:tblLook w:val="01E0"/>
      </w:tblPr>
      <w:tblGrid>
        <w:gridCol w:w="1102"/>
        <w:gridCol w:w="1897"/>
        <w:gridCol w:w="1896"/>
        <w:gridCol w:w="1102"/>
        <w:gridCol w:w="1099"/>
        <w:gridCol w:w="1100"/>
        <w:gridCol w:w="1094"/>
      </w:tblGrid>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5" w:right="0" w:hanging="44"/>
              <w:jc w:val="left"/>
              <w:rPr>
                <w:rFonts w:ascii="宋体" w:hAnsi="宋体" w:cs="宋体" w:eastAsia="宋体" w:hint="default"/>
                <w:sz w:val="18"/>
                <w:szCs w:val="18"/>
              </w:rPr>
            </w:pPr>
            <w:r>
              <w:rPr>
                <w:rFonts w:ascii="宋体" w:hAnsi="宋体" w:cs="宋体" w:eastAsia="宋体" w:hint="default"/>
                <w:sz w:val="18"/>
                <w:szCs w:val="18"/>
              </w:rPr>
              <w:t>比上年增</w:t>
            </w:r>
          </w:p>
          <w:p>
            <w:pPr>
              <w:pStyle w:val="TableParagraph"/>
              <w:spacing w:line="234" w:lineRule="exact"/>
              <w:ind w:left="22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7" w:right="0" w:hanging="44"/>
              <w:jc w:val="left"/>
              <w:rPr>
                <w:rFonts w:ascii="宋体" w:hAnsi="宋体" w:cs="宋体" w:eastAsia="宋体" w:hint="default"/>
                <w:sz w:val="18"/>
                <w:szCs w:val="18"/>
              </w:rPr>
            </w:pPr>
            <w:r>
              <w:rPr>
                <w:rFonts w:ascii="宋体" w:hAnsi="宋体" w:cs="宋体" w:eastAsia="宋体" w:hint="default"/>
                <w:sz w:val="18"/>
                <w:szCs w:val="18"/>
              </w:rPr>
              <w:t>比上年增</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718,320,003.94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388,990,694.31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45.85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-20.91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-7.84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7.68</w:t>
            </w: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54,237,517.04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76,939,300.46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-41.86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-18.47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13.90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40.32</w:t>
            </w:r>
          </w:p>
          <w:p>
            <w:pPr>
              <w:pStyle w:val="TableParagraph"/>
              <w:spacing w:line="234" w:lineRule="exact"/>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120,487,646.66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82,355,722.85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5.54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9.70</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总部及其</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他境内子 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2,274,953,202.68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1,734,342,605.33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23.76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-22.68</w:t>
            </w:r>
            <w:r>
              <w:rPr>
                <w:rFonts w:ascii="宋体"/>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6.31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20.79</w:t>
            </w:r>
          </w:p>
          <w:p>
            <w:pPr>
              <w:pStyle w:val="TableParagraph"/>
              <w:spacing w:line="240" w:lineRule="auto"/>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3,167,998,370.32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2,282,628,322.95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-21.13</w:t>
            </w:r>
            <w:r>
              <w:rPr>
                <w:rFonts w:ascii="宋体"/>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17.30</w:t>
            </w:r>
          </w:p>
          <w:p>
            <w:pPr>
              <w:pStyle w:val="TableParagraph"/>
              <w:spacing w:line="240" w:lineRule="auto"/>
              <w:ind w:left="158" w:right="0"/>
              <w:jc w:val="center"/>
              <w:rPr>
                <w:rFonts w:ascii="宋体" w:hAnsi="宋体" w:cs="宋体" w:eastAsia="宋体" w:hint="default"/>
                <w:sz w:val="18"/>
                <w:szCs w:val="18"/>
              </w:rPr>
            </w:pPr>
            <w:r>
              <w:rPr>
                <w:rFonts w:ascii="宋体" w:hAnsi="宋体" w:cs="宋体" w:eastAsia="宋体" w:hint="default"/>
                <w:sz w:val="18"/>
                <w:szCs w:val="18"/>
              </w:rPr>
              <w:t>个百分点</w:t>
            </w:r>
          </w:p>
        </w:tc>
      </w:tr>
    </w:tbl>
    <w:p>
      <w:pPr>
        <w:pStyle w:val="BodyText"/>
        <w:spacing w:line="240" w:lineRule="exact"/>
        <w:ind w:left="538" w:right="0"/>
        <w:jc w:val="left"/>
      </w:pPr>
      <w:r>
        <w:rPr/>
        <w:t>主营业务分行业、分产品、分地区情况的说明</w:t>
      </w:r>
    </w:p>
    <w:p>
      <w:pPr>
        <w:pStyle w:val="BodyText"/>
        <w:tabs>
          <w:tab w:pos="1381" w:val="left" w:leader="none"/>
        </w:tabs>
        <w:spacing w:line="273" w:lineRule="exact"/>
        <w:ind w:left="538" w:right="0"/>
        <w:jc w:val="left"/>
      </w:pPr>
      <w:r>
        <w:rPr/>
        <w:t>√适用</w:t>
        <w:tab/>
        <w:t>□不适用</w:t>
      </w:r>
    </w:p>
    <w:p>
      <w:pPr>
        <w:pStyle w:val="BodyText"/>
        <w:spacing w:line="273" w:lineRule="exact"/>
        <w:ind w:left="961"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7"/>
        </w:rPr>
        <w:t> </w:t>
      </w:r>
      <w:r>
        <w:rPr/>
        <w:t>年公司证券经纪业务实现收入</w:t>
      </w:r>
      <w:r>
        <w:rPr>
          <w:spacing w:val="-45"/>
        </w:rPr>
        <w:t> </w:t>
      </w:r>
      <w:r>
        <w:rPr>
          <w:rFonts w:ascii="宋体" w:hAnsi="宋体" w:cs="宋体" w:eastAsia="宋体" w:hint="default"/>
        </w:rPr>
        <w:t>9.44</w:t>
      </w:r>
      <w:r>
        <w:rPr>
          <w:rFonts w:ascii="宋体" w:hAnsi="宋体" w:cs="宋体" w:eastAsia="宋体" w:hint="default"/>
          <w:spacing w:val="-47"/>
        </w:rPr>
        <w:t> </w:t>
      </w:r>
      <w:r>
        <w:rPr>
          <w:spacing w:val="-6"/>
        </w:rPr>
        <w:t>亿元，同比减少</w:t>
      </w:r>
      <w:r>
        <w:rPr>
          <w:spacing w:val="-44"/>
        </w:rPr>
        <w:t> </w:t>
      </w:r>
      <w:r>
        <w:rPr>
          <w:rFonts w:ascii="宋体" w:hAnsi="宋体" w:cs="宋体" w:eastAsia="宋体" w:hint="default"/>
          <w:spacing w:val="-3"/>
        </w:rPr>
        <w:t>16.18%</w:t>
      </w:r>
      <w:r>
        <w:rPr>
          <w:spacing w:val="-3"/>
        </w:rPr>
        <w:t>；证券自营业务实现收入</w:t>
      </w:r>
      <w:r>
        <w:rPr>
          <w:rFonts w:ascii="宋体" w:hAnsi="宋体" w:cs="宋体" w:eastAsia="宋体" w:hint="default"/>
          <w:spacing w:val="-3"/>
        </w:rPr>
        <w:t>-3.61</w:t>
      </w:r>
    </w:p>
    <w:p>
      <w:pPr>
        <w:pStyle w:val="BodyText"/>
        <w:spacing w:line="240" w:lineRule="auto" w:before="133"/>
        <w:ind w:left="538" w:right="0"/>
        <w:jc w:val="left"/>
      </w:pPr>
      <w:r>
        <w:rPr/>
        <w:t>亿元；投资银行业务实现收入</w:t>
      </w:r>
      <w:r>
        <w:rPr>
          <w:spacing w:val="-57"/>
        </w:rPr>
        <w:t> </w:t>
      </w:r>
      <w:r>
        <w:rPr>
          <w:rFonts w:ascii="宋体" w:hAnsi="宋体" w:cs="宋体" w:eastAsia="宋体" w:hint="default"/>
        </w:rPr>
        <w:t>1.84</w:t>
      </w:r>
      <w:r>
        <w:rPr>
          <w:rFonts w:ascii="宋体" w:hAnsi="宋体" w:cs="宋体" w:eastAsia="宋体" w:hint="default"/>
          <w:spacing w:val="-59"/>
        </w:rPr>
        <w:t> </w:t>
      </w:r>
      <w:r>
        <w:rPr/>
        <w:t>亿元，同比减少</w:t>
      </w:r>
      <w:r>
        <w:rPr>
          <w:spacing w:val="-57"/>
        </w:rPr>
        <w:t> </w:t>
      </w:r>
      <w:r>
        <w:rPr>
          <w:rFonts w:ascii="宋体" w:hAnsi="宋体" w:cs="宋体" w:eastAsia="宋体" w:hint="default"/>
        </w:rPr>
        <w:t>28.98%</w:t>
      </w:r>
      <w:r>
        <w:rPr/>
        <w:t>；资产管理业务实现收入</w:t>
      </w:r>
      <w:r>
        <w:rPr>
          <w:spacing w:val="-57"/>
        </w:rPr>
        <w:t> </w:t>
      </w:r>
      <w:r>
        <w:rPr>
          <w:rFonts w:ascii="宋体" w:hAnsi="宋体" w:cs="宋体" w:eastAsia="宋体" w:hint="default"/>
        </w:rPr>
        <w:t>7.96</w:t>
      </w:r>
      <w:r>
        <w:rPr>
          <w:rFonts w:ascii="宋体" w:hAnsi="宋体" w:cs="宋体" w:eastAsia="宋体" w:hint="default"/>
          <w:spacing w:val="-59"/>
        </w:rPr>
        <w:t> </w:t>
      </w:r>
      <w:r>
        <w:rPr/>
        <w:t>亿元，同</w:t>
      </w:r>
    </w:p>
    <w:p>
      <w:pPr>
        <w:pStyle w:val="BodyText"/>
        <w:spacing w:line="357" w:lineRule="auto" w:before="133"/>
        <w:ind w:left="538" w:right="0"/>
        <w:jc w:val="left"/>
      </w:pPr>
      <w:r>
        <w:rPr/>
        <w:t>比减少</w:t>
      </w:r>
      <w:r>
        <w:rPr>
          <w:spacing w:val="-56"/>
        </w:rPr>
        <w:t> </w:t>
      </w:r>
      <w:r>
        <w:rPr>
          <w:rFonts w:ascii="宋体" w:hAnsi="宋体" w:cs="宋体" w:eastAsia="宋体" w:hint="default"/>
        </w:rPr>
        <w:t>9.90%</w:t>
      </w:r>
      <w:r>
        <w:rPr/>
        <w:t>；证券信用业务实现收入</w:t>
      </w:r>
      <w:r>
        <w:rPr>
          <w:spacing w:val="-55"/>
        </w:rPr>
        <w:t> </w:t>
      </w:r>
      <w:r>
        <w:rPr>
          <w:rFonts w:ascii="宋体" w:hAnsi="宋体" w:cs="宋体" w:eastAsia="宋体" w:hint="default"/>
        </w:rPr>
        <w:t>2.33</w:t>
      </w:r>
      <w:r>
        <w:rPr>
          <w:rFonts w:ascii="宋体" w:hAnsi="宋体" w:cs="宋体" w:eastAsia="宋体" w:hint="default"/>
          <w:spacing w:val="-58"/>
        </w:rPr>
        <w:t> </w:t>
      </w:r>
      <w:r>
        <w:rPr/>
        <w:t>亿元，同比减少</w:t>
      </w:r>
      <w:r>
        <w:rPr>
          <w:spacing w:val="-56"/>
        </w:rPr>
        <w:t> </w:t>
      </w:r>
      <w:r>
        <w:rPr>
          <w:rFonts w:ascii="宋体" w:hAnsi="宋体" w:cs="宋体" w:eastAsia="宋体" w:hint="default"/>
        </w:rPr>
        <w:t>30.36%</w:t>
      </w:r>
      <w:r>
        <w:rPr/>
        <w:t>；境外证券业务实现收入</w:t>
      </w:r>
      <w:r>
        <w:rPr>
          <w:spacing w:val="-56"/>
        </w:rPr>
        <w:t> </w:t>
      </w:r>
      <w:r>
        <w:rPr>
          <w:rFonts w:ascii="宋体" w:hAnsi="宋体" w:cs="宋体" w:eastAsia="宋体" w:hint="default"/>
        </w:rPr>
        <w:t>1.20</w:t>
      </w:r>
      <w:r>
        <w:rPr>
          <w:rFonts w:ascii="宋体" w:hAnsi="宋体" w:cs="宋体" w:eastAsia="宋体" w:hint="default"/>
          <w:w w:val="100"/>
        </w:rPr>
        <w:t> </w:t>
      </w:r>
      <w:r>
        <w:rPr/>
        <w:t>亿元，同比增加</w:t>
      </w:r>
      <w:r>
        <w:rPr>
          <w:spacing w:val="-54"/>
        </w:rPr>
        <w:t> </w:t>
      </w:r>
      <w:r>
        <w:rPr>
          <w:rFonts w:ascii="宋体" w:hAnsi="宋体" w:cs="宋体" w:eastAsia="宋体" w:hint="default"/>
        </w:rPr>
        <w:t>20.51%</w:t>
      </w:r>
      <w:r>
        <w:rPr/>
        <w:t>；总部后台及其他业务实现收入</w:t>
      </w:r>
      <w:r>
        <w:rPr>
          <w:spacing w:val="-53"/>
        </w:rPr>
        <w:t> </w:t>
      </w:r>
      <w:r>
        <w:rPr>
          <w:rFonts w:ascii="宋体" w:hAnsi="宋体" w:cs="宋体" w:eastAsia="宋体" w:hint="default"/>
        </w:rPr>
        <w:t>12.52</w:t>
      </w:r>
      <w:r>
        <w:rPr>
          <w:rFonts w:ascii="宋体" w:hAnsi="宋体" w:cs="宋体" w:eastAsia="宋体" w:hint="default"/>
          <w:spacing w:val="-56"/>
        </w:rPr>
        <w:t> </w:t>
      </w:r>
      <w:r>
        <w:rPr/>
        <w:t>亿元，同比减少</w:t>
      </w:r>
      <w:r>
        <w:rPr>
          <w:spacing w:val="-54"/>
        </w:rPr>
        <w:t> </w:t>
      </w:r>
      <w:r>
        <w:rPr>
          <w:rFonts w:ascii="宋体" w:hAnsi="宋体" w:cs="宋体" w:eastAsia="宋体" w:hint="default"/>
        </w:rPr>
        <w:t>1.51%</w:t>
      </w:r>
      <w:r>
        <w:rPr/>
        <w:t>。</w:t>
      </w:r>
    </w:p>
    <w:p>
      <w:pPr>
        <w:pStyle w:val="BodyText"/>
        <w:spacing w:line="240" w:lineRule="auto" w:before="30"/>
        <w:ind w:left="538" w:right="0"/>
        <w:jc w:val="left"/>
      </w:pPr>
      <w:r>
        <w:rPr>
          <w:rFonts w:ascii="宋体" w:hAnsi="宋体" w:cs="宋体" w:eastAsia="宋体" w:hint="default"/>
        </w:rPr>
        <w:t>2018</w:t>
      </w:r>
      <w:r>
        <w:rPr>
          <w:rFonts w:ascii="宋体" w:hAnsi="宋体" w:cs="宋体" w:eastAsia="宋体" w:hint="default"/>
          <w:spacing w:val="-48"/>
        </w:rPr>
        <w:t> </w:t>
      </w:r>
      <w:r>
        <w:rPr/>
        <w:t>年公司浙江省内实现收入</w:t>
      </w:r>
      <w:r>
        <w:rPr>
          <w:spacing w:val="-46"/>
        </w:rPr>
        <w:t> </w:t>
      </w:r>
      <w:r>
        <w:rPr>
          <w:rFonts w:ascii="宋体" w:hAnsi="宋体" w:cs="宋体" w:eastAsia="宋体" w:hint="default"/>
        </w:rPr>
        <w:t>7.18</w:t>
      </w:r>
      <w:r>
        <w:rPr>
          <w:rFonts w:ascii="宋体" w:hAnsi="宋体" w:cs="宋体" w:eastAsia="宋体" w:hint="default"/>
          <w:spacing w:val="-48"/>
        </w:rPr>
        <w:t> </w:t>
      </w:r>
      <w:r>
        <w:rPr>
          <w:spacing w:val="-5"/>
        </w:rPr>
        <w:t>亿元，同比减少</w:t>
      </w:r>
      <w:r>
        <w:rPr>
          <w:spacing w:val="-48"/>
        </w:rPr>
        <w:t> </w:t>
      </w:r>
      <w:r>
        <w:rPr>
          <w:rFonts w:ascii="宋体" w:hAnsi="宋体" w:cs="宋体" w:eastAsia="宋体" w:hint="default"/>
          <w:spacing w:val="-3"/>
        </w:rPr>
        <w:t>20.91%</w:t>
      </w:r>
      <w:r>
        <w:rPr>
          <w:spacing w:val="-3"/>
        </w:rPr>
        <w:t>；浙江省外实现收入</w:t>
      </w:r>
      <w:r>
        <w:rPr>
          <w:spacing w:val="-46"/>
        </w:rPr>
        <w:t> </w:t>
      </w:r>
      <w:r>
        <w:rPr>
          <w:rFonts w:ascii="宋体" w:hAnsi="宋体" w:cs="宋体" w:eastAsia="宋体" w:hint="default"/>
        </w:rPr>
        <w:t>0.54</w:t>
      </w:r>
      <w:r>
        <w:rPr>
          <w:rFonts w:ascii="宋体" w:hAnsi="宋体" w:cs="宋体" w:eastAsia="宋体" w:hint="default"/>
          <w:spacing w:val="-45"/>
        </w:rPr>
        <w:t> </w:t>
      </w:r>
      <w:r>
        <w:rPr>
          <w:spacing w:val="-5"/>
        </w:rPr>
        <w:t>亿元，同比减</w:t>
      </w:r>
    </w:p>
    <w:p>
      <w:pPr>
        <w:pStyle w:val="BodyText"/>
        <w:spacing w:line="355" w:lineRule="auto" w:before="133"/>
        <w:ind w:left="538" w:right="826"/>
        <w:jc w:val="left"/>
      </w:pPr>
      <w:r>
        <w:rPr>
          <w:w w:val="100"/>
        </w:rPr>
        <w:t>少</w:t>
      </w:r>
      <w:r>
        <w:rPr>
          <w:spacing w:val="-50"/>
          <w:w w:val="100"/>
        </w:rPr>
        <w:t> </w:t>
      </w:r>
      <w:r>
        <w:rPr>
          <w:rFonts w:ascii="宋体" w:hAnsi="宋体" w:cs="宋体" w:eastAsia="宋体" w:hint="default"/>
          <w:spacing w:val="-8"/>
          <w:w w:val="100"/>
        </w:rPr>
        <w:t>18.47%</w:t>
      </w:r>
      <w:r>
        <w:rPr>
          <w:spacing w:val="-8"/>
          <w:w w:val="100"/>
        </w:rPr>
        <w:t>；境外子公司实现收入</w:t>
      </w:r>
      <w:r>
        <w:rPr>
          <w:spacing w:val="-52"/>
          <w:w w:val="100"/>
        </w:rPr>
        <w:t> </w:t>
      </w:r>
      <w:r>
        <w:rPr>
          <w:rFonts w:ascii="宋体" w:hAnsi="宋体" w:cs="宋体" w:eastAsia="宋体" w:hint="default"/>
          <w:w w:val="100"/>
        </w:rPr>
        <w:t>1.20</w:t>
      </w:r>
      <w:r>
        <w:rPr>
          <w:rFonts w:ascii="宋体" w:hAnsi="宋体" w:cs="宋体" w:eastAsia="宋体" w:hint="default"/>
          <w:spacing w:val="-52"/>
          <w:w w:val="100"/>
        </w:rPr>
        <w:t> </w:t>
      </w:r>
      <w:r>
        <w:rPr>
          <w:spacing w:val="-17"/>
          <w:w w:val="100"/>
        </w:rPr>
        <w:t>亿元，同比增长</w:t>
      </w:r>
      <w:r>
        <w:rPr>
          <w:spacing w:val="-50"/>
          <w:w w:val="100"/>
        </w:rPr>
        <w:t> </w:t>
      </w:r>
      <w:r>
        <w:rPr>
          <w:rFonts w:ascii="宋体" w:hAnsi="宋体" w:cs="宋体" w:eastAsia="宋体" w:hint="default"/>
          <w:spacing w:val="-7"/>
          <w:w w:val="100"/>
        </w:rPr>
        <w:t>20.51%</w:t>
      </w:r>
      <w:r>
        <w:rPr>
          <w:spacing w:val="-7"/>
          <w:w w:val="100"/>
        </w:rPr>
        <w:t>；总部及其他境内子公司实现收入</w:t>
      </w:r>
      <w:r>
        <w:rPr>
          <w:spacing w:val="-50"/>
          <w:w w:val="100"/>
        </w:rPr>
        <w:t> </w:t>
      </w:r>
      <w:r>
        <w:rPr>
          <w:rFonts w:ascii="宋体" w:hAnsi="宋体" w:cs="宋体" w:eastAsia="宋体" w:hint="default"/>
          <w:spacing w:val="-1"/>
          <w:w w:val="100"/>
        </w:rPr>
        <w:t>22.75</w:t>
      </w:r>
      <w:r>
        <w:rPr>
          <w:rFonts w:ascii="宋体" w:hAnsi="宋体" w:cs="宋体" w:eastAsia="宋体" w:hint="default"/>
          <w:spacing w:val="-104"/>
          <w:w w:val="100"/>
        </w:rPr>
        <w:t> </w:t>
      </w:r>
      <w:r>
        <w:rPr>
          <w:rFonts w:ascii="宋体" w:hAnsi="宋体" w:cs="宋体" w:eastAsia="宋体" w:hint="default"/>
          <w:spacing w:val="-104"/>
          <w:w w:val="100"/>
        </w:rPr>
      </w:r>
      <w:r>
        <w:rPr/>
        <w:t>亿元，同比减少</w:t>
      </w:r>
      <w:r>
        <w:rPr>
          <w:spacing w:val="-55"/>
        </w:rPr>
        <w:t> </w:t>
      </w:r>
      <w:r>
        <w:rPr>
          <w:rFonts w:ascii="宋体" w:hAnsi="宋体" w:cs="宋体" w:eastAsia="宋体" w:hint="default"/>
        </w:rPr>
        <w:t>22.68%</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5"/>
        <w:tabs>
          <w:tab w:pos="1378" w:val="left" w:leader="none"/>
        </w:tabs>
        <w:spacing w:line="240" w:lineRule="auto"/>
        <w:ind w:left="538" w:right="0"/>
        <w:jc w:val="left"/>
        <w:rPr>
          <w:b w:val="0"/>
          <w:bCs w:val="0"/>
        </w:rPr>
      </w:pPr>
      <w:r>
        <w:rPr>
          <w:rFonts w:ascii="宋体" w:hAnsi="宋体" w:cs="宋体" w:eastAsia="宋体" w:hint="default"/>
          <w:w w:val="95"/>
        </w:rPr>
        <w:t>(2).</w:t>
        <w:tab/>
      </w:r>
      <w:r>
        <w:rPr/>
        <w:t>产销量情况分析表</w:t>
      </w:r>
      <w:r>
        <w:rPr>
          <w:b w:val="0"/>
          <w:bCs w:val="0"/>
        </w:rPr>
      </w:r>
    </w:p>
    <w:p>
      <w:pPr>
        <w:pStyle w:val="BodyText"/>
        <w:spacing w:line="240" w:lineRule="auto" w:before="58"/>
        <w:ind w:left="538" w:right="0"/>
        <w:jc w:val="left"/>
      </w:pPr>
      <w:r>
        <w:rPr/>
        <w:t>□适用 √不适用</w:t>
      </w:r>
    </w:p>
    <w:p>
      <w:pPr>
        <w:spacing w:line="240" w:lineRule="auto" w:before="5"/>
        <w:rPr>
          <w:rFonts w:ascii="宋体" w:hAnsi="宋体" w:cs="宋体" w:eastAsia="宋体" w:hint="default"/>
          <w:sz w:val="25"/>
          <w:szCs w:val="25"/>
        </w:rPr>
      </w:pPr>
    </w:p>
    <w:p>
      <w:pPr>
        <w:pStyle w:val="Heading5"/>
        <w:tabs>
          <w:tab w:pos="1378" w:val="left" w:leader="none"/>
        </w:tabs>
        <w:spacing w:line="240" w:lineRule="auto" w:before="36"/>
        <w:ind w:left="538" w:right="0"/>
        <w:jc w:val="left"/>
        <w:rPr>
          <w:b w:val="0"/>
          <w:bCs w:val="0"/>
        </w:rPr>
      </w:pPr>
      <w:r>
        <w:rPr>
          <w:rFonts w:ascii="宋体" w:hAnsi="宋体" w:cs="宋体" w:eastAsia="宋体" w:hint="default"/>
          <w:w w:val="95"/>
        </w:rPr>
        <w:t>(3).</w:t>
        <w:tab/>
      </w:r>
      <w:r>
        <w:rPr/>
        <w:t>成本分析表</w:t>
      </w:r>
      <w:r>
        <w:rPr>
          <w:b w:val="0"/>
          <w:bCs w:val="0"/>
        </w:rPr>
      </w:r>
    </w:p>
    <w:p>
      <w:pPr>
        <w:pStyle w:val="BodyText"/>
        <w:spacing w:line="240" w:lineRule="auto" w:before="56"/>
        <w:ind w:left="0" w:right="82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7"/>
        <w:gridCol w:w="1080"/>
        <w:gridCol w:w="1899"/>
        <w:gridCol w:w="950"/>
        <w:gridCol w:w="1896"/>
        <w:gridCol w:w="881"/>
        <w:gridCol w:w="852"/>
        <w:gridCol w:w="1375"/>
      </w:tblGrid>
      <w:tr>
        <w:trPr>
          <w:trHeight w:val="281" w:hRule="exact"/>
        </w:trPr>
        <w:tc>
          <w:tcPr>
            <w:tcW w:w="102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3" w:right="110"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01"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6"/>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5"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470" w:right="470"/>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证券经纪业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center"/>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623,870,476.70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27.33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707,417,408.21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32.17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-11.81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业绩</w:t>
            </w:r>
            <w:r>
              <w:rPr>
                <w:rFonts w:ascii="宋体" w:hAnsi="宋体" w:cs="宋体" w:eastAsia="宋体" w:hint="default"/>
                <w:spacing w:val="-3"/>
                <w:w w:val="100"/>
                <w:sz w:val="21"/>
                <w:szCs w:val="21"/>
              </w:rPr>
              <w:t>下</w:t>
            </w:r>
            <w:r>
              <w:rPr>
                <w:rFonts w:ascii="宋体" w:hAnsi="宋体" w:cs="宋体" w:eastAsia="宋体" w:hint="default"/>
                <w:w w:val="100"/>
                <w:sz w:val="21"/>
                <w:szCs w:val="21"/>
              </w:rPr>
              <w:t>降</w:t>
            </w:r>
            <w:r>
              <w:rPr>
                <w:rFonts w:ascii="宋体" w:hAnsi="宋体" w:cs="宋体" w:eastAsia="宋体" w:hint="default"/>
                <w:spacing w:val="-104"/>
                <w:w w:val="100"/>
                <w:sz w:val="21"/>
                <w:szCs w:val="21"/>
              </w:rPr>
              <w:t>，</w:t>
            </w:r>
            <w:r>
              <w:rPr>
                <w:rFonts w:ascii="宋体" w:hAnsi="宋体" w:cs="宋体" w:eastAsia="宋体" w:hint="default"/>
                <w:w w:val="100"/>
                <w:sz w:val="21"/>
                <w:szCs w:val="21"/>
              </w:rPr>
              <w:t>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应费用下降</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证券自营业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center"/>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44,063,265.34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29,635,668.06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48.68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失增加</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center"/>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238,846,181.57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223,010,018.28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7.10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失增加</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center"/>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594,394,009.75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26.04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553,839,359.06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7.32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渠道营销支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出增加</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证券信用业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center"/>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169,189,833.22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70,903,782.79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138.62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失增加</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境外证券业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center"/>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82,355,722.85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3.61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78,032,165.94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3.55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5.54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业绩</w:t>
            </w:r>
            <w:r>
              <w:rPr>
                <w:rFonts w:ascii="宋体" w:hAnsi="宋体" w:cs="宋体" w:eastAsia="宋体" w:hint="default"/>
                <w:spacing w:val="-3"/>
                <w:w w:val="100"/>
                <w:sz w:val="21"/>
                <w:szCs w:val="21"/>
              </w:rPr>
              <w:t>上</w:t>
            </w:r>
            <w:r>
              <w:rPr>
                <w:rFonts w:ascii="宋体" w:hAnsi="宋体" w:cs="宋体" w:eastAsia="宋体" w:hint="default"/>
                <w:w w:val="100"/>
                <w:sz w:val="21"/>
                <w:szCs w:val="21"/>
              </w:rPr>
              <w:t>升</w:t>
            </w:r>
            <w:r>
              <w:rPr>
                <w:rFonts w:ascii="宋体" w:hAnsi="宋体" w:cs="宋体" w:eastAsia="宋体" w:hint="default"/>
                <w:spacing w:val="-104"/>
                <w:w w:val="100"/>
                <w:sz w:val="21"/>
                <w:szCs w:val="21"/>
              </w:rPr>
              <w:t>，</w:t>
            </w:r>
            <w:r>
              <w:rPr>
                <w:rFonts w:ascii="宋体" w:hAnsi="宋体" w:cs="宋体" w:eastAsia="宋体" w:hint="default"/>
                <w:w w:val="100"/>
                <w:sz w:val="21"/>
                <w:szCs w:val="21"/>
              </w:rPr>
              <w:t>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应费用增加</w:t>
            </w:r>
          </w:p>
        </w:tc>
      </w:tr>
    </w:tbl>
    <w:p>
      <w:pPr>
        <w:spacing w:after="0" w:line="273" w:lineRule="exact"/>
        <w:jc w:val="left"/>
        <w:rPr>
          <w:rFonts w:ascii="宋体" w:hAnsi="宋体" w:cs="宋体" w:eastAsia="宋体" w:hint="default"/>
          <w:sz w:val="21"/>
          <w:szCs w:val="21"/>
        </w:rPr>
        <w:sectPr>
          <w:pgSz w:w="11910" w:h="16840"/>
          <w:pgMar w:header="880" w:footer="1195" w:top="1060" w:bottom="1380" w:left="880" w:right="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277"/>
        <w:gridCol w:w="1080"/>
        <w:gridCol w:w="1899"/>
        <w:gridCol w:w="950"/>
        <w:gridCol w:w="1896"/>
        <w:gridCol w:w="881"/>
        <w:gridCol w:w="852"/>
        <w:gridCol w:w="1375"/>
      </w:tblGrid>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总部后台及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营业支出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529,908,833.52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23.22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536,294,230.65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24.39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-1.19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基本持平</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2,282,628,322.95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2,199,132,632.99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w:t>
            </w:r>
          </w:p>
        </w:tc>
        <w:tc>
          <w:tcPr>
            <w:tcW w:w="13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538" w:right="0"/>
        <w:jc w:val="left"/>
      </w:pPr>
      <w:r>
        <w:rPr/>
        <w:t>成本分析其他情况说明</w:t>
      </w:r>
    </w:p>
    <w:p>
      <w:pPr>
        <w:pStyle w:val="BodyText"/>
        <w:tabs>
          <w:tab w:pos="1381" w:val="left" w:leader="none"/>
        </w:tabs>
        <w:spacing w:line="272" w:lineRule="exact"/>
        <w:ind w:left="538" w:right="0"/>
        <w:jc w:val="left"/>
      </w:pPr>
      <w:r>
        <w:rPr/>
        <w:t>√适用</w:t>
        <w:tab/>
        <w:t>□不适用</w:t>
      </w:r>
    </w:p>
    <w:p>
      <w:pPr>
        <w:pStyle w:val="BodyText"/>
        <w:spacing w:line="357" w:lineRule="auto"/>
        <w:ind w:left="538" w:right="827" w:firstLine="420"/>
        <w:jc w:val="both"/>
      </w:pPr>
      <w:r>
        <w:rPr>
          <w:rFonts w:ascii="宋体" w:hAnsi="宋体" w:cs="宋体" w:eastAsia="宋体" w:hint="default"/>
        </w:rPr>
        <w:t>2018</w:t>
      </w:r>
      <w:r>
        <w:rPr>
          <w:rFonts w:ascii="宋体" w:hAnsi="宋体" w:cs="宋体" w:eastAsia="宋体" w:hint="default"/>
          <w:spacing w:val="-45"/>
        </w:rPr>
        <w:t> </w:t>
      </w:r>
      <w:r>
        <w:rPr>
          <w:spacing w:val="-7"/>
        </w:rPr>
        <w:t>年，公司证券经纪业务营业支出</w:t>
      </w:r>
      <w:r>
        <w:rPr>
          <w:spacing w:val="-43"/>
        </w:rPr>
        <w:t> </w:t>
      </w:r>
      <w:r>
        <w:rPr>
          <w:rFonts w:ascii="宋体" w:hAnsi="宋体" w:cs="宋体" w:eastAsia="宋体" w:hint="default"/>
        </w:rPr>
        <w:t>6.24</w:t>
      </w:r>
      <w:r>
        <w:rPr>
          <w:rFonts w:ascii="宋体" w:hAnsi="宋体" w:cs="宋体" w:eastAsia="宋体" w:hint="default"/>
          <w:spacing w:val="-43"/>
        </w:rPr>
        <w:t> </w:t>
      </w:r>
      <w:r>
        <w:rPr>
          <w:spacing w:val="-12"/>
        </w:rPr>
        <w:t>亿元，同比减少</w:t>
      </w:r>
      <w:r>
        <w:rPr>
          <w:spacing w:val="-43"/>
        </w:rPr>
        <w:t> </w:t>
      </w:r>
      <w:r>
        <w:rPr>
          <w:rFonts w:ascii="宋体" w:hAnsi="宋体" w:cs="宋体" w:eastAsia="宋体" w:hint="default"/>
          <w:spacing w:val="-6"/>
        </w:rPr>
        <w:t>11.81%</w:t>
      </w:r>
      <w:r>
        <w:rPr>
          <w:spacing w:val="-6"/>
        </w:rPr>
        <w:t>；证券自营业务营业支出</w:t>
      </w:r>
      <w:r>
        <w:rPr>
          <w:spacing w:val="-42"/>
        </w:rPr>
        <w:t> </w:t>
      </w:r>
      <w:r>
        <w:rPr>
          <w:rFonts w:ascii="宋体" w:hAnsi="宋体" w:cs="宋体" w:eastAsia="宋体" w:hint="default"/>
        </w:rPr>
        <w:t>0.44</w:t>
      </w:r>
      <w:r>
        <w:rPr>
          <w:rFonts w:ascii="宋体" w:hAnsi="宋体" w:cs="宋体" w:eastAsia="宋体" w:hint="default"/>
          <w:w w:val="100"/>
        </w:rPr>
        <w:t> </w:t>
      </w:r>
      <w:r>
        <w:rPr>
          <w:spacing w:val="-4"/>
        </w:rPr>
        <w:t>亿元，同比增加</w:t>
      </w:r>
      <w:r>
        <w:rPr>
          <w:spacing w:val="-36"/>
        </w:rPr>
        <w:t> </w:t>
      </w:r>
      <w:r>
        <w:rPr>
          <w:rFonts w:ascii="宋体" w:hAnsi="宋体" w:cs="宋体" w:eastAsia="宋体" w:hint="default"/>
          <w:spacing w:val="-3"/>
        </w:rPr>
        <w:t>48.68%</w:t>
      </w:r>
      <w:r>
        <w:rPr>
          <w:spacing w:val="-3"/>
        </w:rPr>
        <w:t>；投资银行业务营业支出</w:t>
      </w:r>
      <w:r>
        <w:rPr>
          <w:spacing w:val="-35"/>
        </w:rPr>
        <w:t> </w:t>
      </w:r>
      <w:r>
        <w:rPr>
          <w:rFonts w:ascii="宋体" w:hAnsi="宋体" w:cs="宋体" w:eastAsia="宋体" w:hint="default"/>
        </w:rPr>
        <w:t>2.39</w:t>
      </w:r>
      <w:r>
        <w:rPr>
          <w:rFonts w:ascii="宋体" w:hAnsi="宋体" w:cs="宋体" w:eastAsia="宋体" w:hint="default"/>
          <w:spacing w:val="-35"/>
        </w:rPr>
        <w:t> </w:t>
      </w:r>
      <w:r>
        <w:rPr>
          <w:spacing w:val="-4"/>
        </w:rPr>
        <w:t>亿元，同比增加</w:t>
      </w:r>
      <w:r>
        <w:rPr>
          <w:spacing w:val="-36"/>
        </w:rPr>
        <w:t> </w:t>
      </w:r>
      <w:r>
        <w:rPr>
          <w:rFonts w:ascii="宋体" w:hAnsi="宋体" w:cs="宋体" w:eastAsia="宋体" w:hint="default"/>
          <w:spacing w:val="-3"/>
        </w:rPr>
        <w:t>7.10%</w:t>
      </w:r>
      <w:r>
        <w:rPr>
          <w:spacing w:val="-3"/>
        </w:rPr>
        <w:t>；资产管理业务营业支</w:t>
      </w:r>
      <w:r>
        <w:rPr>
          <w:spacing w:val="-97"/>
        </w:rPr>
        <w:t> </w:t>
      </w:r>
      <w:r>
        <w:rPr>
          <w:spacing w:val="-97"/>
        </w:rPr>
      </w:r>
      <w:r>
        <w:rPr/>
        <w:t>出</w:t>
      </w:r>
      <w:r>
        <w:rPr>
          <w:spacing w:val="-42"/>
        </w:rPr>
        <w:t> </w:t>
      </w:r>
      <w:r>
        <w:rPr>
          <w:rFonts w:ascii="宋体" w:hAnsi="宋体" w:cs="宋体" w:eastAsia="宋体" w:hint="default"/>
        </w:rPr>
        <w:t>5.94</w:t>
      </w:r>
      <w:r>
        <w:rPr>
          <w:rFonts w:ascii="宋体" w:hAnsi="宋体" w:cs="宋体" w:eastAsia="宋体" w:hint="default"/>
          <w:spacing w:val="-42"/>
        </w:rPr>
        <w:t> </w:t>
      </w:r>
      <w:r>
        <w:rPr>
          <w:spacing w:val="-4"/>
        </w:rPr>
        <w:t>亿元，同比增加</w:t>
      </w:r>
      <w:r>
        <w:rPr>
          <w:spacing w:val="-42"/>
        </w:rPr>
        <w:t> </w:t>
      </w:r>
      <w:r>
        <w:rPr>
          <w:rFonts w:ascii="宋体" w:hAnsi="宋体" w:cs="宋体" w:eastAsia="宋体" w:hint="default"/>
          <w:spacing w:val="-3"/>
        </w:rPr>
        <w:t>7.32%</w:t>
      </w:r>
      <w:r>
        <w:rPr>
          <w:spacing w:val="-3"/>
        </w:rPr>
        <w:t>；证券信用业务营业支出</w:t>
      </w:r>
      <w:r>
        <w:rPr>
          <w:spacing w:val="-42"/>
        </w:rPr>
        <w:t> </w:t>
      </w:r>
      <w:r>
        <w:rPr>
          <w:rFonts w:ascii="宋体" w:hAnsi="宋体" w:cs="宋体" w:eastAsia="宋体" w:hint="default"/>
        </w:rPr>
        <w:t>1.69</w:t>
      </w:r>
      <w:r>
        <w:rPr>
          <w:rFonts w:ascii="宋体" w:hAnsi="宋体" w:cs="宋体" w:eastAsia="宋体" w:hint="default"/>
          <w:spacing w:val="-42"/>
        </w:rPr>
        <w:t> </w:t>
      </w:r>
      <w:r>
        <w:rPr>
          <w:spacing w:val="-4"/>
        </w:rPr>
        <w:t>亿元，同比增加</w:t>
      </w:r>
      <w:r>
        <w:rPr>
          <w:spacing w:val="-42"/>
        </w:rPr>
        <w:t> </w:t>
      </w:r>
      <w:r>
        <w:rPr>
          <w:rFonts w:ascii="宋体" w:hAnsi="宋体" w:cs="宋体" w:eastAsia="宋体" w:hint="default"/>
          <w:spacing w:val="-3"/>
        </w:rPr>
        <w:t>138.62%</w:t>
      </w:r>
      <w:r>
        <w:rPr>
          <w:spacing w:val="-3"/>
        </w:rPr>
        <w:t>；境外证券业</w:t>
      </w:r>
      <w:r>
        <w:rPr>
          <w:spacing w:val="-100"/>
        </w:rPr>
        <w:t> </w:t>
      </w:r>
      <w:r>
        <w:rPr>
          <w:spacing w:val="-100"/>
        </w:rPr>
      </w:r>
      <w:r>
        <w:rPr/>
        <w:t>务营业支出</w:t>
      </w:r>
      <w:r>
        <w:rPr>
          <w:spacing w:val="-56"/>
        </w:rPr>
        <w:t> </w:t>
      </w:r>
      <w:r>
        <w:rPr>
          <w:rFonts w:ascii="宋体" w:hAnsi="宋体" w:cs="宋体" w:eastAsia="宋体" w:hint="default"/>
        </w:rPr>
        <w:t>0.82</w:t>
      </w:r>
      <w:r>
        <w:rPr>
          <w:rFonts w:ascii="宋体" w:hAnsi="宋体" w:cs="宋体" w:eastAsia="宋体" w:hint="default"/>
          <w:spacing w:val="-56"/>
        </w:rPr>
        <w:t> </w:t>
      </w:r>
      <w:r>
        <w:rPr/>
        <w:t>亿元，同比增加</w:t>
      </w:r>
      <w:r>
        <w:rPr>
          <w:spacing w:val="-55"/>
        </w:rPr>
        <w:t> </w:t>
      </w:r>
      <w:r>
        <w:rPr>
          <w:rFonts w:ascii="宋体" w:hAnsi="宋体" w:cs="宋体" w:eastAsia="宋体" w:hint="default"/>
        </w:rPr>
        <w:t>5.54%</w:t>
      </w:r>
      <w:r>
        <w:rPr/>
        <w:t>；总部后台及其他营业支出</w:t>
      </w:r>
      <w:r>
        <w:rPr>
          <w:spacing w:val="-56"/>
        </w:rPr>
        <w:t> </w:t>
      </w:r>
      <w:r>
        <w:rPr>
          <w:rFonts w:ascii="宋体" w:hAnsi="宋体" w:cs="宋体" w:eastAsia="宋体" w:hint="default"/>
        </w:rPr>
        <w:t>5.30</w:t>
      </w:r>
      <w:r>
        <w:rPr>
          <w:rFonts w:ascii="宋体" w:hAnsi="宋体" w:cs="宋体" w:eastAsia="宋体" w:hint="default"/>
          <w:spacing w:val="-56"/>
        </w:rPr>
        <w:t> </w:t>
      </w:r>
      <w:r>
        <w:rPr/>
        <w:t>亿元，同比减少</w:t>
      </w:r>
      <w:r>
        <w:rPr>
          <w:spacing w:val="-55"/>
        </w:rPr>
        <w:t> </w:t>
      </w:r>
      <w:r>
        <w:rPr>
          <w:rFonts w:ascii="宋体" w:hAnsi="宋体" w:cs="宋体" w:eastAsia="宋体" w:hint="default"/>
        </w:rPr>
        <w:t>1.19%</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1378" w:val="left" w:leader="none"/>
        </w:tabs>
        <w:spacing w:line="240" w:lineRule="auto" w:before="150"/>
        <w:ind w:left="538" w:right="0"/>
        <w:jc w:val="left"/>
        <w:rPr>
          <w:b w:val="0"/>
          <w:bCs w:val="0"/>
        </w:rPr>
      </w:pPr>
      <w:r>
        <w:rPr>
          <w:rFonts w:ascii="宋体" w:hAnsi="宋体" w:cs="宋体" w:eastAsia="宋体" w:hint="default"/>
          <w:w w:val="95"/>
        </w:rPr>
        <w:t>(4).</w:t>
        <w:tab/>
      </w:r>
      <w:r>
        <w:rPr/>
        <w:t>主要销售客户及主要供应商情况</w:t>
      </w:r>
      <w:r>
        <w:rPr>
          <w:b w:val="0"/>
          <w:bCs w:val="0"/>
        </w:rPr>
      </w:r>
    </w:p>
    <w:p>
      <w:pPr>
        <w:pStyle w:val="BodyText"/>
        <w:spacing w:line="240" w:lineRule="auto" w:before="58"/>
        <w:ind w:left="538"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958" w:val="left" w:leader="none"/>
        </w:tabs>
        <w:spacing w:line="240" w:lineRule="auto" w:before="157"/>
        <w:ind w:left="538" w:right="0"/>
        <w:jc w:val="left"/>
        <w:rPr>
          <w:b w:val="0"/>
          <w:bCs w:val="0"/>
        </w:rPr>
      </w:pPr>
      <w:r>
        <w:rPr>
          <w:rFonts w:ascii="宋体" w:hAnsi="宋体" w:cs="宋体" w:eastAsia="宋体" w:hint="default"/>
          <w:w w:val="95"/>
        </w:rPr>
        <w:t>2.</w:t>
        <w:tab/>
      </w:r>
      <w:r>
        <w:rPr/>
        <w:t>费用</w:t>
      </w:r>
      <w:r>
        <w:rPr>
          <w:b w:val="0"/>
          <w:bCs w:val="0"/>
        </w:rPr>
      </w:r>
    </w:p>
    <w:p>
      <w:pPr>
        <w:pStyle w:val="BodyText"/>
        <w:spacing w:line="271" w:lineRule="exact" w:before="56"/>
        <w:ind w:left="538" w:right="0"/>
        <w:jc w:val="left"/>
      </w:pPr>
      <w:r>
        <w:rPr/>
        <w:t>√适用 □不适用</w:t>
      </w:r>
    </w:p>
    <w:p>
      <w:pPr>
        <w:pStyle w:val="Heading3"/>
        <w:spacing w:line="310" w:lineRule="exact" w:before="0"/>
        <w:ind w:left="538" w:right="0" w:firstLine="0"/>
        <w:jc w:val="left"/>
      </w:pPr>
      <w:r>
        <w:rPr/>
        <w:t>详见“第十一节、七、</w:t>
      </w:r>
      <w:r>
        <w:rPr>
          <w:rFonts w:ascii="宋体" w:hAnsi="宋体" w:cs="宋体" w:eastAsia="宋体" w:hint="default"/>
        </w:rPr>
        <w:t>59</w:t>
      </w:r>
      <w:r>
        <w:rPr>
          <w:rFonts w:ascii="宋体" w:hAnsi="宋体" w:cs="宋体" w:eastAsia="宋体" w:hint="default"/>
          <w:spacing w:val="-61"/>
        </w:rPr>
        <w:t> </w:t>
      </w:r>
      <w:r>
        <w:rPr/>
        <w:t>业务及管理费”。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060" w:bottom="1380" w:left="880" w:right="580"/>
        </w:sectPr>
      </w:pPr>
    </w:p>
    <w:p>
      <w:pPr>
        <w:pStyle w:val="Heading5"/>
        <w:tabs>
          <w:tab w:pos="958" w:val="left" w:leader="none"/>
        </w:tabs>
        <w:spacing w:line="290" w:lineRule="auto" w:before="36"/>
        <w:ind w:left="538" w:right="96"/>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spacing w:line="240" w:lineRule="auto" w:before="14"/>
        <w:ind w:left="5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38" w:right="0"/>
        <w:jc w:val="left"/>
      </w:pPr>
      <w:r>
        <w:rPr/>
        <w:t>单位：元</w:t>
      </w:r>
    </w:p>
    <w:p>
      <w:pPr>
        <w:spacing w:after="0" w:line="240" w:lineRule="auto"/>
        <w:jc w:val="left"/>
        <w:sectPr>
          <w:type w:val="continuous"/>
          <w:pgSz w:w="11910" w:h="16840"/>
          <w:pgMar w:top="1060" w:bottom="1380" w:left="880" w:right="580"/>
          <w:cols w:num="2" w:equalWidth="0">
            <w:col w:w="2116" w:space="6117"/>
            <w:col w:w="2217"/>
          </w:cols>
        </w:sectPr>
      </w:pPr>
    </w:p>
    <w:p>
      <w:pPr>
        <w:spacing w:line="240" w:lineRule="auto" w:before="7"/>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4040"/>
        <w:gridCol w:w="5142"/>
      </w:tblGrid>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15,777,084.75</w:t>
            </w:r>
          </w:p>
        </w:tc>
      </w:tr>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17"/>
              <w:jc w:val="right"/>
              <w:rPr>
                <w:rFonts w:ascii="宋体" w:hAnsi="宋体" w:cs="宋体" w:eastAsia="宋体" w:hint="default"/>
                <w:sz w:val="22"/>
                <w:szCs w:val="22"/>
              </w:rPr>
            </w:pPr>
            <w:r>
              <w:rPr>
                <w:rFonts w:ascii="宋体"/>
                <w:w w:val="100"/>
                <w:sz w:val="22"/>
              </w:rPr>
              <w:t>-</w:t>
            </w:r>
          </w:p>
        </w:tc>
      </w:tr>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15,777,084.75</w:t>
            </w:r>
          </w:p>
        </w:tc>
      </w:tr>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0.50</w:t>
            </w:r>
          </w:p>
        </w:tc>
      </w:tr>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43</w:t>
            </w:r>
          </w:p>
        </w:tc>
      </w:tr>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1.40</w:t>
            </w:r>
          </w:p>
        </w:tc>
      </w:tr>
      <w:tr>
        <w:trPr>
          <w:trHeight w:val="29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17"/>
              <w:jc w:val="right"/>
              <w:rPr>
                <w:rFonts w:ascii="宋体" w:hAnsi="宋体" w:cs="宋体" w:eastAsia="宋体" w:hint="default"/>
                <w:sz w:val="22"/>
                <w:szCs w:val="22"/>
              </w:rPr>
            </w:pPr>
            <w:r>
              <w:rPr>
                <w:rFonts w:ascii="宋体"/>
                <w:w w:val="100"/>
                <w:sz w:val="22"/>
              </w:rPr>
              <w:t>-</w:t>
            </w:r>
          </w:p>
        </w:tc>
      </w:tr>
    </w:tbl>
    <w:p>
      <w:pPr>
        <w:pStyle w:val="Heading3"/>
        <w:spacing w:line="274" w:lineRule="exact" w:before="0"/>
        <w:ind w:left="538" w:right="0" w:firstLine="0"/>
        <w:jc w:val="left"/>
      </w:pPr>
      <w:r>
        <w:rPr/>
        <w:t>备注：上述披露数据为母公司口径。</w:t>
      </w:r>
    </w:p>
    <w:p>
      <w:pPr>
        <w:pStyle w:val="Heading5"/>
        <w:spacing w:line="240" w:lineRule="auto" w:before="64"/>
        <w:ind w:left="538" w:right="0"/>
        <w:jc w:val="left"/>
        <w:rPr>
          <w:b w:val="0"/>
          <w:bCs w:val="0"/>
        </w:rPr>
      </w:pPr>
      <w:r>
        <w:rPr/>
        <w:t>情况说明</w:t>
      </w:r>
      <w:r>
        <w:rPr>
          <w:b w:val="0"/>
          <w:bCs w:val="0"/>
        </w:rPr>
      </w:r>
    </w:p>
    <w:p>
      <w:pPr>
        <w:pStyle w:val="BodyText"/>
        <w:spacing w:line="240" w:lineRule="auto" w:before="56"/>
        <w:ind w:left="958" w:right="0" w:hanging="420"/>
        <w:jc w:val="left"/>
      </w:pPr>
      <w:r>
        <w:rPr/>
        <w:t>√适用</w:t>
      </w:r>
      <w:r>
        <w:rPr>
          <w:spacing w:val="-2"/>
        </w:rPr>
        <w:t> </w:t>
      </w:r>
      <w:r>
        <w:rPr/>
        <w:t>□不适用</w:t>
      </w:r>
      <w:r>
        <w:rPr>
          <w:spacing w:val="-103"/>
        </w:rPr>
        <w:t> </w:t>
      </w:r>
      <w:r>
        <w:rPr>
          <w:spacing w:val="-103"/>
        </w:rPr>
      </w:r>
      <w:r>
        <w:rPr>
          <w:spacing w:val="-2"/>
        </w:rPr>
        <w:t>为顺应公司经纪业务的转型升级，适应移动互联网发展的需要，更好地为公司经营决策提供更</w:t>
      </w:r>
    </w:p>
    <w:p>
      <w:pPr>
        <w:pStyle w:val="BodyText"/>
        <w:spacing w:line="355" w:lineRule="auto" w:before="133"/>
        <w:ind w:left="538" w:right="0"/>
        <w:jc w:val="left"/>
      </w:pPr>
      <w:r>
        <w:rPr>
          <w:spacing w:val="-2"/>
        </w:rPr>
        <w:t>智能化的数据服务，公司致力公司</w:t>
      </w:r>
      <w:r>
        <w:rPr/>
        <w:t> </w:t>
      </w:r>
      <w:r>
        <w:rPr>
          <w:rFonts w:ascii="宋体" w:hAnsi="宋体" w:cs="宋体" w:eastAsia="宋体" w:hint="default"/>
          <w:spacing w:val="-2"/>
        </w:rPr>
        <w:t>APP</w:t>
      </w:r>
      <w:r>
        <w:rPr>
          <w:spacing w:val="-2"/>
        </w:rPr>
        <w:t>、大数据平台、大客户个性化客户端和用户画像精准营销等</w:t>
      </w:r>
      <w:r>
        <w:rPr>
          <w:spacing w:val="-77"/>
        </w:rPr>
        <w:t> </w:t>
      </w:r>
      <w:r>
        <w:rPr>
          <w:spacing w:val="-77"/>
        </w:rPr>
      </w:r>
      <w:r>
        <w:rPr/>
        <w:t>的研发投入，合计研发支出</w:t>
      </w:r>
      <w:r>
        <w:rPr>
          <w:spacing w:val="-54"/>
        </w:rPr>
        <w:t> </w:t>
      </w:r>
      <w:r>
        <w:rPr>
          <w:rFonts w:ascii="宋体" w:hAnsi="宋体" w:cs="宋体" w:eastAsia="宋体" w:hint="default"/>
        </w:rPr>
        <w:t>1,577.71</w:t>
      </w:r>
      <w:r>
        <w:rPr>
          <w:rFonts w:ascii="宋体" w:hAnsi="宋体" w:cs="宋体" w:eastAsia="宋体" w:hint="default"/>
          <w:spacing w:val="-54"/>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958" w:val="left" w:leader="none"/>
        </w:tabs>
        <w:spacing w:line="240" w:lineRule="auto" w:before="154"/>
        <w:ind w:left="538" w:right="0"/>
        <w:jc w:val="left"/>
        <w:rPr>
          <w:b w:val="0"/>
          <w:bCs w:val="0"/>
        </w:rPr>
      </w:pPr>
      <w:r>
        <w:rPr>
          <w:rFonts w:ascii="宋体" w:hAnsi="宋体" w:cs="宋体" w:eastAsia="宋体" w:hint="default"/>
          <w:w w:val="95"/>
        </w:rPr>
        <w:t>4.</w:t>
        <w:tab/>
      </w:r>
      <w:r>
        <w:rPr/>
        <w:t>现金流</w:t>
      </w:r>
      <w:r>
        <w:rPr>
          <w:b w:val="0"/>
          <w:bCs w:val="0"/>
        </w:rPr>
      </w:r>
    </w:p>
    <w:p>
      <w:pPr>
        <w:pStyle w:val="BodyText"/>
        <w:spacing w:line="273" w:lineRule="exact" w:before="56"/>
        <w:ind w:left="538" w:right="0"/>
        <w:jc w:val="left"/>
      </w:pPr>
      <w:r>
        <w:rPr/>
        <w:t>√适用 □不适用</w:t>
      </w:r>
    </w:p>
    <w:p>
      <w:pPr>
        <w:pStyle w:val="BodyText"/>
        <w:spacing w:line="273" w:lineRule="exact"/>
        <w:ind w:left="1018" w:right="0"/>
        <w:jc w:val="left"/>
      </w:pPr>
      <w:r>
        <w:rPr>
          <w:rFonts w:ascii="宋体" w:hAnsi="宋体" w:cs="宋体" w:eastAsia="宋体" w:hint="default"/>
        </w:rPr>
        <w:t>2018</w:t>
      </w:r>
      <w:r>
        <w:rPr>
          <w:rFonts w:ascii="宋体" w:hAnsi="宋体" w:cs="宋体" w:eastAsia="宋体" w:hint="default"/>
          <w:spacing w:val="-56"/>
        </w:rPr>
        <w:t> </w:t>
      </w:r>
      <w:r>
        <w:rPr/>
        <w:t>年公司现金及现金等价物的变动净额为</w:t>
      </w:r>
      <w:r>
        <w:rPr>
          <w:spacing w:val="-54"/>
        </w:rPr>
        <w:t> </w:t>
      </w:r>
      <w:r>
        <w:rPr>
          <w:rFonts w:ascii="宋体" w:hAnsi="宋体" w:cs="宋体" w:eastAsia="宋体" w:hint="default"/>
        </w:rPr>
        <w:t>3.19</w:t>
      </w:r>
      <w:r>
        <w:rPr>
          <w:rFonts w:ascii="宋体" w:hAnsi="宋体" w:cs="宋体" w:eastAsia="宋体" w:hint="default"/>
          <w:spacing w:val="-56"/>
        </w:rPr>
        <w:t> </w:t>
      </w:r>
      <w:r>
        <w:rPr/>
        <w:t>亿元。</w:t>
      </w:r>
    </w:p>
    <w:p>
      <w:pPr>
        <w:spacing w:after="0" w:line="273" w:lineRule="exact"/>
        <w:jc w:val="left"/>
        <w:sectPr>
          <w:type w:val="continuous"/>
          <w:pgSz w:w="11910" w:h="16840"/>
          <w:pgMar w:top="1060" w:bottom="1380" w:left="880" w:right="580"/>
        </w:sectPr>
      </w:pPr>
    </w:p>
    <w:p>
      <w:pPr>
        <w:spacing w:line="240" w:lineRule="auto" w:before="8"/>
        <w:rPr>
          <w:rFonts w:ascii="宋体" w:hAnsi="宋体" w:cs="宋体" w:eastAsia="宋体" w:hint="default"/>
          <w:sz w:val="28"/>
          <w:szCs w:val="28"/>
        </w:rPr>
      </w:pPr>
    </w:p>
    <w:p>
      <w:pPr>
        <w:pStyle w:val="BodyText"/>
        <w:spacing w:line="240" w:lineRule="auto" w:before="36"/>
        <w:ind w:left="1098" w:right="0"/>
        <w:jc w:val="left"/>
      </w:pPr>
      <w:r>
        <w:rPr/>
        <w:t>经营活动产生的现金流量净额为</w:t>
      </w:r>
      <w:r>
        <w:rPr>
          <w:spacing w:val="-44"/>
        </w:rPr>
        <w:t> </w:t>
      </w:r>
      <w:r>
        <w:rPr>
          <w:rFonts w:ascii="宋体" w:hAnsi="宋体" w:cs="宋体" w:eastAsia="宋体" w:hint="default"/>
        </w:rPr>
        <w:t>23.63</w:t>
      </w:r>
      <w:r>
        <w:rPr>
          <w:rFonts w:ascii="宋体" w:hAnsi="宋体" w:cs="宋体" w:eastAsia="宋体" w:hint="default"/>
          <w:spacing w:val="-44"/>
        </w:rPr>
        <w:t> </w:t>
      </w:r>
      <w:r>
        <w:rPr>
          <w:spacing w:val="-13"/>
        </w:rPr>
        <w:t>亿元，其中，现金流入</w:t>
      </w:r>
      <w:r>
        <w:rPr>
          <w:spacing w:val="-44"/>
        </w:rPr>
        <w:t> </w:t>
      </w:r>
      <w:r>
        <w:rPr>
          <w:rFonts w:ascii="宋体" w:hAnsi="宋体" w:cs="宋体" w:eastAsia="宋体" w:hint="default"/>
        </w:rPr>
        <w:t>94.95</w:t>
      </w:r>
      <w:r>
        <w:rPr>
          <w:rFonts w:ascii="宋体" w:hAnsi="宋体" w:cs="宋体" w:eastAsia="宋体" w:hint="default"/>
          <w:spacing w:val="-47"/>
        </w:rPr>
        <w:t> </w:t>
      </w:r>
      <w:r>
        <w:rPr>
          <w:spacing w:val="-7"/>
        </w:rPr>
        <w:t>亿元，主要包括收取利息、</w:t>
      </w:r>
    </w:p>
    <w:p>
      <w:pPr>
        <w:pStyle w:val="BodyText"/>
        <w:spacing w:line="240" w:lineRule="auto" w:before="135"/>
        <w:ind w:left="678" w:right="0"/>
        <w:jc w:val="left"/>
      </w:pPr>
      <w:r>
        <w:rPr/>
        <w:t>手续费及佣金</w:t>
      </w:r>
      <w:r>
        <w:rPr>
          <w:spacing w:val="-54"/>
        </w:rPr>
        <w:t> </w:t>
      </w:r>
      <w:r>
        <w:rPr>
          <w:rFonts w:ascii="宋体" w:hAnsi="宋体" w:cs="宋体" w:eastAsia="宋体" w:hint="default"/>
        </w:rPr>
        <w:t>35.90</w:t>
      </w:r>
      <w:r>
        <w:rPr>
          <w:rFonts w:ascii="宋体" w:hAnsi="宋体" w:cs="宋体" w:eastAsia="宋体" w:hint="default"/>
          <w:spacing w:val="-56"/>
        </w:rPr>
        <w:t> </w:t>
      </w:r>
      <w:r>
        <w:rPr/>
        <w:t>亿元，融出资金净减少额</w:t>
      </w:r>
      <w:r>
        <w:rPr>
          <w:spacing w:val="-53"/>
        </w:rPr>
        <w:t> </w:t>
      </w:r>
      <w:r>
        <w:rPr>
          <w:rFonts w:ascii="宋体" w:hAnsi="宋体" w:cs="宋体" w:eastAsia="宋体" w:hint="default"/>
        </w:rPr>
        <w:t>40.33</w:t>
      </w:r>
      <w:r>
        <w:rPr>
          <w:rFonts w:ascii="宋体" w:hAnsi="宋体" w:cs="宋体" w:eastAsia="宋体" w:hint="default"/>
          <w:spacing w:val="-54"/>
        </w:rPr>
        <w:t> </w:t>
      </w:r>
      <w:r>
        <w:rPr/>
        <w:t>亿元；现金流出</w:t>
      </w:r>
      <w:r>
        <w:rPr>
          <w:spacing w:val="-54"/>
        </w:rPr>
        <w:t> </w:t>
      </w:r>
      <w:r>
        <w:rPr>
          <w:rFonts w:ascii="宋体" w:hAnsi="宋体" w:cs="宋体" w:eastAsia="宋体" w:hint="default"/>
        </w:rPr>
        <w:t>71.32</w:t>
      </w:r>
      <w:r>
        <w:rPr>
          <w:rFonts w:ascii="宋体" w:hAnsi="宋体" w:cs="宋体" w:eastAsia="宋体" w:hint="default"/>
          <w:spacing w:val="-56"/>
        </w:rPr>
        <w:t> </w:t>
      </w:r>
      <w:r>
        <w:rPr/>
        <w:t>亿元，主要包括支付给</w:t>
      </w:r>
    </w:p>
    <w:p>
      <w:pPr>
        <w:pStyle w:val="BodyText"/>
        <w:spacing w:line="355" w:lineRule="auto" w:before="133"/>
        <w:ind w:left="1098" w:right="323" w:hanging="420"/>
        <w:jc w:val="left"/>
      </w:pPr>
      <w:r>
        <w:rPr/>
        <w:t>职工以及为职工支付的现金</w:t>
      </w:r>
      <w:r>
        <w:rPr>
          <w:spacing w:val="-54"/>
        </w:rPr>
        <w:t> </w:t>
      </w:r>
      <w:r>
        <w:rPr>
          <w:rFonts w:ascii="宋体" w:hAnsi="宋体" w:cs="宋体" w:eastAsia="宋体" w:hint="default"/>
        </w:rPr>
        <w:t>11.93</w:t>
      </w:r>
      <w:r>
        <w:rPr>
          <w:rFonts w:ascii="宋体" w:hAnsi="宋体" w:cs="宋体" w:eastAsia="宋体" w:hint="default"/>
          <w:spacing w:val="-54"/>
        </w:rPr>
        <w:t> </w:t>
      </w:r>
      <w:r>
        <w:rPr/>
        <w:t>亿元，支付其他与经营活动有关的现金</w:t>
      </w:r>
      <w:r>
        <w:rPr>
          <w:spacing w:val="-54"/>
        </w:rPr>
        <w:t> </w:t>
      </w:r>
      <w:r>
        <w:rPr>
          <w:rFonts w:ascii="宋体" w:hAnsi="宋体" w:cs="宋体" w:eastAsia="宋体" w:hint="default"/>
        </w:rPr>
        <w:t>41.93</w:t>
      </w:r>
      <w:r>
        <w:rPr>
          <w:rFonts w:ascii="宋体" w:hAnsi="宋体" w:cs="宋体" w:eastAsia="宋体" w:hint="default"/>
          <w:spacing w:val="-54"/>
        </w:rPr>
        <w:t> </w:t>
      </w:r>
      <w:r>
        <w:rPr/>
        <w:t>亿元。</w:t>
      </w:r>
      <w:r>
        <w:rPr>
          <w:w w:val="100"/>
        </w:rPr>
        <w:t> </w:t>
      </w:r>
      <w:r>
        <w:rPr/>
        <w:t>投资活动产生的现金流量净额为</w:t>
      </w:r>
      <w:r>
        <w:rPr>
          <w:rFonts w:ascii="宋体" w:hAnsi="宋体" w:cs="宋体" w:eastAsia="宋体" w:hint="default"/>
        </w:rPr>
        <w:t>-21.48</w:t>
      </w:r>
      <w:r>
        <w:rPr>
          <w:rFonts w:ascii="宋体" w:hAnsi="宋体" w:cs="宋体" w:eastAsia="宋体" w:hint="default"/>
          <w:spacing w:val="-56"/>
        </w:rPr>
        <w:t> </w:t>
      </w:r>
      <w:r>
        <w:rPr/>
        <w:t>亿元，其中现金流入</w:t>
      </w:r>
      <w:r>
        <w:rPr>
          <w:spacing w:val="-54"/>
        </w:rPr>
        <w:t> </w:t>
      </w:r>
      <w:r>
        <w:rPr>
          <w:rFonts w:ascii="宋体" w:hAnsi="宋体" w:cs="宋体" w:eastAsia="宋体" w:hint="default"/>
        </w:rPr>
        <w:t>0.73</w:t>
      </w:r>
      <w:r>
        <w:rPr>
          <w:rFonts w:ascii="宋体" w:hAnsi="宋体" w:cs="宋体" w:eastAsia="宋体" w:hint="default"/>
          <w:spacing w:val="-56"/>
        </w:rPr>
        <w:t> </w:t>
      </w:r>
      <w:r>
        <w:rPr/>
        <w:t>亿元，主要为收到联营企业</w:t>
      </w:r>
    </w:p>
    <w:p>
      <w:pPr>
        <w:pStyle w:val="BodyText"/>
        <w:spacing w:line="240" w:lineRule="auto" w:before="32"/>
        <w:ind w:left="678" w:right="0"/>
        <w:jc w:val="left"/>
      </w:pPr>
      <w:r>
        <w:rPr/>
        <w:t>分红；现金流出为</w:t>
      </w:r>
      <w:r>
        <w:rPr>
          <w:spacing w:val="-54"/>
        </w:rPr>
        <w:t> </w:t>
      </w:r>
      <w:r>
        <w:rPr>
          <w:rFonts w:ascii="宋体" w:hAnsi="宋体" w:cs="宋体" w:eastAsia="宋体" w:hint="default"/>
        </w:rPr>
        <w:t>22.21</w:t>
      </w:r>
      <w:r>
        <w:rPr>
          <w:rFonts w:ascii="宋体" w:hAnsi="宋体" w:cs="宋体" w:eastAsia="宋体" w:hint="default"/>
          <w:spacing w:val="-56"/>
        </w:rPr>
        <w:t> </w:t>
      </w:r>
      <w:r>
        <w:rPr/>
        <w:t>亿元，主要为投资支付的现金</w:t>
      </w:r>
      <w:r>
        <w:rPr>
          <w:spacing w:val="-53"/>
        </w:rPr>
        <w:t> </w:t>
      </w:r>
      <w:r>
        <w:rPr>
          <w:rFonts w:ascii="宋体" w:hAnsi="宋体" w:cs="宋体" w:eastAsia="宋体" w:hint="default"/>
        </w:rPr>
        <w:t>20.89</w:t>
      </w:r>
      <w:r>
        <w:rPr>
          <w:rFonts w:ascii="宋体" w:hAnsi="宋体" w:cs="宋体" w:eastAsia="宋体" w:hint="default"/>
          <w:spacing w:val="-56"/>
        </w:rPr>
        <w:t> </w:t>
      </w:r>
      <w:r>
        <w:rPr/>
        <w:t>亿元，购建固定资产、无形资产和其</w:t>
      </w:r>
    </w:p>
    <w:p>
      <w:pPr>
        <w:pStyle w:val="BodyText"/>
        <w:spacing w:line="240" w:lineRule="auto" w:before="133"/>
        <w:ind w:left="678" w:right="0"/>
        <w:jc w:val="left"/>
      </w:pPr>
      <w:r>
        <w:rPr/>
        <w:t>他长期资产支付的现金</w:t>
      </w:r>
      <w:r>
        <w:rPr>
          <w:spacing w:val="-55"/>
        </w:rPr>
        <w:t> </w:t>
      </w:r>
      <w:r>
        <w:rPr>
          <w:rFonts w:ascii="宋体" w:hAnsi="宋体" w:cs="宋体" w:eastAsia="宋体" w:hint="default"/>
        </w:rPr>
        <w:t>1.32</w:t>
      </w:r>
      <w:r>
        <w:rPr>
          <w:rFonts w:ascii="宋体" w:hAnsi="宋体" w:cs="宋体" w:eastAsia="宋体" w:hint="default"/>
          <w:spacing w:val="-54"/>
        </w:rPr>
        <w:t> </w:t>
      </w:r>
      <w:r>
        <w:rPr/>
        <w:t>亿元。</w:t>
      </w:r>
    </w:p>
    <w:p>
      <w:pPr>
        <w:pStyle w:val="BodyText"/>
        <w:spacing w:line="240" w:lineRule="auto" w:before="135"/>
        <w:ind w:left="1098" w:right="0"/>
        <w:jc w:val="left"/>
      </w:pPr>
      <w:r>
        <w:rPr/>
        <w:t>筹资活动产生的现金流量净额</w:t>
      </w:r>
      <w:r>
        <w:rPr>
          <w:spacing w:val="-55"/>
        </w:rPr>
        <w:t> </w:t>
      </w:r>
      <w:r>
        <w:rPr>
          <w:rFonts w:ascii="宋体" w:hAnsi="宋体" w:cs="宋体" w:eastAsia="宋体" w:hint="default"/>
        </w:rPr>
        <w:t>0.58</w:t>
      </w:r>
      <w:r>
        <w:rPr>
          <w:rFonts w:ascii="宋体" w:hAnsi="宋体" w:cs="宋体" w:eastAsia="宋体" w:hint="default"/>
          <w:spacing w:val="-57"/>
        </w:rPr>
        <w:t> </w:t>
      </w:r>
      <w:r>
        <w:rPr/>
        <w:t>亿元，其中现金流入</w:t>
      </w:r>
      <w:r>
        <w:rPr>
          <w:spacing w:val="-55"/>
        </w:rPr>
        <w:t> </w:t>
      </w:r>
      <w:r>
        <w:rPr>
          <w:rFonts w:ascii="宋体" w:hAnsi="宋体" w:cs="宋体" w:eastAsia="宋体" w:hint="default"/>
        </w:rPr>
        <w:t>261.57</w:t>
      </w:r>
      <w:r>
        <w:rPr>
          <w:rFonts w:ascii="宋体" w:hAnsi="宋体" w:cs="宋体" w:eastAsia="宋体" w:hint="default"/>
          <w:spacing w:val="-55"/>
        </w:rPr>
        <w:t> </w:t>
      </w:r>
      <w:r>
        <w:rPr/>
        <w:t>亿元，主要包括取得借款收到</w:t>
      </w:r>
    </w:p>
    <w:p>
      <w:pPr>
        <w:pStyle w:val="BodyText"/>
        <w:spacing w:line="240" w:lineRule="auto" w:before="133"/>
        <w:ind w:left="678" w:right="0"/>
        <w:jc w:val="left"/>
      </w:pPr>
      <w:r>
        <w:rPr>
          <w:w w:val="100"/>
        </w:rPr>
        <w:t>的</w:t>
      </w:r>
      <w:r>
        <w:rPr>
          <w:spacing w:val="-3"/>
          <w:w w:val="100"/>
        </w:rPr>
        <w:t>现</w:t>
      </w:r>
      <w:r>
        <w:rPr>
          <w:w w:val="100"/>
        </w:rPr>
        <w:t>金</w:t>
      </w:r>
      <w:r>
        <w:rPr>
          <w:spacing w:val="-62"/>
        </w:rPr>
        <w:t> </w:t>
      </w:r>
      <w:r>
        <w:rPr>
          <w:rFonts w:ascii="宋体" w:hAnsi="宋体" w:cs="宋体" w:eastAsia="宋体" w:hint="default"/>
          <w:w w:val="100"/>
        </w:rPr>
        <w:t>1</w:t>
      </w:r>
      <w:r>
        <w:rPr>
          <w:rFonts w:ascii="宋体" w:hAnsi="宋体" w:cs="宋体" w:eastAsia="宋体" w:hint="default"/>
          <w:spacing w:val="-3"/>
          <w:w w:val="100"/>
        </w:rPr>
        <w:t>1</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7</w:t>
      </w:r>
      <w:r>
        <w:rPr>
          <w:rFonts w:ascii="宋体" w:hAnsi="宋体" w:cs="宋体" w:eastAsia="宋体" w:hint="default"/>
          <w:spacing w:val="-62"/>
        </w:rPr>
        <w:t> </w:t>
      </w:r>
      <w:r>
        <w:rPr>
          <w:spacing w:val="-3"/>
          <w:w w:val="100"/>
        </w:rPr>
        <w:t>亿</w:t>
      </w:r>
      <w:r>
        <w:rPr>
          <w:w w:val="100"/>
        </w:rPr>
        <w:t>元</w:t>
      </w:r>
      <w:r>
        <w:rPr>
          <w:spacing w:val="-106"/>
          <w:w w:val="100"/>
        </w:rPr>
        <w:t>，</w:t>
      </w:r>
      <w:r>
        <w:rPr>
          <w:spacing w:val="-3"/>
          <w:w w:val="100"/>
        </w:rPr>
        <w:t>发</w:t>
      </w:r>
      <w:r>
        <w:rPr>
          <w:w w:val="100"/>
        </w:rPr>
        <w:t>行</w:t>
      </w:r>
      <w:r>
        <w:rPr>
          <w:spacing w:val="-3"/>
          <w:w w:val="100"/>
        </w:rPr>
        <w:t>债</w:t>
      </w:r>
      <w:r>
        <w:rPr>
          <w:w w:val="100"/>
        </w:rPr>
        <w:t>券收</w:t>
      </w:r>
      <w:r>
        <w:rPr>
          <w:spacing w:val="-3"/>
          <w:w w:val="100"/>
        </w:rPr>
        <w:t>到</w:t>
      </w:r>
      <w:r>
        <w:rPr>
          <w:w w:val="100"/>
        </w:rPr>
        <w:t>的</w:t>
      </w:r>
      <w:r>
        <w:rPr>
          <w:spacing w:val="-3"/>
          <w:w w:val="100"/>
        </w:rPr>
        <w:t>现</w:t>
      </w:r>
      <w:r>
        <w:rPr>
          <w:w w:val="100"/>
        </w:rPr>
        <w:t>金</w:t>
      </w:r>
      <w:r>
        <w:rPr>
          <w:spacing w:val="-64"/>
        </w:rPr>
        <w:t> </w:t>
      </w:r>
      <w:r>
        <w:rPr>
          <w:rFonts w:ascii="宋体" w:hAnsi="宋体" w:cs="宋体" w:eastAsia="宋体" w:hint="default"/>
          <w:w w:val="100"/>
        </w:rPr>
        <w:t>240</w:t>
      </w:r>
      <w:r>
        <w:rPr>
          <w:rFonts w:ascii="宋体" w:hAnsi="宋体" w:cs="宋体" w:eastAsia="宋体" w:hint="default"/>
          <w:spacing w:val="-3"/>
          <w:w w:val="100"/>
        </w:rPr>
        <w:t>.</w:t>
      </w:r>
      <w:r>
        <w:rPr>
          <w:rFonts w:ascii="宋体" w:hAnsi="宋体" w:cs="宋体" w:eastAsia="宋体" w:hint="default"/>
          <w:w w:val="100"/>
        </w:rPr>
        <w:t>50</w:t>
      </w:r>
      <w:r>
        <w:rPr>
          <w:rFonts w:ascii="宋体" w:hAnsi="宋体" w:cs="宋体" w:eastAsia="宋体" w:hint="default"/>
          <w:spacing w:val="-65"/>
        </w:rPr>
        <w:t> </w:t>
      </w:r>
      <w:r>
        <w:rPr>
          <w:w w:val="100"/>
        </w:rPr>
        <w:t>亿</w:t>
      </w:r>
      <w:r>
        <w:rPr>
          <w:spacing w:val="-3"/>
          <w:w w:val="100"/>
        </w:rPr>
        <w:t>元</w:t>
      </w:r>
      <w:r>
        <w:rPr>
          <w:spacing w:val="-106"/>
          <w:w w:val="100"/>
        </w:rPr>
        <w:t>，</w:t>
      </w:r>
      <w:r>
        <w:rPr>
          <w:w w:val="100"/>
        </w:rPr>
        <w:t>收</w:t>
      </w:r>
      <w:r>
        <w:rPr>
          <w:spacing w:val="-3"/>
          <w:w w:val="100"/>
        </w:rPr>
        <w:t>到</w:t>
      </w:r>
      <w:r>
        <w:rPr>
          <w:w w:val="100"/>
        </w:rPr>
        <w:t>其</w:t>
      </w:r>
      <w:r>
        <w:rPr>
          <w:spacing w:val="-3"/>
          <w:w w:val="100"/>
        </w:rPr>
        <w:t>他</w:t>
      </w:r>
      <w:r>
        <w:rPr>
          <w:w w:val="100"/>
        </w:rPr>
        <w:t>与</w:t>
      </w:r>
      <w:r>
        <w:rPr>
          <w:spacing w:val="-3"/>
          <w:w w:val="100"/>
        </w:rPr>
        <w:t>筹</w:t>
      </w:r>
      <w:r>
        <w:rPr>
          <w:w w:val="100"/>
        </w:rPr>
        <w:t>资</w:t>
      </w:r>
      <w:r>
        <w:rPr>
          <w:spacing w:val="-3"/>
          <w:w w:val="100"/>
        </w:rPr>
        <w:t>活</w:t>
      </w:r>
      <w:r>
        <w:rPr>
          <w:w w:val="100"/>
        </w:rPr>
        <w:t>动</w:t>
      </w:r>
      <w:r>
        <w:rPr>
          <w:spacing w:val="-3"/>
          <w:w w:val="100"/>
        </w:rPr>
        <w:t>有关</w:t>
      </w:r>
      <w:r>
        <w:rPr>
          <w:w w:val="100"/>
        </w:rPr>
        <w:t>的</w:t>
      </w:r>
      <w:r>
        <w:rPr>
          <w:spacing w:val="-3"/>
          <w:w w:val="100"/>
        </w:rPr>
        <w:t>现</w:t>
      </w:r>
      <w:r>
        <w:rPr>
          <w:w w:val="100"/>
        </w:rPr>
        <w:t>金</w:t>
      </w:r>
      <w:r>
        <w:rPr>
          <w:spacing w:val="-62"/>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62"/>
        </w:rPr>
        <w:t> </w:t>
      </w:r>
      <w:r>
        <w:rPr>
          <w:spacing w:val="-3"/>
          <w:w w:val="100"/>
        </w:rPr>
        <w:t>亿</w:t>
      </w:r>
      <w:r>
        <w:rPr>
          <w:w w:val="100"/>
        </w:rPr>
        <w:t>元；</w:t>
      </w:r>
    </w:p>
    <w:p>
      <w:pPr>
        <w:pStyle w:val="BodyText"/>
        <w:spacing w:line="240" w:lineRule="auto" w:before="133"/>
        <w:ind w:left="678" w:right="0"/>
        <w:jc w:val="left"/>
      </w:pPr>
      <w:r>
        <w:rPr/>
        <w:t>现金流出</w:t>
      </w:r>
      <w:r>
        <w:rPr>
          <w:spacing w:val="-55"/>
        </w:rPr>
        <w:t> </w:t>
      </w:r>
      <w:r>
        <w:rPr>
          <w:rFonts w:ascii="宋体" w:hAnsi="宋体" w:cs="宋体" w:eastAsia="宋体" w:hint="default"/>
        </w:rPr>
        <w:t>260.99</w:t>
      </w:r>
      <w:r>
        <w:rPr>
          <w:rFonts w:ascii="宋体" w:hAnsi="宋体" w:cs="宋体" w:eastAsia="宋体" w:hint="default"/>
          <w:spacing w:val="-55"/>
        </w:rPr>
        <w:t> </w:t>
      </w:r>
      <w:r>
        <w:rPr/>
        <w:t>亿元，主要包括偿还债务支付的现金</w:t>
      </w:r>
      <w:r>
        <w:rPr>
          <w:spacing w:val="-54"/>
        </w:rPr>
        <w:t> </w:t>
      </w:r>
      <w:r>
        <w:rPr>
          <w:rFonts w:ascii="宋体" w:hAnsi="宋体" w:cs="宋体" w:eastAsia="宋体" w:hint="default"/>
        </w:rPr>
        <w:t>235.49</w:t>
      </w:r>
      <w:r>
        <w:rPr>
          <w:rFonts w:ascii="宋体" w:hAnsi="宋体" w:cs="宋体" w:eastAsia="宋体" w:hint="default"/>
          <w:spacing w:val="-57"/>
        </w:rPr>
        <w:t> </w:t>
      </w:r>
      <w:r>
        <w:rPr/>
        <w:t>亿元，分配股利、利润或偿付利息支</w:t>
      </w:r>
    </w:p>
    <w:p>
      <w:pPr>
        <w:pStyle w:val="BodyText"/>
        <w:spacing w:line="240" w:lineRule="auto" w:before="133"/>
        <w:ind w:left="678" w:right="0"/>
        <w:jc w:val="left"/>
      </w:pPr>
      <w:r>
        <w:rPr/>
        <w:t>付的现金</w:t>
      </w:r>
      <w:r>
        <w:rPr>
          <w:spacing w:val="-53"/>
        </w:rPr>
        <w:t> </w:t>
      </w:r>
      <w:r>
        <w:rPr>
          <w:rFonts w:ascii="宋体" w:hAnsi="宋体" w:cs="宋体" w:eastAsia="宋体" w:hint="default"/>
        </w:rPr>
        <w:t>14.41</w:t>
      </w:r>
      <w:r>
        <w:rPr>
          <w:rFonts w:ascii="宋体" w:hAnsi="宋体" w:cs="宋体" w:eastAsia="宋体" w:hint="default"/>
          <w:spacing w:val="-55"/>
        </w:rPr>
        <w:t> </w:t>
      </w:r>
      <w:r>
        <w:rPr/>
        <w:t>亿元，支付其他与筹资活动有关的现金</w:t>
      </w:r>
      <w:r>
        <w:rPr>
          <w:spacing w:val="-52"/>
        </w:rPr>
        <w:t> </w:t>
      </w:r>
      <w:r>
        <w:rPr>
          <w:rFonts w:ascii="宋体" w:hAnsi="宋体" w:cs="宋体" w:eastAsia="宋体" w:hint="default"/>
        </w:rPr>
        <w:t>11.09</w:t>
      </w:r>
      <w:r>
        <w:rPr>
          <w:rFonts w:ascii="宋体" w:hAnsi="宋体" w:cs="宋体" w:eastAsia="宋体" w:hint="default"/>
          <w:spacing w:val="-55"/>
        </w:rPr>
        <w:t> </w:t>
      </w:r>
      <w:r>
        <w:rPr/>
        <w:t>亿元。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tabs>
          <w:tab w:pos="1518" w:val="left" w:leader="none"/>
        </w:tabs>
        <w:spacing w:line="240" w:lineRule="auto"/>
        <w:ind w:left="67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8"/>
        <w:ind w:left="678"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060" w:bottom="1380" w:left="740" w:right="1180"/>
        </w:sectPr>
      </w:pPr>
    </w:p>
    <w:p>
      <w:pPr>
        <w:pStyle w:val="Heading5"/>
        <w:tabs>
          <w:tab w:pos="1518" w:val="left" w:leader="none"/>
        </w:tabs>
        <w:spacing w:line="240" w:lineRule="auto" w:before="36"/>
        <w:ind w:left="678" w:right="-1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56"/>
        <w:ind w:left="678" w:right="-16"/>
        <w:jc w:val="left"/>
      </w:pPr>
      <w:r>
        <w:rPr/>
        <w:t>√适用 □不适用</w:t>
      </w:r>
    </w:p>
    <w:p>
      <w:pPr>
        <w:pStyle w:val="Heading5"/>
        <w:tabs>
          <w:tab w:pos="1103" w:val="left" w:leader="none"/>
        </w:tabs>
        <w:spacing w:line="240" w:lineRule="auto" w:before="58"/>
        <w:ind w:left="67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678" w:right="0"/>
        <w:jc w:val="left"/>
      </w:pPr>
      <w:r>
        <w:rPr/>
        <w:t>单位：元</w:t>
      </w:r>
    </w:p>
    <w:p>
      <w:pPr>
        <w:spacing w:after="0" w:line="240" w:lineRule="auto"/>
        <w:jc w:val="left"/>
        <w:sectPr>
          <w:type w:val="continuous"/>
          <w:pgSz w:w="11910" w:h="16840"/>
          <w:pgMar w:top="1060" w:bottom="1380" w:left="740" w:right="1180"/>
          <w:cols w:num="2" w:equalWidth="0">
            <w:col w:w="3420" w:space="4813"/>
            <w:col w:w="1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63"/>
        <w:gridCol w:w="1839"/>
        <w:gridCol w:w="994"/>
        <w:gridCol w:w="1748"/>
        <w:gridCol w:w="946"/>
        <w:gridCol w:w="992"/>
        <w:gridCol w:w="1668"/>
      </w:tblGrid>
      <w:tr>
        <w:trPr>
          <w:trHeight w:val="117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31" w:right="131"/>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33" w:lineRule="exact"/>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7" w:right="107"/>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ind w:left="129" w:right="130"/>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10,100,665,001.46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10,401,348,355.39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客户资金存款减少</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2,361,676,115.53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2,381,489,952.70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客户备付金减少</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6,647,103,033.35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10,669,002,273.49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-37.70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融资规模减少</w:t>
            </w:r>
          </w:p>
        </w:tc>
      </w:tr>
      <w:tr>
        <w:trPr>
          <w:trHeight w:val="94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以公允价值计量</w:t>
            </w:r>
            <w:r>
              <w:rPr>
                <w:rFonts w:ascii="宋体" w:hAnsi="宋体" w:cs="宋体" w:eastAsia="宋体" w:hint="default"/>
                <w:sz w:val="18"/>
                <w:szCs w:val="18"/>
              </w:rPr>
            </w:r>
          </w:p>
          <w:p>
            <w:pPr>
              <w:pStyle w:val="TableParagraph"/>
              <w:spacing w:line="232" w:lineRule="exact" w:before="23"/>
              <w:ind w:left="103" w:right="87"/>
              <w:jc w:val="both"/>
              <w:rPr>
                <w:rFonts w:ascii="宋体" w:hAnsi="宋体" w:cs="宋体" w:eastAsia="宋体" w:hint="default"/>
                <w:sz w:val="18"/>
                <w:szCs w:val="18"/>
              </w:rPr>
            </w:pPr>
            <w:r>
              <w:rPr>
                <w:rFonts w:ascii="宋体" w:hAnsi="宋体" w:cs="宋体" w:eastAsia="宋体" w:hint="default"/>
                <w:spacing w:val="14"/>
                <w:sz w:val="18"/>
                <w:szCs w:val="18"/>
              </w:rPr>
              <w:t>且其变动计入当 期损益的金融资 </w:t>
            </w:r>
            <w:r>
              <w:rPr>
                <w:rFonts w:ascii="宋体" w:hAnsi="宋体" w:cs="宋体" w:eastAsia="宋体" w:hint="default"/>
                <w:sz w:val="18"/>
                <w:szCs w:val="18"/>
              </w:rPr>
              <w:t>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9,316,812,002.71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15.87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10,432,974,324.90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18.08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-10.70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z w:val="18"/>
                <w:szCs w:val="18"/>
              </w:rPr>
              <w:t>股票和债券投资规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模减少</w:t>
            </w:r>
          </w:p>
        </w:tc>
      </w:tr>
      <w:tr>
        <w:trPr>
          <w:trHeight w:val="47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118,144,595.38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6,114,246.68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1,832.28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收益互换公允价值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买入返售金融资</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6,618,311,785.55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6,303,405,943.06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债券逆回购规模增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805,376,154.38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194,589,453.80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313.88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期末应收清算款增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403,555,482.49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417,883,115.84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融资融券应收利息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214,540,696.58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0.37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105,444,269.48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103.46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转融通保证金增加</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可供出售金融资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15,719,014,095.41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26.78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12,771,116,027.62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基金投资规模增加</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5,059,131,751.59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2,826,934,542.17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78.96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对联营企业投资及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其权益增加</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24,970,801.71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26,715,490.71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计提折旧</w:t>
            </w:r>
          </w:p>
        </w:tc>
      </w:tr>
      <w:tr>
        <w:trPr>
          <w:trHeight w:val="47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83,597,635.43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83,941,316.68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本期新购固定资产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及计提折旧</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108,085,415.90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57,998,371.31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86.36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新大楼工程支出</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335,870,613.45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353,611,579.18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计提摊销</w:t>
            </w:r>
          </w:p>
        </w:tc>
      </w:tr>
    </w:tbl>
    <w:p>
      <w:pPr>
        <w:spacing w:after="0" w:line="205" w:lineRule="exact"/>
        <w:jc w:val="left"/>
        <w:rPr>
          <w:rFonts w:ascii="宋体" w:hAnsi="宋体" w:cs="宋体" w:eastAsia="宋体" w:hint="default"/>
          <w:sz w:val="18"/>
          <w:szCs w:val="18"/>
        </w:rPr>
        <w:sectPr>
          <w:type w:val="continuous"/>
          <w:pgSz w:w="11910" w:h="16840"/>
          <w:pgMar w:top="1060" w:bottom="1380" w:left="74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563"/>
        <w:gridCol w:w="1839"/>
        <w:gridCol w:w="994"/>
        <w:gridCol w:w="1748"/>
        <w:gridCol w:w="946"/>
        <w:gridCol w:w="992"/>
        <w:gridCol w:w="1668"/>
      </w:tblGrid>
      <w:tr>
        <w:trPr>
          <w:trHeight w:val="94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520,178,832.26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0.89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297,538,021.65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74.83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32" w:lineRule="exact" w:before="23"/>
              <w:ind w:left="103" w:right="100"/>
              <w:jc w:val="both"/>
              <w:rPr>
                <w:rFonts w:ascii="宋体" w:hAnsi="宋体" w:cs="宋体" w:eastAsia="宋体" w:hint="default"/>
                <w:sz w:val="18"/>
                <w:szCs w:val="18"/>
              </w:rPr>
            </w:pPr>
            <w:r>
              <w:rPr>
                <w:rFonts w:ascii="宋体" w:hAnsi="宋体" w:cs="宋体" w:eastAsia="宋体" w:hint="default"/>
                <w:sz w:val="18"/>
                <w:szCs w:val="18"/>
              </w:rPr>
              <w:t>公允价值变动以及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计提的资产减值准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备增加所致</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257,770,199.61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0.45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370,489,848.30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-30.42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其他应收款减少</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682,997,900.00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543,335,000.00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25.70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银行借款增加</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3,054,930,000.00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7,829,410,000.00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-60.98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一年以内收益凭证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规模减少所致</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保持不变</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8,915,088.22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28,490,712.97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-68.71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场外期权及收益互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换公允价值变动</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4,377,137,976.97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3,652,007,791.64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19.86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债券正回购融资增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71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10,315,016,994.36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10,224,604,136.29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0.88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普通经纪业务和期</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权业务的代理买卖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1,381,685,743.21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1,350,881,597.60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应付绩效工资增加</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82,977,391.71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202,142,813.35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-58.95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应交企业所得税减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3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455,279,931.43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应付清算款减少</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573,394,010.88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347,643,272.32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64.94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本期应付次级债利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息增加</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17,167,971,679.17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10,892,642,370.99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57.61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次级债规模增加</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30,438,345.63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214,725,100.49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-85.82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的公允价值变动</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543,159,016.36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0.93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348,158,686.21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56.01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其他应付款增加</w:t>
            </w:r>
          </w:p>
        </w:tc>
      </w:tr>
    </w:tbl>
    <w:p>
      <w:pPr>
        <w:spacing w:line="240" w:lineRule="auto" w:before="7"/>
        <w:rPr>
          <w:rFonts w:ascii="宋体" w:hAnsi="宋体" w:cs="宋体" w:eastAsia="宋体" w:hint="default"/>
          <w:sz w:val="18"/>
          <w:szCs w:val="18"/>
        </w:rPr>
      </w:pPr>
    </w:p>
    <w:p>
      <w:pPr>
        <w:pStyle w:val="BodyText"/>
        <w:spacing w:line="273" w:lineRule="exact" w:before="36"/>
        <w:ind w:left="678" w:right="0"/>
        <w:jc w:val="both"/>
      </w:pPr>
      <w:r>
        <w:rPr/>
        <w:t>其他说明</w:t>
      </w:r>
    </w:p>
    <w:p>
      <w:pPr>
        <w:pStyle w:val="BodyText"/>
        <w:spacing w:line="357" w:lineRule="auto"/>
        <w:ind w:left="678" w:right="307" w:firstLine="420"/>
        <w:jc w:val="both"/>
      </w:pPr>
      <w:r>
        <w:rPr/>
        <w:t>截至</w:t>
      </w:r>
      <w:r>
        <w:rPr>
          <w:spacing w:val="-55"/>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日，公司资产总额为</w:t>
      </w:r>
      <w:r>
        <w:rPr>
          <w:spacing w:val="-55"/>
        </w:rPr>
        <w:t> </w:t>
      </w:r>
      <w:r>
        <w:rPr>
          <w:rFonts w:ascii="宋体" w:hAnsi="宋体" w:cs="宋体" w:eastAsia="宋体" w:hint="default"/>
        </w:rPr>
        <w:t>586.95</w:t>
      </w:r>
      <w:r>
        <w:rPr>
          <w:rFonts w:ascii="宋体" w:hAnsi="宋体" w:cs="宋体" w:eastAsia="宋体" w:hint="default"/>
          <w:spacing w:val="-57"/>
        </w:rPr>
        <w:t> </w:t>
      </w:r>
      <w:r>
        <w:rPr/>
        <w:t>亿元，同比增加</w:t>
      </w:r>
      <w:r>
        <w:rPr>
          <w:spacing w:val="-55"/>
        </w:rPr>
        <w:t> </w:t>
      </w:r>
      <w:r>
        <w:rPr>
          <w:rFonts w:ascii="宋体" w:hAnsi="宋体" w:cs="宋体" w:eastAsia="宋体" w:hint="default"/>
        </w:rPr>
        <w:t>9.94</w:t>
      </w:r>
      <w:r>
        <w:rPr>
          <w:rFonts w:ascii="宋体" w:hAnsi="宋体" w:cs="宋体" w:eastAsia="宋体" w:hint="default"/>
          <w:spacing w:val="-57"/>
        </w:rPr>
        <w:t> </w:t>
      </w:r>
      <w:r>
        <w:rPr/>
        <w:t>亿元，增幅</w:t>
      </w:r>
      <w:r>
        <w:rPr>
          <w:spacing w:val="-55"/>
        </w:rPr>
        <w:t> </w:t>
      </w:r>
      <w:r>
        <w:rPr>
          <w:rFonts w:ascii="宋体" w:hAnsi="宋体" w:cs="宋体" w:eastAsia="宋体" w:hint="default"/>
        </w:rPr>
        <w:t>1.72%</w:t>
      </w:r>
      <w:r>
        <w:rPr/>
        <w:t>。其</w:t>
      </w:r>
      <w:r>
        <w:rPr>
          <w:spacing w:val="-3"/>
          <w:w w:val="100"/>
        </w:rPr>
        <w:t> </w:t>
      </w:r>
      <w:r>
        <w:rPr/>
        <w:t>中：货币资金为</w:t>
      </w:r>
      <w:r>
        <w:rPr>
          <w:spacing w:val="-55"/>
        </w:rPr>
        <w:t> </w:t>
      </w:r>
      <w:r>
        <w:rPr>
          <w:rFonts w:ascii="宋体" w:hAnsi="宋体" w:cs="宋体" w:eastAsia="宋体" w:hint="default"/>
        </w:rPr>
        <w:t>101.01</w:t>
      </w:r>
      <w:r>
        <w:rPr>
          <w:rFonts w:ascii="宋体" w:hAnsi="宋体" w:cs="宋体" w:eastAsia="宋体" w:hint="default"/>
          <w:spacing w:val="-57"/>
        </w:rPr>
        <w:t> </w:t>
      </w:r>
      <w:r>
        <w:rPr/>
        <w:t>亿元，占总资产的</w:t>
      </w:r>
      <w:r>
        <w:rPr>
          <w:spacing w:val="-54"/>
        </w:rPr>
        <w:t> </w:t>
      </w:r>
      <w:r>
        <w:rPr>
          <w:rFonts w:ascii="宋体" w:hAnsi="宋体" w:cs="宋体" w:eastAsia="宋体" w:hint="default"/>
        </w:rPr>
        <w:t>17.21%</w:t>
      </w:r>
      <w:r>
        <w:rPr/>
        <w:t>；融出资金为</w:t>
      </w:r>
      <w:r>
        <w:rPr>
          <w:spacing w:val="-55"/>
        </w:rPr>
        <w:t> </w:t>
      </w:r>
      <w:r>
        <w:rPr>
          <w:rFonts w:ascii="宋体" w:hAnsi="宋体" w:cs="宋体" w:eastAsia="宋体" w:hint="default"/>
        </w:rPr>
        <w:t>66.47</w:t>
      </w:r>
      <w:r>
        <w:rPr>
          <w:rFonts w:ascii="宋体" w:hAnsi="宋体" w:cs="宋体" w:eastAsia="宋体" w:hint="default"/>
          <w:spacing w:val="-55"/>
        </w:rPr>
        <w:t> </w:t>
      </w:r>
      <w:r>
        <w:rPr/>
        <w:t>亿元，占总资产的</w:t>
      </w:r>
      <w:r>
        <w:rPr>
          <w:spacing w:val="-54"/>
        </w:rPr>
        <w:t> </w:t>
      </w:r>
      <w:r>
        <w:rPr>
          <w:rFonts w:ascii="宋体" w:hAnsi="宋体" w:cs="宋体" w:eastAsia="宋体" w:hint="default"/>
        </w:rPr>
        <w:t>11.32%</w:t>
      </w:r>
      <w:r>
        <w:rPr/>
        <w:t>；</w:t>
      </w:r>
      <w:r>
        <w:rPr>
          <w:w w:val="100"/>
        </w:rPr>
        <w:t> </w:t>
      </w:r>
      <w:r>
        <w:rPr/>
        <w:t>以公允价值计量且其变动计入当期损益的金融资产为</w:t>
      </w:r>
      <w:r>
        <w:rPr>
          <w:spacing w:val="-52"/>
        </w:rPr>
        <w:t> </w:t>
      </w:r>
      <w:r>
        <w:rPr>
          <w:rFonts w:ascii="宋体" w:hAnsi="宋体" w:cs="宋体" w:eastAsia="宋体" w:hint="default"/>
        </w:rPr>
        <w:t>93.17</w:t>
      </w:r>
      <w:r>
        <w:rPr>
          <w:rFonts w:ascii="宋体" w:hAnsi="宋体" w:cs="宋体" w:eastAsia="宋体" w:hint="default"/>
          <w:spacing w:val="-51"/>
        </w:rPr>
        <w:t> </w:t>
      </w:r>
      <w:r>
        <w:rPr>
          <w:spacing w:val="-3"/>
        </w:rPr>
        <w:t>亿元，占总资产的</w:t>
      </w:r>
      <w:r>
        <w:rPr>
          <w:spacing w:val="-52"/>
        </w:rPr>
        <w:t> </w:t>
      </w:r>
      <w:r>
        <w:rPr>
          <w:rFonts w:ascii="宋体" w:hAnsi="宋体" w:cs="宋体" w:eastAsia="宋体" w:hint="default"/>
        </w:rPr>
        <w:t>15.87%</w:t>
      </w:r>
      <w:r>
        <w:rPr/>
        <w:t>；买入返售金</w:t>
      </w:r>
      <w:r>
        <w:rPr>
          <w:w w:val="100"/>
        </w:rPr>
        <w:t> </w:t>
      </w:r>
      <w:r>
        <w:rPr/>
        <w:t>融资产为</w:t>
      </w:r>
      <w:r>
        <w:rPr>
          <w:spacing w:val="-46"/>
        </w:rPr>
        <w:t> </w:t>
      </w:r>
      <w:r>
        <w:rPr>
          <w:rFonts w:ascii="宋体" w:hAnsi="宋体" w:cs="宋体" w:eastAsia="宋体" w:hint="default"/>
        </w:rPr>
        <w:t>66.18</w:t>
      </w:r>
      <w:r>
        <w:rPr>
          <w:rFonts w:ascii="宋体" w:hAnsi="宋体" w:cs="宋体" w:eastAsia="宋体" w:hint="default"/>
          <w:spacing w:val="-48"/>
        </w:rPr>
        <w:t> </w:t>
      </w:r>
      <w:r>
        <w:rPr>
          <w:spacing w:val="-9"/>
        </w:rPr>
        <w:t>亿元，占总资产的</w:t>
      </w:r>
      <w:r>
        <w:rPr>
          <w:spacing w:val="-45"/>
        </w:rPr>
        <w:t> </w:t>
      </w:r>
      <w:r>
        <w:rPr>
          <w:rFonts w:ascii="宋体" w:hAnsi="宋体" w:cs="宋体" w:eastAsia="宋体" w:hint="default"/>
          <w:spacing w:val="-5"/>
        </w:rPr>
        <w:t>11.28%</w:t>
      </w:r>
      <w:r>
        <w:rPr>
          <w:spacing w:val="-5"/>
        </w:rPr>
        <w:t>；可供出售金融资产为</w:t>
      </w:r>
      <w:r>
        <w:rPr>
          <w:spacing w:val="-46"/>
        </w:rPr>
        <w:t> </w:t>
      </w:r>
      <w:r>
        <w:rPr>
          <w:rFonts w:ascii="宋体" w:hAnsi="宋体" w:cs="宋体" w:eastAsia="宋体" w:hint="default"/>
        </w:rPr>
        <w:t>157.19</w:t>
      </w:r>
      <w:r>
        <w:rPr>
          <w:rFonts w:ascii="宋体" w:hAnsi="宋体" w:cs="宋体" w:eastAsia="宋体" w:hint="default"/>
          <w:spacing w:val="-46"/>
        </w:rPr>
        <w:t> </w:t>
      </w:r>
      <w:r>
        <w:rPr>
          <w:spacing w:val="-9"/>
        </w:rPr>
        <w:t>亿元，占总资产的</w:t>
      </w:r>
      <w:r>
        <w:rPr>
          <w:spacing w:val="-48"/>
        </w:rPr>
        <w:t> </w:t>
      </w:r>
      <w:r>
        <w:rPr>
          <w:rFonts w:ascii="宋体" w:hAnsi="宋体" w:cs="宋体" w:eastAsia="宋体" w:hint="default"/>
        </w:rPr>
        <w:t>26.78%</w:t>
      </w:r>
      <w:r>
        <w:rPr/>
        <w:t>。</w:t>
      </w:r>
      <w:r>
        <w:rPr>
          <w:spacing w:val="-102"/>
        </w:rPr>
        <w:t> </w:t>
      </w:r>
      <w:r>
        <w:rPr/>
        <w:t>公司资产流动性良好、结构合理。</w:t>
      </w:r>
    </w:p>
    <w:p>
      <w:pPr>
        <w:pStyle w:val="BodyText"/>
        <w:spacing w:line="240" w:lineRule="auto" w:before="30"/>
        <w:ind w:left="1098" w:right="0"/>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日，公司负债总额</w:t>
      </w:r>
      <w:r>
        <w:rPr>
          <w:spacing w:val="-54"/>
        </w:rPr>
        <w:t> </w:t>
      </w:r>
      <w:r>
        <w:rPr>
          <w:rFonts w:ascii="宋体" w:hAnsi="宋体" w:cs="宋体" w:eastAsia="宋体" w:hint="default"/>
        </w:rPr>
        <w:t>390.19</w:t>
      </w:r>
      <w:r>
        <w:rPr>
          <w:rFonts w:ascii="宋体" w:hAnsi="宋体" w:cs="宋体" w:eastAsia="宋体" w:hint="default"/>
          <w:spacing w:val="-54"/>
        </w:rPr>
        <w:t> </w:t>
      </w:r>
      <w:r>
        <w:rPr/>
        <w:t>亿元，同比增加</w:t>
      </w:r>
      <w:r>
        <w:rPr>
          <w:spacing w:val="-54"/>
        </w:rPr>
        <w:t> </w:t>
      </w:r>
      <w:r>
        <w:rPr>
          <w:rFonts w:ascii="宋体" w:hAnsi="宋体" w:cs="宋体" w:eastAsia="宋体" w:hint="default"/>
        </w:rPr>
        <w:t>21.29</w:t>
      </w:r>
      <w:r>
        <w:rPr>
          <w:rFonts w:ascii="宋体" w:hAnsi="宋体" w:cs="宋体" w:eastAsia="宋体" w:hint="default"/>
          <w:spacing w:val="-54"/>
        </w:rPr>
        <w:t> </w:t>
      </w:r>
      <w:r>
        <w:rPr/>
        <w:t>亿元，增幅</w:t>
      </w:r>
      <w:r>
        <w:rPr>
          <w:spacing w:val="-54"/>
        </w:rPr>
        <w:t> </w:t>
      </w:r>
      <w:r>
        <w:rPr>
          <w:rFonts w:ascii="宋体" w:hAnsi="宋体" w:cs="宋体" w:eastAsia="宋体" w:hint="default"/>
        </w:rPr>
        <w:t>5.77%</w:t>
      </w:r>
      <w:r>
        <w:rPr/>
        <w:t>。扣</w:t>
      </w:r>
    </w:p>
    <w:p>
      <w:pPr>
        <w:pStyle w:val="BodyText"/>
        <w:spacing w:line="240" w:lineRule="auto" w:before="133"/>
        <w:ind w:left="678" w:right="0"/>
        <w:jc w:val="both"/>
      </w:pPr>
      <w:r>
        <w:rPr>
          <w:w w:val="100"/>
        </w:rPr>
        <w:t>除代</w:t>
      </w:r>
      <w:r>
        <w:rPr>
          <w:spacing w:val="-3"/>
          <w:w w:val="100"/>
        </w:rPr>
        <w:t>理</w:t>
      </w:r>
      <w:r>
        <w:rPr>
          <w:w w:val="100"/>
        </w:rPr>
        <w:t>买</w:t>
      </w:r>
      <w:r>
        <w:rPr>
          <w:spacing w:val="-3"/>
          <w:w w:val="100"/>
        </w:rPr>
        <w:t>卖</w:t>
      </w:r>
      <w:r>
        <w:rPr>
          <w:w w:val="100"/>
        </w:rPr>
        <w:t>证</w:t>
      </w:r>
      <w:r>
        <w:rPr>
          <w:spacing w:val="-3"/>
          <w:w w:val="100"/>
        </w:rPr>
        <w:t>券</w:t>
      </w:r>
      <w:r>
        <w:rPr>
          <w:w w:val="100"/>
        </w:rPr>
        <w:t>款</w:t>
      </w:r>
      <w:r>
        <w:rPr>
          <w:spacing w:val="-3"/>
          <w:w w:val="100"/>
        </w:rPr>
        <w:t>后</w:t>
      </w:r>
      <w:r>
        <w:rPr>
          <w:spacing w:val="-106"/>
          <w:w w:val="100"/>
        </w:rPr>
        <w:t>，</w:t>
      </w:r>
      <w:r>
        <w:rPr>
          <w:spacing w:val="-3"/>
          <w:w w:val="100"/>
        </w:rPr>
        <w:t>自有</w:t>
      </w:r>
      <w:r>
        <w:rPr>
          <w:w w:val="100"/>
        </w:rPr>
        <w:t>负债为</w:t>
      </w:r>
      <w:r>
        <w:rPr>
          <w:spacing w:val="-77"/>
        </w:rPr>
        <w:t> </w:t>
      </w:r>
      <w:r>
        <w:rPr>
          <w:rFonts w:ascii="宋体" w:hAnsi="宋体" w:cs="宋体" w:eastAsia="宋体" w:hint="default"/>
          <w:spacing w:val="-3"/>
          <w:w w:val="100"/>
        </w:rPr>
        <w:t>2</w:t>
      </w:r>
      <w:r>
        <w:rPr>
          <w:rFonts w:ascii="宋体" w:hAnsi="宋体" w:cs="宋体" w:eastAsia="宋体" w:hint="default"/>
          <w:w w:val="100"/>
        </w:rPr>
        <w:t>87.04</w:t>
      </w:r>
      <w:r>
        <w:rPr>
          <w:rFonts w:ascii="宋体" w:hAnsi="宋体" w:cs="宋体" w:eastAsia="宋体" w:hint="default"/>
          <w:spacing w:val="-79"/>
        </w:rPr>
        <w:t> </w:t>
      </w:r>
      <w:r>
        <w:rPr>
          <w:w w:val="100"/>
        </w:rPr>
        <w:t>亿</w:t>
      </w:r>
      <w:r>
        <w:rPr>
          <w:spacing w:val="-3"/>
          <w:w w:val="100"/>
        </w:rPr>
        <w:t>元</w:t>
      </w:r>
      <w:r>
        <w:rPr>
          <w:spacing w:val="-106"/>
          <w:w w:val="100"/>
        </w:rPr>
        <w:t>，</w:t>
      </w:r>
      <w:r>
        <w:rPr>
          <w:spacing w:val="-3"/>
          <w:w w:val="100"/>
        </w:rPr>
        <w:t>主要</w:t>
      </w:r>
      <w:r>
        <w:rPr>
          <w:w w:val="100"/>
        </w:rPr>
        <w:t>包括</w:t>
      </w:r>
      <w:r>
        <w:rPr>
          <w:spacing w:val="-3"/>
          <w:w w:val="100"/>
        </w:rPr>
        <w:t>应</w:t>
      </w:r>
      <w:r>
        <w:rPr>
          <w:w w:val="100"/>
        </w:rPr>
        <w:t>付</w:t>
      </w:r>
      <w:r>
        <w:rPr>
          <w:spacing w:val="-3"/>
          <w:w w:val="100"/>
        </w:rPr>
        <w:t>债</w:t>
      </w:r>
      <w:r>
        <w:rPr>
          <w:w w:val="100"/>
        </w:rPr>
        <w:t>券</w:t>
      </w:r>
      <w:r>
        <w:rPr>
          <w:spacing w:val="-77"/>
        </w:rPr>
        <w:t> </w:t>
      </w:r>
      <w:r>
        <w:rPr>
          <w:rFonts w:ascii="宋体" w:hAnsi="宋体" w:cs="宋体" w:eastAsia="宋体" w:hint="default"/>
          <w:w w:val="100"/>
        </w:rPr>
        <w:t>17</w:t>
      </w:r>
      <w:r>
        <w:rPr>
          <w:rFonts w:ascii="宋体" w:hAnsi="宋体" w:cs="宋体" w:eastAsia="宋体" w:hint="default"/>
          <w:spacing w:val="-3"/>
          <w:w w:val="100"/>
        </w:rPr>
        <w:t>1</w:t>
      </w:r>
      <w:r>
        <w:rPr>
          <w:rFonts w:ascii="宋体" w:hAnsi="宋体" w:cs="宋体" w:eastAsia="宋体" w:hint="default"/>
          <w:w w:val="100"/>
        </w:rPr>
        <w:t>.68</w:t>
      </w:r>
      <w:r>
        <w:rPr>
          <w:rFonts w:ascii="宋体" w:hAnsi="宋体" w:cs="宋体" w:eastAsia="宋体" w:hint="default"/>
          <w:spacing w:val="-77"/>
        </w:rPr>
        <w:t> </w:t>
      </w:r>
      <w:r>
        <w:rPr>
          <w:spacing w:val="-3"/>
          <w:w w:val="100"/>
        </w:rPr>
        <w:t>亿元</w:t>
      </w:r>
      <w:r>
        <w:rPr>
          <w:spacing w:val="-106"/>
          <w:w w:val="100"/>
        </w:rPr>
        <w:t>，</w:t>
      </w:r>
      <w:r>
        <w:rPr>
          <w:w w:val="100"/>
        </w:rPr>
        <w:t>占</w:t>
      </w:r>
      <w:r>
        <w:rPr>
          <w:spacing w:val="-3"/>
          <w:w w:val="100"/>
        </w:rPr>
        <w:t>自</w:t>
      </w:r>
      <w:r>
        <w:rPr>
          <w:w w:val="100"/>
        </w:rPr>
        <w:t>有</w:t>
      </w:r>
      <w:r>
        <w:rPr>
          <w:spacing w:val="-3"/>
          <w:w w:val="100"/>
        </w:rPr>
        <w:t>负</w:t>
      </w:r>
      <w:r>
        <w:rPr>
          <w:w w:val="100"/>
        </w:rPr>
        <w:t>债的</w:t>
      </w:r>
      <w:r>
        <w:rPr>
          <w:spacing w:val="-76"/>
        </w:rPr>
        <w:t> </w:t>
      </w:r>
      <w:r>
        <w:rPr>
          <w:rFonts w:ascii="宋体" w:hAnsi="宋体" w:cs="宋体" w:eastAsia="宋体" w:hint="default"/>
          <w:w w:val="100"/>
        </w:rPr>
        <w:t>5</w:t>
      </w:r>
      <w:r>
        <w:rPr>
          <w:rFonts w:ascii="宋体" w:hAnsi="宋体" w:cs="宋体" w:eastAsia="宋体" w:hint="default"/>
          <w:spacing w:val="-3"/>
          <w:w w:val="100"/>
        </w:rPr>
        <w:t>9</w:t>
      </w:r>
      <w:r>
        <w:rPr>
          <w:rFonts w:ascii="宋体" w:hAnsi="宋体" w:cs="宋体" w:eastAsia="宋体" w:hint="default"/>
          <w:w w:val="100"/>
        </w:rPr>
        <w:t>.81</w:t>
      </w:r>
      <w:r>
        <w:rPr>
          <w:rFonts w:ascii="宋体" w:hAnsi="宋体" w:cs="宋体" w:eastAsia="宋体" w:hint="default"/>
          <w:spacing w:val="-3"/>
          <w:w w:val="100"/>
        </w:rPr>
        <w:t>%</w:t>
      </w:r>
      <w:r>
        <w:rPr>
          <w:w w:val="100"/>
        </w:rPr>
        <w:t>；</w:t>
      </w:r>
    </w:p>
    <w:p>
      <w:pPr>
        <w:pStyle w:val="BodyText"/>
        <w:spacing w:line="355" w:lineRule="auto" w:before="136"/>
        <w:ind w:left="678" w:right="307"/>
        <w:jc w:val="both"/>
      </w:pPr>
      <w:r>
        <w:rPr/>
        <w:t>应付短期融资款</w:t>
      </w:r>
      <w:r>
        <w:rPr>
          <w:spacing w:val="-57"/>
        </w:rPr>
        <w:t> </w:t>
      </w:r>
      <w:r>
        <w:rPr>
          <w:rFonts w:ascii="宋体" w:hAnsi="宋体" w:cs="宋体" w:eastAsia="宋体" w:hint="default"/>
        </w:rPr>
        <w:t>30.55</w:t>
      </w:r>
      <w:r>
        <w:rPr>
          <w:rFonts w:ascii="宋体" w:hAnsi="宋体" w:cs="宋体" w:eastAsia="宋体" w:hint="default"/>
          <w:spacing w:val="-57"/>
        </w:rPr>
        <w:t> </w:t>
      </w:r>
      <w:r>
        <w:rPr/>
        <w:t>亿元，占自有负债的</w:t>
      </w:r>
      <w:r>
        <w:rPr>
          <w:spacing w:val="-56"/>
        </w:rPr>
        <w:t> </w:t>
      </w:r>
      <w:r>
        <w:rPr>
          <w:rFonts w:ascii="宋体" w:hAnsi="宋体" w:cs="宋体" w:eastAsia="宋体" w:hint="default"/>
        </w:rPr>
        <w:t>10.64%</w:t>
      </w:r>
      <w:r>
        <w:rPr/>
        <w:t>；卖出回购金融资产款</w:t>
      </w:r>
      <w:r>
        <w:rPr>
          <w:spacing w:val="-57"/>
        </w:rPr>
        <w:t> </w:t>
      </w:r>
      <w:r>
        <w:rPr>
          <w:rFonts w:ascii="宋体" w:hAnsi="宋体" w:cs="宋体" w:eastAsia="宋体" w:hint="default"/>
        </w:rPr>
        <w:t>43.77</w:t>
      </w:r>
      <w:r>
        <w:rPr>
          <w:rFonts w:ascii="宋体" w:hAnsi="宋体" w:cs="宋体" w:eastAsia="宋体" w:hint="default"/>
          <w:spacing w:val="-57"/>
        </w:rPr>
        <w:t> </w:t>
      </w:r>
      <w:r>
        <w:rPr/>
        <w:t>亿元，占自有负债</w:t>
      </w:r>
      <w:r>
        <w:rPr>
          <w:w w:val="100"/>
        </w:rPr>
        <w:t> </w:t>
      </w:r>
      <w:r>
        <w:rPr/>
        <w:t>的</w:t>
      </w:r>
      <w:r>
        <w:rPr>
          <w:spacing w:val="-56"/>
        </w:rPr>
        <w:t> </w:t>
      </w:r>
      <w:r>
        <w:rPr>
          <w:rFonts w:ascii="宋体" w:hAnsi="宋体" w:cs="宋体" w:eastAsia="宋体" w:hint="default"/>
        </w:rPr>
        <w:t>15.25%</w:t>
      </w:r>
      <w:r>
        <w:rPr/>
        <w:t>；应付职工薪酬</w:t>
      </w:r>
      <w:r>
        <w:rPr>
          <w:spacing w:val="-58"/>
        </w:rPr>
        <w:t> </w:t>
      </w:r>
      <w:r>
        <w:rPr>
          <w:rFonts w:ascii="宋体" w:hAnsi="宋体" w:cs="宋体" w:eastAsia="宋体" w:hint="default"/>
        </w:rPr>
        <w:t>13.82</w:t>
      </w:r>
      <w:r>
        <w:rPr>
          <w:rFonts w:ascii="宋体" w:hAnsi="宋体" w:cs="宋体" w:eastAsia="宋体" w:hint="default"/>
          <w:spacing w:val="-58"/>
        </w:rPr>
        <w:t> </w:t>
      </w:r>
      <w:r>
        <w:rPr/>
        <w:t>亿元，占自有负债的</w:t>
      </w:r>
      <w:r>
        <w:rPr>
          <w:spacing w:val="-56"/>
        </w:rPr>
        <w:t> </w:t>
      </w:r>
      <w:r>
        <w:rPr>
          <w:rFonts w:ascii="宋体" w:hAnsi="宋体" w:cs="宋体" w:eastAsia="宋体" w:hint="default"/>
        </w:rPr>
        <w:t>4.81%</w:t>
      </w:r>
      <w:r>
        <w:rPr/>
        <w:t>。公司资产负债率为</w:t>
      </w:r>
      <w:r>
        <w:rPr>
          <w:spacing w:val="-56"/>
        </w:rPr>
        <w:t> </w:t>
      </w:r>
      <w:r>
        <w:rPr>
          <w:rFonts w:ascii="宋体" w:hAnsi="宋体" w:cs="宋体" w:eastAsia="宋体" w:hint="default"/>
        </w:rPr>
        <w:t>66.48%</w:t>
      </w:r>
      <w:r>
        <w:rPr/>
        <w:t>，扣除代理</w:t>
      </w:r>
      <w:r>
        <w:rPr>
          <w:w w:val="100"/>
        </w:rPr>
        <w:t> </w:t>
      </w:r>
      <w:r>
        <w:rPr/>
        <w:t>买卖证券款后的资产负债率为</w:t>
      </w:r>
      <w:r>
        <w:rPr>
          <w:spacing w:val="-59"/>
        </w:rPr>
        <w:t> </w:t>
      </w:r>
      <w:r>
        <w:rPr>
          <w:rFonts w:ascii="宋体" w:hAnsi="宋体" w:cs="宋体" w:eastAsia="宋体" w:hint="default"/>
        </w:rPr>
        <w:t>59.33%</w:t>
      </w:r>
      <w:r>
        <w:rPr/>
        <w:t>，同比上升</w:t>
      </w:r>
      <w:r>
        <w:rPr>
          <w:spacing w:val="-59"/>
        </w:rPr>
        <w:t> </w:t>
      </w:r>
      <w:r>
        <w:rPr>
          <w:rFonts w:ascii="宋体" w:hAnsi="宋体" w:cs="宋体" w:eastAsia="宋体" w:hint="default"/>
        </w:rPr>
        <w:t>3</w:t>
      </w:r>
      <w:r>
        <w:rPr>
          <w:rFonts w:ascii="宋体" w:hAnsi="宋体" w:cs="宋体" w:eastAsia="宋体" w:hint="default"/>
          <w:spacing w:val="-60"/>
        </w:rPr>
        <w:t> </w:t>
      </w:r>
      <w:r>
        <w:rPr/>
        <w:t>个百分点，公司负债结构合理，无到期未偿付债</w:t>
      </w:r>
      <w:r>
        <w:rPr>
          <w:w w:val="100"/>
        </w:rPr>
        <w:t> </w:t>
      </w:r>
      <w:r>
        <w:rPr/>
        <w:t>务。</w:t>
      </w:r>
    </w:p>
    <w:p>
      <w:pPr>
        <w:spacing w:line="240" w:lineRule="auto" w:before="0"/>
        <w:rPr>
          <w:rFonts w:ascii="宋体" w:hAnsi="宋体" w:cs="宋体" w:eastAsia="宋体" w:hint="default"/>
          <w:sz w:val="20"/>
          <w:szCs w:val="20"/>
        </w:rPr>
      </w:pPr>
    </w:p>
    <w:p>
      <w:pPr>
        <w:pStyle w:val="Heading5"/>
        <w:spacing w:line="240" w:lineRule="auto" w:before="142"/>
        <w:ind w:left="678" w:right="0"/>
        <w:jc w:val="both"/>
        <w:rPr>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b w:val="0"/>
          <w:bCs w:val="0"/>
        </w:rPr>
      </w:r>
    </w:p>
    <w:p>
      <w:pPr>
        <w:pStyle w:val="BodyText"/>
        <w:spacing w:line="273" w:lineRule="exact" w:before="58"/>
        <w:ind w:left="678" w:right="0"/>
        <w:jc w:val="both"/>
      </w:pPr>
      <w:r>
        <w:rPr/>
        <w:t>√适用 □不适用</w:t>
      </w:r>
    </w:p>
    <w:p>
      <w:pPr>
        <w:pStyle w:val="BodyText"/>
        <w:spacing w:line="355" w:lineRule="auto"/>
        <w:ind w:left="678" w:right="393" w:firstLine="480"/>
        <w:jc w:val="both"/>
      </w:pPr>
      <w:r>
        <w:rPr/>
        <w:t>报告期内，主要资产受限情况参阅“本报告十一节七、</w:t>
      </w:r>
      <w:r>
        <w:rPr>
          <w:rFonts w:ascii="宋体" w:hAnsi="宋体" w:cs="宋体" w:eastAsia="宋体" w:hint="default"/>
        </w:rPr>
        <w:t>68</w:t>
      </w:r>
      <w:r>
        <w:rPr/>
        <w:t>、</w:t>
      </w:r>
      <w:r>
        <w:rPr>
          <w:spacing w:val="-6"/>
        </w:rPr>
        <w:t> </w:t>
      </w:r>
      <w:r>
        <w:rPr/>
        <w:t>“所有权或使用权受到限制的资</w:t>
      </w:r>
      <w:r>
        <w:rPr>
          <w:w w:val="100"/>
        </w:rPr>
        <w:t> </w:t>
      </w:r>
      <w:r>
        <w:rPr/>
        <w:t>产”的相关内容</w:t>
      </w:r>
    </w:p>
    <w:p>
      <w:pPr>
        <w:spacing w:after="0" w:line="355" w:lineRule="auto"/>
        <w:jc w:val="both"/>
        <w:sectPr>
          <w:pgSz w:w="11910" w:h="16840"/>
          <w:pgMar w:header="880" w:footer="1195" w:top="1060" w:bottom="1380" w:left="740" w:right="1100"/>
        </w:sectPr>
      </w:pPr>
    </w:p>
    <w:p>
      <w:pPr>
        <w:spacing w:line="240" w:lineRule="auto" w:before="8"/>
        <w:rPr>
          <w:rFonts w:ascii="宋体" w:hAnsi="宋体" w:cs="宋体" w:eastAsia="宋体" w:hint="default"/>
          <w:sz w:val="28"/>
          <w:szCs w:val="28"/>
        </w:rPr>
      </w:pPr>
    </w:p>
    <w:p>
      <w:pPr>
        <w:pStyle w:val="Heading5"/>
        <w:tabs>
          <w:tab w:pos="643" w:val="left" w:leader="none"/>
        </w:tabs>
        <w:spacing w:line="240" w:lineRule="auto" w:before="36"/>
        <w:ind w:left="218" w:right="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left="218" w:right="0"/>
        <w:jc w:val="left"/>
      </w:pPr>
      <w:r>
        <w:rPr/>
        <w:t>□适用 √不适用</w:t>
      </w:r>
    </w:p>
    <w:p>
      <w:pPr>
        <w:spacing w:line="240" w:lineRule="auto" w:before="2"/>
        <w:rPr>
          <w:rFonts w:ascii="宋体" w:hAnsi="宋体" w:cs="宋体" w:eastAsia="宋体" w:hint="default"/>
          <w:sz w:val="28"/>
          <w:szCs w:val="28"/>
        </w:rPr>
      </w:pPr>
    </w:p>
    <w:p>
      <w:pPr>
        <w:pStyle w:val="Heading5"/>
        <w:tabs>
          <w:tab w:pos="1058" w:val="left" w:leader="none"/>
        </w:tabs>
        <w:spacing w:line="240" w:lineRule="auto"/>
        <w:ind w:left="21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73" w:lineRule="exact" w:before="58"/>
        <w:ind w:left="218" w:right="0"/>
        <w:jc w:val="left"/>
      </w:pPr>
      <w:r>
        <w:rPr/>
        <w:t>√适用 □不适用</w:t>
      </w:r>
    </w:p>
    <w:p>
      <w:pPr>
        <w:pStyle w:val="BodyText"/>
        <w:spacing w:line="273" w:lineRule="exact"/>
        <w:ind w:left="698" w:right="0"/>
        <w:jc w:val="left"/>
      </w:pPr>
      <w:r>
        <w:rPr/>
        <w:t>请参见本报告第三节、第四节中经营情况讨论与分析</w:t>
      </w:r>
    </w:p>
    <w:p>
      <w:pPr>
        <w:spacing w:line="240" w:lineRule="auto" w:before="2"/>
        <w:rPr>
          <w:rFonts w:ascii="宋体" w:hAnsi="宋体" w:cs="宋体" w:eastAsia="宋体" w:hint="default"/>
          <w:sz w:val="28"/>
          <w:szCs w:val="28"/>
        </w:rPr>
      </w:pPr>
    </w:p>
    <w:p>
      <w:pPr>
        <w:pStyle w:val="Heading5"/>
        <w:tabs>
          <w:tab w:pos="1058" w:val="left" w:leader="none"/>
        </w:tabs>
        <w:spacing w:line="240" w:lineRule="auto"/>
        <w:ind w:left="218"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5"/>
        <w:spacing w:line="240" w:lineRule="auto" w:before="58"/>
        <w:ind w:left="21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5" w:lineRule="exact" w:before="56"/>
        <w:ind w:left="218" w:right="0"/>
        <w:jc w:val="left"/>
      </w:pPr>
      <w:r>
        <w:rPr/>
        <w:t>√适用 □不适用</w:t>
      </w:r>
    </w:p>
    <w:p>
      <w:pPr>
        <w:pStyle w:val="BodyText"/>
        <w:spacing w:line="355" w:lineRule="auto"/>
        <w:ind w:left="360" w:right="0" w:firstLine="338"/>
        <w:jc w:val="left"/>
      </w:pPr>
      <w:r>
        <w:rPr>
          <w:spacing w:val="-8"/>
          <w:w w:val="100"/>
        </w:rPr>
        <w:t>报告期末，公司长期股权投资余额</w:t>
      </w:r>
      <w:r>
        <w:rPr>
          <w:spacing w:val="-50"/>
          <w:w w:val="100"/>
        </w:rPr>
        <w:t> </w:t>
      </w:r>
      <w:r>
        <w:rPr>
          <w:rFonts w:ascii="宋体" w:hAnsi="宋体" w:cs="宋体" w:eastAsia="宋体" w:hint="default"/>
          <w:spacing w:val="-1"/>
          <w:w w:val="100"/>
        </w:rPr>
        <w:t>50.59</w:t>
      </w:r>
      <w:r>
        <w:rPr>
          <w:rFonts w:ascii="宋体" w:hAnsi="宋体" w:cs="宋体" w:eastAsia="宋体" w:hint="default"/>
          <w:spacing w:val="-50"/>
          <w:w w:val="100"/>
        </w:rPr>
        <w:t> </w:t>
      </w:r>
      <w:r>
        <w:rPr>
          <w:spacing w:val="-11"/>
          <w:w w:val="100"/>
        </w:rPr>
        <w:t>亿元，与上年末相比增加</w:t>
      </w:r>
      <w:r>
        <w:rPr>
          <w:spacing w:val="-49"/>
          <w:w w:val="100"/>
        </w:rPr>
        <w:t> </w:t>
      </w:r>
      <w:r>
        <w:rPr>
          <w:rFonts w:ascii="宋体" w:hAnsi="宋体" w:cs="宋体" w:eastAsia="宋体" w:hint="default"/>
          <w:spacing w:val="-1"/>
          <w:w w:val="100"/>
        </w:rPr>
        <w:t>22.32</w:t>
      </w:r>
      <w:r>
        <w:rPr>
          <w:rFonts w:ascii="宋体" w:hAnsi="宋体" w:cs="宋体" w:eastAsia="宋体" w:hint="default"/>
          <w:spacing w:val="-50"/>
          <w:w w:val="100"/>
        </w:rPr>
        <w:t> </w:t>
      </w:r>
      <w:r>
        <w:rPr>
          <w:spacing w:val="-18"/>
          <w:w w:val="100"/>
        </w:rPr>
        <w:t>亿元，增幅为</w:t>
      </w:r>
      <w:r>
        <w:rPr>
          <w:spacing w:val="-49"/>
          <w:w w:val="100"/>
        </w:rPr>
        <w:t> </w:t>
      </w:r>
      <w:r>
        <w:rPr>
          <w:rFonts w:ascii="宋体" w:hAnsi="宋体" w:cs="宋体" w:eastAsia="宋体" w:hint="default"/>
          <w:spacing w:val="-1"/>
          <w:w w:val="100"/>
        </w:rPr>
        <w:t>78.96%</w:t>
      </w:r>
      <w:r>
        <w:rPr>
          <w:spacing w:val="-1"/>
          <w:w w:val="100"/>
        </w:rPr>
        <w:t>。</w:t>
      </w:r>
      <w:r>
        <w:rPr>
          <w:w w:val="100"/>
        </w:rPr>
        <w:t> </w:t>
      </w:r>
      <w:r>
        <w:rPr/>
        <w:t>长期股权投资明细情况如下：</w:t>
      </w:r>
    </w:p>
    <w:p>
      <w:pPr>
        <w:pStyle w:val="BodyText"/>
        <w:spacing w:line="240" w:lineRule="auto" w:before="32"/>
        <w:ind w:left="0" w:right="229"/>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078"/>
        <w:gridCol w:w="1702"/>
        <w:gridCol w:w="1699"/>
        <w:gridCol w:w="1810"/>
      </w:tblGrid>
      <w:tr>
        <w:trPr>
          <w:trHeight w:val="2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期初投资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04" w:right="0"/>
              <w:jc w:val="left"/>
              <w:rPr>
                <w:rFonts w:ascii="宋体" w:hAnsi="宋体" w:cs="宋体" w:eastAsia="宋体" w:hint="default"/>
                <w:sz w:val="18"/>
                <w:szCs w:val="18"/>
              </w:rPr>
            </w:pPr>
            <w:r>
              <w:rPr>
                <w:rFonts w:ascii="宋体" w:hAnsi="宋体" w:cs="宋体" w:eastAsia="宋体" w:hint="default"/>
                <w:sz w:val="18"/>
                <w:szCs w:val="18"/>
              </w:rPr>
              <w:t>本期增加变动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40" w:right="0"/>
              <w:jc w:val="left"/>
              <w:rPr>
                <w:rFonts w:ascii="宋体" w:hAnsi="宋体" w:cs="宋体" w:eastAsia="宋体" w:hint="default"/>
                <w:sz w:val="18"/>
                <w:szCs w:val="18"/>
              </w:rPr>
            </w:pPr>
            <w:r>
              <w:rPr>
                <w:rFonts w:ascii="宋体" w:hAnsi="宋体" w:cs="宋体" w:eastAsia="宋体" w:hint="default"/>
                <w:sz w:val="18"/>
                <w:szCs w:val="18"/>
              </w:rPr>
              <w:t>期末投资</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永安期货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2,219,501,502.59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143,299,476.80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2,362,800,979.39</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财通基金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551,429,454.10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-21,859,380.80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529,570,073.30</w:t>
            </w:r>
          </w:p>
        </w:tc>
      </w:tr>
      <w:tr>
        <w:trPr>
          <w:trHeight w:val="2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杭州财通月桂股权投资基金合伙企业（有限合伙）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9,882,248.22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71,515.21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9,953,763.43</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杭州财通盛穗股权投资合伙企业（有限合伙）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3,297,829.89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1,241,878.56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4,539,708.45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杭州财通胜遇股权投资基金合伙企业（有限合伙）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19,756,876.61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-746,165.38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19,010,711.23</w:t>
            </w:r>
          </w:p>
        </w:tc>
      </w:tr>
      <w:tr>
        <w:trPr>
          <w:trHeight w:val="2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杭州财通尤创创业投资合伙企业（有限合伙）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5,219,418.70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-138,606.67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5,080,812.03</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丽水财通旅游产业投资合伙企业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593,359.93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593,359.93</w:t>
            </w:r>
          </w:p>
        </w:tc>
      </w:tr>
      <w:tr>
        <w:trPr>
          <w:trHeight w:val="4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德清锦烨财股权投资基金管理合伙企业（有限合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5,197,735.67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-113,244.14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5,084,491.53</w:t>
            </w:r>
          </w:p>
        </w:tc>
      </w:tr>
      <w:tr>
        <w:trPr>
          <w:trHeight w:val="2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义乌通杰股权投资合伙企业（有限合伙）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7,441,802.32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-2,994,307.48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4,447,494.84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杭州博拉网络科技有限公司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2,757,406.32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-190,154.58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2,567,251.74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杭州酒通投资管理有限公司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2,450,267.75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2,121,593.36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4,571,861.11</w:t>
            </w:r>
          </w:p>
        </w:tc>
      </w:tr>
      <w:tr>
        <w:trPr>
          <w:trHeight w:val="2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杭州财通金榛股权投资合伙企业（有限合伙）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3"/>
              <w:jc w:val="right"/>
              <w:rPr>
                <w:rFonts w:ascii="宋体" w:hAnsi="宋体" w:cs="宋体" w:eastAsia="宋体" w:hint="default"/>
                <w:sz w:val="18"/>
                <w:szCs w:val="18"/>
              </w:rPr>
            </w:pPr>
            <w:r>
              <w:rPr>
                <w:rFonts w:ascii="宋体"/>
                <w:spacing w:val="-1"/>
                <w:sz w:val="18"/>
              </w:rPr>
              <w:t>2,489,255.83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2,489,255.83</w:t>
            </w:r>
          </w:p>
        </w:tc>
      </w:tr>
      <w:tr>
        <w:trPr>
          <w:trHeight w:val="4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绍兴市上虞区财通春晖股权投资基金合伙企业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666,233.96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666,233.96</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浙江省浙商资产管理有限公司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2,063,309,758.35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2,063,309,758.35</w:t>
            </w:r>
          </w:p>
        </w:tc>
      </w:tr>
      <w:tr>
        <w:trPr>
          <w:trHeight w:val="27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云和梯田投资发展有限公司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44,445,996.47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44,445,996.47</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2,826,934,542.17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2,232,197,209.42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5,059,131,751.59</w:t>
            </w:r>
          </w:p>
        </w:tc>
      </w:tr>
    </w:tbl>
    <w:p>
      <w:pPr>
        <w:spacing w:line="240" w:lineRule="auto" w:before="1"/>
        <w:rPr>
          <w:rFonts w:ascii="宋体" w:hAnsi="宋体" w:cs="宋体" w:eastAsia="宋体" w:hint="default"/>
          <w:sz w:val="23"/>
          <w:szCs w:val="23"/>
        </w:rPr>
      </w:pPr>
    </w:p>
    <w:p>
      <w:pPr>
        <w:pStyle w:val="Heading5"/>
        <w:spacing w:line="240" w:lineRule="auto" w:before="36"/>
        <w:ind w:left="21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4" w:lineRule="exact" w:before="56"/>
        <w:ind w:left="218" w:right="0"/>
        <w:jc w:val="left"/>
      </w:pPr>
      <w:r>
        <w:rPr/>
        <w:t>√适用 □不适用</w:t>
      </w:r>
    </w:p>
    <w:p>
      <w:pPr>
        <w:pStyle w:val="BodyText"/>
        <w:spacing w:line="355" w:lineRule="auto"/>
        <w:ind w:left="218" w:right="227" w:firstLine="48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日，公司第二届董事会第十三次会议审议通过了《关于增资浙江财通创新投资</w:t>
      </w:r>
      <w:r>
        <w:rPr>
          <w:w w:val="100"/>
        </w:rPr>
        <w:t> </w:t>
      </w:r>
      <w:r>
        <w:rPr>
          <w:spacing w:val="-6"/>
          <w:w w:val="100"/>
        </w:rPr>
        <w:t>有限公司的议案》、《关于浙江财通创新投资有限公司增资浙江省浙商资产管理有限公司的议案》，</w:t>
      </w:r>
      <w:r>
        <w:rPr>
          <w:spacing w:val="-70"/>
          <w:w w:val="100"/>
        </w:rPr>
        <w:t> </w:t>
      </w:r>
      <w:r>
        <w:rPr>
          <w:spacing w:val="-70"/>
          <w:w w:val="100"/>
        </w:rPr>
      </w:r>
      <w:r>
        <w:rPr/>
        <w:t>公司全资子公司拟通过现金方式增资浙江省浙商资产管理有限公司，增资金额不超过</w:t>
      </w:r>
      <w:r>
        <w:rPr>
          <w:spacing w:val="-54"/>
        </w:rPr>
        <w:t> </w:t>
      </w:r>
      <w:r>
        <w:rPr>
          <w:rFonts w:ascii="宋体" w:hAnsi="宋体" w:cs="宋体" w:eastAsia="宋体" w:hint="default"/>
        </w:rPr>
        <w:t>25</w:t>
      </w:r>
      <w:r>
        <w:rPr>
          <w:rFonts w:ascii="宋体" w:hAnsi="宋体" w:cs="宋体" w:eastAsia="宋体" w:hint="default"/>
          <w:spacing w:val="-55"/>
        </w:rPr>
        <w:t> </w:t>
      </w:r>
      <w:r>
        <w:rPr>
          <w:spacing w:val="-3"/>
        </w:rPr>
        <w:t>亿。</w:t>
      </w:r>
      <w:r>
        <w:rPr/>
      </w:r>
    </w:p>
    <w:p>
      <w:pPr>
        <w:pStyle w:val="BodyText"/>
        <w:spacing w:line="357" w:lineRule="auto" w:before="32"/>
        <w:ind w:left="218" w:right="268" w:firstLine="42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日，公司第二届董事会第十四次会议审议通过《关于浙江财通创新投资有限公</w:t>
      </w:r>
      <w:r>
        <w:rPr>
          <w:w w:val="100"/>
        </w:rPr>
        <w:t> </w:t>
      </w:r>
      <w:r>
        <w:rPr>
          <w:spacing w:val="-2"/>
        </w:rPr>
        <w:t>司签订增资协议的议案》，根据协议约定公司子公司财通创新以现金出资方式对浙江省浙商资产管</w:t>
      </w:r>
      <w:r>
        <w:rPr>
          <w:spacing w:val="-25"/>
        </w:rPr>
        <w:t> </w:t>
      </w:r>
      <w:r>
        <w:rPr>
          <w:spacing w:val="-25"/>
        </w:rPr>
      </w:r>
      <w:r>
        <w:rPr/>
        <w:t>理有限公司增资人民币</w:t>
      </w:r>
      <w:r>
        <w:rPr>
          <w:spacing w:val="-57"/>
        </w:rPr>
        <w:t> </w:t>
      </w:r>
      <w:r>
        <w:rPr>
          <w:rFonts w:ascii="宋体" w:hAnsi="宋体" w:cs="宋体" w:eastAsia="宋体" w:hint="default"/>
        </w:rPr>
        <w:t>20.37</w:t>
      </w:r>
      <w:r>
        <w:rPr>
          <w:rFonts w:ascii="宋体" w:hAnsi="宋体" w:cs="宋体" w:eastAsia="宋体" w:hint="default"/>
          <w:spacing w:val="-56"/>
        </w:rPr>
        <w:t> </w:t>
      </w:r>
      <w:r>
        <w:rPr/>
        <w:t>亿元，增资完成后财通创新持有浙江省浙商资产管理有限公司股份比</w:t>
      </w:r>
      <w:r>
        <w:rPr>
          <w:w w:val="100"/>
        </w:rPr>
        <w:t> </w:t>
      </w:r>
      <w:r>
        <w:rPr/>
        <w:t>例为</w:t>
      </w:r>
      <w:r>
        <w:rPr>
          <w:spacing w:val="-2"/>
        </w:rPr>
        <w:t> </w:t>
      </w:r>
      <w:r>
        <w:rPr>
          <w:rFonts w:ascii="宋体" w:hAnsi="宋体" w:cs="宋体" w:eastAsia="宋体" w:hint="default"/>
          <w:spacing w:val="-2"/>
        </w:rPr>
        <w:t>20.8142%</w:t>
      </w:r>
      <w:r>
        <w:rPr>
          <w:spacing w:val="-2"/>
        </w:rPr>
        <w:t>。截至本报告披露日，上述增资款已经支付。</w:t>
      </w:r>
    </w:p>
    <w:p>
      <w:pPr>
        <w:spacing w:after="0" w:line="357" w:lineRule="auto"/>
        <w:jc w:val="both"/>
        <w:sectPr>
          <w:pgSz w:w="11910" w:h="16840"/>
          <w:pgMar w:header="880" w:footer="1195" w:top="1060" w:bottom="1380" w:left="1200" w:right="1180"/>
        </w:sectPr>
      </w:pPr>
    </w:p>
    <w:p>
      <w:pPr>
        <w:spacing w:line="240" w:lineRule="auto" w:before="8"/>
        <w:rPr>
          <w:rFonts w:ascii="宋体" w:hAnsi="宋体" w:cs="宋体" w:eastAsia="宋体" w:hint="default"/>
          <w:sz w:val="28"/>
          <w:szCs w:val="28"/>
        </w:rPr>
      </w:pPr>
    </w:p>
    <w:p>
      <w:pPr>
        <w:pStyle w:val="Heading5"/>
        <w:spacing w:line="240" w:lineRule="auto" w:before="36"/>
        <w:ind w:left="21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218"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3" w:lineRule="exact" w:before="58"/>
        <w:ind w:left="218" w:right="0"/>
        <w:jc w:val="left"/>
      </w:pPr>
      <w:r>
        <w:rPr/>
        <w:t>√适用 □不适用</w:t>
      </w:r>
    </w:p>
    <w:p>
      <w:pPr>
        <w:pStyle w:val="BodyText"/>
        <w:spacing w:line="273" w:lineRule="exact"/>
        <w:ind w:left="698" w:right="0"/>
        <w:jc w:val="left"/>
      </w:pPr>
      <w:r>
        <w:rPr/>
        <w:t>详见“本报告第二节十二、采用公允价值计量的项目”的相关内容</w:t>
      </w:r>
    </w:p>
    <w:p>
      <w:pPr>
        <w:spacing w:line="240" w:lineRule="auto" w:before="2"/>
        <w:rPr>
          <w:rFonts w:ascii="宋体" w:hAnsi="宋体" w:cs="宋体" w:eastAsia="宋体" w:hint="default"/>
          <w:sz w:val="28"/>
          <w:szCs w:val="28"/>
        </w:rPr>
      </w:pPr>
    </w:p>
    <w:p>
      <w:pPr>
        <w:pStyle w:val="Heading5"/>
        <w:tabs>
          <w:tab w:pos="1058" w:val="left" w:leader="none"/>
        </w:tabs>
        <w:spacing w:line="240" w:lineRule="auto"/>
        <w:ind w:left="218"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58"/>
        <w:ind w:left="218" w:right="0"/>
        <w:jc w:val="left"/>
      </w:pPr>
      <w:r>
        <w:rPr/>
        <w:t>□适用 √不适用</w:t>
      </w:r>
    </w:p>
    <w:p>
      <w:pPr>
        <w:spacing w:line="240" w:lineRule="auto" w:before="3"/>
        <w:rPr>
          <w:rFonts w:ascii="宋体" w:hAnsi="宋体" w:cs="宋体" w:eastAsia="宋体" w:hint="default"/>
          <w:sz w:val="28"/>
          <w:szCs w:val="28"/>
        </w:rPr>
      </w:pPr>
    </w:p>
    <w:p>
      <w:pPr>
        <w:pStyle w:val="Heading5"/>
        <w:tabs>
          <w:tab w:pos="1058" w:val="left" w:leader="none"/>
        </w:tabs>
        <w:spacing w:line="240" w:lineRule="auto"/>
        <w:ind w:left="218"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74" w:lineRule="exact" w:before="56"/>
        <w:ind w:left="218" w:right="0"/>
        <w:jc w:val="left"/>
      </w:pPr>
      <w:r>
        <w:rPr/>
        <w:t>√适用 □不适用</w:t>
      </w:r>
    </w:p>
    <w:p>
      <w:pPr>
        <w:pStyle w:val="BodyText"/>
        <w:spacing w:line="274" w:lineRule="exact"/>
        <w:ind w:left="638" w:right="0"/>
        <w:jc w:val="left"/>
      </w:pPr>
      <w:r>
        <w:rPr/>
        <w:t>截止</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日，公司有一级子公司</w:t>
      </w:r>
      <w:r>
        <w:rPr>
          <w:spacing w:val="-53"/>
        </w:rPr>
        <w:t> </w:t>
      </w:r>
      <w:r>
        <w:rPr>
          <w:rFonts w:ascii="宋体" w:hAnsi="宋体" w:cs="宋体" w:eastAsia="宋体" w:hint="default"/>
        </w:rPr>
        <w:t>4</w:t>
      </w:r>
      <w:r>
        <w:rPr>
          <w:rFonts w:ascii="宋体" w:hAnsi="宋体" w:cs="宋体" w:eastAsia="宋体" w:hint="default"/>
          <w:spacing w:val="-55"/>
        </w:rPr>
        <w:t> </w:t>
      </w:r>
      <w:r>
        <w:rPr/>
        <w:t>家，主要参股公司</w:t>
      </w:r>
      <w:r>
        <w:rPr>
          <w:spacing w:val="-53"/>
        </w:rPr>
        <w:t> </w:t>
      </w:r>
      <w:r>
        <w:rPr>
          <w:rFonts w:ascii="宋体" w:hAnsi="宋体" w:cs="宋体" w:eastAsia="宋体" w:hint="default"/>
        </w:rPr>
        <w:t>3</w:t>
      </w:r>
      <w:r>
        <w:rPr>
          <w:rFonts w:ascii="宋体" w:hAnsi="宋体" w:cs="宋体" w:eastAsia="宋体" w:hint="default"/>
          <w:spacing w:val="-55"/>
        </w:rPr>
        <w:t> </w:t>
      </w:r>
      <w:r>
        <w:rPr/>
        <w:t>家，简要情况如下：</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24"/>
        <w:gridCol w:w="994"/>
        <w:gridCol w:w="1135"/>
        <w:gridCol w:w="1274"/>
        <w:gridCol w:w="1452"/>
        <w:gridCol w:w="1097"/>
        <w:gridCol w:w="853"/>
        <w:gridCol w:w="1279"/>
      </w:tblGrid>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0" w:right="0"/>
              <w:jc w:val="left"/>
              <w:rPr>
                <w:rFonts w:ascii="宋体" w:hAnsi="宋体" w:cs="宋体" w:eastAsia="宋体" w:hint="default"/>
                <w:sz w:val="16"/>
                <w:szCs w:val="16"/>
              </w:rPr>
            </w:pPr>
            <w:r>
              <w:rPr>
                <w:rFonts w:ascii="宋体" w:hAnsi="宋体" w:cs="宋体" w:eastAsia="宋体" w:hint="default"/>
                <w:sz w:val="16"/>
                <w:szCs w:val="16"/>
              </w:rPr>
              <w:t>持股比例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0" w:right="0"/>
              <w:jc w:val="left"/>
              <w:rPr>
                <w:rFonts w:ascii="宋体" w:hAnsi="宋体" w:cs="宋体" w:eastAsia="宋体" w:hint="default"/>
                <w:sz w:val="16"/>
                <w:szCs w:val="16"/>
              </w:rPr>
            </w:pPr>
            <w:r>
              <w:rPr>
                <w:rFonts w:ascii="宋体" w:hAnsi="宋体" w:cs="宋体" w:eastAsia="宋体" w:hint="default"/>
                <w:sz w:val="16"/>
                <w:szCs w:val="16"/>
              </w:rPr>
              <w:t>设立时间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9" w:right="0"/>
              <w:jc w:val="left"/>
              <w:rPr>
                <w:rFonts w:ascii="宋体" w:hAnsi="宋体" w:cs="宋体" w:eastAsia="宋体" w:hint="default"/>
                <w:sz w:val="16"/>
                <w:szCs w:val="16"/>
              </w:rPr>
            </w:pPr>
            <w:r>
              <w:rPr>
                <w:rFonts w:ascii="宋体" w:hAnsi="宋体" w:cs="宋体" w:eastAsia="宋体" w:hint="default"/>
                <w:sz w:val="16"/>
                <w:szCs w:val="16"/>
              </w:rPr>
              <w:t>注册资本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8" w:right="0"/>
              <w:jc w:val="left"/>
              <w:rPr>
                <w:rFonts w:ascii="宋体" w:hAnsi="宋体" w:cs="宋体" w:eastAsia="宋体" w:hint="default"/>
                <w:sz w:val="16"/>
                <w:szCs w:val="16"/>
              </w:rPr>
            </w:pPr>
            <w:r>
              <w:rPr>
                <w:rFonts w:ascii="宋体" w:hAnsi="宋体" w:cs="宋体" w:eastAsia="宋体" w:hint="default"/>
                <w:sz w:val="16"/>
                <w:szCs w:val="16"/>
              </w:rPr>
              <w:t>办公地址</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0" w:right="0"/>
              <w:jc w:val="left"/>
              <w:rPr>
                <w:rFonts w:ascii="宋体" w:hAnsi="宋体" w:cs="宋体" w:eastAsia="宋体" w:hint="default"/>
                <w:sz w:val="16"/>
                <w:szCs w:val="16"/>
              </w:rPr>
            </w:pPr>
            <w:r>
              <w:rPr>
                <w:rFonts w:ascii="宋体" w:hAnsi="宋体" w:cs="宋体" w:eastAsia="宋体" w:hint="default"/>
                <w:sz w:val="16"/>
                <w:szCs w:val="16"/>
              </w:rPr>
              <w:t>注册地址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9"/>
              <w:jc w:val="right"/>
              <w:rPr>
                <w:rFonts w:ascii="宋体" w:hAnsi="宋体" w:cs="宋体" w:eastAsia="宋体" w:hint="default"/>
                <w:sz w:val="16"/>
                <w:szCs w:val="16"/>
              </w:rPr>
            </w:pPr>
            <w:r>
              <w:rPr>
                <w:rFonts w:ascii="宋体" w:hAnsi="宋体" w:cs="宋体" w:eastAsia="宋体" w:hint="default"/>
                <w:sz w:val="16"/>
                <w:szCs w:val="16"/>
              </w:rPr>
              <w:t>负责人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6"/>
                <w:szCs w:val="16"/>
              </w:rPr>
            </w:pPr>
            <w:r>
              <w:rPr>
                <w:rFonts w:ascii="宋体" w:hAnsi="宋体" w:cs="宋体" w:eastAsia="宋体" w:hint="default"/>
                <w:sz w:val="16"/>
                <w:szCs w:val="16"/>
              </w:rPr>
              <w:t>联系电话</w:t>
            </w:r>
          </w:p>
        </w:tc>
      </w:tr>
      <w:tr>
        <w:trPr>
          <w:trHeight w:val="104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财通证券资管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sz w:val="16"/>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2014/12/15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08" w:lineRule="exact"/>
              <w:ind w:left="158" w:right="0"/>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spacing w:val="-44"/>
                <w:sz w:val="16"/>
                <w:szCs w:val="16"/>
              </w:rPr>
              <w:t> </w:t>
            </w:r>
            <w:r>
              <w:rPr>
                <w:rFonts w:ascii="宋体" w:hAnsi="宋体" w:cs="宋体" w:eastAsia="宋体" w:hint="default"/>
                <w:sz w:val="16"/>
                <w:szCs w:val="16"/>
              </w:rPr>
              <w:t>20,000</w:t>
            </w:r>
          </w:p>
          <w:p>
            <w:pPr>
              <w:pStyle w:val="TableParagraph"/>
              <w:spacing w:line="208" w:lineRule="exact"/>
              <w:ind w:left="840"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8" w:right="0"/>
              <w:jc w:val="left"/>
              <w:rPr>
                <w:rFonts w:ascii="宋体" w:hAnsi="宋体" w:cs="宋体" w:eastAsia="宋体" w:hint="default"/>
                <w:sz w:val="16"/>
                <w:szCs w:val="16"/>
              </w:rPr>
            </w:pPr>
            <w:r>
              <w:rPr>
                <w:rFonts w:ascii="宋体" w:hAnsi="宋体" w:cs="宋体" w:eastAsia="宋体" w:hint="default"/>
                <w:sz w:val="16"/>
                <w:szCs w:val="16"/>
              </w:rPr>
              <w:t>上海市浦东新区</w:t>
            </w:r>
          </w:p>
          <w:p>
            <w:pPr>
              <w:pStyle w:val="TableParagraph"/>
              <w:spacing w:line="208" w:lineRule="exact"/>
              <w:ind w:left="158" w:right="0"/>
              <w:jc w:val="left"/>
              <w:rPr>
                <w:rFonts w:ascii="宋体" w:hAnsi="宋体" w:cs="宋体" w:eastAsia="宋体" w:hint="default"/>
                <w:sz w:val="16"/>
                <w:szCs w:val="16"/>
              </w:rPr>
            </w:pPr>
            <w:r>
              <w:rPr>
                <w:rFonts w:ascii="宋体" w:hAnsi="宋体" w:cs="宋体" w:eastAsia="宋体" w:hint="default"/>
                <w:sz w:val="16"/>
                <w:szCs w:val="16"/>
              </w:rPr>
              <w:t>福山路</w:t>
            </w:r>
            <w:r>
              <w:rPr>
                <w:rFonts w:ascii="宋体" w:hAnsi="宋体" w:cs="宋体" w:eastAsia="宋体" w:hint="default"/>
                <w:spacing w:val="-42"/>
                <w:sz w:val="16"/>
                <w:szCs w:val="16"/>
              </w:rPr>
              <w:t> </w:t>
            </w:r>
            <w:r>
              <w:rPr>
                <w:rFonts w:ascii="宋体" w:hAnsi="宋体" w:cs="宋体" w:eastAsia="宋体" w:hint="default"/>
                <w:sz w:val="16"/>
                <w:szCs w:val="16"/>
              </w:rPr>
              <w:t>500</w:t>
            </w:r>
            <w:r>
              <w:rPr>
                <w:rFonts w:ascii="宋体" w:hAnsi="宋体" w:cs="宋体" w:eastAsia="宋体" w:hint="default"/>
                <w:spacing w:val="-38"/>
                <w:sz w:val="16"/>
                <w:szCs w:val="16"/>
              </w:rPr>
              <w:t> </w:t>
            </w:r>
            <w:r>
              <w:rPr>
                <w:rFonts w:ascii="宋体" w:hAnsi="宋体" w:cs="宋体" w:eastAsia="宋体" w:hint="default"/>
                <w:sz w:val="16"/>
                <w:szCs w:val="16"/>
              </w:rPr>
              <w:t>号城</w:t>
            </w:r>
          </w:p>
          <w:p>
            <w:pPr>
              <w:pStyle w:val="TableParagraph"/>
              <w:spacing w:line="208" w:lineRule="exact"/>
              <w:ind w:left="117" w:right="0"/>
              <w:jc w:val="left"/>
              <w:rPr>
                <w:rFonts w:ascii="宋体" w:hAnsi="宋体" w:cs="宋体" w:eastAsia="宋体" w:hint="default"/>
                <w:sz w:val="16"/>
                <w:szCs w:val="16"/>
              </w:rPr>
            </w:pPr>
            <w:r>
              <w:rPr>
                <w:rFonts w:ascii="宋体" w:hAnsi="宋体" w:cs="宋体" w:eastAsia="宋体" w:hint="default"/>
                <w:sz w:val="16"/>
                <w:szCs w:val="16"/>
              </w:rPr>
              <w:t>建国际中心</w:t>
            </w:r>
            <w:r>
              <w:rPr>
                <w:rFonts w:ascii="宋体" w:hAnsi="宋体" w:cs="宋体" w:eastAsia="宋体" w:hint="default"/>
                <w:spacing w:val="-42"/>
                <w:sz w:val="16"/>
                <w:szCs w:val="16"/>
              </w:rPr>
              <w:t> </w:t>
            </w:r>
            <w:r>
              <w:rPr>
                <w:rFonts w:ascii="宋体" w:hAnsi="宋体" w:cs="宋体" w:eastAsia="宋体" w:hint="default"/>
                <w:sz w:val="16"/>
                <w:szCs w:val="16"/>
              </w:rPr>
              <w:t>28</w:t>
            </w:r>
            <w:r>
              <w:rPr>
                <w:rFonts w:ascii="宋体" w:hAnsi="宋体" w:cs="宋体" w:eastAsia="宋体" w:hint="default"/>
                <w:spacing w:val="-38"/>
                <w:sz w:val="16"/>
                <w:szCs w:val="16"/>
              </w:rPr>
              <w:t> </w:t>
            </w:r>
            <w:r>
              <w:rPr>
                <w:rFonts w:ascii="宋体" w:hAnsi="宋体" w:cs="宋体" w:eastAsia="宋体" w:hint="default"/>
                <w:sz w:val="16"/>
                <w:szCs w:val="16"/>
              </w:rPr>
              <w:t>楼</w:t>
            </w:r>
          </w:p>
          <w:p>
            <w:pPr>
              <w:pStyle w:val="TableParagraph"/>
              <w:spacing w:line="240" w:lineRule="auto"/>
              <w:ind w:left="398" w:right="120" w:hanging="281"/>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浙江省杭州市四</w:t>
            </w:r>
            <w:r>
              <w:rPr>
                <w:rFonts w:ascii="宋体" w:hAnsi="宋体" w:cs="宋体" w:eastAsia="宋体" w:hint="default"/>
                <w:w w:val="100"/>
                <w:sz w:val="16"/>
                <w:szCs w:val="16"/>
              </w:rPr>
              <w:t> </w:t>
            </w:r>
            <w:r>
              <w:rPr>
                <w:rFonts w:ascii="宋体" w:hAnsi="宋体" w:cs="宋体" w:eastAsia="宋体" w:hint="default"/>
                <w:sz w:val="16"/>
                <w:szCs w:val="16"/>
              </w:rPr>
              <w:t>宜路</w:t>
            </w:r>
            <w:r>
              <w:rPr>
                <w:rFonts w:ascii="宋体" w:hAnsi="宋体" w:cs="宋体" w:eastAsia="宋体" w:hint="default"/>
                <w:spacing w:val="-41"/>
                <w:sz w:val="16"/>
                <w:szCs w:val="16"/>
              </w:rPr>
              <w:t> </w:t>
            </w:r>
            <w:r>
              <w:rPr>
                <w:rFonts w:ascii="宋体" w:hAnsi="宋体" w:cs="宋体" w:eastAsia="宋体" w:hint="default"/>
                <w:sz w:val="16"/>
                <w:szCs w:val="16"/>
              </w:rPr>
              <w:t>B</w:t>
            </w:r>
            <w:r>
              <w:rPr>
                <w:rFonts w:ascii="宋体" w:hAnsi="宋体" w:cs="宋体" w:eastAsia="宋体" w:hint="default"/>
                <w:spacing w:val="-37"/>
                <w:sz w:val="16"/>
                <w:szCs w:val="16"/>
              </w:rPr>
              <w:t> </w:t>
            </w:r>
            <w:r>
              <w:rPr>
                <w:rFonts w:ascii="宋体" w:hAnsi="宋体" w:cs="宋体" w:eastAsia="宋体" w:hint="default"/>
                <w:sz w:val="16"/>
                <w:szCs w:val="16"/>
              </w:rPr>
              <w:t>幢</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41" w:right="142"/>
              <w:jc w:val="both"/>
              <w:rPr>
                <w:rFonts w:ascii="宋体" w:hAnsi="宋体" w:cs="宋体" w:eastAsia="宋体" w:hint="default"/>
                <w:sz w:val="16"/>
                <w:szCs w:val="16"/>
              </w:rPr>
            </w:pPr>
            <w:r>
              <w:rPr>
                <w:rFonts w:ascii="宋体" w:hAnsi="宋体" w:cs="宋体" w:eastAsia="宋体" w:hint="default"/>
                <w:sz w:val="16"/>
                <w:szCs w:val="16"/>
              </w:rPr>
              <w:t>浙江省杭州</w:t>
            </w:r>
            <w:r>
              <w:rPr>
                <w:rFonts w:ascii="宋体" w:hAnsi="宋体" w:cs="宋体" w:eastAsia="宋体" w:hint="default"/>
                <w:w w:val="100"/>
                <w:sz w:val="16"/>
                <w:szCs w:val="16"/>
              </w:rPr>
              <w:t> </w:t>
            </w:r>
            <w:r>
              <w:rPr>
                <w:rFonts w:ascii="宋体" w:hAnsi="宋体" w:cs="宋体" w:eastAsia="宋体" w:hint="default"/>
                <w:sz w:val="16"/>
                <w:szCs w:val="16"/>
              </w:rPr>
              <w:t>市上城区白</w:t>
            </w:r>
            <w:r>
              <w:rPr>
                <w:rFonts w:ascii="宋体" w:hAnsi="宋体" w:cs="宋体" w:eastAsia="宋体" w:hint="default"/>
                <w:w w:val="100"/>
                <w:sz w:val="16"/>
                <w:szCs w:val="16"/>
              </w:rPr>
              <w:t> </w:t>
            </w:r>
            <w:r>
              <w:rPr>
                <w:rFonts w:ascii="宋体" w:hAnsi="宋体" w:cs="宋体" w:eastAsia="宋体" w:hint="default"/>
                <w:sz w:val="16"/>
                <w:szCs w:val="16"/>
              </w:rPr>
              <w:t>云路</w:t>
            </w:r>
            <w:r>
              <w:rPr>
                <w:rFonts w:ascii="宋体" w:hAnsi="宋体" w:cs="宋体" w:eastAsia="宋体" w:hint="default"/>
                <w:spacing w:val="-42"/>
                <w:sz w:val="16"/>
                <w:szCs w:val="16"/>
              </w:rPr>
              <w:t> </w:t>
            </w:r>
            <w:r>
              <w:rPr>
                <w:rFonts w:ascii="宋体" w:hAnsi="宋体" w:cs="宋体" w:eastAsia="宋体" w:hint="default"/>
                <w:sz w:val="16"/>
                <w:szCs w:val="16"/>
              </w:rPr>
              <w:t>26</w:t>
            </w:r>
            <w:r>
              <w:rPr>
                <w:rFonts w:ascii="宋体" w:hAnsi="宋体" w:cs="宋体" w:eastAsia="宋体" w:hint="default"/>
                <w:spacing w:val="-38"/>
                <w:sz w:val="16"/>
                <w:szCs w:val="16"/>
              </w:rPr>
              <w:t> </w:t>
            </w:r>
            <w:r>
              <w:rPr>
                <w:rFonts w:ascii="宋体" w:hAnsi="宋体" w:cs="宋体" w:eastAsia="宋体" w:hint="default"/>
                <w:sz w:val="16"/>
                <w:szCs w:val="16"/>
              </w:rPr>
              <w:t>号</w:t>
            </w:r>
          </w:p>
          <w:p>
            <w:pPr>
              <w:pStyle w:val="TableParagraph"/>
              <w:spacing w:line="207" w:lineRule="exact"/>
              <w:ind w:left="321" w:right="0"/>
              <w:jc w:val="left"/>
              <w:rPr>
                <w:rFonts w:ascii="宋体" w:hAnsi="宋体" w:cs="宋体" w:eastAsia="宋体" w:hint="default"/>
                <w:sz w:val="16"/>
                <w:szCs w:val="16"/>
              </w:rPr>
            </w:pPr>
            <w:r>
              <w:rPr>
                <w:rFonts w:ascii="宋体" w:hAnsi="宋体" w:cs="宋体" w:eastAsia="宋体" w:hint="default"/>
                <w:sz w:val="16"/>
                <w:szCs w:val="16"/>
              </w:rPr>
              <w:t>143</w:t>
            </w:r>
            <w:r>
              <w:rPr>
                <w:rFonts w:ascii="宋体" w:hAnsi="宋体" w:cs="宋体" w:eastAsia="宋体" w:hint="default"/>
                <w:spacing w:val="-41"/>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sz w:val="16"/>
                <w:szCs w:val="16"/>
              </w:rPr>
              <w:t>马晓立</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08" w:lineRule="exact"/>
              <w:ind w:left="103" w:right="0"/>
              <w:jc w:val="left"/>
              <w:rPr>
                <w:rFonts w:ascii="宋体" w:hAnsi="宋体" w:cs="宋体" w:eastAsia="宋体" w:hint="default"/>
                <w:sz w:val="16"/>
                <w:szCs w:val="16"/>
              </w:rPr>
            </w:pPr>
            <w:r>
              <w:rPr>
                <w:rFonts w:ascii="宋体"/>
                <w:sz w:val="16"/>
              </w:rPr>
              <w:t>021-</w:t>
            </w:r>
          </w:p>
          <w:p>
            <w:pPr>
              <w:pStyle w:val="TableParagraph"/>
              <w:spacing w:line="208" w:lineRule="exact"/>
              <w:ind w:left="103" w:right="0"/>
              <w:jc w:val="left"/>
              <w:rPr>
                <w:rFonts w:ascii="宋体" w:hAnsi="宋体" w:cs="宋体" w:eastAsia="宋体" w:hint="default"/>
                <w:sz w:val="16"/>
                <w:szCs w:val="16"/>
              </w:rPr>
            </w:pPr>
            <w:r>
              <w:rPr>
                <w:rFonts w:ascii="宋体"/>
                <w:sz w:val="16"/>
              </w:rPr>
              <w:t>20568200</w:t>
            </w:r>
          </w:p>
        </w:tc>
      </w:tr>
      <w:tr>
        <w:trPr>
          <w:trHeight w:val="73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财通资本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sz w:val="16"/>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2015/3/24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27"/>
              <w:ind w:left="158" w:right="0"/>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spacing w:val="-44"/>
                <w:sz w:val="16"/>
                <w:szCs w:val="16"/>
              </w:rPr>
              <w:t> </w:t>
            </w:r>
            <w:r>
              <w:rPr>
                <w:rFonts w:ascii="宋体" w:hAnsi="宋体" w:cs="宋体" w:eastAsia="宋体" w:hint="default"/>
                <w:sz w:val="16"/>
                <w:szCs w:val="16"/>
              </w:rPr>
              <w:t>50,000</w:t>
            </w:r>
          </w:p>
          <w:p>
            <w:pPr>
              <w:pStyle w:val="TableParagraph"/>
              <w:spacing w:line="208" w:lineRule="exact"/>
              <w:ind w:left="840"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06" w:lineRule="exact"/>
              <w:ind w:left="319" w:right="158" w:hanging="161"/>
              <w:jc w:val="left"/>
              <w:rPr>
                <w:rFonts w:ascii="宋体" w:hAnsi="宋体" w:cs="宋体" w:eastAsia="宋体" w:hint="default"/>
                <w:sz w:val="16"/>
                <w:szCs w:val="16"/>
              </w:rPr>
            </w:pPr>
            <w:r>
              <w:rPr>
                <w:rFonts w:ascii="宋体" w:hAnsi="宋体" w:cs="宋体" w:eastAsia="宋体" w:hint="default"/>
                <w:sz w:val="16"/>
                <w:szCs w:val="16"/>
              </w:rPr>
              <w:t>杭州市上城区甘</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水巷</w:t>
            </w:r>
            <w:r>
              <w:rPr>
                <w:rFonts w:ascii="宋体" w:hAnsi="宋体" w:cs="宋体" w:eastAsia="宋体" w:hint="default"/>
                <w:spacing w:val="-42"/>
                <w:sz w:val="16"/>
                <w:szCs w:val="16"/>
              </w:rPr>
              <w:t> </w:t>
            </w:r>
            <w:r>
              <w:rPr>
                <w:rFonts w:ascii="宋体" w:hAnsi="宋体" w:cs="宋体" w:eastAsia="宋体" w:hint="default"/>
                <w:sz w:val="16"/>
                <w:szCs w:val="16"/>
              </w:rPr>
              <w:t>142</w:t>
            </w:r>
            <w:r>
              <w:rPr>
                <w:rFonts w:ascii="宋体" w:hAnsi="宋体" w:cs="宋体" w:eastAsia="宋体" w:hint="default"/>
                <w:spacing w:val="-41"/>
                <w:sz w:val="16"/>
                <w:szCs w:val="16"/>
              </w:rPr>
              <w:t> </w:t>
            </w:r>
            <w:r>
              <w:rPr>
                <w:rFonts w:ascii="宋体" w:hAnsi="宋体" w:cs="宋体" w:eastAsia="宋体" w:hint="default"/>
                <w:sz w:val="16"/>
                <w:szCs w:val="16"/>
              </w:rPr>
              <w:t>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46"/>
              <w:ind w:left="122" w:right="122" w:firstLine="19"/>
              <w:jc w:val="left"/>
              <w:rPr>
                <w:rFonts w:ascii="宋体" w:hAnsi="宋体" w:cs="宋体" w:eastAsia="宋体" w:hint="default"/>
                <w:sz w:val="16"/>
                <w:szCs w:val="16"/>
              </w:rPr>
            </w:pPr>
            <w:r>
              <w:rPr>
                <w:rFonts w:ascii="宋体" w:hAnsi="宋体" w:cs="宋体" w:eastAsia="宋体" w:hint="default"/>
                <w:sz w:val="16"/>
                <w:szCs w:val="16"/>
              </w:rPr>
              <w:t>杭州市上城</w:t>
            </w:r>
            <w:r>
              <w:rPr>
                <w:rFonts w:ascii="宋体" w:hAnsi="宋体" w:cs="宋体" w:eastAsia="宋体" w:hint="default"/>
                <w:w w:val="100"/>
                <w:sz w:val="16"/>
                <w:szCs w:val="16"/>
              </w:rPr>
              <w:t> </w:t>
            </w:r>
            <w:r>
              <w:rPr>
                <w:rFonts w:ascii="宋体" w:hAnsi="宋体" w:cs="宋体" w:eastAsia="宋体" w:hint="default"/>
                <w:sz w:val="16"/>
                <w:szCs w:val="16"/>
              </w:rPr>
              <w:t>区白云路</w:t>
            </w:r>
            <w:r>
              <w:rPr>
                <w:rFonts w:ascii="宋体" w:hAnsi="宋体" w:cs="宋体" w:eastAsia="宋体" w:hint="default"/>
                <w:spacing w:val="-43"/>
                <w:sz w:val="16"/>
                <w:szCs w:val="16"/>
              </w:rPr>
              <w:t> </w:t>
            </w:r>
            <w:r>
              <w:rPr>
                <w:rFonts w:ascii="宋体" w:hAnsi="宋体" w:cs="宋体" w:eastAsia="宋体" w:hint="default"/>
                <w:sz w:val="16"/>
                <w:szCs w:val="16"/>
              </w:rPr>
              <w:t>22</w:t>
            </w:r>
          </w:p>
          <w:p>
            <w:pPr>
              <w:pStyle w:val="TableParagraph"/>
              <w:spacing w:line="190" w:lineRule="exact"/>
              <w:ind w:left="220" w:right="0"/>
              <w:jc w:val="left"/>
              <w:rPr>
                <w:rFonts w:ascii="宋体" w:hAnsi="宋体" w:cs="宋体" w:eastAsia="宋体" w:hint="default"/>
                <w:sz w:val="16"/>
                <w:szCs w:val="16"/>
              </w:rPr>
            </w:pPr>
            <w:r>
              <w:rPr>
                <w:rFonts w:ascii="宋体" w:hAnsi="宋体" w:cs="宋体" w:eastAsia="宋体" w:hint="default"/>
                <w:sz w:val="16"/>
                <w:szCs w:val="16"/>
              </w:rPr>
              <w:t>号</w:t>
            </w:r>
            <w:r>
              <w:rPr>
                <w:rFonts w:ascii="宋体" w:hAnsi="宋体" w:cs="宋体" w:eastAsia="宋体" w:hint="default"/>
                <w:spacing w:val="-41"/>
                <w:sz w:val="16"/>
                <w:szCs w:val="16"/>
              </w:rPr>
              <w:t> </w:t>
            </w:r>
            <w:r>
              <w:rPr>
                <w:rFonts w:ascii="宋体" w:hAnsi="宋体" w:cs="宋体" w:eastAsia="宋体" w:hint="default"/>
                <w:sz w:val="16"/>
                <w:szCs w:val="16"/>
              </w:rPr>
              <w:t>161</w:t>
            </w:r>
            <w:r>
              <w:rPr>
                <w:rFonts w:ascii="宋体" w:hAnsi="宋体" w:cs="宋体" w:eastAsia="宋体" w:hint="default"/>
                <w:spacing w:val="-39"/>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sz w:val="16"/>
                <w:szCs w:val="16"/>
              </w:rPr>
              <w:t>诸慧芳</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27"/>
              <w:ind w:left="103" w:right="0"/>
              <w:jc w:val="left"/>
              <w:rPr>
                <w:rFonts w:ascii="宋体" w:hAnsi="宋体" w:cs="宋体" w:eastAsia="宋体" w:hint="default"/>
                <w:sz w:val="16"/>
                <w:szCs w:val="16"/>
              </w:rPr>
            </w:pPr>
            <w:r>
              <w:rPr>
                <w:rFonts w:ascii="宋体"/>
                <w:sz w:val="16"/>
              </w:rPr>
              <w:t>0571-</w:t>
            </w:r>
          </w:p>
          <w:p>
            <w:pPr>
              <w:pStyle w:val="TableParagraph"/>
              <w:spacing w:line="208" w:lineRule="exact"/>
              <w:ind w:left="103" w:right="0"/>
              <w:jc w:val="left"/>
              <w:rPr>
                <w:rFonts w:ascii="宋体" w:hAnsi="宋体" w:cs="宋体" w:eastAsia="宋体" w:hint="default"/>
                <w:sz w:val="16"/>
                <w:szCs w:val="16"/>
              </w:rPr>
            </w:pPr>
            <w:r>
              <w:rPr>
                <w:rFonts w:ascii="宋体"/>
                <w:sz w:val="16"/>
              </w:rPr>
              <w:t>87828127</w:t>
            </w:r>
          </w:p>
        </w:tc>
      </w:tr>
      <w:tr>
        <w:trPr>
          <w:trHeight w:val="84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财通创新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sz w:val="16"/>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2015/10/15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240" w:right="101" w:firstLine="439"/>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w w:val="100"/>
                <w:sz w:val="16"/>
                <w:szCs w:val="16"/>
              </w:rPr>
              <w:t> </w:t>
            </w:r>
            <w:r>
              <w:rPr>
                <w:rFonts w:ascii="宋体" w:hAnsi="宋体" w:cs="宋体" w:eastAsia="宋体" w:hint="default"/>
                <w:sz w:val="16"/>
                <w:szCs w:val="16"/>
              </w:rPr>
              <w:t>380,000</w:t>
            </w:r>
            <w:r>
              <w:rPr>
                <w:rFonts w:ascii="宋体" w:hAnsi="宋体" w:cs="宋体" w:eastAsia="宋体" w:hint="default"/>
                <w:spacing w:val="-42"/>
                <w:sz w:val="16"/>
                <w:szCs w:val="16"/>
              </w:rPr>
              <w:t> </w:t>
            </w:r>
            <w:r>
              <w:rPr>
                <w:rFonts w:ascii="宋体" w:hAnsi="宋体" w:cs="宋体" w:eastAsia="宋体" w:hint="default"/>
                <w:spacing w:val="-3"/>
                <w:sz w:val="16"/>
                <w:szCs w:val="16"/>
              </w:rPr>
              <w:t>万元</w:t>
            </w:r>
            <w:r>
              <w:rPr>
                <w:rFonts w:ascii="宋体" w:hAnsi="宋体" w:cs="宋体" w:eastAsia="宋体" w:hint="default"/>
                <w:sz w:val="16"/>
                <w:szCs w:val="16"/>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
              <w:jc w:val="center"/>
              <w:rPr>
                <w:rFonts w:ascii="宋体" w:hAnsi="宋体" w:cs="宋体" w:eastAsia="宋体" w:hint="default"/>
                <w:sz w:val="16"/>
                <w:szCs w:val="16"/>
              </w:rPr>
            </w:pPr>
            <w:r>
              <w:rPr>
                <w:rFonts w:ascii="宋体" w:hAnsi="宋体" w:cs="宋体" w:eastAsia="宋体" w:hint="default"/>
                <w:sz w:val="16"/>
                <w:szCs w:val="16"/>
              </w:rPr>
              <w:t>上海市浦东新区</w:t>
            </w:r>
          </w:p>
          <w:p>
            <w:pPr>
              <w:pStyle w:val="TableParagraph"/>
              <w:spacing w:line="206" w:lineRule="exact" w:before="22"/>
              <w:ind w:left="117" w:right="120"/>
              <w:jc w:val="center"/>
              <w:rPr>
                <w:rFonts w:ascii="宋体" w:hAnsi="宋体" w:cs="宋体" w:eastAsia="宋体" w:hint="default"/>
                <w:sz w:val="16"/>
                <w:szCs w:val="16"/>
              </w:rPr>
            </w:pPr>
            <w:r>
              <w:rPr>
                <w:rFonts w:ascii="宋体" w:hAnsi="宋体" w:cs="宋体" w:eastAsia="宋体" w:hint="default"/>
                <w:sz w:val="16"/>
                <w:szCs w:val="16"/>
              </w:rPr>
              <w:t>世纪大道</w:t>
            </w:r>
            <w:r>
              <w:rPr>
                <w:rFonts w:ascii="宋体" w:hAnsi="宋体" w:cs="宋体" w:eastAsia="宋体" w:hint="default"/>
                <w:spacing w:val="-42"/>
                <w:sz w:val="16"/>
                <w:szCs w:val="16"/>
              </w:rPr>
              <w:t> </w:t>
            </w:r>
            <w:r>
              <w:rPr>
                <w:rFonts w:ascii="宋体" w:hAnsi="宋体" w:cs="宋体" w:eastAsia="宋体" w:hint="default"/>
                <w:sz w:val="16"/>
                <w:szCs w:val="16"/>
              </w:rPr>
              <w:t>1196</w:t>
            </w:r>
            <w:r>
              <w:rPr>
                <w:rFonts w:ascii="宋体" w:hAnsi="宋体" w:cs="宋体" w:eastAsia="宋体" w:hint="default"/>
                <w:spacing w:val="-40"/>
                <w:sz w:val="16"/>
                <w:szCs w:val="16"/>
              </w:rPr>
              <w:t> </w:t>
            </w:r>
            <w:r>
              <w:rPr>
                <w:rFonts w:ascii="宋体" w:hAnsi="宋体" w:cs="宋体" w:eastAsia="宋体" w:hint="default"/>
                <w:sz w:val="16"/>
                <w:szCs w:val="16"/>
              </w:rPr>
              <w:t>号</w:t>
            </w:r>
            <w:r>
              <w:rPr>
                <w:rFonts w:ascii="宋体" w:hAnsi="宋体" w:cs="宋体" w:eastAsia="宋体" w:hint="default"/>
                <w:w w:val="100"/>
                <w:sz w:val="16"/>
                <w:szCs w:val="16"/>
              </w:rPr>
              <w:t> </w:t>
            </w:r>
            <w:r>
              <w:rPr>
                <w:rFonts w:ascii="宋体" w:hAnsi="宋体" w:cs="宋体" w:eastAsia="宋体" w:hint="default"/>
                <w:sz w:val="16"/>
                <w:szCs w:val="16"/>
              </w:rPr>
              <w:t>世纪汇二座</w:t>
            </w:r>
          </w:p>
          <w:p>
            <w:pPr>
              <w:pStyle w:val="TableParagraph"/>
              <w:spacing w:line="190" w:lineRule="exact"/>
              <w:ind w:right="2"/>
              <w:jc w:val="center"/>
              <w:rPr>
                <w:rFonts w:ascii="宋体" w:hAnsi="宋体" w:cs="宋体" w:eastAsia="宋体" w:hint="default"/>
                <w:sz w:val="16"/>
                <w:szCs w:val="16"/>
              </w:rPr>
            </w:pPr>
            <w:r>
              <w:rPr>
                <w:rFonts w:ascii="宋体"/>
                <w:sz w:val="16"/>
              </w:rPr>
              <w:t>906-907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00" w:right="101"/>
              <w:jc w:val="center"/>
              <w:rPr>
                <w:rFonts w:ascii="宋体" w:hAnsi="宋体" w:cs="宋体" w:eastAsia="宋体" w:hint="default"/>
                <w:sz w:val="16"/>
                <w:szCs w:val="16"/>
              </w:rPr>
            </w:pPr>
            <w:r>
              <w:rPr>
                <w:rFonts w:ascii="宋体" w:hAnsi="宋体" w:cs="宋体" w:eastAsia="宋体" w:hint="default"/>
                <w:sz w:val="16"/>
                <w:szCs w:val="16"/>
              </w:rPr>
              <w:t>杭州上城区</w:t>
            </w:r>
            <w:r>
              <w:rPr>
                <w:rFonts w:ascii="宋体" w:hAnsi="宋体" w:cs="宋体" w:eastAsia="宋体" w:hint="default"/>
                <w:w w:val="100"/>
                <w:sz w:val="16"/>
                <w:szCs w:val="16"/>
              </w:rPr>
              <w:t> </w:t>
            </w:r>
            <w:r>
              <w:rPr>
                <w:rFonts w:ascii="宋体" w:hAnsi="宋体" w:cs="宋体" w:eastAsia="宋体" w:hint="default"/>
                <w:sz w:val="16"/>
                <w:szCs w:val="16"/>
              </w:rPr>
              <w:t>白云路</w:t>
            </w:r>
            <w:r>
              <w:rPr>
                <w:rFonts w:ascii="宋体" w:hAnsi="宋体" w:cs="宋体" w:eastAsia="宋体" w:hint="default"/>
                <w:spacing w:val="-42"/>
                <w:sz w:val="16"/>
                <w:szCs w:val="16"/>
              </w:rPr>
              <w:t> </w:t>
            </w:r>
            <w:r>
              <w:rPr>
                <w:rFonts w:ascii="宋体" w:hAnsi="宋体" w:cs="宋体" w:eastAsia="宋体" w:hint="default"/>
                <w:sz w:val="16"/>
                <w:szCs w:val="16"/>
              </w:rPr>
              <w:t>26</w:t>
            </w:r>
            <w:r>
              <w:rPr>
                <w:rFonts w:ascii="宋体" w:hAnsi="宋体" w:cs="宋体" w:eastAsia="宋体" w:hint="default"/>
                <w:spacing w:val="-37"/>
                <w:sz w:val="16"/>
                <w:szCs w:val="16"/>
              </w:rPr>
              <w:t> </w:t>
            </w:r>
            <w:r>
              <w:rPr>
                <w:rFonts w:ascii="宋体" w:hAnsi="宋体" w:cs="宋体" w:eastAsia="宋体" w:hint="default"/>
                <w:sz w:val="16"/>
                <w:szCs w:val="16"/>
              </w:rPr>
              <w:t>号</w:t>
            </w:r>
          </w:p>
          <w:p>
            <w:pPr>
              <w:pStyle w:val="TableParagraph"/>
              <w:spacing w:line="190" w:lineRule="exact"/>
              <w:ind w:right="0"/>
              <w:jc w:val="center"/>
              <w:rPr>
                <w:rFonts w:ascii="宋体" w:hAnsi="宋体" w:cs="宋体" w:eastAsia="宋体" w:hint="default"/>
                <w:sz w:val="16"/>
                <w:szCs w:val="16"/>
              </w:rPr>
            </w:pPr>
            <w:r>
              <w:rPr>
                <w:rFonts w:ascii="宋体" w:hAnsi="宋体" w:cs="宋体" w:eastAsia="宋体" w:hint="default"/>
                <w:sz w:val="16"/>
                <w:szCs w:val="16"/>
              </w:rPr>
              <w:t>285</w:t>
            </w:r>
            <w:r>
              <w:rPr>
                <w:rFonts w:ascii="宋体" w:hAnsi="宋体" w:cs="宋体" w:eastAsia="宋体" w:hint="default"/>
                <w:spacing w:val="-41"/>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2" w:right="0"/>
              <w:jc w:val="left"/>
              <w:rPr>
                <w:rFonts w:ascii="宋体" w:hAnsi="宋体" w:cs="宋体" w:eastAsia="宋体" w:hint="default"/>
                <w:sz w:val="16"/>
                <w:szCs w:val="16"/>
              </w:rPr>
            </w:pPr>
            <w:r>
              <w:rPr>
                <w:rFonts w:ascii="宋体" w:hAnsi="宋体" w:cs="宋体" w:eastAsia="宋体" w:hint="default"/>
                <w:sz w:val="16"/>
                <w:szCs w:val="16"/>
              </w:rPr>
              <w:t>刘未</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center"/>
              <w:rPr>
                <w:rFonts w:ascii="宋体" w:hAnsi="宋体" w:cs="宋体" w:eastAsia="宋体" w:hint="default"/>
                <w:sz w:val="16"/>
                <w:szCs w:val="16"/>
              </w:rPr>
            </w:pPr>
            <w:r>
              <w:rPr>
                <w:rFonts w:ascii="宋体"/>
                <w:sz w:val="16"/>
              </w:rPr>
              <w:t>021-</w:t>
            </w:r>
            <w:r>
              <w:rPr>
                <w:rFonts w:ascii="宋体"/>
                <w:spacing w:val="-10"/>
                <w:sz w:val="16"/>
              </w:rPr>
              <w:t> </w:t>
            </w:r>
            <w:r>
              <w:rPr>
                <w:rFonts w:ascii="宋体"/>
                <w:sz w:val="16"/>
              </w:rPr>
              <w:t>68592191</w:t>
            </w:r>
          </w:p>
        </w:tc>
      </w:tr>
      <w:tr>
        <w:trPr>
          <w:trHeight w:val="104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财通香港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sz w:val="16"/>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2011/8/12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58" w:right="101" w:firstLine="40"/>
              <w:jc w:val="both"/>
              <w:rPr>
                <w:rFonts w:ascii="宋体" w:hAnsi="宋体" w:cs="宋体" w:eastAsia="宋体" w:hint="default"/>
                <w:sz w:val="16"/>
                <w:szCs w:val="16"/>
              </w:rPr>
            </w:pPr>
            <w:r>
              <w:rPr>
                <w:rFonts w:ascii="宋体" w:hAnsi="宋体" w:cs="宋体" w:eastAsia="宋体" w:hint="default"/>
                <w:sz w:val="16"/>
                <w:szCs w:val="16"/>
              </w:rPr>
              <w:t>已发行股份数</w:t>
            </w:r>
            <w:r>
              <w:rPr>
                <w:rFonts w:ascii="宋体" w:hAnsi="宋体" w:cs="宋体" w:eastAsia="宋体" w:hint="default"/>
                <w:w w:val="100"/>
                <w:sz w:val="16"/>
                <w:szCs w:val="16"/>
              </w:rPr>
              <w:t> </w:t>
            </w:r>
            <w:r>
              <w:rPr>
                <w:rFonts w:ascii="宋体" w:hAnsi="宋体" w:cs="宋体" w:eastAsia="宋体" w:hint="default"/>
                <w:sz w:val="16"/>
                <w:szCs w:val="16"/>
              </w:rPr>
              <w:t>目：</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r>
              <w:rPr>
                <w:rFonts w:ascii="宋体" w:hAnsi="宋体" w:cs="宋体" w:eastAsia="宋体" w:hint="default"/>
                <w:w w:val="100"/>
                <w:sz w:val="16"/>
                <w:szCs w:val="16"/>
              </w:rPr>
              <w:t> </w:t>
            </w:r>
            <w:r>
              <w:rPr>
                <w:rFonts w:ascii="宋体" w:hAnsi="宋体" w:cs="宋体" w:eastAsia="宋体" w:hint="default"/>
                <w:sz w:val="16"/>
                <w:szCs w:val="16"/>
              </w:rPr>
              <w:t>股每股面值：</w:t>
            </w:r>
          </w:p>
          <w:p>
            <w:pPr>
              <w:pStyle w:val="TableParagraph"/>
              <w:spacing w:line="207" w:lineRule="exact"/>
              <w:ind w:left="480" w:right="0"/>
              <w:jc w:val="left"/>
              <w:rPr>
                <w:rFonts w:ascii="宋体" w:hAnsi="宋体" w:cs="宋体" w:eastAsia="宋体" w:hint="default"/>
                <w:sz w:val="16"/>
                <w:szCs w:val="16"/>
              </w:rPr>
            </w:pPr>
            <w:r>
              <w:rPr>
                <w:rFonts w:ascii="宋体" w:hAnsi="宋体" w:cs="宋体" w:eastAsia="宋体" w:hint="default"/>
                <w:sz w:val="16"/>
                <w:szCs w:val="16"/>
              </w:rPr>
              <w:t>1.00</w:t>
            </w:r>
            <w:r>
              <w:rPr>
                <w:rFonts w:ascii="宋体" w:hAnsi="宋体" w:cs="宋体" w:eastAsia="宋体" w:hint="default"/>
                <w:spacing w:val="-39"/>
                <w:sz w:val="16"/>
                <w:szCs w:val="16"/>
              </w:rPr>
              <w:t> </w:t>
            </w:r>
            <w:r>
              <w:rPr>
                <w:rFonts w:ascii="宋体" w:hAnsi="宋体" w:cs="宋体" w:eastAsia="宋体" w:hint="default"/>
                <w:spacing w:val="-3"/>
                <w:sz w:val="16"/>
                <w:szCs w:val="16"/>
              </w:rPr>
              <w:t>港币</w:t>
            </w:r>
            <w:r>
              <w:rPr>
                <w:rFonts w:ascii="宋体" w:hAnsi="宋体" w:cs="宋体" w:eastAsia="宋体" w:hint="default"/>
                <w:sz w:val="16"/>
                <w:szCs w:val="16"/>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58" w:right="158"/>
              <w:jc w:val="center"/>
              <w:rPr>
                <w:rFonts w:ascii="宋体" w:hAnsi="宋体" w:cs="宋体" w:eastAsia="宋体" w:hint="default"/>
                <w:sz w:val="16"/>
                <w:szCs w:val="16"/>
              </w:rPr>
            </w:pPr>
            <w:r>
              <w:rPr>
                <w:rFonts w:ascii="宋体" w:hAnsi="宋体" w:cs="宋体" w:eastAsia="宋体" w:hint="default"/>
                <w:sz w:val="16"/>
                <w:szCs w:val="16"/>
              </w:rPr>
              <w:t>香港中环皇后大</w:t>
            </w:r>
            <w:r>
              <w:rPr>
                <w:rFonts w:ascii="宋体" w:hAnsi="宋体" w:cs="宋体" w:eastAsia="宋体" w:hint="default"/>
                <w:w w:val="100"/>
                <w:sz w:val="16"/>
                <w:szCs w:val="16"/>
              </w:rPr>
              <w:t> </w:t>
            </w:r>
            <w:r>
              <w:rPr>
                <w:rFonts w:ascii="宋体" w:hAnsi="宋体" w:cs="宋体" w:eastAsia="宋体" w:hint="default"/>
                <w:sz w:val="16"/>
                <w:szCs w:val="16"/>
              </w:rPr>
              <w:t>道</w:t>
            </w:r>
            <w:r>
              <w:rPr>
                <w:rFonts w:ascii="宋体" w:hAnsi="宋体" w:cs="宋体" w:eastAsia="宋体" w:hint="default"/>
                <w:spacing w:val="-41"/>
                <w:sz w:val="16"/>
                <w:szCs w:val="16"/>
              </w:rPr>
              <w:t> </w:t>
            </w:r>
            <w:r>
              <w:rPr>
                <w:rFonts w:ascii="宋体" w:hAnsi="宋体" w:cs="宋体" w:eastAsia="宋体" w:hint="default"/>
                <w:sz w:val="16"/>
                <w:szCs w:val="16"/>
              </w:rPr>
              <w:t>181</w:t>
            </w:r>
            <w:r>
              <w:rPr>
                <w:rFonts w:ascii="宋体" w:hAnsi="宋体" w:cs="宋体" w:eastAsia="宋体" w:hint="default"/>
                <w:spacing w:val="-39"/>
                <w:sz w:val="16"/>
                <w:szCs w:val="16"/>
              </w:rPr>
              <w:t> </w:t>
            </w:r>
            <w:r>
              <w:rPr>
                <w:rFonts w:ascii="宋体" w:hAnsi="宋体" w:cs="宋体" w:eastAsia="宋体" w:hint="default"/>
                <w:sz w:val="16"/>
                <w:szCs w:val="16"/>
              </w:rPr>
              <w:t>号新纪元</w:t>
            </w:r>
          </w:p>
          <w:p>
            <w:pPr>
              <w:pStyle w:val="TableParagraph"/>
              <w:spacing w:line="189" w:lineRule="exact"/>
              <w:ind w:right="2"/>
              <w:jc w:val="center"/>
              <w:rPr>
                <w:rFonts w:ascii="宋体" w:hAnsi="宋体" w:cs="宋体" w:eastAsia="宋体" w:hint="default"/>
                <w:sz w:val="16"/>
                <w:szCs w:val="16"/>
              </w:rPr>
            </w:pPr>
            <w:r>
              <w:rPr>
                <w:rFonts w:ascii="宋体" w:hAnsi="宋体" w:cs="宋体" w:eastAsia="宋体" w:hint="default"/>
                <w:sz w:val="16"/>
                <w:szCs w:val="16"/>
              </w:rPr>
              <w:t>广场</w:t>
            </w:r>
            <w:r>
              <w:rPr>
                <w:rFonts w:ascii="宋体" w:hAnsi="宋体" w:cs="宋体" w:eastAsia="宋体" w:hint="default"/>
                <w:spacing w:val="-42"/>
                <w:sz w:val="16"/>
                <w:szCs w:val="16"/>
              </w:rPr>
              <w:t> </w:t>
            </w:r>
            <w:r>
              <w:rPr>
                <w:rFonts w:ascii="宋体" w:hAnsi="宋体" w:cs="宋体" w:eastAsia="宋体" w:hint="default"/>
                <w:sz w:val="16"/>
                <w:szCs w:val="16"/>
              </w:rPr>
              <w:t>24</w:t>
            </w:r>
            <w:r>
              <w:rPr>
                <w:rFonts w:ascii="宋体" w:hAnsi="宋体" w:cs="宋体" w:eastAsia="宋体" w:hint="default"/>
                <w:spacing w:val="-38"/>
                <w:sz w:val="16"/>
                <w:szCs w:val="16"/>
              </w:rPr>
              <w:t> </w:t>
            </w:r>
            <w:r>
              <w:rPr>
                <w:rFonts w:ascii="宋体" w:hAnsi="宋体" w:cs="宋体" w:eastAsia="宋体" w:hint="default"/>
                <w:sz w:val="16"/>
                <w:szCs w:val="16"/>
              </w:rPr>
              <w:t>楼</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2401-03</w:t>
            </w:r>
            <w:r>
              <w:rPr>
                <w:rFonts w:ascii="宋体" w:hAnsi="宋体" w:cs="宋体" w:eastAsia="宋体" w:hint="default"/>
                <w:spacing w:val="-42"/>
                <w:sz w:val="16"/>
                <w:szCs w:val="16"/>
              </w:rPr>
              <w:t> </w:t>
            </w:r>
            <w:r>
              <w:rPr>
                <w:rFonts w:ascii="宋体" w:hAnsi="宋体" w:cs="宋体" w:eastAsia="宋体" w:hint="default"/>
                <w:sz w:val="16"/>
                <w:szCs w:val="16"/>
              </w:rPr>
              <w:t>室</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香港中环皇</w:t>
            </w:r>
          </w:p>
          <w:p>
            <w:pPr>
              <w:pStyle w:val="TableParagraph"/>
              <w:spacing w:line="237" w:lineRule="auto" w:before="1"/>
              <w:ind w:left="141" w:right="142" w:hanging="2"/>
              <w:jc w:val="center"/>
              <w:rPr>
                <w:rFonts w:ascii="宋体" w:hAnsi="宋体" w:cs="宋体" w:eastAsia="宋体" w:hint="default"/>
                <w:sz w:val="16"/>
                <w:szCs w:val="16"/>
              </w:rPr>
            </w:pPr>
            <w:r>
              <w:rPr>
                <w:rFonts w:ascii="宋体" w:hAnsi="宋体" w:cs="宋体" w:eastAsia="宋体" w:hint="default"/>
                <w:sz w:val="16"/>
                <w:szCs w:val="16"/>
              </w:rPr>
              <w:t>后大道</w:t>
            </w:r>
            <w:r>
              <w:rPr>
                <w:rFonts w:ascii="宋体" w:hAnsi="宋体" w:cs="宋体" w:eastAsia="宋体" w:hint="default"/>
                <w:spacing w:val="-42"/>
                <w:sz w:val="16"/>
                <w:szCs w:val="16"/>
              </w:rPr>
              <w:t> </w:t>
            </w:r>
            <w:r>
              <w:rPr>
                <w:rFonts w:ascii="宋体" w:hAnsi="宋体" w:cs="宋体" w:eastAsia="宋体" w:hint="default"/>
                <w:sz w:val="16"/>
                <w:szCs w:val="16"/>
              </w:rPr>
              <w:t>181</w:t>
            </w:r>
            <w:r>
              <w:rPr>
                <w:rFonts w:ascii="宋体" w:hAnsi="宋体" w:cs="宋体" w:eastAsia="宋体" w:hint="default"/>
                <w:w w:val="100"/>
                <w:sz w:val="16"/>
                <w:szCs w:val="16"/>
              </w:rPr>
              <w:t> </w:t>
            </w:r>
            <w:r>
              <w:rPr>
                <w:rFonts w:ascii="宋体" w:hAnsi="宋体" w:cs="宋体" w:eastAsia="宋体" w:hint="default"/>
                <w:sz w:val="16"/>
                <w:szCs w:val="16"/>
              </w:rPr>
              <w:t>号新纪元广</w:t>
            </w:r>
            <w:r>
              <w:rPr>
                <w:rFonts w:ascii="宋体" w:hAnsi="宋体" w:cs="宋体" w:eastAsia="宋体" w:hint="default"/>
                <w:w w:val="100"/>
                <w:sz w:val="16"/>
                <w:szCs w:val="16"/>
              </w:rPr>
              <w:t> </w:t>
            </w:r>
            <w:r>
              <w:rPr>
                <w:rFonts w:ascii="宋体" w:hAnsi="宋体" w:cs="宋体" w:eastAsia="宋体" w:hint="default"/>
                <w:sz w:val="16"/>
                <w:szCs w:val="16"/>
              </w:rPr>
              <w:t>场</w:t>
            </w:r>
            <w:r>
              <w:rPr>
                <w:rFonts w:ascii="宋体" w:hAnsi="宋体" w:cs="宋体" w:eastAsia="宋体" w:hint="default"/>
                <w:spacing w:val="-40"/>
                <w:sz w:val="16"/>
                <w:szCs w:val="16"/>
              </w:rPr>
              <w:t> </w:t>
            </w:r>
            <w:r>
              <w:rPr>
                <w:rFonts w:ascii="宋体" w:hAnsi="宋体" w:cs="宋体" w:eastAsia="宋体" w:hint="default"/>
                <w:sz w:val="16"/>
                <w:szCs w:val="16"/>
              </w:rPr>
              <w:t>24</w:t>
            </w:r>
            <w:r>
              <w:rPr>
                <w:rFonts w:ascii="宋体" w:hAnsi="宋体" w:cs="宋体" w:eastAsia="宋体" w:hint="default"/>
                <w:spacing w:val="-41"/>
                <w:sz w:val="16"/>
                <w:szCs w:val="16"/>
              </w:rPr>
              <w:t> </w:t>
            </w:r>
            <w:r>
              <w:rPr>
                <w:rFonts w:ascii="宋体" w:hAnsi="宋体" w:cs="宋体" w:eastAsia="宋体" w:hint="default"/>
                <w:sz w:val="16"/>
                <w:szCs w:val="16"/>
              </w:rPr>
              <w:t>楼</w:t>
            </w:r>
          </w:p>
          <w:p>
            <w:pPr>
              <w:pStyle w:val="TableParagraph"/>
              <w:spacing w:line="207" w:lineRule="exact"/>
              <w:ind w:right="0"/>
              <w:jc w:val="center"/>
              <w:rPr>
                <w:rFonts w:ascii="宋体" w:hAnsi="宋体" w:cs="宋体" w:eastAsia="宋体" w:hint="default"/>
                <w:sz w:val="16"/>
                <w:szCs w:val="16"/>
              </w:rPr>
            </w:pPr>
            <w:r>
              <w:rPr>
                <w:rFonts w:ascii="宋体" w:hAnsi="宋体" w:cs="宋体" w:eastAsia="宋体" w:hint="default"/>
                <w:sz w:val="16"/>
                <w:szCs w:val="16"/>
              </w:rPr>
              <w:t>2401-03</w:t>
            </w:r>
            <w:r>
              <w:rPr>
                <w:rFonts w:ascii="宋体" w:hAnsi="宋体" w:cs="宋体" w:eastAsia="宋体" w:hint="default"/>
                <w:spacing w:val="-42"/>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2" w:right="0"/>
              <w:jc w:val="left"/>
              <w:rPr>
                <w:rFonts w:ascii="宋体" w:hAnsi="宋体" w:cs="宋体" w:eastAsia="宋体" w:hint="default"/>
                <w:sz w:val="16"/>
                <w:szCs w:val="16"/>
              </w:rPr>
            </w:pPr>
            <w:r>
              <w:rPr>
                <w:rFonts w:ascii="宋体" w:hAnsi="宋体" w:cs="宋体" w:eastAsia="宋体" w:hint="default"/>
                <w:sz w:val="16"/>
                <w:szCs w:val="16"/>
              </w:rPr>
              <w:t>钱斌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09" w:lineRule="exact"/>
              <w:ind w:left="103" w:right="0"/>
              <w:jc w:val="left"/>
              <w:rPr>
                <w:rFonts w:ascii="宋体" w:hAnsi="宋体" w:cs="宋体" w:eastAsia="宋体" w:hint="default"/>
                <w:sz w:val="16"/>
                <w:szCs w:val="16"/>
              </w:rPr>
            </w:pPr>
            <w:r>
              <w:rPr>
                <w:rFonts w:ascii="宋体"/>
                <w:sz w:val="16"/>
              </w:rPr>
              <w:t>0571-</w:t>
            </w:r>
          </w:p>
          <w:p>
            <w:pPr>
              <w:pStyle w:val="TableParagraph"/>
              <w:spacing w:line="209" w:lineRule="exact"/>
              <w:ind w:left="103" w:right="0"/>
              <w:jc w:val="left"/>
              <w:rPr>
                <w:rFonts w:ascii="宋体" w:hAnsi="宋体" w:cs="宋体" w:eastAsia="宋体" w:hint="default"/>
                <w:sz w:val="16"/>
                <w:szCs w:val="16"/>
              </w:rPr>
            </w:pPr>
            <w:r>
              <w:rPr>
                <w:rFonts w:ascii="宋体"/>
                <w:sz w:val="16"/>
              </w:rPr>
              <w:t>87130303</w:t>
            </w:r>
          </w:p>
        </w:tc>
      </w:tr>
      <w:tr>
        <w:trPr>
          <w:trHeight w:val="63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财通基金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sz w:val="16"/>
              </w:rPr>
              <w:t>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2011/6/21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before="77"/>
              <w:ind w:left="158" w:right="0"/>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spacing w:val="-44"/>
                <w:sz w:val="16"/>
                <w:szCs w:val="16"/>
              </w:rPr>
              <w:t> </w:t>
            </w:r>
            <w:r>
              <w:rPr>
                <w:rFonts w:ascii="宋体" w:hAnsi="宋体" w:cs="宋体" w:eastAsia="宋体" w:hint="default"/>
                <w:sz w:val="16"/>
                <w:szCs w:val="16"/>
              </w:rPr>
              <w:t>20,000</w:t>
            </w:r>
          </w:p>
          <w:p>
            <w:pPr>
              <w:pStyle w:val="TableParagraph"/>
              <w:spacing w:line="209" w:lineRule="exact"/>
              <w:ind w:left="840"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上海市银城中路</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68</w:t>
            </w:r>
            <w:r>
              <w:rPr>
                <w:rFonts w:ascii="宋体" w:hAnsi="宋体" w:cs="宋体" w:eastAsia="宋体" w:hint="default"/>
                <w:spacing w:val="-41"/>
                <w:sz w:val="16"/>
                <w:szCs w:val="16"/>
              </w:rPr>
              <w:t> </w:t>
            </w:r>
            <w:r>
              <w:rPr>
                <w:rFonts w:ascii="宋体" w:hAnsi="宋体" w:cs="宋体" w:eastAsia="宋体" w:hint="default"/>
                <w:sz w:val="16"/>
                <w:szCs w:val="16"/>
              </w:rPr>
              <w:t>号时代金融中</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心</w:t>
            </w:r>
            <w:r>
              <w:rPr>
                <w:rFonts w:ascii="宋体" w:hAnsi="宋体" w:cs="宋体" w:eastAsia="宋体" w:hint="default"/>
                <w:spacing w:val="-40"/>
                <w:sz w:val="16"/>
                <w:szCs w:val="16"/>
              </w:rPr>
              <w:t> </w:t>
            </w:r>
            <w:r>
              <w:rPr>
                <w:rFonts w:ascii="宋体" w:hAnsi="宋体" w:cs="宋体" w:eastAsia="宋体" w:hint="default"/>
                <w:sz w:val="16"/>
                <w:szCs w:val="16"/>
              </w:rPr>
              <w:t>41</w:t>
            </w:r>
            <w:r>
              <w:rPr>
                <w:rFonts w:ascii="宋体" w:hAnsi="宋体" w:cs="宋体" w:eastAsia="宋体" w:hint="default"/>
                <w:spacing w:val="-41"/>
                <w:sz w:val="16"/>
                <w:szCs w:val="16"/>
              </w:rPr>
              <w:t> </w:t>
            </w:r>
            <w:r>
              <w:rPr>
                <w:rFonts w:ascii="宋体" w:hAnsi="宋体" w:cs="宋体" w:eastAsia="宋体" w:hint="default"/>
                <w:sz w:val="16"/>
                <w:szCs w:val="16"/>
              </w:rPr>
              <w:t>楼</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20" w:right="0" w:hanging="80"/>
              <w:jc w:val="left"/>
              <w:rPr>
                <w:rFonts w:ascii="宋体" w:hAnsi="宋体" w:cs="宋体" w:eastAsia="宋体" w:hint="default"/>
                <w:sz w:val="16"/>
                <w:szCs w:val="16"/>
              </w:rPr>
            </w:pPr>
            <w:r>
              <w:rPr>
                <w:rFonts w:ascii="宋体" w:hAnsi="宋体" w:cs="宋体" w:eastAsia="宋体" w:hint="default"/>
                <w:sz w:val="16"/>
                <w:szCs w:val="16"/>
              </w:rPr>
              <w:t>上海市虹口</w:t>
            </w:r>
          </w:p>
          <w:p>
            <w:pPr>
              <w:pStyle w:val="TableParagraph"/>
              <w:spacing w:line="240" w:lineRule="auto"/>
              <w:ind w:left="100" w:right="98" w:firstLine="120"/>
              <w:jc w:val="left"/>
              <w:rPr>
                <w:rFonts w:ascii="宋体" w:hAnsi="宋体" w:cs="宋体" w:eastAsia="宋体" w:hint="default"/>
                <w:sz w:val="16"/>
                <w:szCs w:val="16"/>
              </w:rPr>
            </w:pPr>
            <w:r>
              <w:rPr>
                <w:rFonts w:ascii="宋体" w:hAnsi="宋体" w:cs="宋体" w:eastAsia="宋体" w:hint="default"/>
                <w:sz w:val="16"/>
                <w:szCs w:val="16"/>
              </w:rPr>
              <w:t>区吴淞路</w:t>
            </w:r>
            <w:r>
              <w:rPr>
                <w:rFonts w:ascii="宋体" w:hAnsi="宋体" w:cs="宋体" w:eastAsia="宋体" w:hint="default"/>
                <w:w w:val="100"/>
                <w:sz w:val="16"/>
                <w:szCs w:val="16"/>
              </w:rPr>
              <w:t> </w:t>
            </w:r>
            <w:r>
              <w:rPr>
                <w:rFonts w:ascii="宋体" w:hAnsi="宋体" w:cs="宋体" w:eastAsia="宋体" w:hint="default"/>
                <w:sz w:val="16"/>
                <w:szCs w:val="16"/>
              </w:rPr>
              <w:t>619</w:t>
            </w:r>
            <w:r>
              <w:rPr>
                <w:rFonts w:ascii="宋体" w:hAnsi="宋体" w:cs="宋体" w:eastAsia="宋体" w:hint="default"/>
                <w:spacing w:val="-54"/>
                <w:sz w:val="16"/>
                <w:szCs w:val="16"/>
              </w:rPr>
              <w:t> </w:t>
            </w:r>
            <w:r>
              <w:rPr>
                <w:rFonts w:ascii="宋体" w:hAnsi="宋体" w:cs="宋体" w:eastAsia="宋体" w:hint="default"/>
                <w:sz w:val="16"/>
                <w:szCs w:val="16"/>
              </w:rPr>
              <w:t>号</w:t>
            </w:r>
            <w:r>
              <w:rPr>
                <w:rFonts w:ascii="宋体" w:hAnsi="宋体" w:cs="宋体" w:eastAsia="宋体" w:hint="default"/>
                <w:spacing w:val="-55"/>
                <w:sz w:val="16"/>
                <w:szCs w:val="16"/>
              </w:rPr>
              <w:t> </w:t>
            </w:r>
            <w:r>
              <w:rPr>
                <w:rFonts w:ascii="宋体" w:hAnsi="宋体" w:cs="宋体" w:eastAsia="宋体" w:hint="default"/>
                <w:sz w:val="16"/>
                <w:szCs w:val="16"/>
              </w:rPr>
              <w:t>505</w:t>
            </w:r>
            <w:r>
              <w:rPr>
                <w:rFonts w:ascii="宋体" w:hAnsi="宋体" w:cs="宋体" w:eastAsia="宋体" w:hint="default"/>
                <w:spacing w:val="-51"/>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2" w:right="0"/>
              <w:jc w:val="left"/>
              <w:rPr>
                <w:rFonts w:ascii="宋体" w:hAnsi="宋体" w:cs="宋体" w:eastAsia="宋体" w:hint="default"/>
                <w:sz w:val="16"/>
                <w:szCs w:val="16"/>
              </w:rPr>
            </w:pPr>
            <w:r>
              <w:rPr>
                <w:rFonts w:ascii="宋体" w:hAnsi="宋体" w:cs="宋体" w:eastAsia="宋体" w:hint="default"/>
                <w:sz w:val="16"/>
                <w:szCs w:val="16"/>
              </w:rPr>
              <w:t>刘未</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before="77"/>
              <w:ind w:left="103" w:right="0"/>
              <w:jc w:val="left"/>
              <w:rPr>
                <w:rFonts w:ascii="宋体" w:hAnsi="宋体" w:cs="宋体" w:eastAsia="宋体" w:hint="default"/>
                <w:sz w:val="16"/>
                <w:szCs w:val="16"/>
              </w:rPr>
            </w:pPr>
            <w:r>
              <w:rPr>
                <w:rFonts w:ascii="宋体"/>
                <w:sz w:val="16"/>
              </w:rPr>
              <w:t>021-</w:t>
            </w:r>
          </w:p>
          <w:p>
            <w:pPr>
              <w:pStyle w:val="TableParagraph"/>
              <w:spacing w:line="209" w:lineRule="exact"/>
              <w:ind w:left="103" w:right="0"/>
              <w:jc w:val="left"/>
              <w:rPr>
                <w:rFonts w:ascii="宋体" w:hAnsi="宋体" w:cs="宋体" w:eastAsia="宋体" w:hint="default"/>
                <w:sz w:val="16"/>
                <w:szCs w:val="16"/>
              </w:rPr>
            </w:pPr>
            <w:r>
              <w:rPr>
                <w:rFonts w:ascii="宋体"/>
                <w:sz w:val="16"/>
              </w:rPr>
              <w:t>20537888</w:t>
            </w:r>
          </w:p>
        </w:tc>
      </w:tr>
      <w:tr>
        <w:trPr>
          <w:trHeight w:val="125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永安期货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sz w:val="16"/>
              </w:rPr>
              <w:t>33.54%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1992/9/7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0" w:right="101" w:firstLine="439"/>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w w:val="100"/>
                <w:sz w:val="16"/>
                <w:szCs w:val="16"/>
              </w:rPr>
              <w:t> </w:t>
            </w:r>
            <w:r>
              <w:rPr>
                <w:rFonts w:ascii="宋体" w:hAnsi="宋体" w:cs="宋体" w:eastAsia="宋体" w:hint="default"/>
                <w:sz w:val="16"/>
                <w:szCs w:val="16"/>
              </w:rPr>
              <w:t>131,000</w:t>
            </w:r>
            <w:r>
              <w:rPr>
                <w:rFonts w:ascii="宋体" w:hAnsi="宋体" w:cs="宋体" w:eastAsia="宋体" w:hint="default"/>
                <w:spacing w:val="-42"/>
                <w:sz w:val="16"/>
                <w:szCs w:val="16"/>
              </w:rPr>
              <w:t> </w:t>
            </w:r>
            <w:r>
              <w:rPr>
                <w:rFonts w:ascii="宋体" w:hAnsi="宋体" w:cs="宋体" w:eastAsia="宋体" w:hint="default"/>
                <w:spacing w:val="-3"/>
                <w:sz w:val="16"/>
                <w:szCs w:val="16"/>
              </w:rPr>
              <w:t>万元</w:t>
            </w:r>
            <w:r>
              <w:rPr>
                <w:rFonts w:ascii="宋体" w:hAnsi="宋体" w:cs="宋体" w:eastAsia="宋体" w:hint="default"/>
                <w:sz w:val="16"/>
                <w:szCs w:val="16"/>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58" w:right="102" w:hanging="58"/>
              <w:jc w:val="left"/>
              <w:rPr>
                <w:rFonts w:ascii="宋体" w:hAnsi="宋体" w:cs="宋体" w:eastAsia="宋体" w:hint="default"/>
                <w:sz w:val="16"/>
                <w:szCs w:val="16"/>
              </w:rPr>
            </w:pPr>
            <w:r>
              <w:rPr>
                <w:rFonts w:ascii="宋体" w:hAnsi="宋体" w:cs="宋体" w:eastAsia="宋体" w:hint="default"/>
                <w:sz w:val="16"/>
                <w:szCs w:val="16"/>
              </w:rPr>
              <w:t>杭州市新业路</w:t>
            </w:r>
            <w:r>
              <w:rPr>
                <w:rFonts w:ascii="宋体" w:hAnsi="宋体" w:cs="宋体" w:eastAsia="宋体" w:hint="default"/>
                <w:spacing w:val="-47"/>
                <w:sz w:val="16"/>
                <w:szCs w:val="16"/>
              </w:rPr>
              <w:t> </w:t>
            </w:r>
            <w:r>
              <w:rPr>
                <w:rFonts w:ascii="宋体" w:hAnsi="宋体" w:cs="宋体" w:eastAsia="宋体" w:hint="default"/>
                <w:sz w:val="16"/>
                <w:szCs w:val="16"/>
              </w:rPr>
              <w:t>200</w:t>
            </w:r>
            <w:r>
              <w:rPr>
                <w:rFonts w:ascii="宋体" w:hAnsi="宋体" w:cs="宋体" w:eastAsia="宋体" w:hint="default"/>
                <w:w w:val="100"/>
                <w:sz w:val="16"/>
                <w:szCs w:val="16"/>
              </w:rPr>
              <w:t> </w:t>
            </w:r>
            <w:r>
              <w:rPr>
                <w:rFonts w:ascii="宋体" w:hAnsi="宋体" w:cs="宋体" w:eastAsia="宋体" w:hint="default"/>
                <w:sz w:val="16"/>
                <w:szCs w:val="16"/>
              </w:rPr>
              <w:t>号华峰国际商务</w:t>
            </w:r>
            <w:r>
              <w:rPr>
                <w:rFonts w:ascii="宋体" w:hAnsi="宋体" w:cs="宋体" w:eastAsia="宋体" w:hint="default"/>
                <w:w w:val="100"/>
                <w:sz w:val="16"/>
                <w:szCs w:val="16"/>
              </w:rPr>
              <w:t> </w:t>
            </w:r>
            <w:r>
              <w:rPr>
                <w:rFonts w:ascii="宋体" w:hAnsi="宋体" w:cs="宋体" w:eastAsia="宋体" w:hint="default"/>
                <w:sz w:val="16"/>
                <w:szCs w:val="16"/>
              </w:rPr>
              <w:t>大厦</w:t>
            </w:r>
            <w:r>
              <w:rPr>
                <w:rFonts w:ascii="宋体" w:hAnsi="宋体" w:cs="宋体" w:eastAsia="宋体" w:hint="default"/>
                <w:spacing w:val="-42"/>
                <w:sz w:val="16"/>
                <w:szCs w:val="16"/>
              </w:rPr>
              <w:t> </w:t>
            </w:r>
            <w:r>
              <w:rPr>
                <w:rFonts w:ascii="宋体" w:hAnsi="宋体" w:cs="宋体" w:eastAsia="宋体" w:hint="default"/>
                <w:sz w:val="16"/>
                <w:szCs w:val="16"/>
              </w:rPr>
              <w:t>16-17</w:t>
            </w:r>
            <w:r>
              <w:rPr>
                <w:rFonts w:ascii="宋体" w:hAnsi="宋体" w:cs="宋体" w:eastAsia="宋体" w:hint="default"/>
                <w:spacing w:val="-38"/>
                <w:sz w:val="16"/>
                <w:szCs w:val="16"/>
              </w:rPr>
              <w:t> </w:t>
            </w:r>
            <w:r>
              <w:rPr>
                <w:rFonts w:ascii="宋体" w:hAnsi="宋体" w:cs="宋体" w:eastAsia="宋体" w:hint="default"/>
                <w:sz w:val="16"/>
                <w:szCs w:val="16"/>
              </w:rPr>
              <w:t>层，</w:t>
            </w:r>
          </w:p>
          <w:p>
            <w:pPr>
              <w:pStyle w:val="TableParagraph"/>
              <w:spacing w:line="207" w:lineRule="exact"/>
              <w:ind w:left="117" w:right="0"/>
              <w:jc w:val="left"/>
              <w:rPr>
                <w:rFonts w:ascii="宋体" w:hAnsi="宋体" w:cs="宋体" w:eastAsia="宋体" w:hint="default"/>
                <w:sz w:val="16"/>
                <w:szCs w:val="16"/>
              </w:rPr>
            </w:pPr>
            <w:r>
              <w:rPr>
                <w:rFonts w:ascii="宋体" w:hAnsi="宋体" w:cs="宋体" w:eastAsia="宋体" w:hint="default"/>
                <w:sz w:val="16"/>
                <w:szCs w:val="16"/>
              </w:rPr>
              <w:t>2603</w:t>
            </w:r>
            <w:r>
              <w:rPr>
                <w:rFonts w:ascii="宋体" w:hAnsi="宋体" w:cs="宋体" w:eastAsia="宋体" w:hint="default"/>
                <w:spacing w:val="-42"/>
                <w:sz w:val="16"/>
                <w:szCs w:val="16"/>
              </w:rPr>
              <w:t> </w:t>
            </w:r>
            <w:r>
              <w:rPr>
                <w:rFonts w:ascii="宋体" w:hAnsi="宋体" w:cs="宋体" w:eastAsia="宋体" w:hint="default"/>
                <w:sz w:val="16"/>
                <w:szCs w:val="16"/>
              </w:rPr>
              <w:t>室、</w:t>
            </w:r>
            <w:r>
              <w:rPr>
                <w:rFonts w:ascii="宋体" w:hAnsi="宋体" w:cs="宋体" w:eastAsia="宋体" w:hint="default"/>
                <w:sz w:val="16"/>
                <w:szCs w:val="16"/>
              </w:rPr>
              <w:t>2702</w:t>
            </w:r>
            <w:r>
              <w:rPr>
                <w:rFonts w:ascii="宋体" w:hAnsi="宋体" w:cs="宋体" w:eastAsia="宋体" w:hint="default"/>
                <w:spacing w:val="-42"/>
                <w:sz w:val="16"/>
                <w:szCs w:val="16"/>
              </w:rPr>
              <w:t> </w:t>
            </w:r>
            <w:r>
              <w:rPr>
                <w:rFonts w:ascii="宋体" w:hAnsi="宋体" w:cs="宋体" w:eastAsia="宋体" w:hint="default"/>
                <w:sz w:val="16"/>
                <w:szCs w:val="16"/>
              </w:rPr>
              <w:t>室</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41" w:right="0"/>
              <w:jc w:val="both"/>
              <w:rPr>
                <w:rFonts w:ascii="宋体" w:hAnsi="宋体" w:cs="宋体" w:eastAsia="宋体" w:hint="default"/>
                <w:sz w:val="16"/>
                <w:szCs w:val="16"/>
              </w:rPr>
            </w:pPr>
            <w:r>
              <w:rPr>
                <w:rFonts w:ascii="宋体" w:hAnsi="宋体" w:cs="宋体" w:eastAsia="宋体" w:hint="default"/>
                <w:sz w:val="16"/>
                <w:szCs w:val="16"/>
              </w:rPr>
              <w:t>杭州市新业</w:t>
            </w:r>
          </w:p>
          <w:p>
            <w:pPr>
              <w:pStyle w:val="TableParagraph"/>
              <w:spacing w:line="237" w:lineRule="auto" w:before="1"/>
              <w:ind w:left="141" w:right="142"/>
              <w:jc w:val="both"/>
              <w:rPr>
                <w:rFonts w:ascii="宋体" w:hAnsi="宋体" w:cs="宋体" w:eastAsia="宋体" w:hint="default"/>
                <w:sz w:val="16"/>
                <w:szCs w:val="16"/>
              </w:rPr>
            </w:pPr>
            <w:r>
              <w:rPr>
                <w:rFonts w:ascii="宋体" w:hAnsi="宋体" w:cs="宋体" w:eastAsia="宋体" w:hint="default"/>
                <w:sz w:val="16"/>
                <w:szCs w:val="16"/>
              </w:rPr>
              <w:t>路</w:t>
            </w:r>
            <w:r>
              <w:rPr>
                <w:rFonts w:ascii="宋体" w:hAnsi="宋体" w:cs="宋体" w:eastAsia="宋体" w:hint="default"/>
                <w:spacing w:val="-41"/>
                <w:sz w:val="16"/>
                <w:szCs w:val="16"/>
              </w:rPr>
              <w:t> </w:t>
            </w:r>
            <w:r>
              <w:rPr>
                <w:rFonts w:ascii="宋体" w:hAnsi="宋体" w:cs="宋体" w:eastAsia="宋体" w:hint="default"/>
                <w:sz w:val="16"/>
                <w:szCs w:val="16"/>
              </w:rPr>
              <w:t>200</w:t>
            </w:r>
            <w:r>
              <w:rPr>
                <w:rFonts w:ascii="宋体" w:hAnsi="宋体" w:cs="宋体" w:eastAsia="宋体" w:hint="default"/>
                <w:spacing w:val="-39"/>
                <w:sz w:val="16"/>
                <w:szCs w:val="16"/>
              </w:rPr>
              <w:t> </w:t>
            </w:r>
            <w:r>
              <w:rPr>
                <w:rFonts w:ascii="宋体" w:hAnsi="宋体" w:cs="宋体" w:eastAsia="宋体" w:hint="default"/>
                <w:spacing w:val="-3"/>
                <w:sz w:val="16"/>
                <w:szCs w:val="16"/>
              </w:rPr>
              <w:t>号华</w:t>
            </w:r>
            <w:r>
              <w:rPr>
                <w:rFonts w:ascii="宋体" w:hAnsi="宋体" w:cs="宋体" w:eastAsia="宋体" w:hint="default"/>
                <w:spacing w:val="-3"/>
                <w:w w:val="100"/>
                <w:sz w:val="16"/>
                <w:szCs w:val="16"/>
              </w:rPr>
              <w:t> </w:t>
            </w:r>
            <w:r>
              <w:rPr>
                <w:rFonts w:ascii="宋体" w:hAnsi="宋体" w:cs="宋体" w:eastAsia="宋体" w:hint="default"/>
                <w:sz w:val="16"/>
                <w:szCs w:val="16"/>
              </w:rPr>
              <w:t>峰国际商务</w:t>
            </w:r>
            <w:r>
              <w:rPr>
                <w:rFonts w:ascii="宋体" w:hAnsi="宋体" w:cs="宋体" w:eastAsia="宋体" w:hint="default"/>
                <w:w w:val="100"/>
                <w:sz w:val="16"/>
                <w:szCs w:val="16"/>
              </w:rPr>
              <w:t> </w:t>
            </w:r>
            <w:r>
              <w:rPr>
                <w:rFonts w:ascii="宋体" w:hAnsi="宋体" w:cs="宋体" w:eastAsia="宋体" w:hint="default"/>
                <w:sz w:val="16"/>
                <w:szCs w:val="16"/>
              </w:rPr>
              <w:t>大厦</w:t>
            </w:r>
            <w:r>
              <w:rPr>
                <w:rFonts w:ascii="宋体" w:hAnsi="宋体" w:cs="宋体" w:eastAsia="宋体" w:hint="default"/>
                <w:spacing w:val="-40"/>
                <w:sz w:val="16"/>
                <w:szCs w:val="16"/>
              </w:rPr>
              <w:t> </w:t>
            </w:r>
            <w:r>
              <w:rPr>
                <w:rFonts w:ascii="宋体" w:hAnsi="宋体" w:cs="宋体" w:eastAsia="宋体" w:hint="default"/>
                <w:sz w:val="16"/>
                <w:szCs w:val="16"/>
              </w:rPr>
              <w:t>16-17</w:t>
            </w:r>
          </w:p>
          <w:p>
            <w:pPr>
              <w:pStyle w:val="TableParagraph"/>
              <w:spacing w:line="240" w:lineRule="auto"/>
              <w:ind w:left="280" w:right="23" w:hanging="180"/>
              <w:jc w:val="left"/>
              <w:rPr>
                <w:rFonts w:ascii="宋体" w:hAnsi="宋体" w:cs="宋体" w:eastAsia="宋体" w:hint="default"/>
                <w:sz w:val="16"/>
                <w:szCs w:val="16"/>
              </w:rPr>
            </w:pPr>
            <w:r>
              <w:rPr>
                <w:rFonts w:ascii="宋体" w:hAnsi="宋体" w:cs="宋体" w:eastAsia="宋体" w:hint="default"/>
                <w:spacing w:val="-8"/>
                <w:sz w:val="16"/>
                <w:szCs w:val="16"/>
              </w:rPr>
              <w:t>层，</w:t>
            </w:r>
            <w:r>
              <w:rPr>
                <w:rFonts w:ascii="宋体" w:hAnsi="宋体" w:cs="宋体" w:eastAsia="宋体" w:hint="default"/>
                <w:spacing w:val="-8"/>
                <w:sz w:val="16"/>
                <w:szCs w:val="16"/>
              </w:rPr>
              <w:t>2603</w:t>
            </w:r>
            <w:r>
              <w:rPr>
                <w:rFonts w:ascii="宋体" w:hAnsi="宋体" w:cs="宋体" w:eastAsia="宋体" w:hint="default"/>
                <w:spacing w:val="-31"/>
                <w:sz w:val="16"/>
                <w:szCs w:val="16"/>
              </w:rPr>
              <w:t> </w:t>
            </w:r>
            <w:r>
              <w:rPr>
                <w:rFonts w:ascii="宋体" w:hAnsi="宋体" w:cs="宋体" w:eastAsia="宋体" w:hint="default"/>
                <w:spacing w:val="-3"/>
                <w:sz w:val="16"/>
                <w:szCs w:val="16"/>
              </w:rPr>
              <w:t>室、</w:t>
            </w:r>
            <w:r>
              <w:rPr>
                <w:rFonts w:ascii="宋体" w:hAnsi="宋体" w:cs="宋体" w:eastAsia="宋体" w:hint="default"/>
                <w:spacing w:val="-78"/>
                <w:sz w:val="16"/>
                <w:szCs w:val="16"/>
              </w:rPr>
              <w:t> </w:t>
            </w:r>
            <w:r>
              <w:rPr>
                <w:rFonts w:ascii="宋体" w:hAnsi="宋体" w:cs="宋体" w:eastAsia="宋体" w:hint="default"/>
                <w:sz w:val="16"/>
                <w:szCs w:val="16"/>
              </w:rPr>
              <w:t>2702</w:t>
            </w:r>
            <w:r>
              <w:rPr>
                <w:rFonts w:ascii="宋体" w:hAnsi="宋体" w:cs="宋体" w:eastAsia="宋体" w:hint="default"/>
                <w:spacing w:val="-40"/>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sz w:val="16"/>
                <w:szCs w:val="16"/>
              </w:rPr>
              <w:t>葛国栋</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09" w:lineRule="exact"/>
              <w:ind w:left="103" w:right="0"/>
              <w:jc w:val="left"/>
              <w:rPr>
                <w:rFonts w:ascii="宋体" w:hAnsi="宋体" w:cs="宋体" w:eastAsia="宋体" w:hint="default"/>
                <w:sz w:val="16"/>
                <w:szCs w:val="16"/>
              </w:rPr>
            </w:pPr>
            <w:r>
              <w:rPr>
                <w:rFonts w:ascii="宋体"/>
                <w:sz w:val="16"/>
              </w:rPr>
              <w:t>0571-</w:t>
            </w:r>
          </w:p>
          <w:p>
            <w:pPr>
              <w:pStyle w:val="TableParagraph"/>
              <w:spacing w:line="209" w:lineRule="exact"/>
              <w:ind w:left="103" w:right="0"/>
              <w:jc w:val="left"/>
              <w:rPr>
                <w:rFonts w:ascii="宋体" w:hAnsi="宋体" w:cs="宋体" w:eastAsia="宋体" w:hint="default"/>
                <w:sz w:val="16"/>
                <w:szCs w:val="16"/>
              </w:rPr>
            </w:pPr>
            <w:r>
              <w:rPr>
                <w:rFonts w:ascii="宋体"/>
                <w:sz w:val="16"/>
              </w:rPr>
              <w:t>88398228</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03" w:right="127"/>
              <w:jc w:val="left"/>
              <w:rPr>
                <w:rFonts w:ascii="宋体" w:hAnsi="宋体" w:cs="宋体" w:eastAsia="宋体" w:hint="default"/>
                <w:sz w:val="16"/>
                <w:szCs w:val="16"/>
              </w:rPr>
            </w:pPr>
            <w:r>
              <w:rPr>
                <w:rFonts w:ascii="宋体" w:hAnsi="宋体" w:cs="宋体" w:eastAsia="宋体" w:hint="default"/>
                <w:sz w:val="16"/>
                <w:szCs w:val="16"/>
              </w:rPr>
              <w:t>浙江省浙商资产管</w:t>
            </w:r>
            <w:r>
              <w:rPr>
                <w:rFonts w:ascii="宋体" w:hAnsi="宋体" w:cs="宋体" w:eastAsia="宋体" w:hint="default"/>
                <w:w w:val="100"/>
                <w:sz w:val="16"/>
                <w:szCs w:val="16"/>
              </w:rPr>
              <w:t> </w:t>
            </w:r>
            <w:r>
              <w:rPr>
                <w:rFonts w:ascii="宋体" w:hAnsi="宋体" w:cs="宋体" w:eastAsia="宋体" w:hint="default"/>
                <w:sz w:val="16"/>
                <w:szCs w:val="16"/>
              </w:rPr>
              <w:t>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sz w:val="16"/>
              </w:rPr>
              <w:t>20.81%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2013/8/6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240" w:right="101" w:firstLine="439"/>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w w:val="100"/>
                <w:sz w:val="16"/>
                <w:szCs w:val="16"/>
              </w:rPr>
              <w:t> </w:t>
            </w:r>
            <w:r>
              <w:rPr>
                <w:rFonts w:ascii="宋体" w:hAnsi="宋体" w:cs="宋体" w:eastAsia="宋体" w:hint="default"/>
                <w:sz w:val="16"/>
                <w:szCs w:val="16"/>
              </w:rPr>
              <w:t>601,800</w:t>
            </w:r>
            <w:r>
              <w:rPr>
                <w:rFonts w:ascii="宋体" w:hAnsi="宋体" w:cs="宋体" w:eastAsia="宋体" w:hint="default"/>
                <w:spacing w:val="-42"/>
                <w:sz w:val="16"/>
                <w:szCs w:val="16"/>
              </w:rPr>
              <w:t> </w:t>
            </w:r>
            <w:r>
              <w:rPr>
                <w:rFonts w:ascii="宋体" w:hAnsi="宋体" w:cs="宋体" w:eastAsia="宋体" w:hint="default"/>
                <w:spacing w:val="-3"/>
                <w:sz w:val="16"/>
                <w:szCs w:val="16"/>
              </w:rPr>
              <w:t>万元</w:t>
            </w:r>
            <w:r>
              <w:rPr>
                <w:rFonts w:ascii="宋体" w:hAnsi="宋体" w:cs="宋体" w:eastAsia="宋体" w:hint="default"/>
                <w:sz w:val="16"/>
                <w:szCs w:val="16"/>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259" w:right="158" w:hanging="101"/>
              <w:jc w:val="left"/>
              <w:rPr>
                <w:rFonts w:ascii="宋体" w:hAnsi="宋体" w:cs="宋体" w:eastAsia="宋体" w:hint="default"/>
                <w:sz w:val="16"/>
                <w:szCs w:val="16"/>
              </w:rPr>
            </w:pPr>
            <w:r>
              <w:rPr>
                <w:rFonts w:ascii="宋体" w:hAnsi="宋体" w:cs="宋体" w:eastAsia="宋体" w:hint="default"/>
                <w:sz w:val="16"/>
                <w:szCs w:val="16"/>
              </w:rPr>
              <w:t>杭州市西湖大道</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193</w:t>
            </w:r>
            <w:r>
              <w:rPr>
                <w:rFonts w:ascii="宋体" w:hAnsi="宋体" w:cs="宋体" w:eastAsia="宋体" w:hint="default"/>
                <w:spacing w:val="-41"/>
                <w:sz w:val="16"/>
                <w:szCs w:val="16"/>
              </w:rPr>
              <w:t> </w:t>
            </w:r>
            <w:r>
              <w:rPr>
                <w:rFonts w:ascii="宋体" w:hAnsi="宋体" w:cs="宋体" w:eastAsia="宋体" w:hint="default"/>
                <w:sz w:val="16"/>
                <w:szCs w:val="16"/>
              </w:rPr>
              <w:t>号</w:t>
            </w:r>
            <w:r>
              <w:rPr>
                <w:rFonts w:ascii="宋体" w:hAnsi="宋体" w:cs="宋体" w:eastAsia="宋体" w:hint="default"/>
                <w:spacing w:val="-42"/>
                <w:sz w:val="16"/>
                <w:szCs w:val="16"/>
              </w:rPr>
              <w:t> </w:t>
            </w:r>
            <w:r>
              <w:rPr>
                <w:rFonts w:ascii="宋体" w:hAnsi="宋体" w:cs="宋体" w:eastAsia="宋体" w:hint="default"/>
                <w:sz w:val="16"/>
                <w:szCs w:val="16"/>
              </w:rPr>
              <w:t>301</w:t>
            </w:r>
            <w:r>
              <w:rPr>
                <w:rFonts w:ascii="宋体" w:hAnsi="宋体" w:cs="宋体" w:eastAsia="宋体" w:hint="default"/>
                <w:spacing w:val="-41"/>
                <w:sz w:val="16"/>
                <w:szCs w:val="16"/>
              </w:rPr>
              <w:t> </w:t>
            </w:r>
            <w:r>
              <w:rPr>
                <w:rFonts w:ascii="宋体" w:hAnsi="宋体" w:cs="宋体" w:eastAsia="宋体" w:hint="default"/>
                <w:sz w:val="16"/>
                <w:szCs w:val="16"/>
              </w:rPr>
              <w:t>室</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杭州市西湖</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大道</w:t>
            </w:r>
            <w:r>
              <w:rPr>
                <w:rFonts w:ascii="宋体" w:hAnsi="宋体" w:cs="宋体" w:eastAsia="宋体" w:hint="default"/>
                <w:spacing w:val="-42"/>
                <w:sz w:val="16"/>
                <w:szCs w:val="16"/>
              </w:rPr>
              <w:t> </w:t>
            </w:r>
            <w:r>
              <w:rPr>
                <w:rFonts w:ascii="宋体" w:hAnsi="宋体" w:cs="宋体" w:eastAsia="宋体" w:hint="default"/>
                <w:sz w:val="16"/>
                <w:szCs w:val="16"/>
              </w:rPr>
              <w:t>193</w:t>
            </w:r>
            <w:r>
              <w:rPr>
                <w:rFonts w:ascii="宋体" w:hAnsi="宋体" w:cs="宋体" w:eastAsia="宋体" w:hint="default"/>
                <w:spacing w:val="-41"/>
                <w:sz w:val="16"/>
                <w:szCs w:val="16"/>
              </w:rPr>
              <w:t> </w:t>
            </w:r>
            <w:r>
              <w:rPr>
                <w:rFonts w:ascii="宋体" w:hAnsi="宋体" w:cs="宋体" w:eastAsia="宋体" w:hint="default"/>
                <w:sz w:val="16"/>
                <w:szCs w:val="16"/>
              </w:rPr>
              <w:t>号</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301</w:t>
            </w:r>
            <w:r>
              <w:rPr>
                <w:rFonts w:ascii="宋体" w:hAnsi="宋体" w:cs="宋体" w:eastAsia="宋体" w:hint="default"/>
                <w:spacing w:val="-41"/>
                <w:sz w:val="16"/>
                <w:szCs w:val="16"/>
              </w:rPr>
              <w:t> </w:t>
            </w:r>
            <w:r>
              <w:rPr>
                <w:rFonts w:ascii="宋体" w:hAnsi="宋体" w:cs="宋体" w:eastAsia="宋体" w:hint="default"/>
                <w:sz w:val="16"/>
                <w:szCs w:val="16"/>
              </w:rPr>
              <w:t>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孙建华</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center"/>
              <w:rPr>
                <w:rFonts w:ascii="宋体" w:hAnsi="宋体" w:cs="宋体" w:eastAsia="宋体" w:hint="default"/>
                <w:sz w:val="16"/>
                <w:szCs w:val="16"/>
              </w:rPr>
            </w:pPr>
            <w:r>
              <w:rPr>
                <w:rFonts w:ascii="宋体"/>
                <w:sz w:val="16"/>
              </w:rPr>
              <w:t>0571-89773800</w:t>
            </w:r>
          </w:p>
        </w:tc>
      </w:tr>
    </w:tbl>
    <w:p>
      <w:pPr>
        <w:spacing w:line="240" w:lineRule="auto" w:before="13"/>
        <w:rPr>
          <w:rFonts w:ascii="宋体" w:hAnsi="宋体" w:cs="宋体" w:eastAsia="宋体" w:hint="default"/>
          <w:sz w:val="12"/>
          <w:szCs w:val="12"/>
        </w:rPr>
      </w:pPr>
    </w:p>
    <w:p>
      <w:pPr>
        <w:pStyle w:val="BodyText"/>
        <w:spacing w:line="240" w:lineRule="auto" w:before="36"/>
        <w:ind w:left="638" w:right="0"/>
        <w:jc w:val="left"/>
      </w:pPr>
      <w:r>
        <w:rPr/>
        <w:t>主要子公司、参股公司基本情况如下：</w:t>
      </w:r>
    </w:p>
    <w:p>
      <w:pPr>
        <w:pStyle w:val="BodyText"/>
        <w:spacing w:line="240" w:lineRule="auto" w:before="133"/>
        <w:ind w:left="638" w:right="0"/>
        <w:jc w:val="left"/>
      </w:pPr>
      <w:r>
        <w:rPr/>
        <w:t>（</w:t>
      </w:r>
      <w:r>
        <w:rPr>
          <w:rFonts w:ascii="宋体" w:hAnsi="宋体" w:cs="宋体" w:eastAsia="宋体" w:hint="default"/>
        </w:rPr>
        <w:t>1</w:t>
      </w:r>
      <w:r>
        <w:rPr/>
        <w:t>）财通证券资管注册资本</w:t>
      </w:r>
      <w:r>
        <w:rPr>
          <w:spacing w:val="-57"/>
        </w:rPr>
        <w:t> </w:t>
      </w:r>
      <w:r>
        <w:rPr>
          <w:rFonts w:ascii="宋体" w:hAnsi="宋体" w:cs="宋体" w:eastAsia="宋体" w:hint="default"/>
        </w:rPr>
        <w:t>20,000</w:t>
      </w:r>
      <w:r>
        <w:rPr>
          <w:rFonts w:ascii="宋体" w:hAnsi="宋体" w:cs="宋体" w:eastAsia="宋体" w:hint="default"/>
          <w:spacing w:val="-59"/>
        </w:rPr>
        <w:t> </w:t>
      </w:r>
      <w:r>
        <w:rPr/>
        <w:t>万元，截至报告期末，财通证券资管总资产人民币</w:t>
      </w:r>
    </w:p>
    <w:p>
      <w:pPr>
        <w:pStyle w:val="BodyText"/>
        <w:spacing w:line="240" w:lineRule="auto" w:before="133"/>
        <w:ind w:left="218" w:right="0"/>
        <w:jc w:val="left"/>
      </w:pPr>
      <w:r>
        <w:rPr>
          <w:rFonts w:ascii="宋体" w:hAnsi="宋体" w:cs="宋体" w:eastAsia="宋体" w:hint="default"/>
        </w:rPr>
        <w:t>120,752.81</w:t>
      </w:r>
      <w:r>
        <w:rPr>
          <w:rFonts w:ascii="宋体" w:hAnsi="宋体" w:cs="宋体" w:eastAsia="宋体" w:hint="default"/>
          <w:spacing w:val="-50"/>
        </w:rPr>
        <w:t> </w:t>
      </w:r>
      <w:r>
        <w:rPr>
          <w:spacing w:val="-4"/>
        </w:rPr>
        <w:t>万元，净资产人民币</w:t>
      </w:r>
      <w:r>
        <w:rPr>
          <w:spacing w:val="-49"/>
        </w:rPr>
        <w:t> </w:t>
      </w:r>
      <w:r>
        <w:rPr>
          <w:rFonts w:ascii="宋体" w:hAnsi="宋体" w:cs="宋体" w:eastAsia="宋体" w:hint="default"/>
        </w:rPr>
        <w:t>75,409.52</w:t>
      </w:r>
      <w:r>
        <w:rPr>
          <w:rFonts w:ascii="宋体" w:hAnsi="宋体" w:cs="宋体" w:eastAsia="宋体" w:hint="default"/>
          <w:spacing w:val="-50"/>
        </w:rPr>
        <w:t> </w:t>
      </w:r>
      <w:r>
        <w:rPr>
          <w:spacing w:val="-4"/>
        </w:rPr>
        <w:t>万元；</w:t>
      </w:r>
      <w:r>
        <w:rPr>
          <w:rFonts w:ascii="宋体" w:hAnsi="宋体" w:cs="宋体" w:eastAsia="宋体" w:hint="default"/>
          <w:spacing w:val="-4"/>
        </w:rPr>
        <w:t>2018</w:t>
      </w:r>
      <w:r>
        <w:rPr>
          <w:rFonts w:ascii="宋体" w:hAnsi="宋体" w:cs="宋体" w:eastAsia="宋体" w:hint="default"/>
          <w:spacing w:val="-49"/>
        </w:rPr>
        <w:t> </w:t>
      </w:r>
      <w:r>
        <w:rPr/>
        <w:t>年实现营业收入人民币</w:t>
      </w:r>
      <w:r>
        <w:rPr>
          <w:spacing w:val="-50"/>
        </w:rPr>
        <w:t> </w:t>
      </w:r>
      <w:r>
        <w:rPr>
          <w:rFonts w:ascii="宋体" w:hAnsi="宋体" w:cs="宋体" w:eastAsia="宋体" w:hint="default"/>
        </w:rPr>
        <w:t>66,996.94</w:t>
      </w:r>
      <w:r>
        <w:rPr>
          <w:rFonts w:ascii="宋体" w:hAnsi="宋体" w:cs="宋体" w:eastAsia="宋体" w:hint="default"/>
          <w:spacing w:val="-49"/>
        </w:rPr>
        <w:t> </w:t>
      </w:r>
      <w:r>
        <w:rPr>
          <w:spacing w:val="-7"/>
        </w:rPr>
        <w:t>万元，利</w:t>
      </w:r>
    </w:p>
    <w:p>
      <w:pPr>
        <w:pStyle w:val="BodyText"/>
        <w:spacing w:line="355" w:lineRule="auto" w:before="135"/>
        <w:ind w:left="638" w:right="0" w:hanging="420"/>
        <w:jc w:val="left"/>
      </w:pPr>
      <w:r>
        <w:rPr/>
        <w:t>润总额人民币</w:t>
      </w:r>
      <w:r>
        <w:rPr>
          <w:spacing w:val="-54"/>
        </w:rPr>
        <w:t> </w:t>
      </w:r>
      <w:r>
        <w:rPr>
          <w:rFonts w:ascii="宋体" w:hAnsi="宋体" w:cs="宋体" w:eastAsia="宋体" w:hint="default"/>
        </w:rPr>
        <w:t>9,387.08</w:t>
      </w:r>
      <w:r>
        <w:rPr>
          <w:rFonts w:ascii="宋体" w:hAnsi="宋体" w:cs="宋体" w:eastAsia="宋体" w:hint="default"/>
          <w:spacing w:val="-56"/>
        </w:rPr>
        <w:t> </w:t>
      </w:r>
      <w:r>
        <w:rPr/>
        <w:t>万元，净利润人民币</w:t>
      </w:r>
      <w:r>
        <w:rPr>
          <w:spacing w:val="-53"/>
        </w:rPr>
        <w:t> </w:t>
      </w:r>
      <w:r>
        <w:rPr>
          <w:rFonts w:ascii="宋体" w:hAnsi="宋体" w:cs="宋体" w:eastAsia="宋体" w:hint="default"/>
        </w:rPr>
        <w:t>7,118.11</w:t>
      </w:r>
      <w:r>
        <w:rPr>
          <w:rFonts w:ascii="宋体" w:hAnsi="宋体" w:cs="宋体" w:eastAsia="宋体" w:hint="default"/>
          <w:spacing w:val="-54"/>
        </w:rPr>
        <w:t> </w:t>
      </w:r>
      <w:r>
        <w:rPr/>
        <w:t>万元。</w:t>
      </w:r>
      <w:r>
        <w:rPr>
          <w:w w:val="100"/>
        </w:rPr>
        <w:t> </w:t>
      </w:r>
      <w:r>
        <w:rPr>
          <w:spacing w:val="-2"/>
        </w:rPr>
        <w:t>财通证券资管的主营业务：证券资产管理业务、公开募集证券投资基金管理业务。</w:t>
      </w:r>
    </w:p>
    <w:p>
      <w:pPr>
        <w:spacing w:after="0" w:line="355" w:lineRule="auto"/>
        <w:jc w:val="left"/>
        <w:sectPr>
          <w:pgSz w:w="11910" w:h="16840"/>
          <w:pgMar w:header="880" w:footer="1195" w:top="1060" w:bottom="1380" w:left="1200" w:right="860"/>
        </w:sectPr>
      </w:pPr>
    </w:p>
    <w:p>
      <w:pPr>
        <w:spacing w:line="240" w:lineRule="auto" w:before="8"/>
        <w:rPr>
          <w:rFonts w:ascii="宋体" w:hAnsi="宋体" w:cs="宋体" w:eastAsia="宋体" w:hint="default"/>
          <w:sz w:val="28"/>
          <w:szCs w:val="28"/>
        </w:rPr>
      </w:pPr>
    </w:p>
    <w:p>
      <w:pPr>
        <w:pStyle w:val="BodyText"/>
        <w:spacing w:line="240" w:lineRule="auto" w:before="36"/>
        <w:ind w:left="558" w:right="0"/>
        <w:jc w:val="left"/>
      </w:pPr>
      <w:r>
        <w:rPr>
          <w:spacing w:val="-7"/>
        </w:rPr>
        <w:t>（</w:t>
      </w:r>
      <w:r>
        <w:rPr>
          <w:rFonts w:ascii="宋体" w:hAnsi="宋体" w:cs="宋体" w:eastAsia="宋体" w:hint="default"/>
          <w:spacing w:val="-7"/>
        </w:rPr>
        <w:t>2</w:t>
      </w:r>
      <w:r>
        <w:rPr>
          <w:spacing w:val="-7"/>
        </w:rPr>
        <w:t>）财通资本注册资本</w:t>
      </w:r>
      <w:r>
        <w:rPr>
          <w:spacing w:val="-37"/>
        </w:rPr>
        <w:t> </w:t>
      </w:r>
      <w:r>
        <w:rPr>
          <w:rFonts w:ascii="宋体" w:hAnsi="宋体" w:cs="宋体" w:eastAsia="宋体" w:hint="default"/>
        </w:rPr>
        <w:t>50,000</w:t>
      </w:r>
      <w:r>
        <w:rPr>
          <w:rFonts w:ascii="宋体" w:hAnsi="宋体" w:cs="宋体" w:eastAsia="宋体" w:hint="default"/>
          <w:spacing w:val="-41"/>
        </w:rPr>
        <w:t> </w:t>
      </w:r>
      <w:r>
        <w:rPr>
          <w:spacing w:val="-8"/>
        </w:rPr>
        <w:t>万元，截至报告期末，财通资本总资产人民币</w:t>
      </w:r>
      <w:r>
        <w:rPr>
          <w:spacing w:val="-38"/>
        </w:rPr>
        <w:t> </w:t>
      </w:r>
      <w:r>
        <w:rPr>
          <w:rFonts w:ascii="宋体" w:hAnsi="宋体" w:cs="宋体" w:eastAsia="宋体" w:hint="default"/>
        </w:rPr>
        <w:t>78,369.97</w:t>
      </w:r>
      <w:r>
        <w:rPr>
          <w:rFonts w:ascii="宋体" w:hAnsi="宋体" w:cs="宋体" w:eastAsia="宋体" w:hint="default"/>
          <w:spacing w:val="-41"/>
        </w:rPr>
        <w:t> </w:t>
      </w:r>
      <w:r>
        <w:rPr/>
        <w:t>万元，</w:t>
      </w:r>
    </w:p>
    <w:p>
      <w:pPr>
        <w:pStyle w:val="BodyText"/>
        <w:spacing w:line="240" w:lineRule="auto" w:before="135"/>
        <w:ind w:right="0"/>
        <w:jc w:val="left"/>
      </w:pPr>
      <w:r>
        <w:rPr/>
        <w:t>净资产人民币</w:t>
      </w:r>
      <w:r>
        <w:rPr>
          <w:spacing w:val="-54"/>
        </w:rPr>
        <w:t> </w:t>
      </w:r>
      <w:r>
        <w:rPr>
          <w:rFonts w:ascii="宋体" w:hAnsi="宋体" w:cs="宋体" w:eastAsia="宋体" w:hint="default"/>
        </w:rPr>
        <w:t>41,462.12</w:t>
      </w:r>
      <w:r>
        <w:rPr>
          <w:rFonts w:ascii="宋体" w:hAnsi="宋体" w:cs="宋体" w:eastAsia="宋体" w:hint="default"/>
          <w:spacing w:val="-56"/>
        </w:rPr>
        <w:t> </w:t>
      </w:r>
      <w:r>
        <w:rPr/>
        <w:t>万元；</w:t>
      </w:r>
      <w:r>
        <w:rPr>
          <w:rFonts w:ascii="宋体" w:hAnsi="宋体" w:cs="宋体" w:eastAsia="宋体" w:hint="default"/>
        </w:rPr>
        <w:t>2018</w:t>
      </w:r>
      <w:r>
        <w:rPr>
          <w:rFonts w:ascii="宋体" w:hAnsi="宋体" w:cs="宋体" w:eastAsia="宋体" w:hint="default"/>
          <w:spacing w:val="-54"/>
        </w:rPr>
        <w:t> </w:t>
      </w:r>
      <w:r>
        <w:rPr/>
        <w:t>年实现营业收入人民币</w:t>
      </w:r>
      <w:r>
        <w:rPr>
          <w:spacing w:val="-54"/>
        </w:rPr>
        <w:t> </w:t>
      </w:r>
      <w:r>
        <w:rPr>
          <w:rFonts w:ascii="宋体" w:hAnsi="宋体" w:cs="宋体" w:eastAsia="宋体" w:hint="default"/>
        </w:rPr>
        <w:t>7,217.14</w:t>
      </w:r>
      <w:r>
        <w:rPr>
          <w:rFonts w:ascii="宋体" w:hAnsi="宋体" w:cs="宋体" w:eastAsia="宋体" w:hint="default"/>
          <w:spacing w:val="-56"/>
        </w:rPr>
        <w:t> </w:t>
      </w:r>
      <w:r>
        <w:rPr/>
        <w:t>万元，利润总额人民币</w:t>
      </w:r>
    </w:p>
    <w:p>
      <w:pPr>
        <w:pStyle w:val="BodyText"/>
        <w:spacing w:line="355" w:lineRule="auto" w:before="133"/>
        <w:ind w:left="558" w:right="0" w:hanging="420"/>
        <w:jc w:val="left"/>
      </w:pPr>
      <w:r>
        <w:rPr>
          <w:rFonts w:ascii="宋体" w:hAnsi="宋体" w:cs="宋体" w:eastAsia="宋体" w:hint="default"/>
        </w:rPr>
        <w:t>5,162.31</w:t>
      </w:r>
      <w:r>
        <w:rPr>
          <w:rFonts w:ascii="宋体" w:hAnsi="宋体" w:cs="宋体" w:eastAsia="宋体" w:hint="default"/>
          <w:spacing w:val="-55"/>
        </w:rPr>
        <w:t> </w:t>
      </w:r>
      <w:r>
        <w:rPr/>
        <w:t>万元，净利润人民币</w:t>
      </w:r>
      <w:r>
        <w:rPr>
          <w:spacing w:val="-52"/>
        </w:rPr>
        <w:t> </w:t>
      </w:r>
      <w:r>
        <w:rPr>
          <w:rFonts w:ascii="宋体" w:hAnsi="宋体" w:cs="宋体" w:eastAsia="宋体" w:hint="default"/>
        </w:rPr>
        <w:t>3,658.79</w:t>
      </w:r>
      <w:r>
        <w:rPr>
          <w:rFonts w:ascii="宋体" w:hAnsi="宋体" w:cs="宋体" w:eastAsia="宋体" w:hint="default"/>
          <w:spacing w:val="-55"/>
        </w:rPr>
        <w:t> </w:t>
      </w:r>
      <w:r>
        <w:rPr/>
        <w:t>万元。</w:t>
      </w:r>
      <w:r>
        <w:rPr>
          <w:w w:val="100"/>
        </w:rPr>
        <w:t> </w:t>
      </w:r>
      <w:r>
        <w:rPr>
          <w:spacing w:val="-2"/>
        </w:rPr>
        <w:t>财通资本的主营业务：实业投资，股权投资，投资咨询，资产管理，财务咨询。</w:t>
      </w:r>
    </w:p>
    <w:p>
      <w:pPr>
        <w:pStyle w:val="BodyText"/>
        <w:spacing w:line="240" w:lineRule="auto" w:before="32"/>
        <w:ind w:left="558" w:right="0"/>
        <w:jc w:val="left"/>
        <w:rPr>
          <w:rFonts w:ascii="宋体" w:hAnsi="宋体" w:cs="宋体" w:eastAsia="宋体" w:hint="default"/>
        </w:rPr>
      </w:pPr>
      <w:r>
        <w:rPr>
          <w:spacing w:val="-1"/>
          <w:w w:val="100"/>
        </w:rPr>
        <w:t>（</w:t>
      </w:r>
      <w:r>
        <w:rPr>
          <w:rFonts w:ascii="宋体" w:hAnsi="宋体" w:cs="宋体" w:eastAsia="宋体" w:hint="default"/>
          <w:w w:val="100"/>
        </w:rPr>
        <w:t>3</w:t>
      </w:r>
      <w:r>
        <w:rPr>
          <w:spacing w:val="-106"/>
          <w:w w:val="100"/>
        </w:rPr>
        <w:t>）</w:t>
      </w:r>
      <w:r>
        <w:rPr>
          <w:spacing w:val="-3"/>
          <w:w w:val="100"/>
        </w:rPr>
        <w:t>财</w:t>
      </w:r>
      <w:r>
        <w:rPr>
          <w:w w:val="100"/>
        </w:rPr>
        <w:t>通</w:t>
      </w:r>
      <w:r>
        <w:rPr>
          <w:spacing w:val="-3"/>
          <w:w w:val="100"/>
        </w:rPr>
        <w:t>创</w:t>
      </w:r>
      <w:r>
        <w:rPr>
          <w:spacing w:val="-1"/>
          <w:w w:val="100"/>
        </w:rPr>
        <w:t>新</w:t>
      </w:r>
      <w:r>
        <w:rPr>
          <w:spacing w:val="-3"/>
          <w:w w:val="100"/>
        </w:rPr>
        <w:t>注</w:t>
      </w:r>
      <w:r>
        <w:rPr>
          <w:w w:val="100"/>
        </w:rPr>
        <w:t>册</w:t>
      </w:r>
      <w:r>
        <w:rPr>
          <w:spacing w:val="-3"/>
          <w:w w:val="100"/>
        </w:rPr>
        <w:t>资</w:t>
      </w:r>
      <w:r>
        <w:rPr>
          <w:w w:val="100"/>
        </w:rPr>
        <w:t>本</w:t>
      </w:r>
      <w:r>
        <w:rPr>
          <w:spacing w:val="-3"/>
          <w:w w:val="100"/>
        </w:rPr>
        <w:t>人</w:t>
      </w:r>
      <w:r>
        <w:rPr>
          <w:w w:val="100"/>
        </w:rPr>
        <w:t>民币</w:t>
      </w:r>
      <w:r>
        <w:rPr>
          <w:spacing w:val="-57"/>
        </w:rPr>
        <w:t> </w:t>
      </w:r>
      <w:r>
        <w:rPr>
          <w:rFonts w:ascii="宋体" w:hAnsi="宋体" w:cs="宋体" w:eastAsia="宋体" w:hint="default"/>
          <w:w w:val="100"/>
        </w:rPr>
        <w:t>38</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58"/>
        </w:rPr>
        <w:t> </w:t>
      </w:r>
      <w:r>
        <w:rPr>
          <w:spacing w:val="-3"/>
          <w:w w:val="100"/>
        </w:rPr>
        <w:t>万</w:t>
      </w:r>
      <w:r>
        <w:rPr>
          <w:w w:val="100"/>
        </w:rPr>
        <w:t>元</w:t>
      </w:r>
      <w:r>
        <w:rPr>
          <w:spacing w:val="-108"/>
          <w:w w:val="100"/>
        </w:rPr>
        <w:t>，</w:t>
      </w:r>
      <w:r>
        <w:rPr>
          <w:w w:val="100"/>
        </w:rPr>
        <w:t>截</w:t>
      </w:r>
      <w:r>
        <w:rPr>
          <w:spacing w:val="-3"/>
          <w:w w:val="100"/>
        </w:rPr>
        <w:t>至报</w:t>
      </w:r>
      <w:r>
        <w:rPr>
          <w:w w:val="100"/>
        </w:rPr>
        <w:t>告期</w:t>
      </w:r>
      <w:r>
        <w:rPr>
          <w:spacing w:val="-3"/>
          <w:w w:val="100"/>
        </w:rPr>
        <w:t>末</w:t>
      </w:r>
      <w:r>
        <w:rPr>
          <w:spacing w:val="-106"/>
          <w:w w:val="100"/>
        </w:rPr>
        <w:t>，</w:t>
      </w:r>
      <w:r>
        <w:rPr>
          <w:spacing w:val="-3"/>
          <w:w w:val="100"/>
        </w:rPr>
        <w:t>财</w:t>
      </w:r>
      <w:r>
        <w:rPr>
          <w:w w:val="100"/>
        </w:rPr>
        <w:t>通</w:t>
      </w:r>
      <w:r>
        <w:rPr>
          <w:spacing w:val="-3"/>
          <w:w w:val="100"/>
        </w:rPr>
        <w:t>创</w:t>
      </w:r>
      <w:r>
        <w:rPr>
          <w:w w:val="100"/>
        </w:rPr>
        <w:t>新</w:t>
      </w:r>
      <w:r>
        <w:rPr>
          <w:spacing w:val="-3"/>
          <w:w w:val="100"/>
        </w:rPr>
        <w:t>总</w:t>
      </w:r>
      <w:r>
        <w:rPr>
          <w:w w:val="100"/>
        </w:rPr>
        <w:t>资</w:t>
      </w:r>
      <w:r>
        <w:rPr>
          <w:spacing w:val="-3"/>
          <w:w w:val="100"/>
        </w:rPr>
        <w:t>产人</w:t>
      </w:r>
      <w:r>
        <w:rPr>
          <w:w w:val="100"/>
        </w:rPr>
        <w:t>民币</w:t>
      </w:r>
      <w:r>
        <w:rPr>
          <w:spacing w:val="-57"/>
        </w:rPr>
        <w:t> </w:t>
      </w:r>
      <w:r>
        <w:rPr>
          <w:rFonts w:ascii="宋体" w:hAnsi="宋体" w:cs="宋体" w:eastAsia="宋体" w:hint="default"/>
          <w:w w:val="100"/>
        </w:rPr>
        <w:t>26</w:t>
      </w:r>
      <w:r>
        <w:rPr>
          <w:rFonts w:ascii="宋体" w:hAnsi="宋体" w:cs="宋体" w:eastAsia="宋体" w:hint="default"/>
          <w:spacing w:val="-3"/>
          <w:w w:val="100"/>
        </w:rPr>
        <w:t>6</w:t>
      </w:r>
      <w:r>
        <w:rPr>
          <w:rFonts w:ascii="宋体" w:hAnsi="宋体" w:cs="宋体" w:eastAsia="宋体" w:hint="default"/>
          <w:w w:val="100"/>
        </w:rPr>
        <w:t>,84</w:t>
      </w:r>
      <w:r>
        <w:rPr>
          <w:rFonts w:ascii="宋体" w:hAnsi="宋体" w:cs="宋体" w:eastAsia="宋体" w:hint="default"/>
          <w:spacing w:val="-3"/>
          <w:w w:val="100"/>
        </w:rPr>
        <w:t>1</w:t>
      </w:r>
      <w:r>
        <w:rPr>
          <w:rFonts w:ascii="宋体" w:hAnsi="宋体" w:cs="宋体" w:eastAsia="宋体" w:hint="default"/>
          <w:w w:val="100"/>
        </w:rPr>
        <w:t>.74</w:t>
      </w:r>
    </w:p>
    <w:p>
      <w:pPr>
        <w:pStyle w:val="BodyText"/>
        <w:spacing w:line="240" w:lineRule="auto" w:before="133"/>
        <w:ind w:right="0"/>
        <w:jc w:val="left"/>
      </w:pPr>
      <w:r>
        <w:rPr/>
        <w:t>万元，净资产人民币</w:t>
      </w:r>
      <w:r>
        <w:rPr>
          <w:spacing w:val="-58"/>
        </w:rPr>
        <w:t> </w:t>
      </w:r>
      <w:r>
        <w:rPr>
          <w:rFonts w:ascii="宋体" w:hAnsi="宋体" w:cs="宋体" w:eastAsia="宋体" w:hint="default"/>
        </w:rPr>
        <w:t>266,399.06</w:t>
      </w:r>
      <w:r>
        <w:rPr>
          <w:rFonts w:ascii="宋体" w:hAnsi="宋体" w:cs="宋体" w:eastAsia="宋体" w:hint="default"/>
          <w:spacing w:val="-57"/>
        </w:rPr>
        <w:t> </w:t>
      </w:r>
      <w:r>
        <w:rPr/>
        <w:t>万元；</w:t>
      </w:r>
      <w:r>
        <w:rPr>
          <w:rFonts w:ascii="宋体" w:hAnsi="宋体" w:cs="宋体" w:eastAsia="宋体" w:hint="default"/>
        </w:rPr>
        <w:t>2018</w:t>
      </w:r>
      <w:r>
        <w:rPr>
          <w:rFonts w:ascii="宋体" w:hAnsi="宋体" w:cs="宋体" w:eastAsia="宋体" w:hint="default"/>
          <w:spacing w:val="-58"/>
        </w:rPr>
        <w:t> </w:t>
      </w:r>
      <w:r>
        <w:rPr/>
        <w:t>年实现营业收入人民币</w:t>
      </w:r>
      <w:r>
        <w:rPr>
          <w:spacing w:val="-58"/>
        </w:rPr>
        <w:t> </w:t>
      </w:r>
      <w:r>
        <w:rPr>
          <w:rFonts w:ascii="宋体" w:hAnsi="宋体" w:cs="宋体" w:eastAsia="宋体" w:hint="default"/>
        </w:rPr>
        <w:t>6,471.89</w:t>
      </w:r>
      <w:r>
        <w:rPr>
          <w:rFonts w:ascii="宋体" w:hAnsi="宋体" w:cs="宋体" w:eastAsia="宋体" w:hint="default"/>
          <w:spacing w:val="-60"/>
        </w:rPr>
        <w:t> </w:t>
      </w:r>
      <w:r>
        <w:rPr/>
        <w:t>万元，利润总额人民</w:t>
      </w:r>
    </w:p>
    <w:p>
      <w:pPr>
        <w:pStyle w:val="BodyText"/>
        <w:spacing w:line="355" w:lineRule="auto" w:before="135"/>
        <w:ind w:left="558" w:right="225" w:hanging="420"/>
        <w:jc w:val="left"/>
      </w:pPr>
      <w:r>
        <w:rPr/>
        <w:t>币</w:t>
      </w:r>
      <w:r>
        <w:rPr>
          <w:spacing w:val="-53"/>
        </w:rPr>
        <w:t> </w:t>
      </w:r>
      <w:r>
        <w:rPr>
          <w:rFonts w:ascii="宋体" w:hAnsi="宋体" w:cs="宋体" w:eastAsia="宋体" w:hint="default"/>
        </w:rPr>
        <w:t>4,119.3</w:t>
      </w:r>
      <w:r>
        <w:rPr>
          <w:rFonts w:ascii="宋体" w:hAnsi="宋体" w:cs="宋体" w:eastAsia="宋体" w:hint="default"/>
          <w:spacing w:val="-55"/>
        </w:rPr>
        <w:t> </w:t>
      </w:r>
      <w:r>
        <w:rPr/>
        <w:t>万元，净利润人民币</w:t>
      </w:r>
      <w:r>
        <w:rPr>
          <w:spacing w:val="-52"/>
        </w:rPr>
        <w:t> </w:t>
      </w:r>
      <w:r>
        <w:rPr>
          <w:rFonts w:ascii="宋体" w:hAnsi="宋体" w:cs="宋体" w:eastAsia="宋体" w:hint="default"/>
        </w:rPr>
        <w:t>3,774.67</w:t>
      </w:r>
      <w:r>
        <w:rPr>
          <w:rFonts w:ascii="宋体" w:hAnsi="宋体" w:cs="宋体" w:eastAsia="宋体" w:hint="default"/>
          <w:spacing w:val="-53"/>
        </w:rPr>
        <w:t> </w:t>
      </w:r>
      <w:r>
        <w:rPr/>
        <w:t>万元。</w:t>
      </w:r>
      <w:r>
        <w:rPr>
          <w:w w:val="100"/>
        </w:rPr>
        <w:t> </w:t>
      </w:r>
      <w:r>
        <w:rPr>
          <w:spacing w:val="-2"/>
        </w:rPr>
        <w:t>财通创新的主营业务：股权投资、金融产品投资。</w:t>
      </w:r>
    </w:p>
    <w:p>
      <w:pPr>
        <w:pStyle w:val="BodyText"/>
        <w:spacing w:line="240" w:lineRule="auto" w:before="33"/>
        <w:ind w:left="558" w:right="0"/>
        <w:jc w:val="left"/>
      </w:pPr>
      <w:r>
        <w:rPr>
          <w:spacing w:val="-3"/>
        </w:rPr>
        <w:t>（</w:t>
      </w:r>
      <w:r>
        <w:rPr>
          <w:rFonts w:ascii="宋体" w:hAnsi="宋体" w:cs="宋体" w:eastAsia="宋体" w:hint="default"/>
          <w:spacing w:val="-3"/>
        </w:rPr>
        <w:t>4</w:t>
      </w:r>
      <w:r>
        <w:rPr>
          <w:spacing w:val="-3"/>
        </w:rPr>
        <w:t>）财通香港已发行股份数目</w:t>
      </w:r>
      <w:r>
        <w:rPr>
          <w:spacing w:val="-38"/>
        </w:rPr>
        <w:t> </w:t>
      </w:r>
      <w:r>
        <w:rPr>
          <w:rFonts w:ascii="宋体" w:hAnsi="宋体" w:cs="宋体" w:eastAsia="宋体" w:hint="default"/>
        </w:rPr>
        <w:t>50,000</w:t>
      </w:r>
      <w:r>
        <w:rPr>
          <w:rFonts w:ascii="宋体" w:hAnsi="宋体" w:cs="宋体" w:eastAsia="宋体" w:hint="default"/>
          <w:spacing w:val="-39"/>
        </w:rPr>
        <w:t> </w:t>
      </w:r>
      <w:r>
        <w:rPr>
          <w:spacing w:val="-4"/>
        </w:rPr>
        <w:t>万股，每股面值</w:t>
      </w:r>
      <w:r>
        <w:rPr>
          <w:spacing w:val="-38"/>
        </w:rPr>
        <w:t> </w:t>
      </w:r>
      <w:r>
        <w:rPr>
          <w:rFonts w:ascii="宋体" w:hAnsi="宋体" w:cs="宋体" w:eastAsia="宋体" w:hint="default"/>
        </w:rPr>
        <w:t>1.00</w:t>
      </w:r>
      <w:r>
        <w:rPr>
          <w:rFonts w:ascii="宋体" w:hAnsi="宋体" w:cs="宋体" w:eastAsia="宋体" w:hint="default"/>
          <w:spacing w:val="-39"/>
        </w:rPr>
        <w:t> </w:t>
      </w:r>
      <w:r>
        <w:rPr>
          <w:spacing w:val="-4"/>
        </w:rPr>
        <w:t>港币，截至报告期末，财通香港总</w:t>
      </w:r>
    </w:p>
    <w:p>
      <w:pPr>
        <w:pStyle w:val="BodyText"/>
        <w:spacing w:line="240" w:lineRule="auto" w:before="133"/>
        <w:ind w:right="0"/>
        <w:jc w:val="left"/>
      </w:pPr>
      <w:r>
        <w:rPr/>
        <w:t>资产</w:t>
      </w:r>
      <w:r>
        <w:rPr>
          <w:spacing w:val="-55"/>
        </w:rPr>
        <w:t> </w:t>
      </w:r>
      <w:r>
        <w:rPr>
          <w:rFonts w:ascii="宋体" w:hAnsi="宋体" w:cs="宋体" w:eastAsia="宋体" w:hint="default"/>
        </w:rPr>
        <w:t>163,097.72</w:t>
      </w:r>
      <w:r>
        <w:rPr>
          <w:rFonts w:ascii="宋体" w:hAnsi="宋体" w:cs="宋体" w:eastAsia="宋体" w:hint="default"/>
          <w:spacing w:val="-55"/>
        </w:rPr>
        <w:t> </w:t>
      </w:r>
      <w:r>
        <w:rPr/>
        <w:t>万港元，净资产</w:t>
      </w:r>
      <w:r>
        <w:rPr>
          <w:spacing w:val="-54"/>
        </w:rPr>
        <w:t> </w:t>
      </w:r>
      <w:r>
        <w:rPr>
          <w:rFonts w:ascii="宋体" w:hAnsi="宋体" w:cs="宋体" w:eastAsia="宋体" w:hint="default"/>
        </w:rPr>
        <w:t>52,981.42</w:t>
      </w:r>
      <w:r>
        <w:rPr>
          <w:rFonts w:ascii="宋体" w:hAnsi="宋体" w:cs="宋体" w:eastAsia="宋体" w:hint="default"/>
          <w:spacing w:val="-55"/>
        </w:rPr>
        <w:t> </w:t>
      </w:r>
      <w:r>
        <w:rPr/>
        <w:t>万港元；</w:t>
      </w:r>
      <w:r>
        <w:rPr>
          <w:rFonts w:ascii="宋体" w:hAnsi="宋体" w:cs="宋体" w:eastAsia="宋体" w:hint="default"/>
        </w:rPr>
        <w:t>2018</w:t>
      </w:r>
      <w:r>
        <w:rPr>
          <w:rFonts w:ascii="宋体" w:hAnsi="宋体" w:cs="宋体" w:eastAsia="宋体" w:hint="default"/>
          <w:spacing w:val="-55"/>
        </w:rPr>
        <w:t> </w:t>
      </w:r>
      <w:r>
        <w:rPr/>
        <w:t>年实现营业收入</w:t>
      </w:r>
      <w:r>
        <w:rPr>
          <w:spacing w:val="-55"/>
        </w:rPr>
        <w:t> </w:t>
      </w:r>
      <w:r>
        <w:rPr>
          <w:rFonts w:ascii="宋体" w:hAnsi="宋体" w:cs="宋体" w:eastAsia="宋体" w:hint="default"/>
        </w:rPr>
        <w:t>13,676.64</w:t>
      </w:r>
      <w:r>
        <w:rPr>
          <w:rFonts w:ascii="宋体" w:hAnsi="宋体" w:cs="宋体" w:eastAsia="宋体" w:hint="default"/>
          <w:spacing w:val="-55"/>
        </w:rPr>
        <w:t> </w:t>
      </w:r>
      <w:r>
        <w:rPr/>
        <w:t>万港元，利</w:t>
      </w:r>
    </w:p>
    <w:p>
      <w:pPr>
        <w:pStyle w:val="BodyText"/>
        <w:spacing w:line="355" w:lineRule="auto" w:before="135"/>
        <w:ind w:left="558" w:right="124" w:hanging="420"/>
        <w:jc w:val="left"/>
      </w:pPr>
      <w:r>
        <w:rPr/>
        <w:t>润总额</w:t>
      </w:r>
      <w:r>
        <w:rPr>
          <w:spacing w:val="-54"/>
        </w:rPr>
        <w:t> </w:t>
      </w:r>
      <w:r>
        <w:rPr>
          <w:rFonts w:ascii="宋体" w:hAnsi="宋体" w:cs="宋体" w:eastAsia="宋体" w:hint="default"/>
        </w:rPr>
        <w:t>5,270.48</w:t>
      </w:r>
      <w:r>
        <w:rPr>
          <w:rFonts w:ascii="宋体" w:hAnsi="宋体" w:cs="宋体" w:eastAsia="宋体" w:hint="default"/>
          <w:spacing w:val="-54"/>
        </w:rPr>
        <w:t> </w:t>
      </w:r>
      <w:r>
        <w:rPr/>
        <w:t>万港元，净利润币</w:t>
      </w:r>
      <w:r>
        <w:rPr>
          <w:spacing w:val="-53"/>
        </w:rPr>
        <w:t> </w:t>
      </w:r>
      <w:r>
        <w:rPr>
          <w:rFonts w:ascii="宋体" w:hAnsi="宋体" w:cs="宋体" w:eastAsia="宋体" w:hint="default"/>
        </w:rPr>
        <w:t>4,800.01</w:t>
      </w:r>
      <w:r>
        <w:rPr>
          <w:rFonts w:ascii="宋体" w:hAnsi="宋体" w:cs="宋体" w:eastAsia="宋体" w:hint="default"/>
          <w:spacing w:val="-56"/>
        </w:rPr>
        <w:t> </w:t>
      </w:r>
      <w:r>
        <w:rPr/>
        <w:t>万港元。</w:t>
      </w:r>
      <w:r>
        <w:rPr>
          <w:w w:val="100"/>
        </w:rPr>
        <w:t> </w:t>
      </w:r>
      <w:r>
        <w:rPr>
          <w:spacing w:val="-3"/>
        </w:rPr>
        <w:t>财通香港及其子公司的主营业务：放债人业务；提供证券买卖、</w:t>
      </w:r>
      <w:r>
        <w:rPr>
          <w:spacing w:val="13"/>
        </w:rPr>
        <w:t> </w:t>
      </w:r>
      <w:r>
        <w:rPr/>
        <w:t>孖展融资及就证券提供意见服</w:t>
      </w:r>
    </w:p>
    <w:p>
      <w:pPr>
        <w:pStyle w:val="BodyText"/>
        <w:spacing w:line="240" w:lineRule="auto" w:before="32"/>
        <w:ind w:right="0"/>
        <w:jc w:val="left"/>
      </w:pPr>
      <w:r>
        <w:rPr/>
        <w:t>务；提供资产管理业务及就证券提供意见服务；投资业务；咨询业务。</w:t>
      </w:r>
    </w:p>
    <w:p>
      <w:pPr>
        <w:pStyle w:val="BodyText"/>
        <w:spacing w:line="240" w:lineRule="auto" w:before="133"/>
        <w:ind w:left="558" w:right="0"/>
        <w:jc w:val="left"/>
        <w:rPr>
          <w:rFonts w:ascii="宋体" w:hAnsi="宋体" w:cs="宋体" w:eastAsia="宋体" w:hint="default"/>
        </w:rPr>
      </w:pPr>
      <w:r>
        <w:rPr/>
        <w:t>（</w:t>
      </w:r>
      <w:r>
        <w:rPr>
          <w:rFonts w:ascii="宋体" w:hAnsi="宋体" w:cs="宋体" w:eastAsia="宋体" w:hint="default"/>
        </w:rPr>
        <w:t>5</w:t>
      </w:r>
      <w:r>
        <w:rPr/>
        <w:t>）财通基金注册资本人民</w:t>
      </w:r>
      <w:r>
        <w:rPr>
          <w:spacing w:val="-60"/>
        </w:rPr>
        <w:t> </w:t>
      </w:r>
      <w:r>
        <w:rPr>
          <w:rFonts w:ascii="宋体" w:hAnsi="宋体" w:cs="宋体" w:eastAsia="宋体" w:hint="default"/>
        </w:rPr>
        <w:t>20,000</w:t>
      </w:r>
      <w:r>
        <w:rPr>
          <w:rFonts w:ascii="宋体" w:hAnsi="宋体" w:cs="宋体" w:eastAsia="宋体" w:hint="default"/>
          <w:spacing w:val="-62"/>
        </w:rPr>
        <w:t> </w:t>
      </w:r>
      <w:r>
        <w:rPr/>
        <w:t>万元，截至报告期末，财通基金总资产人民币</w:t>
      </w:r>
      <w:r>
        <w:rPr>
          <w:spacing w:val="-59"/>
        </w:rPr>
        <w:t> </w:t>
      </w:r>
      <w:r>
        <w:rPr>
          <w:rFonts w:ascii="宋体" w:hAnsi="宋体" w:cs="宋体" w:eastAsia="宋体" w:hint="default"/>
        </w:rPr>
        <w:t>196,421.96</w:t>
      </w:r>
    </w:p>
    <w:p>
      <w:pPr>
        <w:pStyle w:val="BodyText"/>
        <w:spacing w:line="357" w:lineRule="auto" w:before="133"/>
        <w:ind w:right="225"/>
        <w:jc w:val="left"/>
      </w:pPr>
      <w:r>
        <w:rPr/>
        <w:t>万元，净资产人民币</w:t>
      </w:r>
      <w:r>
        <w:rPr>
          <w:spacing w:val="-55"/>
        </w:rPr>
        <w:t> </w:t>
      </w:r>
      <w:r>
        <w:rPr>
          <w:rFonts w:ascii="宋体" w:hAnsi="宋体" w:cs="宋体" w:eastAsia="宋体" w:hint="default"/>
        </w:rPr>
        <w:t>133,587.84</w:t>
      </w:r>
      <w:r>
        <w:rPr>
          <w:rFonts w:ascii="宋体" w:hAnsi="宋体" w:cs="宋体" w:eastAsia="宋体" w:hint="default"/>
          <w:spacing w:val="-55"/>
        </w:rPr>
        <w:t> </w:t>
      </w:r>
      <w:r>
        <w:rPr/>
        <w:t>万元；</w:t>
      </w:r>
      <w:r>
        <w:rPr>
          <w:rFonts w:ascii="宋体" w:hAnsi="宋体" w:cs="宋体" w:eastAsia="宋体" w:hint="default"/>
        </w:rPr>
        <w:t>2018</w:t>
      </w:r>
      <w:r>
        <w:rPr>
          <w:rFonts w:ascii="宋体" w:hAnsi="宋体" w:cs="宋体" w:eastAsia="宋体" w:hint="default"/>
          <w:spacing w:val="-57"/>
        </w:rPr>
        <w:t> </w:t>
      </w:r>
      <w:r>
        <w:rPr/>
        <w:t>年实现营业收入人民币</w:t>
      </w:r>
      <w:r>
        <w:rPr>
          <w:spacing w:val="-55"/>
        </w:rPr>
        <w:t> </w:t>
      </w:r>
      <w:r>
        <w:rPr>
          <w:rFonts w:ascii="宋体" w:hAnsi="宋体" w:cs="宋体" w:eastAsia="宋体" w:hint="default"/>
        </w:rPr>
        <w:t>66,383.87</w:t>
      </w:r>
      <w:r>
        <w:rPr>
          <w:rFonts w:ascii="宋体" w:hAnsi="宋体" w:cs="宋体" w:eastAsia="宋体" w:hint="default"/>
          <w:spacing w:val="-55"/>
        </w:rPr>
        <w:t> </w:t>
      </w:r>
      <w:r>
        <w:rPr/>
        <w:t>万元，利润总额人</w:t>
      </w:r>
      <w:r>
        <w:rPr>
          <w:w w:val="100"/>
        </w:rPr>
        <w:t> </w:t>
      </w:r>
      <w:r>
        <w:rPr/>
        <w:t>民币</w:t>
      </w:r>
      <w:r>
        <w:rPr>
          <w:rFonts w:ascii="宋体" w:hAnsi="宋体" w:cs="宋体" w:eastAsia="宋体" w:hint="default"/>
        </w:rPr>
        <w:t>-2,378.23</w:t>
      </w:r>
      <w:r>
        <w:rPr>
          <w:rFonts w:ascii="宋体" w:hAnsi="宋体" w:cs="宋体" w:eastAsia="宋体" w:hint="default"/>
          <w:spacing w:val="-55"/>
        </w:rPr>
        <w:t> </w:t>
      </w:r>
      <w:r>
        <w:rPr/>
        <w:t>万元，净利润人民币</w:t>
      </w:r>
      <w:r>
        <w:rPr>
          <w:rFonts w:ascii="宋体" w:hAnsi="宋体" w:cs="宋体" w:eastAsia="宋体" w:hint="default"/>
        </w:rPr>
        <w:t>-7,083.92</w:t>
      </w:r>
      <w:r>
        <w:rPr>
          <w:rFonts w:ascii="宋体" w:hAnsi="宋体" w:cs="宋体" w:eastAsia="宋体" w:hint="default"/>
          <w:spacing w:val="-53"/>
        </w:rPr>
        <w:t> </w:t>
      </w:r>
      <w:r>
        <w:rPr/>
        <w:t>万元。</w:t>
      </w:r>
    </w:p>
    <w:p>
      <w:pPr>
        <w:pStyle w:val="BodyText"/>
        <w:spacing w:line="355" w:lineRule="auto" w:before="30"/>
        <w:ind w:right="0" w:firstLine="420"/>
        <w:jc w:val="left"/>
      </w:pPr>
      <w:r>
        <w:rPr>
          <w:spacing w:val="-2"/>
        </w:rPr>
        <w:t>财通基金的主营业务：基金募集、基金销售、特定客户资产管理、资产管理及中国证监会许可</w:t>
      </w:r>
      <w:r>
        <w:rPr>
          <w:w w:val="100"/>
        </w:rPr>
        <w:t> </w:t>
      </w:r>
      <w:r>
        <w:rPr/>
        <w:t>的其他业务。</w:t>
      </w:r>
    </w:p>
    <w:p>
      <w:pPr>
        <w:pStyle w:val="BodyText"/>
        <w:spacing w:line="240" w:lineRule="auto" w:before="32"/>
        <w:ind w:left="558" w:right="0"/>
        <w:jc w:val="left"/>
      </w:pPr>
      <w:r>
        <w:rPr/>
        <w:t>（</w:t>
      </w:r>
      <w:r>
        <w:rPr>
          <w:rFonts w:ascii="宋体" w:hAnsi="宋体" w:cs="宋体" w:eastAsia="宋体" w:hint="default"/>
        </w:rPr>
        <w:t>6</w:t>
      </w:r>
      <w:r>
        <w:rPr/>
        <w:t>）永安期货注册资本人民币</w:t>
      </w:r>
      <w:r>
        <w:rPr>
          <w:spacing w:val="-57"/>
        </w:rPr>
        <w:t> </w:t>
      </w:r>
      <w:r>
        <w:rPr>
          <w:rFonts w:ascii="宋体" w:hAnsi="宋体" w:cs="宋体" w:eastAsia="宋体" w:hint="default"/>
        </w:rPr>
        <w:t>131,000</w:t>
      </w:r>
      <w:r>
        <w:rPr>
          <w:rFonts w:ascii="宋体" w:hAnsi="宋体" w:cs="宋体" w:eastAsia="宋体" w:hint="default"/>
          <w:spacing w:val="-57"/>
        </w:rPr>
        <w:t> </w:t>
      </w:r>
      <w:r>
        <w:rPr/>
        <w:t>万元，截至报告期末，永安期货总资产人民币</w:t>
      </w:r>
    </w:p>
    <w:p>
      <w:pPr>
        <w:pStyle w:val="BodyText"/>
        <w:spacing w:line="240" w:lineRule="auto" w:before="133"/>
        <w:ind w:right="0"/>
        <w:jc w:val="left"/>
      </w:pPr>
      <w:r>
        <w:rPr>
          <w:rFonts w:ascii="宋体" w:hAnsi="宋体" w:cs="宋体" w:eastAsia="宋体" w:hint="default"/>
        </w:rPr>
        <w:t>2,986,065.04</w:t>
      </w:r>
      <w:r>
        <w:rPr>
          <w:rFonts w:ascii="宋体" w:hAnsi="宋体" w:cs="宋体" w:eastAsia="宋体" w:hint="default"/>
          <w:spacing w:val="-53"/>
        </w:rPr>
        <w:t> </w:t>
      </w:r>
      <w:r>
        <w:rPr>
          <w:spacing w:val="-5"/>
        </w:rPr>
        <w:t>万元，净资产人民币</w:t>
      </w:r>
      <w:r>
        <w:rPr>
          <w:spacing w:val="-50"/>
        </w:rPr>
        <w:t> </w:t>
      </w:r>
      <w:r>
        <w:rPr>
          <w:rFonts w:ascii="宋体" w:hAnsi="宋体" w:cs="宋体" w:eastAsia="宋体" w:hint="default"/>
        </w:rPr>
        <w:t>695,317.85</w:t>
      </w:r>
      <w:r>
        <w:rPr>
          <w:rFonts w:ascii="宋体" w:hAnsi="宋体" w:cs="宋体" w:eastAsia="宋体" w:hint="default"/>
          <w:spacing w:val="-51"/>
        </w:rPr>
        <w:t> </w:t>
      </w:r>
      <w:r>
        <w:rPr>
          <w:spacing w:val="-6"/>
        </w:rPr>
        <w:t>万元；</w:t>
      </w:r>
      <w:r>
        <w:rPr>
          <w:rFonts w:ascii="宋体" w:hAnsi="宋体" w:cs="宋体" w:eastAsia="宋体" w:hint="default"/>
          <w:spacing w:val="-6"/>
        </w:rPr>
        <w:t>2018</w:t>
      </w:r>
      <w:r>
        <w:rPr>
          <w:rFonts w:ascii="宋体" w:hAnsi="宋体" w:cs="宋体" w:eastAsia="宋体" w:hint="default"/>
          <w:spacing w:val="-51"/>
        </w:rPr>
        <w:t> </w:t>
      </w:r>
      <w:r>
        <w:rPr/>
        <w:t>年实现营业收入人民币</w:t>
      </w:r>
      <w:r>
        <w:rPr>
          <w:spacing w:val="-50"/>
        </w:rPr>
        <w:t> </w:t>
      </w:r>
      <w:r>
        <w:rPr>
          <w:rFonts w:ascii="宋体" w:hAnsi="宋体" w:cs="宋体" w:eastAsia="宋体" w:hint="default"/>
        </w:rPr>
        <w:t>1,591,541.30</w:t>
      </w:r>
      <w:r>
        <w:rPr>
          <w:rFonts w:ascii="宋体" w:hAnsi="宋体" w:cs="宋体" w:eastAsia="宋体" w:hint="default"/>
          <w:spacing w:val="-53"/>
        </w:rPr>
        <w:t> </w:t>
      </w:r>
      <w:r>
        <w:rPr/>
        <w:t>万</w:t>
      </w:r>
    </w:p>
    <w:p>
      <w:pPr>
        <w:pStyle w:val="BodyText"/>
        <w:spacing w:line="355" w:lineRule="auto" w:before="135"/>
        <w:ind w:left="558" w:right="0" w:hanging="420"/>
        <w:jc w:val="left"/>
      </w:pPr>
      <w:r>
        <w:rPr/>
        <w:t>元，利润总额人民币</w:t>
      </w:r>
      <w:r>
        <w:rPr>
          <w:spacing w:val="-54"/>
        </w:rPr>
        <w:t> </w:t>
      </w:r>
      <w:r>
        <w:rPr>
          <w:rFonts w:ascii="宋体" w:hAnsi="宋体" w:cs="宋体" w:eastAsia="宋体" w:hint="default"/>
        </w:rPr>
        <w:t>120,479.85</w:t>
      </w:r>
      <w:r>
        <w:rPr>
          <w:rFonts w:ascii="宋体" w:hAnsi="宋体" w:cs="宋体" w:eastAsia="宋体" w:hint="default"/>
          <w:spacing w:val="-53"/>
        </w:rPr>
        <w:t> </w:t>
      </w:r>
      <w:r>
        <w:rPr/>
        <w:t>万元，净利润人民币</w:t>
      </w:r>
      <w:r>
        <w:rPr>
          <w:spacing w:val="-54"/>
        </w:rPr>
        <w:t> </w:t>
      </w:r>
      <w:r>
        <w:rPr>
          <w:rFonts w:ascii="宋体" w:hAnsi="宋体" w:cs="宋体" w:eastAsia="宋体" w:hint="default"/>
        </w:rPr>
        <w:t>97,647.16</w:t>
      </w:r>
      <w:r>
        <w:rPr>
          <w:rFonts w:ascii="宋体" w:hAnsi="宋体" w:cs="宋体" w:eastAsia="宋体" w:hint="default"/>
          <w:spacing w:val="-54"/>
        </w:rPr>
        <w:t> </w:t>
      </w:r>
      <w:r>
        <w:rPr/>
        <w:t>万元。</w:t>
      </w:r>
      <w:r>
        <w:rPr>
          <w:w w:val="100"/>
        </w:rPr>
        <w:t> </w:t>
      </w:r>
      <w:r>
        <w:rPr>
          <w:spacing w:val="-2"/>
        </w:rPr>
        <w:t>永安期货的主营业务：商品期货经纪、金融期货经纪、期货投资咨询、资产管理、基金销售。</w:t>
      </w:r>
    </w:p>
    <w:p>
      <w:pPr>
        <w:pStyle w:val="BodyText"/>
        <w:spacing w:line="355" w:lineRule="auto" w:before="32"/>
        <w:ind w:right="0" w:firstLine="420"/>
        <w:jc w:val="left"/>
        <w:rPr>
          <w:rFonts w:ascii="宋体" w:hAnsi="宋体" w:cs="宋体" w:eastAsia="宋体" w:hint="default"/>
        </w:rPr>
      </w:pPr>
      <w:r>
        <w:rPr/>
        <w:t>（</w:t>
      </w:r>
      <w:r>
        <w:rPr>
          <w:rFonts w:ascii="宋体" w:hAnsi="宋体" w:cs="宋体" w:eastAsia="宋体" w:hint="default"/>
        </w:rPr>
        <w:t>7</w:t>
      </w:r>
      <w:r>
        <w:rPr/>
        <w:t>）浙江省浙商资产管理有限公司注册资本人民币</w:t>
      </w:r>
      <w:r>
        <w:rPr>
          <w:spacing w:val="-54"/>
        </w:rPr>
        <w:t> </w:t>
      </w:r>
      <w:r>
        <w:rPr>
          <w:rFonts w:ascii="宋体" w:hAnsi="宋体" w:cs="宋体" w:eastAsia="宋体" w:hint="default"/>
        </w:rPr>
        <w:t>601,800</w:t>
      </w:r>
      <w:r>
        <w:rPr>
          <w:rFonts w:ascii="宋体" w:hAnsi="宋体" w:cs="宋体" w:eastAsia="宋体" w:hint="default"/>
          <w:spacing w:val="-52"/>
        </w:rPr>
        <w:t> </w:t>
      </w:r>
      <w:r>
        <w:rPr>
          <w:spacing w:val="-3"/>
        </w:rPr>
        <w:t>万元，公司持有其</w:t>
      </w:r>
      <w:r>
        <w:rPr>
          <w:spacing w:val="-51"/>
        </w:rPr>
        <w:t> </w:t>
      </w:r>
      <w:r>
        <w:rPr>
          <w:rFonts w:ascii="宋体" w:hAnsi="宋体" w:cs="宋体" w:eastAsia="宋体" w:hint="default"/>
        </w:rPr>
        <w:t>20.81%</w:t>
      </w:r>
      <w:r>
        <w:rPr/>
        <w:t>的股权</w:t>
      </w:r>
      <w:r>
        <w:rPr>
          <w:rFonts w:ascii="宋体" w:hAnsi="宋体" w:cs="宋体" w:eastAsia="宋体" w:hint="default"/>
        </w:rPr>
        <w:t>,</w:t>
      </w:r>
      <w:r>
        <w:rPr>
          <w:rFonts w:ascii="宋体" w:hAnsi="宋体" w:cs="宋体" w:eastAsia="宋体" w:hint="default"/>
          <w:w w:val="100"/>
        </w:rPr>
        <w:t> </w:t>
      </w:r>
      <w:r>
        <w:rPr>
          <w:spacing w:val="-5"/>
        </w:rPr>
        <w:t>截至报告期末，浙商资产总资产人民币</w:t>
      </w:r>
      <w:r>
        <w:rPr>
          <w:spacing w:val="-44"/>
        </w:rPr>
        <w:t> </w:t>
      </w:r>
      <w:r>
        <w:rPr>
          <w:rFonts w:ascii="宋体" w:hAnsi="宋体" w:cs="宋体" w:eastAsia="宋体" w:hint="default"/>
        </w:rPr>
        <w:t>4,631,239.51</w:t>
      </w:r>
      <w:r>
        <w:rPr>
          <w:rFonts w:ascii="宋体" w:hAnsi="宋体" w:cs="宋体" w:eastAsia="宋体" w:hint="default"/>
          <w:spacing w:val="-44"/>
        </w:rPr>
        <w:t> </w:t>
      </w:r>
      <w:r>
        <w:rPr>
          <w:spacing w:val="-8"/>
        </w:rPr>
        <w:t>万元，净资产人民币</w:t>
      </w:r>
      <w:r>
        <w:rPr>
          <w:spacing w:val="-44"/>
        </w:rPr>
        <w:t> </w:t>
      </w:r>
      <w:r>
        <w:rPr>
          <w:rFonts w:ascii="宋体" w:hAnsi="宋体" w:cs="宋体" w:eastAsia="宋体" w:hint="default"/>
        </w:rPr>
        <w:t>1,093,398.12</w:t>
      </w:r>
      <w:r>
        <w:rPr>
          <w:rFonts w:ascii="宋体" w:hAnsi="宋体" w:cs="宋体" w:eastAsia="宋体" w:hint="default"/>
          <w:spacing w:val="-44"/>
        </w:rPr>
        <w:t> </w:t>
      </w:r>
      <w:r>
        <w:rPr>
          <w:spacing w:val="-9"/>
        </w:rPr>
        <w:t>万元；</w:t>
      </w:r>
      <w:r>
        <w:rPr>
          <w:rFonts w:ascii="宋体" w:hAnsi="宋体" w:cs="宋体" w:eastAsia="宋体" w:hint="default"/>
          <w:spacing w:val="-9"/>
        </w:rPr>
        <w:t>2018</w:t>
      </w:r>
    </w:p>
    <w:p>
      <w:pPr>
        <w:pStyle w:val="BodyText"/>
        <w:spacing w:line="355" w:lineRule="auto" w:before="35"/>
        <w:ind w:right="0"/>
        <w:jc w:val="left"/>
      </w:pPr>
      <w:r>
        <w:rPr>
          <w:spacing w:val="-2"/>
          <w:w w:val="100"/>
        </w:rPr>
        <w:t>年实现营业收入人民币</w:t>
      </w:r>
      <w:r>
        <w:rPr>
          <w:spacing w:val="-74"/>
          <w:w w:val="100"/>
        </w:rPr>
        <w:t> </w:t>
      </w:r>
      <w:r>
        <w:rPr>
          <w:rFonts w:ascii="宋体" w:hAnsi="宋体" w:cs="宋体" w:eastAsia="宋体" w:hint="default"/>
          <w:spacing w:val="-1"/>
          <w:w w:val="100"/>
        </w:rPr>
        <w:t>279,353.81</w:t>
      </w:r>
      <w:r>
        <w:rPr>
          <w:rFonts w:ascii="宋体" w:hAnsi="宋体" w:cs="宋体" w:eastAsia="宋体" w:hint="default"/>
          <w:spacing w:val="-76"/>
          <w:w w:val="100"/>
        </w:rPr>
        <w:t> </w:t>
      </w:r>
      <w:r>
        <w:rPr>
          <w:spacing w:val="-12"/>
          <w:w w:val="100"/>
        </w:rPr>
        <w:t>万元，利润总额人民币</w:t>
      </w:r>
      <w:r>
        <w:rPr>
          <w:spacing w:val="-74"/>
          <w:w w:val="100"/>
        </w:rPr>
        <w:t> </w:t>
      </w:r>
      <w:r>
        <w:rPr>
          <w:rFonts w:ascii="宋体" w:hAnsi="宋体" w:cs="宋体" w:eastAsia="宋体" w:hint="default"/>
          <w:spacing w:val="-1"/>
          <w:w w:val="100"/>
        </w:rPr>
        <w:t>101,894.03</w:t>
      </w:r>
      <w:r>
        <w:rPr>
          <w:rFonts w:ascii="宋体" w:hAnsi="宋体" w:cs="宋体" w:eastAsia="宋体" w:hint="default"/>
          <w:spacing w:val="-74"/>
          <w:w w:val="100"/>
        </w:rPr>
        <w:t> </w:t>
      </w:r>
      <w:r>
        <w:rPr>
          <w:spacing w:val="-13"/>
          <w:w w:val="100"/>
        </w:rPr>
        <w:t>万元，净利润人民币</w:t>
      </w:r>
      <w:r>
        <w:rPr>
          <w:spacing w:val="-73"/>
          <w:w w:val="100"/>
        </w:rPr>
        <w:t> </w:t>
      </w:r>
      <w:r>
        <w:rPr>
          <w:rFonts w:ascii="宋体" w:hAnsi="宋体" w:cs="宋体" w:eastAsia="宋体" w:hint="default"/>
          <w:spacing w:val="-1"/>
          <w:w w:val="100"/>
        </w:rPr>
        <w:t>85,564.15</w:t>
      </w:r>
      <w:r>
        <w:rPr>
          <w:rFonts w:ascii="宋体" w:hAnsi="宋体" w:cs="宋体" w:eastAsia="宋体" w:hint="default"/>
          <w:spacing w:val="-103"/>
          <w:w w:val="100"/>
        </w:rPr>
        <w:t> </w:t>
      </w:r>
      <w:r>
        <w:rPr>
          <w:rFonts w:ascii="宋体" w:hAnsi="宋体" w:cs="宋体" w:eastAsia="宋体" w:hint="default"/>
          <w:spacing w:val="-103"/>
          <w:w w:val="100"/>
        </w:rPr>
      </w:r>
      <w:r>
        <w:rPr/>
        <w:t>万元。</w:t>
      </w:r>
    </w:p>
    <w:p>
      <w:pPr>
        <w:pStyle w:val="BodyText"/>
        <w:spacing w:line="355" w:lineRule="auto" w:before="32"/>
        <w:ind w:right="168" w:firstLine="420"/>
        <w:jc w:val="both"/>
      </w:pPr>
      <w:r>
        <w:rPr>
          <w:spacing w:val="-2"/>
        </w:rPr>
        <w:t>浙江省浙商资产管理有限公司的主营业务为参与省内金融企业不良资产的批量转让业务；资产</w:t>
      </w:r>
      <w:r>
        <w:rPr>
          <w:w w:val="100"/>
        </w:rPr>
        <w:t> </w:t>
      </w:r>
      <w:r>
        <w:rPr>
          <w:spacing w:val="-2"/>
        </w:rPr>
        <w:t>管理；提供资产投资及资产管理相关的重组、兼并、投资管理咨询服务；提供企业管理、财务咨询</w:t>
      </w:r>
      <w:r>
        <w:rPr>
          <w:spacing w:val="-25"/>
        </w:rPr>
        <w:t> </w:t>
      </w:r>
      <w:r>
        <w:rPr>
          <w:spacing w:val="-25"/>
        </w:rPr>
      </w:r>
      <w:r>
        <w:rPr/>
        <w:t>及服务。</w:t>
      </w:r>
    </w:p>
    <w:p>
      <w:pPr>
        <w:pStyle w:val="BodyText"/>
        <w:spacing w:line="240" w:lineRule="auto" w:before="34"/>
        <w:ind w:left="558" w:right="0"/>
        <w:jc w:val="left"/>
      </w:pPr>
      <w:r>
        <w:rPr/>
        <w:t>以上披露内容涉及数据均为各子公司、参股公司合并报表金额。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BodyText"/>
        <w:spacing w:line="240" w:lineRule="auto" w:before="56"/>
        <w:ind w:right="0"/>
        <w:jc w:val="left"/>
      </w:pPr>
      <w:r>
        <w:rPr/>
        <w:t>√适用 □不适用</w:t>
      </w:r>
    </w:p>
    <w:p>
      <w:pPr>
        <w:spacing w:after="0" w:line="240" w:lineRule="auto"/>
        <w:jc w:val="left"/>
        <w:sectPr>
          <w:pgSz w:w="11910" w:h="16840"/>
          <w:pgMar w:header="880" w:footer="1195" w:top="1060" w:bottom="1380" w:left="1280" w:right="1280"/>
        </w:sectPr>
      </w:pPr>
    </w:p>
    <w:p>
      <w:pPr>
        <w:spacing w:line="240" w:lineRule="auto" w:before="8"/>
        <w:rPr>
          <w:rFonts w:ascii="宋体" w:hAnsi="宋体" w:cs="宋体" w:eastAsia="宋体" w:hint="default"/>
          <w:sz w:val="28"/>
          <w:szCs w:val="28"/>
        </w:rPr>
      </w:pPr>
    </w:p>
    <w:p>
      <w:pPr>
        <w:pStyle w:val="BodyText"/>
        <w:spacing w:line="357" w:lineRule="auto" w:before="36"/>
        <w:ind w:right="127" w:firstLine="480"/>
        <w:jc w:val="both"/>
      </w:pPr>
      <w:r>
        <w:rPr>
          <w:spacing w:val="6"/>
        </w:rPr>
        <w:t>截至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 </w:t>
      </w:r>
      <w:r>
        <w:rPr>
          <w:spacing w:val="11"/>
        </w:rPr>
        <w:t>日，公司共合并 </w:t>
      </w:r>
      <w:r>
        <w:rPr>
          <w:rFonts w:ascii="宋体" w:hAnsi="宋体" w:cs="宋体" w:eastAsia="宋体" w:hint="default"/>
        </w:rPr>
        <w:t>4</w:t>
      </w:r>
      <w:r>
        <w:rPr>
          <w:rFonts w:ascii="宋体" w:hAnsi="宋体" w:cs="宋体" w:eastAsia="宋体" w:hint="default"/>
          <w:spacing w:val="55"/>
        </w:rPr>
        <w:t> </w:t>
      </w:r>
      <w:r>
        <w:rPr>
          <w:spacing w:val="12"/>
        </w:rPr>
        <w:t>个结构化主体，合并结构化主体的总资产为</w:t>
      </w:r>
      <w:r>
        <w:rPr>
          <w:w w:val="100"/>
        </w:rPr>
        <w:t> </w:t>
      </w:r>
      <w:r>
        <w:rPr>
          <w:rFonts w:ascii="宋体" w:hAnsi="宋体" w:cs="宋体" w:eastAsia="宋体" w:hint="default"/>
          <w:spacing w:val="-1"/>
        </w:rPr>
        <w:t>3,621,971,361.95</w:t>
      </w:r>
      <w:r>
        <w:rPr>
          <w:rFonts w:ascii="宋体" w:hAnsi="宋体" w:cs="宋体" w:eastAsia="宋体" w:hint="default"/>
          <w:spacing w:val="15"/>
        </w:rPr>
        <w:t> </w:t>
      </w:r>
      <w:r>
        <w:rPr>
          <w:spacing w:val="-2"/>
        </w:rPr>
        <w:t>元。本公司持在上述合并结构化主体中的权益体现在资产负债表中可供出售金融</w:t>
      </w:r>
    </w:p>
    <w:p>
      <w:pPr>
        <w:pStyle w:val="BodyText"/>
        <w:spacing w:line="240" w:lineRule="auto" w:before="30"/>
        <w:ind w:right="0"/>
        <w:jc w:val="left"/>
      </w:pPr>
      <w:r>
        <w:rPr/>
        <w:t>资产和以公允价值计量且其变动计入当期损益的金融资产总金额为</w:t>
      </w:r>
      <w:r>
        <w:rPr>
          <w:spacing w:val="-56"/>
        </w:rPr>
        <w:t> </w:t>
      </w:r>
      <w:r>
        <w:rPr>
          <w:rFonts w:ascii="宋体" w:hAnsi="宋体" w:cs="宋体" w:eastAsia="宋体" w:hint="default"/>
        </w:rPr>
        <w:t>3,099,342,856.07</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tabs>
          <w:tab w:pos="978" w:val="left" w:leader="none"/>
        </w:tabs>
        <w:spacing w:line="290" w:lineRule="auto"/>
        <w:ind w:right="5408"/>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spacing w:line="240" w:lineRule="auto" w:before="14"/>
        <w:ind w:right="0"/>
        <w:jc w:val="left"/>
      </w:pPr>
      <w:r>
        <w:rPr/>
        <w:t>√适用 □不适用</w:t>
      </w:r>
    </w:p>
    <w:p>
      <w:pPr>
        <w:spacing w:line="240" w:lineRule="auto" w:before="1"/>
        <w:rPr>
          <w:rFonts w:ascii="宋体" w:hAnsi="宋体" w:cs="宋体" w:eastAsia="宋体" w:hint="default"/>
          <w:sz w:val="18"/>
          <w:szCs w:val="18"/>
        </w:rPr>
      </w:pPr>
    </w:p>
    <w:p>
      <w:pPr>
        <w:pStyle w:val="BodyText"/>
        <w:spacing w:line="357" w:lineRule="auto"/>
        <w:ind w:left="700" w:right="0"/>
        <w:jc w:val="left"/>
      </w:pPr>
      <w:r>
        <w:rPr>
          <w:rFonts w:ascii="宋体" w:hAnsi="宋体" w:cs="宋体" w:eastAsia="宋体" w:hint="default"/>
        </w:rPr>
        <w:t>1</w:t>
      </w:r>
      <w:r>
        <w:rPr/>
        <w:t>、行业竞争格局</w:t>
      </w:r>
      <w:r>
        <w:rPr>
          <w:w w:val="100"/>
        </w:rPr>
        <w:t> </w:t>
      </w:r>
      <w:r>
        <w:rPr>
          <w:spacing w:val="-4"/>
        </w:rPr>
        <w:t>证券行业发展格局进一步分化，强者恒强的局面继续延续，马太效应不断强化。大型券商凭借</w:t>
      </w:r>
    </w:p>
    <w:p>
      <w:pPr>
        <w:pStyle w:val="BodyText"/>
        <w:spacing w:line="355" w:lineRule="auto" w:before="32"/>
        <w:ind w:right="129"/>
        <w:jc w:val="both"/>
      </w:pPr>
      <w:r>
        <w:rPr>
          <w:spacing w:val="-6"/>
        </w:rPr>
        <w:t>雄厚的资本实力、多元的业务体系和广泛的客户基础，得以克服行业不景气的困境，实现多点开花。</w:t>
      </w:r>
      <w:r>
        <w:rPr>
          <w:spacing w:val="-19"/>
        </w:rPr>
        <w:t> </w:t>
      </w:r>
      <w:r>
        <w:rPr>
          <w:spacing w:val="-19"/>
        </w:rPr>
      </w:r>
      <w:r>
        <w:rPr>
          <w:spacing w:val="-2"/>
        </w:rPr>
        <w:t>传统中小券商由于规模体量小、收入来源单一、抗风险能力弱，面对二级市场的下跌，业绩易出现</w:t>
      </w:r>
      <w:r>
        <w:rPr>
          <w:spacing w:val="-25"/>
        </w:rPr>
        <w:t> </w:t>
      </w:r>
      <w:r>
        <w:rPr>
          <w:spacing w:val="-25"/>
        </w:rPr>
      </w:r>
      <w:r>
        <w:rPr/>
        <w:t>大幅波动，生存空间被挤压。</w:t>
      </w:r>
    </w:p>
    <w:p>
      <w:pPr>
        <w:pStyle w:val="BodyText"/>
        <w:spacing w:line="355" w:lineRule="auto" w:before="32"/>
        <w:ind w:left="700" w:right="0"/>
        <w:jc w:val="left"/>
      </w:pPr>
      <w:r>
        <w:rPr>
          <w:rFonts w:ascii="宋体" w:hAnsi="宋体" w:cs="宋体" w:eastAsia="宋体" w:hint="default"/>
        </w:rPr>
        <w:t>2</w:t>
      </w:r>
      <w:r>
        <w:rPr/>
        <w:t>、行业发展趋势</w:t>
      </w:r>
      <w:r>
        <w:rPr>
          <w:w w:val="100"/>
        </w:rPr>
        <w:t> </w:t>
      </w:r>
      <w:r>
        <w:rPr>
          <w:spacing w:val="-4"/>
        </w:rPr>
        <w:t>一是行业“重资产化”特征延续。以自营、做市、直投、信用为代表的重资产业务的收入贡献</w:t>
      </w:r>
    </w:p>
    <w:p>
      <w:pPr>
        <w:pStyle w:val="BodyText"/>
        <w:spacing w:line="357" w:lineRule="auto" w:before="34"/>
        <w:ind w:right="0"/>
        <w:jc w:val="left"/>
      </w:pPr>
      <w:r>
        <w:rPr/>
        <w:t>近两年维持在</w:t>
      </w:r>
      <w:r>
        <w:rPr>
          <w:spacing w:val="-56"/>
        </w:rPr>
        <w:t> </w:t>
      </w:r>
      <w:r>
        <w:rPr>
          <w:rFonts w:ascii="宋体" w:hAnsi="宋体" w:cs="宋体" w:eastAsia="宋体" w:hint="default"/>
        </w:rPr>
        <w:t>40%</w:t>
      </w:r>
      <w:r>
        <w:rPr/>
        <w:t>左右，而以经纪、投行和资管为代表的轻资产业务整体贡献度明显下滑。此外，</w:t>
      </w:r>
      <w:r>
        <w:rPr>
          <w:w w:val="100"/>
        </w:rPr>
        <w:t> </w:t>
      </w:r>
      <w:r>
        <w:rPr>
          <w:spacing w:val="-6"/>
        </w:rPr>
        <w:t>券商的收入来源也在扩大，委外自营、场外衍生品、期货风险管理等其他业务的贡献度也不断提高。</w:t>
      </w:r>
      <w:r>
        <w:rPr>
          <w:spacing w:val="-18"/>
        </w:rPr>
        <w:t> </w:t>
      </w:r>
      <w:r>
        <w:rPr>
          <w:spacing w:val="-18"/>
        </w:rPr>
      </w:r>
      <w:r>
        <w:rPr>
          <w:spacing w:val="-2"/>
        </w:rPr>
        <w:t>参照海外成熟市场国家，重资产化过程是券商走向成熟的必由之路。“重资产化”的过程对券商管</w:t>
      </w:r>
      <w:r>
        <w:rPr>
          <w:spacing w:val="-25"/>
        </w:rPr>
        <w:t> </w:t>
      </w:r>
      <w:r>
        <w:rPr>
          <w:spacing w:val="-25"/>
        </w:rPr>
      </w:r>
      <w:r>
        <w:rPr/>
        <w:t>理资产负债表的能力提出了较高要求。</w:t>
      </w:r>
    </w:p>
    <w:p>
      <w:pPr>
        <w:pStyle w:val="BodyText"/>
        <w:spacing w:line="355" w:lineRule="auto" w:before="32"/>
        <w:ind w:right="129" w:firstLine="561"/>
        <w:jc w:val="both"/>
      </w:pPr>
      <w:r>
        <w:rPr>
          <w:spacing w:val="-4"/>
        </w:rPr>
        <w:t>二是业务综合化、专业化、链条化的趋势愈发明显。在市场规律、监管导向、客户需求的共同</w:t>
      </w:r>
      <w:r>
        <w:rPr>
          <w:w w:val="100"/>
        </w:rPr>
        <w:t> </w:t>
      </w:r>
      <w:r>
        <w:rPr>
          <w:spacing w:val="-2"/>
        </w:rPr>
        <w:t>推动下，以科创板为代表的新兴业务对过去以单一牌照为核心的传统业务模式提出了极大的挑战，</w:t>
      </w:r>
      <w:r>
        <w:rPr>
          <w:spacing w:val="-25"/>
        </w:rPr>
        <w:t> </w:t>
      </w:r>
      <w:r>
        <w:rPr>
          <w:spacing w:val="-25"/>
        </w:rPr>
      </w:r>
      <w:r>
        <w:rPr>
          <w:spacing w:val="-2"/>
        </w:rPr>
        <w:t>投资、投行、经纪、研究、销售等板块之间联结更加紧密，任何一个环节出现短板都会制约业务做</w:t>
      </w:r>
      <w:r>
        <w:rPr>
          <w:spacing w:val="-26"/>
        </w:rPr>
        <w:t> </w:t>
      </w:r>
      <w:r>
        <w:rPr>
          <w:spacing w:val="-26"/>
        </w:rPr>
      </w:r>
      <w:r>
        <w:rPr/>
        <w:t>大做强。</w:t>
      </w:r>
    </w:p>
    <w:p>
      <w:pPr>
        <w:pStyle w:val="BodyText"/>
        <w:spacing w:line="357" w:lineRule="auto" w:before="32"/>
        <w:ind w:right="127" w:firstLine="561"/>
        <w:jc w:val="both"/>
      </w:pPr>
      <w:r>
        <w:rPr>
          <w:spacing w:val="-4"/>
        </w:rPr>
        <w:t>三是投资者结构正在加速转变。以机构为代表的专业投资者队伍不断壮大，普通中小投资者的</w:t>
      </w:r>
      <w:r>
        <w:rPr>
          <w:w w:val="100"/>
        </w:rPr>
        <w:t> </w:t>
      </w:r>
      <w:r>
        <w:rPr>
          <w:spacing w:val="-2"/>
        </w:rPr>
        <w:t>投资理念日渐成熟，对专业投资机构的需求和依赖加大。投资者结构的改变将对证券市场带来深远</w:t>
      </w:r>
      <w:r>
        <w:rPr>
          <w:spacing w:val="-25"/>
        </w:rPr>
        <w:t> </w:t>
      </w:r>
      <w:r>
        <w:rPr>
          <w:spacing w:val="-25"/>
        </w:rPr>
      </w:r>
      <w:r>
        <w:rPr/>
        <w:t>影响，更加考验券商的综合服务能力和业务专业化程度。</w:t>
      </w:r>
    </w:p>
    <w:p>
      <w:pPr>
        <w:pStyle w:val="BodyText"/>
        <w:spacing w:line="355" w:lineRule="auto" w:before="30"/>
        <w:ind w:right="127" w:firstLine="561"/>
        <w:jc w:val="both"/>
      </w:pPr>
      <w:r>
        <w:rPr>
          <w:spacing w:val="-4"/>
        </w:rPr>
        <w:t>四是证券公司的科技化程度加深。金融科技的理念和技术正成为券商强大的生产力。资本、网</w:t>
      </w:r>
      <w:r>
        <w:rPr>
          <w:w w:val="100"/>
        </w:rPr>
        <w:t> </w:t>
      </w:r>
      <w:r>
        <w:rPr>
          <w:spacing w:val="-2"/>
        </w:rPr>
        <w:t>点、客户等因素对券商发展的制约，将随着信息技术的迅猛发展而减弱。同时，</w:t>
      </w:r>
      <w:r>
        <w:rPr>
          <w:rFonts w:ascii="宋体" w:hAnsi="宋体" w:cs="宋体" w:eastAsia="宋体" w:hint="default"/>
          <w:spacing w:val="-2"/>
        </w:rPr>
        <w:t>IT</w:t>
      </w:r>
      <w:r>
        <w:rPr>
          <w:rFonts w:ascii="宋体" w:hAnsi="宋体" w:cs="宋体" w:eastAsia="宋体" w:hint="default"/>
        </w:rPr>
        <w:t> </w:t>
      </w:r>
      <w:r>
        <w:rPr>
          <w:spacing w:val="-2"/>
        </w:rPr>
        <w:t>投入与开发能力</w:t>
      </w:r>
      <w:r>
        <w:rPr>
          <w:spacing w:val="-94"/>
        </w:rPr>
        <w:t> </w:t>
      </w:r>
      <w:r>
        <w:rPr>
          <w:spacing w:val="-94"/>
        </w:rPr>
      </w:r>
      <w:r>
        <w:rPr/>
        <w:t>成为大型券商构筑竞争壁垒的又一利器，将加速行业格局进一步分化。</w:t>
      </w:r>
    </w:p>
    <w:p>
      <w:pPr>
        <w:pStyle w:val="BodyText"/>
        <w:spacing w:line="355" w:lineRule="auto" w:before="34"/>
        <w:ind w:right="127" w:firstLine="561"/>
        <w:jc w:val="both"/>
      </w:pPr>
      <w:r>
        <w:rPr>
          <w:spacing w:val="-4"/>
        </w:rPr>
        <w:t>五是国际化进入新的阶段。券商海外子公司的整体实力与盈利能力都有了较大提高，境内境外</w:t>
      </w:r>
      <w:r>
        <w:rPr>
          <w:w w:val="100"/>
        </w:rPr>
        <w:t> </w:t>
      </w:r>
      <w:r>
        <w:rPr>
          <w:spacing w:val="-2"/>
        </w:rPr>
        <w:t>两地的业务协同不断增多，对母公司的利润贡献度逐步增强。跟随国家“一带一路”战略布局，国</w:t>
      </w:r>
      <w:r>
        <w:rPr>
          <w:spacing w:val="-25"/>
        </w:rPr>
        <w:t> </w:t>
      </w:r>
      <w:r>
        <w:rPr>
          <w:spacing w:val="-25"/>
        </w:rPr>
      </w:r>
      <w:r>
        <w:rPr>
          <w:spacing w:val="-2"/>
        </w:rPr>
        <w:t>内券商通过积极对外扩张，将进一步提高国际影响力和业务国际化水平，收入来源地的多元化也将</w:t>
      </w:r>
      <w:r>
        <w:rPr>
          <w:spacing w:val="-25"/>
        </w:rPr>
        <w:t> </w:t>
      </w:r>
      <w:r>
        <w:rPr>
          <w:spacing w:val="-25"/>
        </w:rPr>
      </w:r>
      <w:r>
        <w:rPr/>
        <w:t>降低业绩波动。</w:t>
      </w:r>
    </w:p>
    <w:p>
      <w:pPr>
        <w:spacing w:after="0" w:line="355" w:lineRule="auto"/>
        <w:jc w:val="both"/>
        <w:sectPr>
          <w:pgSz w:w="11910" w:h="16840"/>
          <w:pgMar w:header="880" w:footer="1195" w:top="1060" w:bottom="1380" w:left="1280" w:right="1280"/>
        </w:sectPr>
      </w:pPr>
    </w:p>
    <w:p>
      <w:pPr>
        <w:spacing w:line="240" w:lineRule="auto" w:before="8"/>
        <w:rPr>
          <w:rFonts w:ascii="宋体" w:hAnsi="宋体" w:cs="宋体" w:eastAsia="宋体" w:hint="default"/>
          <w:sz w:val="28"/>
          <w:szCs w:val="28"/>
        </w:rPr>
      </w:pPr>
    </w:p>
    <w:p>
      <w:pPr>
        <w:pStyle w:val="Heading5"/>
        <w:tabs>
          <w:tab w:pos="978" w:val="left" w:leader="none"/>
        </w:tabs>
        <w:spacing w:line="240" w:lineRule="auto" w:before="36"/>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公司发展战略</w:t>
      </w:r>
      <w:r>
        <w:rPr>
          <w:b w:val="0"/>
          <w:bCs w:val="0"/>
        </w:rPr>
      </w:r>
    </w:p>
    <w:p>
      <w:pPr>
        <w:pStyle w:val="BodyText"/>
        <w:spacing w:line="240" w:lineRule="auto" w:before="58"/>
        <w:ind w:right="0"/>
        <w:jc w:val="left"/>
      </w:pPr>
      <w:r>
        <w:rPr/>
        <w:t>√适用 □不适用</w:t>
      </w:r>
    </w:p>
    <w:p>
      <w:pPr>
        <w:spacing w:line="240" w:lineRule="auto" w:before="1"/>
        <w:rPr>
          <w:rFonts w:ascii="宋体" w:hAnsi="宋体" w:cs="宋体" w:eastAsia="宋体" w:hint="default"/>
          <w:sz w:val="18"/>
          <w:szCs w:val="18"/>
        </w:rPr>
      </w:pPr>
    </w:p>
    <w:p>
      <w:pPr>
        <w:pStyle w:val="BodyText"/>
        <w:spacing w:line="357" w:lineRule="auto"/>
        <w:ind w:right="210" w:firstLine="559"/>
        <w:jc w:val="both"/>
      </w:pPr>
      <w:r>
        <w:rPr/>
        <w:t>公司在成立</w:t>
      </w:r>
      <w:r>
        <w:rPr>
          <w:spacing w:val="-55"/>
        </w:rPr>
        <w:t> </w:t>
      </w:r>
      <w:r>
        <w:rPr>
          <w:rFonts w:ascii="宋体" w:hAnsi="宋体" w:cs="宋体" w:eastAsia="宋体" w:hint="default"/>
        </w:rPr>
        <w:t>25</w:t>
      </w:r>
      <w:r>
        <w:rPr>
          <w:rFonts w:ascii="宋体" w:hAnsi="宋体" w:cs="宋体" w:eastAsia="宋体" w:hint="default"/>
          <w:spacing w:val="-57"/>
        </w:rPr>
        <w:t> </w:t>
      </w:r>
      <w:r>
        <w:rPr/>
        <w:t>周年之际，发布了“新时期、新财通”的“两大目标”和“五大战略”。对内</w:t>
      </w:r>
      <w:r>
        <w:rPr>
          <w:w w:val="100"/>
        </w:rPr>
        <w:t> </w:t>
      </w:r>
      <w:r>
        <w:rPr>
          <w:spacing w:val="-2"/>
        </w:rPr>
        <w:t>以员工为中心，打造“三有”券商，即有责任心、有竞争力、有归属感；对外以客户为中心，打造</w:t>
      </w:r>
      <w:r>
        <w:rPr>
          <w:spacing w:val="-25"/>
        </w:rPr>
        <w:t> </w:t>
      </w:r>
      <w:r>
        <w:rPr>
          <w:spacing w:val="-25"/>
        </w:rPr>
      </w:r>
      <w:r>
        <w:rPr>
          <w:spacing w:val="-2"/>
        </w:rPr>
        <w:t>“三更”券商，即打造“更接地气的浙江本土投行”，打造“更贴心的财富管理专家”，打造“更</w:t>
      </w:r>
      <w:r>
        <w:rPr>
          <w:spacing w:val="-25"/>
        </w:rPr>
        <w:t> </w:t>
      </w:r>
      <w:r>
        <w:rPr>
          <w:spacing w:val="-25"/>
        </w:rPr>
      </w:r>
      <w:r>
        <w:rPr>
          <w:spacing w:val="-6"/>
        </w:rPr>
        <w:t>懂你的综合金融服务商”。为此，公司将实施“深耕浙江”战略，做更接地气的浙江人自己的投行；</w:t>
      </w:r>
      <w:r>
        <w:rPr>
          <w:spacing w:val="-20"/>
        </w:rPr>
        <w:t> </w:t>
      </w:r>
      <w:r>
        <w:rPr>
          <w:spacing w:val="-20"/>
        </w:rPr>
      </w:r>
      <w:r>
        <w:rPr>
          <w:spacing w:val="-2"/>
        </w:rPr>
        <w:t>实施集团化发展战略，全面提升公司综合能力；实施科技发展战略，布局未来，提升公司现代性；</w:t>
      </w:r>
      <w:r>
        <w:rPr>
          <w:spacing w:val="-25"/>
        </w:rPr>
        <w:t> </w:t>
      </w:r>
      <w:r>
        <w:rPr>
          <w:spacing w:val="-25"/>
        </w:rPr>
      </w:r>
      <w:r>
        <w:rPr/>
        <w:t>实施人才发展战略，以人为本，架构良好干事生态；实施文化品牌战略，打造共同的价值理念。</w:t>
      </w:r>
    </w:p>
    <w:p>
      <w:pPr>
        <w:spacing w:line="240" w:lineRule="auto" w:before="11"/>
        <w:rPr>
          <w:rFonts w:ascii="宋体" w:hAnsi="宋体" w:cs="宋体" w:eastAsia="宋体" w:hint="default"/>
          <w:sz w:val="27"/>
          <w:szCs w:val="27"/>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pStyle w:val="BodyText"/>
        <w:spacing w:line="240" w:lineRule="auto" w:before="58"/>
        <w:ind w:right="0"/>
        <w:jc w:val="left"/>
      </w:pPr>
      <w:r>
        <w:rPr/>
        <w:t>√适用 □不适用</w:t>
      </w:r>
    </w:p>
    <w:p>
      <w:pPr>
        <w:spacing w:line="240" w:lineRule="auto" w:before="1"/>
        <w:rPr>
          <w:rFonts w:ascii="宋体" w:hAnsi="宋体" w:cs="宋体" w:eastAsia="宋体" w:hint="default"/>
          <w:sz w:val="18"/>
          <w:szCs w:val="18"/>
        </w:rPr>
      </w:pPr>
    </w:p>
    <w:p>
      <w:pPr>
        <w:pStyle w:val="BodyText"/>
        <w:spacing w:line="240" w:lineRule="auto"/>
        <w:ind w:left="698" w:right="0"/>
        <w:jc w:val="left"/>
      </w:pPr>
      <w:r>
        <w:rPr>
          <w:rFonts w:ascii="宋体" w:hAnsi="宋体" w:cs="宋体" w:eastAsia="宋体" w:hint="default"/>
        </w:rPr>
        <w:t>1.</w:t>
      </w:r>
      <w:r>
        <w:rPr/>
        <w:t>证券经纪业务</w:t>
      </w:r>
    </w:p>
    <w:p>
      <w:pPr>
        <w:pStyle w:val="BodyText"/>
        <w:spacing w:line="357" w:lineRule="auto" w:before="133"/>
        <w:ind w:right="0" w:firstLine="420"/>
        <w:jc w:val="left"/>
      </w:pPr>
      <w:r>
        <w:rPr>
          <w:rFonts w:ascii="宋体" w:hAnsi="宋体" w:cs="宋体" w:eastAsia="宋体" w:hint="default"/>
        </w:rPr>
        <w:t>2019</w:t>
      </w:r>
      <w:r>
        <w:rPr>
          <w:rFonts w:ascii="宋体" w:hAnsi="宋体" w:cs="宋体" w:eastAsia="宋体" w:hint="default"/>
          <w:spacing w:val="19"/>
        </w:rPr>
        <w:t> </w:t>
      </w:r>
      <w:r>
        <w:rPr/>
        <w:t>年，公司证券经纪业务将步入“改革深水区”，从客户、产品、人员、渠道等方面铺开，</w:t>
      </w:r>
      <w:r>
        <w:rPr>
          <w:w w:val="100"/>
        </w:rPr>
        <w:t> </w:t>
      </w:r>
      <w:r>
        <w:rPr/>
        <w:t>全面推动经纪业务向财富管理转型。在客户方面，以客户需求为中心，夯实客户基础，深挖客户价</w:t>
      </w:r>
      <w:r>
        <w:rPr>
          <w:w w:val="100"/>
        </w:rPr>
        <w:t> </w:t>
      </w:r>
      <w:r>
        <w:rPr>
          <w:spacing w:val="-6"/>
        </w:rPr>
        <w:t>值，完善客户分级服务体系；在产品方面，着力培养主动管理能力，加强外部产品评估和引入体系，</w:t>
      </w:r>
      <w:r>
        <w:rPr>
          <w:spacing w:val="-21"/>
        </w:rPr>
        <w:t> </w:t>
      </w:r>
      <w:r>
        <w:rPr>
          <w:spacing w:val="-21"/>
        </w:rPr>
      </w:r>
      <w:r>
        <w:rPr/>
        <w:t>完善公司金融产品体系；在人员方面，全面推动财富顾问体系建设，推进分支机构人员转型；在渠</w:t>
      </w:r>
      <w:r>
        <w:rPr>
          <w:w w:val="100"/>
        </w:rPr>
        <w:t> </w:t>
      </w:r>
      <w:r>
        <w:rPr/>
        <w:t>道方面，线上通过互联网平台，提供标准化服务与数据终端支持，线下通过营业网点专业化转型，</w:t>
      </w:r>
      <w:r>
        <w:rPr>
          <w:w w:val="100"/>
        </w:rPr>
        <w:t> </w:t>
      </w:r>
      <w:r>
        <w:rPr/>
        <w:t>实现对高净值与高价值客户的深度服务。</w:t>
      </w:r>
    </w:p>
    <w:p>
      <w:pPr>
        <w:pStyle w:val="BodyText"/>
        <w:spacing w:line="240" w:lineRule="auto" w:before="32"/>
        <w:ind w:left="698" w:right="0"/>
        <w:jc w:val="left"/>
      </w:pPr>
      <w:r>
        <w:rPr>
          <w:rFonts w:ascii="宋体" w:hAnsi="宋体" w:cs="宋体" w:eastAsia="宋体" w:hint="default"/>
        </w:rPr>
        <w:t>2.</w:t>
      </w:r>
      <w:r>
        <w:rPr/>
        <w:t>投资银行业务</w:t>
      </w:r>
    </w:p>
    <w:p>
      <w:pPr>
        <w:pStyle w:val="BodyText"/>
        <w:spacing w:line="355" w:lineRule="auto" w:before="133"/>
        <w:ind w:right="210" w:firstLine="420"/>
        <w:jc w:val="both"/>
      </w:pPr>
      <w:r>
        <w:rPr>
          <w:rFonts w:ascii="宋体" w:hAnsi="宋体" w:cs="宋体" w:eastAsia="宋体" w:hint="default"/>
        </w:rPr>
        <w:t>2019</w:t>
      </w:r>
      <w:r>
        <w:rPr>
          <w:rFonts w:ascii="宋体" w:hAnsi="宋体" w:cs="宋体" w:eastAsia="宋体" w:hint="default"/>
          <w:spacing w:val="-11"/>
        </w:rPr>
        <w:t> </w:t>
      </w:r>
      <w:r>
        <w:rPr>
          <w:spacing w:val="-2"/>
        </w:rPr>
        <w:t>年，投资银行业务将深入实施“深耕浙江”战略，以客户服务为中心，深化内部改革，持</w:t>
      </w:r>
      <w:r>
        <w:rPr>
          <w:w w:val="100"/>
        </w:rPr>
        <w:t> </w:t>
      </w:r>
      <w:r>
        <w:rPr>
          <w:spacing w:val="-2"/>
        </w:rPr>
        <w:t>续加强队伍建设，不断提升投行业务竞争力，增强投行的业务品牌和市场口碑，全力打造更接地气</w:t>
      </w:r>
      <w:r>
        <w:rPr>
          <w:spacing w:val="-25"/>
        </w:rPr>
        <w:t> </w:t>
      </w:r>
      <w:r>
        <w:rPr>
          <w:spacing w:val="-25"/>
        </w:rPr>
      </w:r>
      <w:r>
        <w:rPr/>
        <w:t>的浙江本土投行，实现投行业务的高质量发展。</w:t>
      </w:r>
    </w:p>
    <w:p>
      <w:pPr>
        <w:pStyle w:val="BodyText"/>
        <w:spacing w:line="357" w:lineRule="auto" w:before="32"/>
        <w:ind w:right="248" w:firstLine="420"/>
        <w:jc w:val="both"/>
      </w:pPr>
      <w:r>
        <w:rPr>
          <w:spacing w:val="-2"/>
        </w:rPr>
        <w:t>股权融资方面，公司高度重视科创板的业务机会，着力形成科创板的项目梯队，提供伴随式的</w:t>
      </w:r>
      <w:r>
        <w:rPr>
          <w:w w:val="100"/>
        </w:rPr>
        <w:t> </w:t>
      </w:r>
      <w:r>
        <w:rPr>
          <w:spacing w:val="-2"/>
        </w:rPr>
        <w:t>客户服务；抓住债股联动、并购重组等业务机会，争取形成公司投行的产品特色。债券融资方面，</w:t>
      </w:r>
      <w:r>
        <w:rPr>
          <w:spacing w:val="-25"/>
        </w:rPr>
        <w:t> </w:t>
      </w:r>
      <w:r>
        <w:rPr>
          <w:spacing w:val="-25"/>
        </w:rPr>
      </w:r>
      <w:r>
        <w:rPr>
          <w:spacing w:val="-2"/>
        </w:rPr>
        <w:t>公司将继续做好风险控制工作，严把立项、内核的风控关，从源头杜绝问题项目的申报；加大对高</w:t>
      </w:r>
      <w:r>
        <w:rPr>
          <w:spacing w:val="-25"/>
        </w:rPr>
        <w:t> </w:t>
      </w:r>
      <w:r>
        <w:rPr>
          <w:spacing w:val="-25"/>
        </w:rPr>
      </w:r>
      <w:r>
        <w:rPr/>
        <w:t>评级债券及创新品种债券的开发力度，强化对</w:t>
      </w:r>
      <w:r>
        <w:rPr>
          <w:spacing w:val="-56"/>
        </w:rPr>
        <w:t> </w:t>
      </w:r>
      <w:r>
        <w:rPr>
          <w:rFonts w:ascii="宋体" w:hAnsi="宋体" w:cs="宋体" w:eastAsia="宋体" w:hint="default"/>
        </w:rPr>
        <w:t>ABS</w:t>
      </w:r>
      <w:r>
        <w:rPr/>
        <w:t>、绿色债、扶贫债、双创债等的业务布局。新三</w:t>
      </w:r>
      <w:r>
        <w:rPr>
          <w:w w:val="100"/>
        </w:rPr>
        <w:t> </w:t>
      </w:r>
      <w:r>
        <w:rPr>
          <w:spacing w:val="-2"/>
        </w:rPr>
        <w:t>板业务方面，聚焦浙江省内市场，强化项目风险导向；做强做优挂牌、督导、融资及并购业务；服</w:t>
      </w:r>
      <w:r>
        <w:rPr>
          <w:spacing w:val="-25"/>
        </w:rPr>
        <w:t> </w:t>
      </w:r>
      <w:r>
        <w:rPr>
          <w:spacing w:val="-25"/>
        </w:rPr>
      </w:r>
      <w:r>
        <w:rPr/>
        <w:t>务老客户，开发新客户，为中小企业资本市场投融资业务提供全产业链、全生命周期服务。</w:t>
      </w:r>
    </w:p>
    <w:p>
      <w:pPr>
        <w:pStyle w:val="BodyText"/>
        <w:spacing w:line="240" w:lineRule="auto" w:before="30"/>
        <w:ind w:left="698" w:right="0"/>
        <w:jc w:val="left"/>
      </w:pPr>
      <w:r>
        <w:rPr>
          <w:rFonts w:ascii="宋体" w:hAnsi="宋体" w:cs="宋体" w:eastAsia="宋体" w:hint="default"/>
        </w:rPr>
        <w:t>3.</w:t>
      </w:r>
      <w:r>
        <w:rPr/>
        <w:t>资产管理业务</w:t>
      </w:r>
    </w:p>
    <w:p>
      <w:pPr>
        <w:pStyle w:val="BodyText"/>
        <w:spacing w:line="357" w:lineRule="auto" w:before="133"/>
        <w:ind w:right="207" w:firstLine="559"/>
        <w:jc w:val="both"/>
      </w:pPr>
      <w:r>
        <w:rPr>
          <w:rFonts w:ascii="宋体" w:hAnsi="宋体" w:cs="宋体" w:eastAsia="宋体" w:hint="default"/>
        </w:rPr>
        <w:t>2019</w:t>
      </w:r>
      <w:r>
        <w:rPr>
          <w:rFonts w:ascii="宋体" w:hAnsi="宋体" w:cs="宋体" w:eastAsia="宋体" w:hint="default"/>
          <w:spacing w:val="-57"/>
        </w:rPr>
        <w:t> </w:t>
      </w:r>
      <w:r>
        <w:rPr/>
        <w:t>年，财通证券资管将进一步保持、强化固收业务的优势地位，多措并举打响权益业务品</w:t>
      </w:r>
      <w:r>
        <w:rPr>
          <w:w w:val="100"/>
        </w:rPr>
        <w:t> </w:t>
      </w:r>
      <w:r>
        <w:rPr>
          <w:spacing w:val="-5"/>
        </w:rPr>
        <w:t>牌，积极培育 </w:t>
      </w:r>
      <w:r>
        <w:rPr>
          <w:rFonts w:ascii="宋体" w:hAnsi="宋体" w:cs="宋体" w:eastAsia="宋体" w:hint="default"/>
          <w:spacing w:val="-4"/>
        </w:rPr>
        <w:t>ABS</w:t>
      </w:r>
      <w:r>
        <w:rPr>
          <w:spacing w:val="-4"/>
        </w:rPr>
        <w:t>、指数量化等其他财富管理业务增长点，努力打造固收、权益、投行“三驾马车”</w:t>
      </w:r>
      <w:r>
        <w:rPr>
          <w:spacing w:val="-91"/>
        </w:rPr>
        <w:t> </w:t>
      </w:r>
      <w:r>
        <w:rPr>
          <w:spacing w:val="-91"/>
        </w:rPr>
      </w:r>
      <w:r>
        <w:rPr>
          <w:spacing w:val="-2"/>
        </w:rPr>
        <w:t>并驾齐驱的业务格局；整合公司资源，持续深耕浙江市场，切实提高公司各项业务在浙江的市场占</w:t>
      </w:r>
      <w:r>
        <w:rPr>
          <w:spacing w:val="-25"/>
        </w:rPr>
        <w:t> </w:t>
      </w:r>
      <w:r>
        <w:rPr>
          <w:spacing w:val="-25"/>
        </w:rPr>
      </w:r>
      <w:r>
        <w:rPr/>
        <w:t>有率。</w:t>
      </w:r>
    </w:p>
    <w:p>
      <w:pPr>
        <w:pStyle w:val="BodyText"/>
        <w:spacing w:line="240" w:lineRule="auto" w:before="30"/>
        <w:ind w:left="698" w:right="0"/>
        <w:jc w:val="left"/>
      </w:pPr>
      <w:r>
        <w:rPr>
          <w:rFonts w:ascii="宋体" w:hAnsi="宋体" w:cs="宋体" w:eastAsia="宋体" w:hint="default"/>
        </w:rPr>
        <w:t>4.</w:t>
      </w:r>
      <w:r>
        <w:rPr/>
        <w:t>证券自营业务</w:t>
      </w:r>
    </w:p>
    <w:p>
      <w:pPr>
        <w:spacing w:after="0" w:line="240" w:lineRule="auto"/>
        <w:jc w:val="left"/>
        <w:sectPr>
          <w:footerReference w:type="default" r:id="rId21"/>
          <w:pgSz w:w="11910" w:h="16840"/>
          <w:pgMar w:footer="1195" w:header="880" w:top="1060" w:bottom="1380" w:left="1280" w:right="1200"/>
        </w:sectPr>
      </w:pPr>
    </w:p>
    <w:p>
      <w:pPr>
        <w:spacing w:line="240" w:lineRule="auto" w:before="8"/>
        <w:rPr>
          <w:rFonts w:ascii="宋体" w:hAnsi="宋体" w:cs="宋体" w:eastAsia="宋体" w:hint="default"/>
          <w:sz w:val="28"/>
          <w:szCs w:val="28"/>
        </w:rPr>
      </w:pPr>
    </w:p>
    <w:p>
      <w:pPr>
        <w:pStyle w:val="BodyText"/>
        <w:spacing w:line="357" w:lineRule="auto" w:before="36"/>
        <w:ind w:right="129" w:firstLine="559"/>
        <w:jc w:val="both"/>
      </w:pPr>
      <w:r>
        <w:rPr>
          <w:spacing w:val="-4"/>
        </w:rPr>
        <w:t>证券自营业务是证券公司投研能力的直接体现，是公司深度参与资本市场、平滑业绩波动、提</w:t>
      </w:r>
      <w:r>
        <w:rPr>
          <w:w w:val="100"/>
        </w:rPr>
        <w:t> </w:t>
      </w:r>
      <w:r>
        <w:rPr>
          <w:spacing w:val="-2"/>
        </w:rPr>
        <w:t>高收入水平的重要工具。公司将秉持着“严控风险、稳中求进”的理念，继续提高投资业务的策略</w:t>
      </w:r>
      <w:r>
        <w:rPr>
          <w:spacing w:val="-25"/>
        </w:rPr>
        <w:t> </w:t>
      </w:r>
      <w:r>
        <w:rPr>
          <w:spacing w:val="-25"/>
        </w:rPr>
      </w:r>
      <w:r>
        <w:rPr/>
        <w:t>研究、深化投资标的调研与分析；通过外引内培，多种渠道完善团队梯度建设。</w:t>
      </w:r>
    </w:p>
    <w:p>
      <w:pPr>
        <w:pStyle w:val="BodyText"/>
        <w:spacing w:line="355" w:lineRule="auto" w:before="30"/>
        <w:ind w:left="698" w:right="0"/>
        <w:jc w:val="left"/>
      </w:pPr>
      <w:r>
        <w:rPr>
          <w:rFonts w:ascii="宋体" w:hAnsi="宋体" w:cs="宋体" w:eastAsia="宋体" w:hint="default"/>
        </w:rPr>
        <w:t>5.</w:t>
      </w:r>
      <w:r>
        <w:rPr/>
        <w:t>证券信用业务</w:t>
      </w:r>
      <w:r>
        <w:rPr>
          <w:w w:val="100"/>
        </w:rPr>
        <w:t> </w:t>
      </w:r>
      <w:r>
        <w:rPr>
          <w:spacing w:val="-4"/>
        </w:rPr>
        <w:t>公司将持续以机构客户为核心，在融资融券业务方面，做好外部目标客户的精准营销，内部存</w:t>
      </w:r>
    </w:p>
    <w:p>
      <w:pPr>
        <w:pStyle w:val="BodyText"/>
        <w:spacing w:line="357" w:lineRule="auto" w:before="32"/>
        <w:ind w:right="168"/>
        <w:jc w:val="both"/>
      </w:pPr>
      <w:r>
        <w:rPr>
          <w:spacing w:val="-2"/>
        </w:rPr>
        <w:t>量客户的适当性管理，业务风险的进一步把控，在借助科技手段和运用技术平台拓展业务方面取得</w:t>
      </w:r>
      <w:r>
        <w:rPr>
          <w:spacing w:val="-25"/>
        </w:rPr>
        <w:t> </w:t>
      </w:r>
      <w:r>
        <w:rPr>
          <w:spacing w:val="-25"/>
        </w:rPr>
      </w:r>
      <w:r>
        <w:rPr>
          <w:spacing w:val="-2"/>
        </w:rPr>
        <w:t>明显进步。股票质押方面，公司将继续加强业务的风险防控，提高新项目遴选的标准，加大优质项</w:t>
      </w:r>
      <w:r>
        <w:rPr>
          <w:spacing w:val="-25"/>
        </w:rPr>
        <w:t> </w:t>
      </w:r>
      <w:r>
        <w:rPr>
          <w:spacing w:val="-25"/>
        </w:rPr>
      </w:r>
      <w:r>
        <w:rPr/>
        <w:t>目的开拓力度，稳步提升业务规模。</w:t>
      </w:r>
    </w:p>
    <w:p>
      <w:pPr>
        <w:pStyle w:val="BodyText"/>
        <w:spacing w:line="355" w:lineRule="auto" w:before="31"/>
        <w:ind w:left="558" w:right="0" w:firstLine="139"/>
        <w:jc w:val="left"/>
      </w:pPr>
      <w:r>
        <w:rPr>
          <w:rFonts w:ascii="宋体" w:hAnsi="宋体" w:cs="宋体" w:eastAsia="宋体" w:hint="default"/>
        </w:rPr>
        <w:t>6.</w:t>
      </w:r>
      <w:r>
        <w:rPr/>
        <w:t>期货业务</w:t>
      </w:r>
      <w:r>
        <w:rPr>
          <w:w w:val="100"/>
        </w:rPr>
        <w:t> </w:t>
      </w:r>
      <w:r>
        <w:rPr>
          <w:spacing w:val="-2"/>
        </w:rPr>
        <w:t>永安期货将紧紧围绕金融开放和“一带一路”建设、经济转型、精准扶贫、六稳预期等时代任</w:t>
      </w:r>
    </w:p>
    <w:p>
      <w:pPr>
        <w:pStyle w:val="BodyText"/>
        <w:spacing w:line="355" w:lineRule="auto" w:before="34"/>
        <w:ind w:right="168"/>
        <w:jc w:val="both"/>
      </w:pPr>
      <w:r>
        <w:rPr>
          <w:spacing w:val="-2"/>
        </w:rPr>
        <w:t>务，坚持回归金融服务实体的本源和初心，完善专业人才、金融科技、投研服务等核心能力建设，</w:t>
      </w:r>
      <w:r>
        <w:rPr>
          <w:spacing w:val="-25"/>
        </w:rPr>
        <w:t> </w:t>
      </w:r>
      <w:r>
        <w:rPr>
          <w:spacing w:val="-25"/>
        </w:rPr>
      </w:r>
      <w:r>
        <w:rPr>
          <w:spacing w:val="-2"/>
        </w:rPr>
        <w:t>统筹推进风险管理、资产管理、财富管理、国际化和经纪代理“五位一体”同频共振的业务模式；</w:t>
      </w:r>
      <w:r>
        <w:rPr>
          <w:spacing w:val="-26"/>
        </w:rPr>
        <w:t> </w:t>
      </w:r>
      <w:r>
        <w:rPr>
          <w:spacing w:val="-26"/>
        </w:rPr>
      </w:r>
      <w:r>
        <w:rPr>
          <w:spacing w:val="-2"/>
        </w:rPr>
        <w:t>积极做好资本运作文章，坚持规范化、专业化、市场化的道路，成为履行社会责任的先行者，努力</w:t>
      </w:r>
      <w:r>
        <w:rPr>
          <w:spacing w:val="-25"/>
        </w:rPr>
        <w:t> </w:t>
      </w:r>
      <w:r>
        <w:rPr>
          <w:spacing w:val="-25"/>
        </w:rPr>
      </w:r>
      <w:r>
        <w:rPr/>
        <w:t>为社会创造更大的价值。</w:t>
      </w:r>
    </w:p>
    <w:p>
      <w:pPr>
        <w:pStyle w:val="BodyText"/>
        <w:spacing w:line="240" w:lineRule="auto" w:before="32"/>
        <w:ind w:left="698" w:right="0"/>
        <w:jc w:val="left"/>
      </w:pPr>
      <w:r>
        <w:rPr>
          <w:rFonts w:ascii="宋体" w:hAnsi="宋体" w:cs="宋体" w:eastAsia="宋体" w:hint="default"/>
        </w:rPr>
        <w:t>7.</w:t>
      </w:r>
      <w:r>
        <w:rPr/>
        <w:t>境外证券业务</w:t>
      </w:r>
    </w:p>
    <w:p>
      <w:pPr>
        <w:pStyle w:val="BodyText"/>
        <w:spacing w:line="357" w:lineRule="auto" w:before="135"/>
        <w:ind w:right="0" w:firstLine="420"/>
        <w:jc w:val="left"/>
      </w:pPr>
      <w:r>
        <w:rPr>
          <w:rFonts w:ascii="宋体" w:hAnsi="宋体" w:cs="宋体" w:eastAsia="宋体" w:hint="default"/>
        </w:rPr>
        <w:t>2019</w:t>
      </w:r>
      <w:r>
        <w:rPr>
          <w:rFonts w:ascii="宋体" w:hAnsi="宋体" w:cs="宋体" w:eastAsia="宋体" w:hint="default"/>
          <w:spacing w:val="-11"/>
        </w:rPr>
        <w:t> </w:t>
      </w:r>
      <w:r>
        <w:rPr>
          <w:spacing w:val="-2"/>
        </w:rPr>
        <w:t>年，在全球经济不确定性较大的背景下，财通香港作为公司境外业务拓展平台，将稳步调</w:t>
      </w:r>
      <w:r>
        <w:rPr>
          <w:w w:val="100"/>
        </w:rPr>
        <w:t> </w:t>
      </w:r>
      <w:r>
        <w:rPr>
          <w:spacing w:val="-2"/>
        </w:rPr>
        <w:t>整海外业务发展布局，响应公司整体战略。一方面，遵循证监会《证券公司和证券投资基金管理公</w:t>
      </w:r>
      <w:r>
        <w:rPr>
          <w:spacing w:val="-25"/>
        </w:rPr>
        <w:t> </w:t>
      </w:r>
      <w:r>
        <w:rPr>
          <w:spacing w:val="-25"/>
        </w:rPr>
      </w:r>
      <w:r>
        <w:rPr>
          <w:spacing w:val="-2"/>
        </w:rPr>
        <w:t>司境外设立、收购、参股经营机构管理办法》的要求，坚持合法合规经营，围绕集团化管控形成境</w:t>
      </w:r>
      <w:r>
        <w:rPr>
          <w:spacing w:val="-25"/>
        </w:rPr>
        <w:t> </w:t>
      </w:r>
      <w:r>
        <w:rPr>
          <w:spacing w:val="-25"/>
        </w:rPr>
      </w:r>
      <w:r>
        <w:rPr>
          <w:spacing w:val="-2"/>
        </w:rPr>
        <w:t>内外一体化合规风控管理体系，提升海外市场服务能力；另一方面，通过内生和外延的两种形式，</w:t>
      </w:r>
      <w:r>
        <w:rPr>
          <w:spacing w:val="-25"/>
        </w:rPr>
        <w:t> </w:t>
      </w:r>
      <w:r>
        <w:rPr>
          <w:spacing w:val="-25"/>
        </w:rPr>
      </w:r>
      <w:r>
        <w:rPr>
          <w:spacing w:val="-2"/>
        </w:rPr>
        <w:t>打造海外金融平台，扩大经纪业务、资产管理业务和投资业务的规模，同时响应公司“深耕浙江”</w:t>
      </w:r>
      <w:r>
        <w:rPr>
          <w:spacing w:val="-25"/>
        </w:rPr>
        <w:t> </w:t>
      </w:r>
      <w:r>
        <w:rPr>
          <w:spacing w:val="-25"/>
        </w:rPr>
      </w:r>
      <w:r>
        <w:rPr/>
        <w:t>战略，服务内地实体经济，发挥全牌照优势，打造全球资本市场服务能力，力争实现包括投行</w:t>
      </w:r>
      <w:r>
        <w:rPr>
          <w:spacing w:val="-55"/>
        </w:rPr>
        <w:t> </w:t>
      </w:r>
      <w:r>
        <w:rPr>
          <w:rFonts w:ascii="宋体" w:hAnsi="宋体" w:cs="宋体" w:eastAsia="宋体" w:hint="default"/>
        </w:rPr>
        <w:t>IPO</w:t>
      </w:r>
      <w:r>
        <w:rPr>
          <w:rFonts w:ascii="宋体" w:hAnsi="宋体" w:cs="宋体" w:eastAsia="宋体" w:hint="default"/>
          <w:w w:val="100"/>
        </w:rPr>
        <w:t> </w:t>
      </w:r>
      <w:r>
        <w:rPr/>
        <w:t>在内的各项业务新的突破。</w:t>
      </w:r>
    </w:p>
    <w:p>
      <w:pPr>
        <w:pStyle w:val="BodyText"/>
        <w:spacing w:line="240" w:lineRule="auto" w:before="30"/>
        <w:ind w:left="698" w:right="0"/>
        <w:jc w:val="left"/>
      </w:pPr>
      <w:r>
        <w:rPr>
          <w:rFonts w:ascii="宋体" w:hAnsi="宋体" w:cs="宋体" w:eastAsia="宋体" w:hint="default"/>
        </w:rPr>
        <w:t>8.</w:t>
      </w:r>
      <w:r>
        <w:rPr/>
        <w:t>基金业务</w:t>
      </w:r>
    </w:p>
    <w:p>
      <w:pPr>
        <w:pStyle w:val="BodyText"/>
        <w:spacing w:line="357" w:lineRule="auto" w:before="133"/>
        <w:ind w:right="132" w:firstLine="420"/>
        <w:jc w:val="both"/>
      </w:pPr>
      <w:r>
        <w:rPr>
          <w:rFonts w:ascii="宋体" w:hAnsi="宋体" w:cs="宋体" w:eastAsia="宋体" w:hint="default"/>
        </w:rPr>
        <w:t>2019</w:t>
      </w:r>
      <w:r>
        <w:rPr>
          <w:rFonts w:ascii="宋体" w:hAnsi="宋体" w:cs="宋体" w:eastAsia="宋体" w:hint="default"/>
          <w:spacing w:val="-12"/>
        </w:rPr>
        <w:t> </w:t>
      </w:r>
      <w:r>
        <w:rPr>
          <w:spacing w:val="-2"/>
        </w:rPr>
        <w:t>年，财通基金将深入分析和利用现有资源，实现业务发展上的突围。公募基金方面，公司</w:t>
      </w:r>
      <w:r>
        <w:rPr>
          <w:w w:val="100"/>
        </w:rPr>
        <w:t> </w:t>
      </w:r>
      <w:r>
        <w:rPr>
          <w:spacing w:val="-2"/>
        </w:rPr>
        <w:t>将持续加快发行节奏，为后续长期发展奠定基础；专户产品方面，公司将以机构客户为核心攻坚对</w:t>
      </w:r>
      <w:r>
        <w:rPr>
          <w:spacing w:val="-26"/>
        </w:rPr>
        <w:t> </w:t>
      </w:r>
      <w:r>
        <w:rPr>
          <w:spacing w:val="-26"/>
        </w:rPr>
      </w:r>
      <w:r>
        <w:rPr/>
        <w:t>象，紧抓委外合作的落实，满足机构客户或高净值客户个性化需求，探寻公司新的盈利点。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5"/>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6"/>
        </w:rPr>
        <w:t> </w:t>
      </w:r>
      <w:r>
        <w:rPr/>
        <w:t>可能面对的风险（包括落实全面风险管理以及合规风控、信息技术投入情况）</w:t>
      </w:r>
      <w:r>
        <w:rPr>
          <w:b w:val="0"/>
          <w:bCs w:val="0"/>
        </w:rPr>
      </w:r>
    </w:p>
    <w:p>
      <w:pPr>
        <w:pStyle w:val="BodyText"/>
        <w:spacing w:line="448" w:lineRule="auto" w:before="56"/>
        <w:ind w:left="558" w:right="5408"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、公司经营活动面临的风险</w:t>
      </w:r>
    </w:p>
    <w:p>
      <w:pPr>
        <w:pStyle w:val="BodyText"/>
        <w:spacing w:line="225" w:lineRule="exact"/>
        <w:ind w:left="558" w:right="0"/>
        <w:jc w:val="left"/>
      </w:pPr>
      <w:r>
        <w:rPr/>
        <w:t>公司经营中面临的风险主要有：市场风险、信用风险、流动性风险、操作风险、信息技术风险</w:t>
      </w:r>
    </w:p>
    <w:p>
      <w:pPr>
        <w:pStyle w:val="BodyText"/>
        <w:spacing w:line="240" w:lineRule="auto" w:before="133"/>
        <w:ind w:right="0"/>
        <w:jc w:val="both"/>
      </w:pPr>
      <w:r>
        <w:rPr/>
        <w:t>等。</w:t>
      </w:r>
    </w:p>
    <w:p>
      <w:pPr>
        <w:pStyle w:val="BodyText"/>
        <w:spacing w:line="240" w:lineRule="auto" w:before="133"/>
        <w:ind w:left="558" w:right="0"/>
        <w:jc w:val="left"/>
      </w:pPr>
      <w:r>
        <w:rPr/>
        <w:t>（</w:t>
      </w:r>
      <w:r>
        <w:rPr>
          <w:rFonts w:ascii="宋体" w:hAnsi="宋体" w:cs="宋体" w:eastAsia="宋体" w:hint="default"/>
        </w:rPr>
        <w:t>1</w:t>
      </w:r>
      <w:r>
        <w:rPr/>
        <w:t>）市场风险</w:t>
      </w:r>
    </w:p>
    <w:p>
      <w:pPr>
        <w:spacing w:after="0" w:line="240" w:lineRule="auto"/>
        <w:jc w:val="left"/>
        <w:sectPr>
          <w:footerReference w:type="default" r:id="rId22"/>
          <w:pgSz w:w="11910" w:h="16840"/>
          <w:pgMar w:footer="1195" w:header="880" w:top="1060" w:bottom="1380" w:left="1280" w:right="1280"/>
          <w:pgNumType w:start="41"/>
        </w:sectPr>
      </w:pPr>
    </w:p>
    <w:p>
      <w:pPr>
        <w:spacing w:line="240" w:lineRule="auto" w:before="8"/>
        <w:rPr>
          <w:rFonts w:ascii="宋体" w:hAnsi="宋体" w:cs="宋体" w:eastAsia="宋体" w:hint="default"/>
          <w:sz w:val="28"/>
          <w:szCs w:val="28"/>
        </w:rPr>
      </w:pPr>
    </w:p>
    <w:p>
      <w:pPr>
        <w:pStyle w:val="BodyText"/>
        <w:spacing w:line="357" w:lineRule="auto" w:before="36"/>
        <w:ind w:right="127" w:firstLine="420"/>
        <w:jc w:val="both"/>
      </w:pPr>
      <w:r>
        <w:rPr>
          <w:spacing w:val="-2"/>
        </w:rPr>
        <w:t>市场风险是指因市场价格（利率、汇率、股票价格和商品价格）的不利变动而使公司投资组合</w:t>
      </w:r>
      <w:r>
        <w:rPr>
          <w:w w:val="100"/>
        </w:rPr>
        <w:t> </w:t>
      </w:r>
      <w:r>
        <w:rPr>
          <w:spacing w:val="-2"/>
        </w:rPr>
        <w:t>发生损失的风险。公司市场风险源自于自营证券、做市业务以及其他投资活动。市场风险主要分为</w:t>
      </w:r>
      <w:r>
        <w:rPr>
          <w:spacing w:val="-25"/>
        </w:rPr>
        <w:t> </w:t>
      </w:r>
      <w:r>
        <w:rPr>
          <w:spacing w:val="-25"/>
        </w:rPr>
      </w:r>
      <w:r>
        <w:rPr>
          <w:spacing w:val="-2"/>
        </w:rPr>
        <w:t>权益价格风险、利率风险、商品价格风险和汇率风险等。其中权益类风险主要是因股票、基金、股</w:t>
      </w:r>
      <w:r>
        <w:rPr>
          <w:spacing w:val="-25"/>
        </w:rPr>
        <w:t> </w:t>
      </w:r>
      <w:r>
        <w:rPr>
          <w:spacing w:val="-25"/>
        </w:rPr>
      </w:r>
      <w:r>
        <w:rPr>
          <w:spacing w:val="-2"/>
        </w:rPr>
        <w:t>指期货以及资产管理计划等权益品种价格或波动率的变化所致；利率风险主要是因债券等固定收益</w:t>
      </w:r>
      <w:r>
        <w:rPr>
          <w:spacing w:val="-25"/>
        </w:rPr>
        <w:t> </w:t>
      </w:r>
      <w:r>
        <w:rPr>
          <w:spacing w:val="-25"/>
        </w:rPr>
      </w:r>
      <w:r>
        <w:rPr>
          <w:spacing w:val="-6"/>
          <w:w w:val="100"/>
        </w:rPr>
        <w:t>投资收益率曲线结构、利率和信用利差等变化所致；商品价格风险主要是因各类商品价格变化所致；</w:t>
      </w:r>
      <w:r>
        <w:rPr>
          <w:spacing w:val="-72"/>
          <w:w w:val="100"/>
        </w:rPr>
        <w:t> </w:t>
      </w:r>
      <w:r>
        <w:rPr>
          <w:spacing w:val="-72"/>
          <w:w w:val="100"/>
        </w:rPr>
      </w:r>
      <w:r>
        <w:rPr/>
        <w:t>汇率风险主要是因外汇汇率变化所致。</w:t>
      </w:r>
    </w:p>
    <w:p>
      <w:pPr>
        <w:pStyle w:val="BodyText"/>
        <w:spacing w:line="357" w:lineRule="auto" w:before="32"/>
        <w:ind w:right="127" w:firstLine="420"/>
        <w:jc w:val="both"/>
      </w:pPr>
      <w:r>
        <w:rPr>
          <w:spacing w:val="-2"/>
        </w:rPr>
        <w:t>报告期内，公司涉及的市场风险主要为自营固定收益类投资的利率风险和自营权益类证券投资</w:t>
      </w:r>
      <w:r>
        <w:rPr>
          <w:w w:val="100"/>
        </w:rPr>
        <w:t> </w:t>
      </w:r>
      <w:r>
        <w:rPr>
          <w:spacing w:val="-2"/>
        </w:rPr>
        <w:t>的价格风险。公司使用基点价值作为衡量固定收益类资产市场风险状况的指标之一，报告期内，公</w:t>
      </w:r>
      <w:r>
        <w:rPr>
          <w:spacing w:val="-25"/>
        </w:rPr>
        <w:t> </w:t>
      </w:r>
      <w:r>
        <w:rPr>
          <w:spacing w:val="-25"/>
        </w:rPr>
      </w:r>
      <w:r>
        <w:rPr>
          <w:spacing w:val="-3"/>
        </w:rPr>
        <w:t>司固定收益类投资组合年度平均基点价值为</w:t>
      </w:r>
      <w:r>
        <w:rPr>
          <w:rFonts w:ascii="宋体" w:hAnsi="宋体" w:cs="宋体" w:eastAsia="宋体" w:hint="default"/>
          <w:spacing w:val="-3"/>
        </w:rPr>
        <w:t>109.31</w:t>
      </w:r>
      <w:r>
        <w:rPr>
          <w:spacing w:val="-3"/>
        </w:rPr>
        <w:t>万（基点价值衡量利率上升</w:t>
      </w:r>
      <w:r>
        <w:rPr>
          <w:rFonts w:ascii="宋体" w:hAnsi="宋体" w:cs="宋体" w:eastAsia="宋体" w:hint="default"/>
          <w:spacing w:val="-3"/>
        </w:rPr>
        <w:t>1</w:t>
      </w:r>
      <w:r>
        <w:rPr>
          <w:spacing w:val="-3"/>
        </w:rPr>
        <w:t>个</w:t>
      </w:r>
      <w:r>
        <w:rPr>
          <w:rFonts w:ascii="宋体" w:hAnsi="宋体" w:cs="宋体" w:eastAsia="宋体" w:hint="default"/>
          <w:spacing w:val="-3"/>
        </w:rPr>
        <w:t>BP</w:t>
      </w:r>
      <w:r>
        <w:rPr>
          <w:spacing w:val="-3"/>
        </w:rPr>
        <w:t>，债券组合的市</w:t>
      </w:r>
      <w:r>
        <w:rPr>
          <w:spacing w:val="-33"/>
        </w:rPr>
        <w:t> </w:t>
      </w:r>
      <w:r>
        <w:rPr>
          <w:spacing w:val="-33"/>
        </w:rPr>
      </w:r>
      <w:r>
        <w:rPr>
          <w:spacing w:val="-3"/>
        </w:rPr>
        <w:t>值减少量）。公司使用</w:t>
      </w:r>
      <w:r>
        <w:rPr>
          <w:rFonts w:ascii="宋体" w:hAnsi="宋体" w:cs="宋体" w:eastAsia="宋体" w:hint="default"/>
          <w:spacing w:val="-3"/>
        </w:rPr>
        <w:t>VaR</w:t>
      </w:r>
      <w:r>
        <w:rPr>
          <w:spacing w:val="-3"/>
        </w:rPr>
        <w:t>作为衡量权益类资产市场风险状况的指标之一，报告期内，公司自营股票</w:t>
      </w:r>
      <w:r>
        <w:rPr>
          <w:spacing w:val="-40"/>
        </w:rPr>
        <w:t> </w:t>
      </w:r>
      <w:r>
        <w:rPr>
          <w:spacing w:val="-40"/>
        </w:rPr>
      </w:r>
      <w:r>
        <w:rPr/>
        <w:t>投资的平均日</w:t>
      </w:r>
      <w:r>
        <w:rPr>
          <w:rFonts w:ascii="宋体" w:hAnsi="宋体" w:cs="宋体" w:eastAsia="宋体" w:hint="default"/>
        </w:rPr>
        <w:t>VaR</w:t>
      </w:r>
      <w:r>
        <w:rPr/>
        <w:t>比例为</w:t>
      </w:r>
      <w:r>
        <w:rPr>
          <w:rFonts w:ascii="宋体" w:hAnsi="宋体" w:cs="宋体" w:eastAsia="宋体" w:hint="default"/>
        </w:rPr>
        <w:t>3.09%</w:t>
      </w:r>
      <w:r>
        <w:rPr/>
        <w:t>（取样天数：</w:t>
      </w:r>
      <w:r>
        <w:rPr>
          <w:rFonts w:ascii="宋体" w:hAnsi="宋体" w:cs="宋体" w:eastAsia="宋体" w:hint="default"/>
        </w:rPr>
        <w:t>250</w:t>
      </w:r>
      <w:r>
        <w:rPr/>
        <w:t>日，置信水平：</w:t>
      </w:r>
      <w:r>
        <w:rPr>
          <w:rFonts w:ascii="宋体" w:hAnsi="宋体" w:cs="宋体" w:eastAsia="宋体" w:hint="default"/>
        </w:rPr>
        <w:t>99%</w:t>
      </w:r>
      <w:r>
        <w:rPr/>
        <w:t>）。</w:t>
      </w:r>
    </w:p>
    <w:p>
      <w:pPr>
        <w:pStyle w:val="BodyText"/>
        <w:spacing w:line="355" w:lineRule="auto" w:before="30"/>
        <w:ind w:left="558" w:right="0"/>
        <w:jc w:val="left"/>
      </w:pPr>
      <w:r>
        <w:rPr/>
        <w:t>（</w:t>
      </w:r>
      <w:r>
        <w:rPr>
          <w:rFonts w:ascii="宋体" w:hAnsi="宋体" w:cs="宋体" w:eastAsia="宋体" w:hint="default"/>
        </w:rPr>
        <w:t>2</w:t>
      </w:r>
      <w:r>
        <w:rPr/>
        <w:t>）信用风险</w:t>
      </w:r>
      <w:r>
        <w:rPr>
          <w:w w:val="100"/>
        </w:rPr>
        <w:t> </w:t>
      </w:r>
      <w:r>
        <w:rPr>
          <w:spacing w:val="-2"/>
        </w:rPr>
        <w:t>信用风险是指因借款人、交易对手或发行人未能履行其合约责任而导致损失的可能性，或由于</w:t>
      </w:r>
    </w:p>
    <w:p>
      <w:pPr>
        <w:pStyle w:val="BodyText"/>
        <w:spacing w:line="357" w:lineRule="auto" w:before="32"/>
        <w:ind w:right="168"/>
        <w:jc w:val="both"/>
      </w:pPr>
      <w:r>
        <w:rPr>
          <w:spacing w:val="-2"/>
        </w:rPr>
        <w:t>借款人、交易对手、发行人的信用评级的变动和履约能力的变化而导致其债务市场价值变动而引起</w:t>
      </w:r>
      <w:r>
        <w:rPr>
          <w:spacing w:val="-25"/>
        </w:rPr>
        <w:t> </w:t>
      </w:r>
      <w:r>
        <w:rPr>
          <w:spacing w:val="-25"/>
        </w:rPr>
      </w:r>
      <w:r>
        <w:rPr>
          <w:spacing w:val="-2"/>
        </w:rPr>
        <w:t>损失的可能性。公司的信用风险源于信用类产品（包括债券和其他债权投资等）投资的违约风险，</w:t>
      </w:r>
      <w:r>
        <w:rPr>
          <w:spacing w:val="-25"/>
        </w:rPr>
        <w:t> </w:t>
      </w:r>
      <w:r>
        <w:rPr>
          <w:spacing w:val="-25"/>
        </w:rPr>
      </w:r>
      <w:r>
        <w:rPr>
          <w:spacing w:val="-2"/>
        </w:rPr>
        <w:t>证券信用业务（包括融资融券业务、约定购回式证券交易业务、股票质押式回购交易业务等），场</w:t>
      </w:r>
      <w:r>
        <w:rPr>
          <w:spacing w:val="-25"/>
        </w:rPr>
        <w:t> </w:t>
      </w:r>
      <w:r>
        <w:rPr>
          <w:spacing w:val="-25"/>
        </w:rPr>
      </w:r>
      <w:r>
        <w:rPr>
          <w:spacing w:val="-2"/>
        </w:rPr>
        <w:t>外衍生品交易的交易对手方违约风险等方面。主要表现为债券等主体违约、信用评级下调，客户违</w:t>
      </w:r>
      <w:r>
        <w:rPr>
          <w:spacing w:val="-25"/>
        </w:rPr>
        <w:t> </w:t>
      </w:r>
      <w:r>
        <w:rPr>
          <w:spacing w:val="-25"/>
        </w:rPr>
      </w:r>
      <w:r>
        <w:rPr/>
        <w:t>约，交易对手违约等给公司造成损失的可能性。</w:t>
      </w:r>
    </w:p>
    <w:p>
      <w:pPr>
        <w:pStyle w:val="BodyText"/>
        <w:spacing w:line="357" w:lineRule="auto" w:before="30"/>
        <w:ind w:right="168" w:firstLine="420"/>
        <w:jc w:val="both"/>
      </w:pPr>
      <w:r>
        <w:rPr>
          <w:spacing w:val="-2"/>
        </w:rPr>
        <w:t>报告期内，公司自营固定收益类投资业务通过严格控制标的准入评级及个券集中度限额，防范</w:t>
      </w:r>
      <w:r>
        <w:rPr>
          <w:w w:val="100"/>
        </w:rPr>
        <w:t> </w:t>
      </w:r>
      <w:r>
        <w:rPr>
          <w:spacing w:val="-2"/>
        </w:rPr>
        <w:t>信用风险，规避违约损失。在证券信用业务方面，公司持续通过严格控制准入标准、集中度控制、</w:t>
      </w:r>
      <w:r>
        <w:rPr>
          <w:spacing w:val="-25"/>
        </w:rPr>
        <w:t> </w:t>
      </w:r>
      <w:r>
        <w:rPr>
          <w:spacing w:val="-25"/>
        </w:rPr>
      </w:r>
      <w:r>
        <w:rPr>
          <w:spacing w:val="-2"/>
        </w:rPr>
        <w:t>征授信管理、逐日盯市等措施强化信用风险的控制。报告期内公司出现个别信用类产品及证券信用</w:t>
      </w:r>
      <w:r>
        <w:rPr>
          <w:spacing w:val="-25"/>
        </w:rPr>
        <w:t> </w:t>
      </w:r>
      <w:r>
        <w:rPr>
          <w:spacing w:val="-25"/>
        </w:rPr>
      </w:r>
      <w:r>
        <w:rPr/>
        <w:t>业务违约风险，公司积极采取处置措施妥善推进风险的缓释和化解，整体信用风险可控。</w:t>
      </w:r>
    </w:p>
    <w:p>
      <w:pPr>
        <w:pStyle w:val="BodyText"/>
        <w:spacing w:line="355" w:lineRule="auto" w:before="30"/>
        <w:ind w:left="558" w:right="0"/>
        <w:jc w:val="left"/>
      </w:pPr>
      <w:r>
        <w:rPr/>
        <w:t>（</w:t>
      </w:r>
      <w:r>
        <w:rPr>
          <w:rFonts w:ascii="宋体" w:hAnsi="宋体" w:cs="宋体" w:eastAsia="宋体" w:hint="default"/>
        </w:rPr>
        <w:t>3</w:t>
      </w:r>
      <w:r>
        <w:rPr/>
        <w:t>）流动性风险</w:t>
      </w:r>
      <w:r>
        <w:rPr>
          <w:w w:val="100"/>
        </w:rPr>
        <w:t> </w:t>
      </w:r>
      <w:r>
        <w:rPr>
          <w:spacing w:val="-2"/>
        </w:rPr>
        <w:t>流动性风险是指公司无法以合理成本及时获得充足资金，以偿付到期债务、履行其他支付义务</w:t>
      </w:r>
    </w:p>
    <w:p>
      <w:pPr>
        <w:pStyle w:val="BodyText"/>
        <w:spacing w:line="355" w:lineRule="auto" w:before="35"/>
        <w:ind w:left="558" w:right="4779" w:hanging="420"/>
        <w:jc w:val="left"/>
      </w:pPr>
      <w:r>
        <w:rPr/>
        <w:t>和满足正常业务开展的资金需求的风险。</w:t>
      </w:r>
      <w:r>
        <w:rPr>
          <w:w w:val="100"/>
        </w:rPr>
        <w:t> </w:t>
      </w:r>
      <w:r>
        <w:rPr>
          <w:spacing w:val="-2"/>
        </w:rPr>
        <w:t>报告期内公司流动性指标均符合监管标准。</w:t>
      </w:r>
    </w:p>
    <w:p>
      <w:pPr>
        <w:pStyle w:val="BodyText"/>
        <w:spacing w:line="355" w:lineRule="auto" w:before="32"/>
        <w:ind w:left="558" w:right="0"/>
        <w:jc w:val="left"/>
      </w:pPr>
      <w:r>
        <w:rPr/>
        <w:t>（</w:t>
      </w:r>
      <w:r>
        <w:rPr>
          <w:rFonts w:ascii="宋体" w:hAnsi="宋体" w:cs="宋体" w:eastAsia="宋体" w:hint="default"/>
        </w:rPr>
        <w:t>4</w:t>
      </w:r>
      <w:r>
        <w:rPr/>
        <w:t>）操作风险</w:t>
      </w:r>
      <w:r>
        <w:rPr>
          <w:w w:val="100"/>
        </w:rPr>
        <w:t> </w:t>
      </w:r>
      <w:r>
        <w:rPr>
          <w:spacing w:val="-2"/>
        </w:rPr>
        <w:t>操作风险是指由内部流程缺陷、信息系统故障、人员失误或不当行为，以及外部因素等原因造</w:t>
      </w:r>
    </w:p>
    <w:p>
      <w:pPr>
        <w:pStyle w:val="BodyText"/>
        <w:spacing w:line="357" w:lineRule="auto" w:before="32"/>
        <w:ind w:left="558" w:right="0" w:hanging="420"/>
        <w:jc w:val="left"/>
      </w:pPr>
      <w:r>
        <w:rPr/>
        <w:t>成损失的风险。</w:t>
      </w:r>
      <w:r>
        <w:rPr>
          <w:spacing w:val="-103"/>
        </w:rPr>
        <w:t> </w:t>
      </w:r>
      <w:r>
        <w:rPr>
          <w:spacing w:val="-103"/>
        </w:rPr>
      </w:r>
      <w:r>
        <w:rPr>
          <w:spacing w:val="-2"/>
        </w:rPr>
        <w:t>报告期内，公司持续健全和完善管理制度、优化业务流程、加强业务培训，未产生重大操作风</w:t>
      </w:r>
    </w:p>
    <w:p>
      <w:pPr>
        <w:pStyle w:val="BodyText"/>
        <w:spacing w:line="240" w:lineRule="auto" w:before="30"/>
        <w:ind w:right="0"/>
        <w:jc w:val="left"/>
      </w:pPr>
      <w:r>
        <w:rPr/>
        <w:t>险事件。</w:t>
      </w:r>
    </w:p>
    <w:p>
      <w:pPr>
        <w:pStyle w:val="BodyText"/>
        <w:spacing w:line="357" w:lineRule="auto" w:before="133"/>
        <w:ind w:left="558" w:right="0"/>
        <w:jc w:val="left"/>
      </w:pPr>
      <w:r>
        <w:rPr/>
        <w:t>（</w:t>
      </w:r>
      <w:r>
        <w:rPr>
          <w:rFonts w:ascii="宋体" w:hAnsi="宋体" w:cs="宋体" w:eastAsia="宋体" w:hint="default"/>
        </w:rPr>
        <w:t>5</w:t>
      </w:r>
      <w:r>
        <w:rPr/>
        <w:t>）信息技术风险</w:t>
      </w:r>
      <w:r>
        <w:rPr>
          <w:w w:val="100"/>
        </w:rPr>
        <w:t> </w:t>
      </w:r>
      <w:r>
        <w:rPr>
          <w:spacing w:val="-2"/>
        </w:rPr>
        <w:t>信息技术风险是指公司经营及业务开展过程中所依赖的电子信息系统可能会面临软硬件故障、</w:t>
      </w:r>
    </w:p>
    <w:p>
      <w:pPr>
        <w:pStyle w:val="BodyText"/>
        <w:spacing w:line="240" w:lineRule="auto" w:before="32"/>
        <w:ind w:right="0"/>
        <w:jc w:val="left"/>
      </w:pPr>
      <w:r>
        <w:rPr/>
        <w:t>通讯线路故障、恶意入侵等不可预料事件带来的信息系统风险隐患，影响公司的声誉和服务质量，</w:t>
      </w:r>
    </w:p>
    <w:p>
      <w:pPr>
        <w:spacing w:after="0" w:line="240" w:lineRule="auto"/>
        <w:jc w:val="left"/>
        <w:sectPr>
          <w:pgSz w:w="11910" w:h="16840"/>
          <w:pgMar w:header="880" w:footer="1195" w:top="1060" w:bottom="1380" w:left="1280" w:right="1280"/>
        </w:sectPr>
      </w:pPr>
    </w:p>
    <w:p>
      <w:pPr>
        <w:spacing w:line="240" w:lineRule="auto" w:before="8"/>
        <w:rPr>
          <w:rFonts w:ascii="宋体" w:hAnsi="宋体" w:cs="宋体" w:eastAsia="宋体" w:hint="default"/>
          <w:sz w:val="28"/>
          <w:szCs w:val="28"/>
        </w:rPr>
      </w:pPr>
    </w:p>
    <w:p>
      <w:pPr>
        <w:pStyle w:val="BodyText"/>
        <w:spacing w:line="357" w:lineRule="auto" w:before="36"/>
        <w:ind w:left="558" w:right="0" w:hanging="420"/>
        <w:jc w:val="left"/>
      </w:pPr>
      <w:r>
        <w:rPr/>
        <w:t>甚至会带来经济损失和法律纠纷。</w:t>
      </w:r>
      <w:r>
        <w:rPr>
          <w:w w:val="100"/>
        </w:rPr>
        <w:t> </w:t>
      </w:r>
      <w:r>
        <w:rPr>
          <w:spacing w:val="-2"/>
        </w:rPr>
        <w:t>报告期内，公司发生了一起网上交易及移动终端客户登录异常事件。预警事件发生后，公司立</w:t>
      </w:r>
    </w:p>
    <w:p>
      <w:pPr>
        <w:pStyle w:val="BodyText"/>
        <w:spacing w:line="355" w:lineRule="auto" w:before="30"/>
        <w:ind w:right="168"/>
        <w:jc w:val="both"/>
      </w:pPr>
      <w:r>
        <w:rPr>
          <w:spacing w:val="-2"/>
        </w:rPr>
        <w:t>即启动了应急预案，及时应对并努力化解风险，较好的保障了公司业务的正常开展，未对正常经营</w:t>
      </w:r>
      <w:r>
        <w:rPr>
          <w:spacing w:val="-26"/>
        </w:rPr>
        <w:t> </w:t>
      </w:r>
      <w:r>
        <w:rPr>
          <w:spacing w:val="-26"/>
        </w:rPr>
      </w:r>
      <w:r>
        <w:rPr>
          <w:spacing w:val="-2"/>
        </w:rPr>
        <w:t>秩序产生明显影响。同时，通过分析和总结，公司采取了有针对性的专项工作措施对信息安全存在</w:t>
      </w:r>
      <w:r>
        <w:rPr>
          <w:spacing w:val="-25"/>
        </w:rPr>
        <w:t> </w:t>
      </w:r>
      <w:r>
        <w:rPr>
          <w:spacing w:val="-25"/>
        </w:rPr>
      </w:r>
      <w:r>
        <w:rPr/>
        <w:t>的短板进行了优化和提升。</w:t>
      </w:r>
    </w:p>
    <w:p>
      <w:pPr>
        <w:pStyle w:val="BodyText"/>
        <w:spacing w:line="357" w:lineRule="auto" w:before="32"/>
        <w:ind w:left="558" w:right="0"/>
        <w:jc w:val="left"/>
      </w:pPr>
      <w:r>
        <w:rPr>
          <w:rFonts w:ascii="宋体" w:hAnsi="宋体" w:cs="宋体" w:eastAsia="宋体" w:hint="default"/>
        </w:rPr>
        <w:t>2</w:t>
      </w:r>
      <w:r>
        <w:rPr/>
        <w:t>、全面风险管理情况</w:t>
      </w:r>
      <w:r>
        <w:rPr>
          <w:w w:val="100"/>
        </w:rPr>
        <w:t> </w:t>
      </w:r>
      <w:r>
        <w:rPr>
          <w:spacing w:val="-2"/>
        </w:rPr>
        <w:t>公司严格遵守监管要求，坚持依法、合规经营，并提倡稳健、审慎的风险偏好。公司通过建立</w:t>
      </w:r>
    </w:p>
    <w:p>
      <w:pPr>
        <w:pStyle w:val="BodyText"/>
        <w:spacing w:line="357" w:lineRule="auto" w:before="30"/>
        <w:ind w:right="168"/>
        <w:jc w:val="both"/>
      </w:pPr>
      <w:r>
        <w:rPr>
          <w:spacing w:val="-2"/>
        </w:rPr>
        <w:t>健全风险管理制度体系及组织架构、丰富完善风险防范和管控措施，持续提升全面风险管理能力，</w:t>
      </w:r>
      <w:r>
        <w:rPr>
          <w:spacing w:val="-25"/>
        </w:rPr>
        <w:t> </w:t>
      </w:r>
      <w:r>
        <w:rPr>
          <w:spacing w:val="-25"/>
        </w:rPr>
      </w:r>
      <w:r>
        <w:rPr/>
        <w:t>实现各类风险的可测、可控、可承受。</w:t>
      </w:r>
    </w:p>
    <w:p>
      <w:pPr>
        <w:pStyle w:val="BodyText"/>
        <w:spacing w:line="357" w:lineRule="auto" w:before="30"/>
        <w:ind w:left="558" w:right="0"/>
        <w:jc w:val="left"/>
      </w:pPr>
      <w:r>
        <w:rPr/>
        <w:t>（</w:t>
      </w:r>
      <w:r>
        <w:rPr>
          <w:rFonts w:ascii="宋体" w:hAnsi="宋体" w:cs="宋体" w:eastAsia="宋体" w:hint="default"/>
        </w:rPr>
        <w:t>1</w:t>
      </w:r>
      <w:r>
        <w:rPr/>
        <w:t>）风险管理制度体系</w:t>
      </w:r>
      <w:r>
        <w:rPr>
          <w:w w:val="100"/>
        </w:rPr>
        <w:t> </w:t>
      </w:r>
      <w:r>
        <w:rPr>
          <w:spacing w:val="-6"/>
        </w:rPr>
        <w:t>公司建立了全面的风险管理和内部控制流程，以监督、评估、管理和各项业务相关的风险敞口。</w:t>
      </w:r>
    </w:p>
    <w:p>
      <w:pPr>
        <w:pStyle w:val="BodyText"/>
        <w:spacing w:line="357" w:lineRule="auto" w:before="30"/>
        <w:ind w:right="130"/>
        <w:jc w:val="both"/>
      </w:pPr>
      <w:r>
        <w:rPr>
          <w:spacing w:val="-2"/>
        </w:rPr>
        <w:t>公司按照《证券公司全面风险管理规范》的要求，修订了《财通证券股份有限公司风险管理基本制</w:t>
      </w:r>
      <w:r>
        <w:rPr>
          <w:spacing w:val="-25"/>
        </w:rPr>
        <w:t> </w:t>
      </w:r>
      <w:r>
        <w:rPr>
          <w:spacing w:val="-25"/>
        </w:rPr>
      </w:r>
      <w:r>
        <w:rPr>
          <w:spacing w:val="-2"/>
        </w:rPr>
        <w:t>度》，明确了公司风险管理目标、原则、组织架构及职责分工、风险管理的手段和方法、风险管理</w:t>
      </w:r>
      <w:r>
        <w:rPr>
          <w:spacing w:val="-25"/>
        </w:rPr>
        <w:t> </w:t>
      </w:r>
      <w:r>
        <w:rPr>
          <w:spacing w:val="-25"/>
        </w:rPr>
      </w:r>
      <w:r>
        <w:rPr>
          <w:spacing w:val="-2"/>
        </w:rPr>
        <w:t>流程、履职保障等相关要求，为公司风险管理工作提供了制度依据。同时，公司建立以各大类风险</w:t>
      </w:r>
      <w:r>
        <w:rPr>
          <w:spacing w:val="-25"/>
        </w:rPr>
        <w:t> </w:t>
      </w:r>
      <w:r>
        <w:rPr>
          <w:spacing w:val="-25"/>
        </w:rPr>
      </w:r>
      <w:r>
        <w:rPr>
          <w:spacing w:val="-2"/>
        </w:rPr>
        <w:t>分类管理制度为横向和以各大类业务风险管理制度为纵向的矩阵式的风险管理制度体系，实现风险</w:t>
      </w:r>
      <w:r>
        <w:rPr>
          <w:spacing w:val="-25"/>
        </w:rPr>
        <w:t> </w:t>
      </w:r>
      <w:r>
        <w:rPr>
          <w:spacing w:val="-25"/>
        </w:rPr>
      </w:r>
      <w:r>
        <w:rPr>
          <w:spacing w:val="-2"/>
        </w:rPr>
        <w:t>制度对各业务、各单位全覆盖，如制定了《市场风险管理办法》、《信用风险管理办法》、《操作</w:t>
      </w:r>
      <w:r>
        <w:rPr>
          <w:spacing w:val="-25"/>
        </w:rPr>
        <w:t> </w:t>
      </w:r>
      <w:r>
        <w:rPr>
          <w:spacing w:val="-25"/>
        </w:rPr>
      </w:r>
      <w:r>
        <w:rPr>
          <w:spacing w:val="-2"/>
        </w:rPr>
        <w:t>风险管理办法》、《流动性风险管理办法》、《声誉风险管理办法》和《自营投资业务风险管理办</w:t>
      </w:r>
      <w:r>
        <w:rPr>
          <w:spacing w:val="-25"/>
        </w:rPr>
        <w:t> </w:t>
      </w:r>
      <w:r>
        <w:rPr>
          <w:spacing w:val="-25"/>
        </w:rPr>
      </w:r>
      <w:r>
        <w:rPr>
          <w:spacing w:val="-6"/>
        </w:rPr>
        <w:t>法》、《投资银行类业务风险管理办法》、《经纪业务风险管理办法》以及《子公司风险管理办法》</w:t>
      </w:r>
      <w:r>
        <w:rPr>
          <w:spacing w:val="-20"/>
        </w:rPr>
        <w:t> </w:t>
      </w:r>
      <w:r>
        <w:rPr>
          <w:spacing w:val="-20"/>
        </w:rPr>
      </w:r>
      <w:r>
        <w:rPr/>
        <w:t>和《子公司风险管理考核细则》等较为完备的风险管理制度体系。</w:t>
      </w:r>
    </w:p>
    <w:p>
      <w:pPr>
        <w:pStyle w:val="BodyText"/>
        <w:spacing w:line="357" w:lineRule="auto" w:before="30"/>
        <w:ind w:right="168" w:firstLine="420"/>
        <w:jc w:val="both"/>
      </w:pPr>
      <w:r>
        <w:rPr>
          <w:spacing w:val="-2"/>
        </w:rPr>
        <w:t>此外，为加强公司的风险控制指标管理和压力测试工作，公司对比《证券公司全面风险管理规</w:t>
      </w:r>
      <w:r>
        <w:rPr>
          <w:w w:val="100"/>
        </w:rPr>
        <w:t> </w:t>
      </w:r>
      <w:r>
        <w:rPr>
          <w:spacing w:val="-2"/>
        </w:rPr>
        <w:t>范》、《证券公司风险控制指标管理办法》及配套规则的要求，制定了《财通证券股份有限公司风</w:t>
      </w:r>
      <w:r>
        <w:rPr>
          <w:spacing w:val="-25"/>
        </w:rPr>
        <w:t> </w:t>
      </w:r>
      <w:r>
        <w:rPr>
          <w:spacing w:val="-25"/>
        </w:rPr>
      </w:r>
      <w:r>
        <w:rPr>
          <w:spacing w:val="-2"/>
        </w:rPr>
        <w:t>险控制指标管理办法》、《财通证券股份有限公司风险控制指标动态监控管理办法》、《财通证券</w:t>
      </w:r>
      <w:r>
        <w:rPr>
          <w:spacing w:val="-25"/>
        </w:rPr>
        <w:t> </w:t>
      </w:r>
      <w:r>
        <w:rPr>
          <w:spacing w:val="-25"/>
        </w:rPr>
      </w:r>
      <w:r>
        <w:rPr/>
        <w:t>股份有限公司压力测试实施办法》等专项的风险管理制度。</w:t>
      </w:r>
    </w:p>
    <w:p>
      <w:pPr>
        <w:pStyle w:val="BodyText"/>
        <w:spacing w:line="360" w:lineRule="auto" w:before="30"/>
        <w:ind w:left="558" w:right="0"/>
        <w:jc w:val="left"/>
      </w:pPr>
      <w:r>
        <w:rPr/>
        <w:t>（</w:t>
      </w:r>
      <w:r>
        <w:rPr>
          <w:rFonts w:ascii="宋体" w:hAnsi="宋体" w:cs="宋体" w:eastAsia="宋体" w:hint="default"/>
        </w:rPr>
        <w:t>2</w:t>
      </w:r>
      <w:r>
        <w:rPr/>
        <w:t>）风险管理组织架构</w:t>
      </w:r>
      <w:r>
        <w:rPr>
          <w:w w:val="100"/>
        </w:rPr>
        <w:t> </w:t>
      </w:r>
      <w:r>
        <w:rPr>
          <w:spacing w:val="-2"/>
        </w:rPr>
        <w:t>公司根据全面风险管理的要求建立分工合理、职责明确、报告关系清晰的风险管理组织架构，</w:t>
      </w:r>
    </w:p>
    <w:p>
      <w:pPr>
        <w:pStyle w:val="BodyText"/>
        <w:spacing w:line="355" w:lineRule="auto" w:before="28"/>
        <w:ind w:right="168"/>
        <w:jc w:val="both"/>
      </w:pPr>
      <w:r>
        <w:rPr>
          <w:spacing w:val="-2"/>
        </w:rPr>
        <w:t>包括董事会（风险控制委员会）、监事会，经理层，风险管理部、合规部、各职能部门，业务部门</w:t>
      </w:r>
      <w:r>
        <w:rPr>
          <w:spacing w:val="-25"/>
        </w:rPr>
        <w:t> </w:t>
      </w:r>
      <w:r>
        <w:rPr>
          <w:spacing w:val="-25"/>
        </w:rPr>
      </w:r>
      <w:r>
        <w:rPr/>
        <w:t>及子公司共四个层级。公司设置首席风险官，领导风险管理部推动公司全面风险管理工作。</w:t>
      </w:r>
    </w:p>
    <w:p>
      <w:pPr>
        <w:pStyle w:val="BodyText"/>
        <w:spacing w:line="355" w:lineRule="auto" w:before="32"/>
        <w:ind w:left="558" w:right="5408"/>
        <w:jc w:val="left"/>
      </w:pPr>
      <w:r>
        <w:rPr>
          <w:spacing w:val="-2"/>
        </w:rPr>
        <w:t>（</w:t>
      </w:r>
      <w:r>
        <w:rPr>
          <w:rFonts w:ascii="宋体" w:hAnsi="宋体" w:cs="宋体" w:eastAsia="宋体" w:hint="default"/>
          <w:spacing w:val="-2"/>
        </w:rPr>
        <w:t>3</w:t>
      </w:r>
      <w:r>
        <w:rPr>
          <w:spacing w:val="-2"/>
        </w:rPr>
        <w:t>）主要风险的防范对策和措施</w:t>
      </w:r>
      <w:r>
        <w:rPr>
          <w:spacing w:val="-77"/>
        </w:rPr>
        <w:t> </w:t>
      </w:r>
      <w:r>
        <w:rPr>
          <w:spacing w:val="-77"/>
        </w:rPr>
      </w:r>
      <w:r>
        <w:rPr>
          <w:rFonts w:ascii="宋体" w:hAnsi="宋体" w:cs="宋体" w:eastAsia="宋体" w:hint="default"/>
        </w:rPr>
        <w:t>1</w:t>
      </w:r>
      <w:r>
        <w:rPr/>
        <w:t>）市场风险</w:t>
      </w:r>
    </w:p>
    <w:p>
      <w:pPr>
        <w:pStyle w:val="BodyText"/>
        <w:spacing w:line="357" w:lineRule="auto" w:before="34"/>
        <w:ind w:right="129" w:firstLine="420"/>
        <w:jc w:val="both"/>
      </w:pPr>
      <w:r>
        <w:rPr>
          <w:spacing w:val="-2"/>
        </w:rPr>
        <w:t>针对市场风险，公司根据风险偏好设定公司市场风险容忍度、业务风险限额等分级授权的风险</w:t>
      </w:r>
      <w:r>
        <w:rPr>
          <w:w w:val="100"/>
        </w:rPr>
        <w:t> </w:t>
      </w:r>
      <w:r>
        <w:rPr>
          <w:spacing w:val="-2"/>
        </w:rPr>
        <w:t>限额体系。公司董事会确定自营业务年度规模、市场风险损失容忍度、损失限额等重大风险限额；</w:t>
      </w:r>
      <w:r>
        <w:rPr>
          <w:spacing w:val="-25"/>
        </w:rPr>
        <w:t> </w:t>
      </w:r>
      <w:r>
        <w:rPr>
          <w:spacing w:val="-25"/>
        </w:rPr>
      </w:r>
      <w:r>
        <w:rPr>
          <w:spacing w:val="-2"/>
        </w:rPr>
        <w:t>公司经营管理层将董事会确定的年度规模、市场风险损失容忍度、重大风险限额等进行分解，并审</w:t>
      </w:r>
      <w:r>
        <w:rPr>
          <w:spacing w:val="-25"/>
        </w:rPr>
        <w:t> </w:t>
      </w:r>
      <w:r>
        <w:rPr>
          <w:spacing w:val="-25"/>
        </w:rPr>
      </w:r>
      <w:r>
        <w:rPr>
          <w:spacing w:val="-3"/>
        </w:rPr>
        <w:t>批确定相应风险限额，包括各自营部门业务规模、投资集中度、平均久期、</w:t>
      </w:r>
      <w:r>
        <w:rPr>
          <w:rFonts w:ascii="宋体" w:hAnsi="宋体" w:cs="宋体" w:eastAsia="宋体" w:hint="default"/>
          <w:spacing w:val="-3"/>
        </w:rPr>
        <w:t>DV01</w:t>
      </w:r>
      <w:r>
        <w:rPr>
          <w:spacing w:val="-3"/>
        </w:rPr>
        <w:t>以及</w:t>
      </w:r>
      <w:r>
        <w:rPr>
          <w:rFonts w:ascii="宋体" w:hAnsi="宋体" w:cs="宋体" w:eastAsia="宋体" w:hint="default"/>
          <w:spacing w:val="-3"/>
        </w:rPr>
        <w:t>VaR</w:t>
      </w:r>
      <w:r>
        <w:rPr>
          <w:spacing w:val="-3"/>
        </w:rPr>
        <w:t>等。公司自</w:t>
      </w:r>
      <w:r>
        <w:rPr>
          <w:spacing w:val="-40"/>
        </w:rPr>
        <w:t> </w:t>
      </w:r>
      <w:r>
        <w:rPr>
          <w:spacing w:val="-40"/>
        </w:rPr>
      </w:r>
      <w:r>
        <w:rPr>
          <w:spacing w:val="-2"/>
        </w:rPr>
        <w:t>营部门在上述基础上进一步细化部门层级的风险限额，并通过组合投资、逐日盯市、对冲缓释、监</w:t>
      </w:r>
    </w:p>
    <w:p>
      <w:pPr>
        <w:spacing w:after="0" w:line="357" w:lineRule="auto"/>
        <w:jc w:val="both"/>
        <w:sectPr>
          <w:footerReference w:type="default" r:id="rId23"/>
          <w:pgSz w:w="11910" w:h="16840"/>
          <w:pgMar w:footer="1195" w:header="880" w:top="1060" w:bottom="1380" w:left="1280" w:right="1280"/>
          <w:pgNumType w:start="43"/>
        </w:sectPr>
      </w:pPr>
    </w:p>
    <w:p>
      <w:pPr>
        <w:spacing w:line="240" w:lineRule="auto" w:before="8"/>
        <w:rPr>
          <w:rFonts w:ascii="宋体" w:hAnsi="宋体" w:cs="宋体" w:eastAsia="宋体" w:hint="default"/>
          <w:sz w:val="28"/>
          <w:szCs w:val="28"/>
        </w:rPr>
      </w:pPr>
    </w:p>
    <w:p>
      <w:pPr>
        <w:pStyle w:val="BodyText"/>
        <w:spacing w:line="357" w:lineRule="auto" w:before="36"/>
        <w:ind w:right="168"/>
        <w:jc w:val="both"/>
      </w:pPr>
      <w:r>
        <w:rPr>
          <w:spacing w:val="-2"/>
        </w:rPr>
        <w:t>控预警等手段进行风险控制；风险管理部对公司各项风险限额每日进行监控，当发现有接近或突破</w:t>
      </w:r>
      <w:r>
        <w:rPr>
          <w:spacing w:val="-25"/>
        </w:rPr>
        <w:t> </w:t>
      </w:r>
      <w:r>
        <w:rPr>
          <w:spacing w:val="-25"/>
        </w:rPr>
      </w:r>
      <w:r>
        <w:rPr>
          <w:spacing w:val="-2"/>
        </w:rPr>
        <w:t>风险限额的情况时会及时向公司经营管理层与相关业务部门发送预警和风险提示，业务部门相应提</w:t>
      </w:r>
      <w:r>
        <w:rPr>
          <w:spacing w:val="-25"/>
        </w:rPr>
        <w:t> </w:t>
      </w:r>
      <w:r>
        <w:rPr>
          <w:spacing w:val="-25"/>
        </w:rPr>
      </w:r>
      <w:r>
        <w:rPr/>
        <w:t>出应对措施。</w:t>
      </w:r>
    </w:p>
    <w:p>
      <w:pPr>
        <w:pStyle w:val="BodyText"/>
        <w:spacing w:line="355" w:lineRule="auto" w:before="30"/>
        <w:ind w:left="558" w:right="0"/>
        <w:jc w:val="left"/>
      </w:pPr>
      <w:r>
        <w:rPr>
          <w:rFonts w:ascii="宋体" w:hAnsi="宋体" w:cs="宋体" w:eastAsia="宋体" w:hint="default"/>
        </w:rPr>
        <w:t>2</w:t>
      </w:r>
      <w:r>
        <w:rPr/>
        <w:t>）信用风险</w:t>
      </w:r>
      <w:r>
        <w:rPr>
          <w:w w:val="100"/>
        </w:rPr>
        <w:t> </w:t>
      </w:r>
      <w:r>
        <w:rPr>
          <w:spacing w:val="-2"/>
        </w:rPr>
        <w:t>针对自营固定收益类投资，公司通过严格控制标的准入评级及个券集中度限额、密切跟踪债券</w:t>
      </w:r>
    </w:p>
    <w:p>
      <w:pPr>
        <w:pStyle w:val="BodyText"/>
        <w:spacing w:line="357" w:lineRule="auto" w:before="32"/>
        <w:ind w:right="168"/>
        <w:jc w:val="both"/>
      </w:pPr>
      <w:r>
        <w:rPr>
          <w:spacing w:val="-2"/>
        </w:rPr>
        <w:t>发行人经营情况和资信水平等措施控制信用风险敞口，防范信用风险；针对证券融资类业务，公司</w:t>
      </w:r>
      <w:r>
        <w:rPr>
          <w:spacing w:val="-25"/>
        </w:rPr>
        <w:t> </w:t>
      </w:r>
      <w:r>
        <w:rPr>
          <w:spacing w:val="-25"/>
        </w:rPr>
      </w:r>
      <w:r>
        <w:rPr>
          <w:spacing w:val="-2"/>
        </w:rPr>
        <w:t>通过对客户进行风险教育、征授信管理、折算率模型研究、逐日盯市、强化实时监控、客户风险提</w:t>
      </w:r>
      <w:r>
        <w:rPr>
          <w:spacing w:val="-25"/>
        </w:rPr>
        <w:t> </w:t>
      </w:r>
      <w:r>
        <w:rPr>
          <w:spacing w:val="-25"/>
        </w:rPr>
      </w:r>
      <w:r>
        <w:rPr>
          <w:spacing w:val="-2"/>
        </w:rPr>
        <w:t>示、强制平仓、司法追索，建立严格的担保物范围及折算率、保证金比例、履约担保比例的标准等</w:t>
      </w:r>
      <w:r>
        <w:rPr>
          <w:spacing w:val="-25"/>
        </w:rPr>
        <w:t> </w:t>
      </w:r>
      <w:r>
        <w:rPr>
          <w:spacing w:val="-25"/>
        </w:rPr>
      </w:r>
      <w:r>
        <w:rPr/>
        <w:t>多种手段，对其信用风险进行管理和控制。</w:t>
      </w:r>
    </w:p>
    <w:p>
      <w:pPr>
        <w:pStyle w:val="BodyText"/>
        <w:spacing w:line="357" w:lineRule="auto" w:before="30"/>
        <w:ind w:left="558" w:right="0"/>
        <w:jc w:val="left"/>
      </w:pPr>
      <w:r>
        <w:rPr>
          <w:rFonts w:ascii="宋体" w:hAnsi="宋体" w:cs="宋体" w:eastAsia="宋体" w:hint="default"/>
        </w:rPr>
        <w:t>3</w:t>
      </w:r>
      <w:r>
        <w:rPr/>
        <w:t>）流动性风险</w:t>
      </w:r>
      <w:r>
        <w:rPr>
          <w:w w:val="100"/>
        </w:rPr>
        <w:t> </w:t>
      </w:r>
      <w:r>
        <w:rPr>
          <w:spacing w:val="-2"/>
        </w:rPr>
        <w:t>针对流动性风险，公司通过加强日间流动性管理和日常融资管理，开展高评级债券类资产流动</w:t>
      </w:r>
    </w:p>
    <w:p>
      <w:pPr>
        <w:pStyle w:val="BodyText"/>
        <w:spacing w:line="357" w:lineRule="auto" w:before="30"/>
        <w:ind w:right="168"/>
        <w:jc w:val="both"/>
      </w:pPr>
      <w:r>
        <w:rPr>
          <w:spacing w:val="-2"/>
        </w:rPr>
        <w:t>性管理业务，建立三级流动性储备池，改善公司负债结构，强化融资渠道建设，建立健全流动性风</w:t>
      </w:r>
      <w:r>
        <w:rPr>
          <w:spacing w:val="-25"/>
        </w:rPr>
        <w:t> </w:t>
      </w:r>
      <w:r>
        <w:rPr>
          <w:spacing w:val="-25"/>
        </w:rPr>
      </w:r>
      <w:r>
        <w:rPr>
          <w:spacing w:val="-2"/>
        </w:rPr>
        <w:t>险管理信息系统等手段，积极应对流动性压力，防范和控制流动性风险。同时，公司在出现新增投</w:t>
      </w:r>
      <w:r>
        <w:rPr>
          <w:spacing w:val="-25"/>
        </w:rPr>
        <w:t> </w:t>
      </w:r>
      <w:r>
        <w:rPr>
          <w:spacing w:val="-25"/>
        </w:rPr>
      </w:r>
      <w:r>
        <w:rPr>
          <w:spacing w:val="-2"/>
        </w:rPr>
        <w:t>资、新业务开展等情形时，根据业务规模、性质、复杂程度及风险状况，对流动性风险指标进行压</w:t>
      </w:r>
      <w:r>
        <w:rPr>
          <w:spacing w:val="-25"/>
        </w:rPr>
        <w:t> </w:t>
      </w:r>
      <w:r>
        <w:rPr>
          <w:spacing w:val="-25"/>
        </w:rPr>
      </w:r>
      <w:r>
        <w:rPr>
          <w:spacing w:val="-2"/>
        </w:rPr>
        <w:t>力测试，并将压力测试结果运用于公司的相关决策过程。此外，公司制定了有效的流动性风险应急</w:t>
      </w:r>
      <w:r>
        <w:rPr>
          <w:spacing w:val="-25"/>
        </w:rPr>
        <w:t> </w:t>
      </w:r>
      <w:r>
        <w:rPr>
          <w:spacing w:val="-25"/>
        </w:rPr>
      </w:r>
      <w:r>
        <w:rPr/>
        <w:t>计划，并定期开展应急演练，以确保公司可以应对紧急情况下的流动性需求。</w:t>
      </w:r>
    </w:p>
    <w:p>
      <w:pPr>
        <w:pStyle w:val="BodyText"/>
        <w:spacing w:line="355" w:lineRule="auto" w:before="30"/>
        <w:ind w:left="558" w:right="0"/>
        <w:jc w:val="left"/>
      </w:pPr>
      <w:r>
        <w:rPr>
          <w:rFonts w:ascii="宋体" w:hAnsi="宋体" w:cs="宋体" w:eastAsia="宋体" w:hint="default"/>
        </w:rPr>
        <w:t>4</w:t>
      </w:r>
      <w:r>
        <w:rPr/>
        <w:t>）操作风险</w:t>
      </w:r>
      <w:r>
        <w:rPr>
          <w:w w:val="100"/>
        </w:rPr>
        <w:t> </w:t>
      </w:r>
      <w:r>
        <w:rPr>
          <w:spacing w:val="-2"/>
        </w:rPr>
        <w:t>公司制定了《财通证券股份有限公司操作风险管理办法》，明确了操作风险的组织架构及职责</w:t>
      </w:r>
    </w:p>
    <w:p>
      <w:pPr>
        <w:pStyle w:val="BodyText"/>
        <w:spacing w:line="357" w:lineRule="auto" w:before="32"/>
        <w:ind w:right="168"/>
        <w:jc w:val="both"/>
      </w:pPr>
      <w:r>
        <w:rPr>
          <w:spacing w:val="-2"/>
        </w:rPr>
        <w:t>分工、操作风险管理流程、操作风险管理文化建设等内容，强化了操作风险管理各道防线的职责。</w:t>
      </w:r>
      <w:r>
        <w:rPr>
          <w:spacing w:val="-25"/>
        </w:rPr>
        <w:t> </w:t>
      </w:r>
      <w:r>
        <w:rPr>
          <w:spacing w:val="-25"/>
        </w:rPr>
      </w:r>
      <w:r>
        <w:rPr>
          <w:spacing w:val="-2"/>
        </w:rPr>
        <w:t>公司持续加强业务流程管理和信息技术系统建设，并通过培训宣导、强化问责等手段，减少操作风</w:t>
      </w:r>
      <w:r>
        <w:rPr>
          <w:spacing w:val="-25"/>
        </w:rPr>
        <w:t> </w:t>
      </w:r>
      <w:r>
        <w:rPr>
          <w:spacing w:val="-25"/>
        </w:rPr>
      </w:r>
      <w:r>
        <w:rPr>
          <w:spacing w:val="-2"/>
        </w:rPr>
        <w:t>险发生的可能性；同时，公司致力于推动操作风险管理工具的建设和运用，以进一步提升操作风险</w:t>
      </w:r>
      <w:r>
        <w:rPr>
          <w:spacing w:val="-25"/>
        </w:rPr>
        <w:t> </w:t>
      </w:r>
      <w:r>
        <w:rPr>
          <w:spacing w:val="-25"/>
        </w:rPr>
      </w:r>
      <w:r>
        <w:rPr>
          <w:spacing w:val="-2"/>
        </w:rPr>
        <w:t>管理能力；此外，公司充分重视创新产品、创新业务操作风险的识别与控制，建立新业务风险管理</w:t>
      </w:r>
      <w:r>
        <w:rPr>
          <w:spacing w:val="-25"/>
        </w:rPr>
        <w:t> </w:t>
      </w:r>
      <w:r>
        <w:rPr>
          <w:spacing w:val="-25"/>
        </w:rPr>
      </w:r>
      <w:r>
        <w:rPr>
          <w:spacing w:val="-2"/>
        </w:rPr>
        <w:t>制度和流程，明确需满足的条件和审批路径，确保新业务的组织结构、业务模式、风险状况经过充</w:t>
      </w:r>
      <w:r>
        <w:rPr>
          <w:spacing w:val="-25"/>
        </w:rPr>
        <w:t> </w:t>
      </w:r>
      <w:r>
        <w:rPr>
          <w:spacing w:val="-25"/>
        </w:rPr>
      </w:r>
      <w:r>
        <w:rPr>
          <w:spacing w:val="-2"/>
        </w:rPr>
        <w:t>分论证，公司通过上述多样化的操作风险管理手段，保障总体操作风险处于可控、可承受的水平。</w:t>
      </w:r>
    </w:p>
    <w:p>
      <w:pPr>
        <w:pStyle w:val="BodyText"/>
        <w:spacing w:line="355" w:lineRule="auto" w:before="33"/>
        <w:ind w:left="558" w:right="0"/>
        <w:jc w:val="left"/>
      </w:pPr>
      <w:r>
        <w:rPr>
          <w:rFonts w:ascii="宋体" w:hAnsi="宋体" w:cs="宋体" w:eastAsia="宋体" w:hint="default"/>
        </w:rPr>
        <w:t>5</w:t>
      </w:r>
      <w:r>
        <w:rPr/>
        <w:t>）信息技术风险</w:t>
      </w:r>
      <w:r>
        <w:rPr>
          <w:w w:val="100"/>
        </w:rPr>
        <w:t> </w:t>
      </w:r>
      <w:r>
        <w:rPr>
          <w:spacing w:val="-2"/>
        </w:rPr>
        <w:t>公司通过以下措施加强信息技术风险的管控：一是继续加强信息技术制度规范建设，对照监管</w:t>
      </w:r>
    </w:p>
    <w:p>
      <w:pPr>
        <w:pStyle w:val="BodyText"/>
        <w:spacing w:line="357" w:lineRule="auto" w:before="32"/>
        <w:ind w:right="129"/>
        <w:jc w:val="both"/>
      </w:pPr>
      <w:r>
        <w:rPr>
          <w:spacing w:val="-2"/>
        </w:rPr>
        <w:t>要求对信息技术制度进行梳理，完善的信息技术风险管理制度体系；二是加强信息安全防护体系建</w:t>
      </w:r>
      <w:r>
        <w:rPr>
          <w:spacing w:val="-25"/>
        </w:rPr>
        <w:t> </w:t>
      </w:r>
      <w:r>
        <w:rPr>
          <w:spacing w:val="-25"/>
        </w:rPr>
      </w:r>
      <w:r>
        <w:rPr>
          <w:spacing w:val="-2"/>
        </w:rPr>
        <w:t>设，加大人力物力投入力度，从信息安全基础建设、网络结构优化、规范化管理等方面着手，提升</w:t>
      </w:r>
      <w:r>
        <w:rPr>
          <w:spacing w:val="-25"/>
        </w:rPr>
        <w:t> </w:t>
      </w:r>
      <w:r>
        <w:rPr>
          <w:spacing w:val="-25"/>
        </w:rPr>
      </w:r>
      <w:r>
        <w:rPr>
          <w:spacing w:val="-3"/>
        </w:rPr>
        <w:t>信息安全防护水平；三是开展信息安全专项自查与整改工作</w:t>
      </w:r>
      <w:r>
        <w:rPr>
          <w:rFonts w:ascii="宋体" w:hAnsi="宋体" w:cs="宋体" w:eastAsia="宋体" w:hint="default"/>
          <w:spacing w:val="-3"/>
        </w:rPr>
        <w:t>;</w:t>
      </w:r>
      <w:r>
        <w:rPr>
          <w:spacing w:val="-3"/>
        </w:rPr>
        <w:t>四是不定期发布各类信息安全提示、规</w:t>
      </w:r>
      <w:r>
        <w:rPr>
          <w:spacing w:val="-48"/>
        </w:rPr>
        <w:t> </w:t>
      </w:r>
      <w:r>
        <w:rPr>
          <w:spacing w:val="-48"/>
        </w:rPr>
      </w:r>
      <w:r>
        <w:rPr/>
        <w:t>范案例警示，组织开展信息安全与合规管理培训，并进行了信息技术制度学习情况考核。</w:t>
      </w:r>
    </w:p>
    <w:p>
      <w:pPr>
        <w:pStyle w:val="BodyText"/>
        <w:spacing w:line="355" w:lineRule="auto" w:before="30"/>
        <w:ind w:left="558" w:right="0"/>
        <w:jc w:val="left"/>
      </w:pPr>
      <w:r>
        <w:rPr/>
        <w:t>（</w:t>
      </w:r>
      <w:r>
        <w:rPr>
          <w:rFonts w:ascii="宋体" w:hAnsi="宋体" w:cs="宋体" w:eastAsia="宋体" w:hint="default"/>
        </w:rPr>
        <w:t>4</w:t>
      </w:r>
      <w:r>
        <w:rPr/>
        <w:t>）公司风险控制指标监控和补足机制建立情况</w:t>
      </w:r>
      <w:r>
        <w:rPr>
          <w:w w:val="100"/>
        </w:rPr>
        <w:t> </w:t>
      </w:r>
      <w:r>
        <w:rPr>
          <w:spacing w:val="-2"/>
        </w:rPr>
        <w:t>公司高度重视风险管理工作，按照《证券公司风险控制指标管理办法》、《证券公司全面风险</w:t>
      </w:r>
    </w:p>
    <w:p>
      <w:pPr>
        <w:pStyle w:val="BodyText"/>
        <w:spacing w:line="357" w:lineRule="auto" w:before="32"/>
        <w:ind w:right="168"/>
        <w:jc w:val="both"/>
      </w:pPr>
      <w:r>
        <w:rPr>
          <w:spacing w:val="-2"/>
        </w:rPr>
        <w:t>管理规范》等监管及自律要求，结合公司实际情况，建立了与公司自身发展战略相适应的全面风险</w:t>
      </w:r>
      <w:r>
        <w:rPr>
          <w:spacing w:val="-25"/>
        </w:rPr>
        <w:t> </w:t>
      </w:r>
      <w:r>
        <w:rPr>
          <w:spacing w:val="-25"/>
        </w:rPr>
      </w:r>
      <w:r>
        <w:rPr/>
        <w:t>管理体系。</w:t>
      </w:r>
    </w:p>
    <w:p>
      <w:pPr>
        <w:spacing w:after="0" w:line="357" w:lineRule="auto"/>
        <w:jc w:val="both"/>
        <w:sectPr>
          <w:footerReference w:type="default" r:id="rId24"/>
          <w:pgSz w:w="11910" w:h="16840"/>
          <w:pgMar w:footer="1195" w:header="880" w:top="1060" w:bottom="1380" w:left="1280" w:right="1280"/>
          <w:pgNumType w:start="44"/>
        </w:sectPr>
      </w:pPr>
    </w:p>
    <w:p>
      <w:pPr>
        <w:spacing w:line="240" w:lineRule="auto" w:before="8"/>
        <w:rPr>
          <w:rFonts w:ascii="宋体" w:hAnsi="宋体" w:cs="宋体" w:eastAsia="宋体" w:hint="default"/>
          <w:sz w:val="28"/>
          <w:szCs w:val="28"/>
        </w:rPr>
      </w:pPr>
    </w:p>
    <w:p>
      <w:pPr>
        <w:pStyle w:val="BodyText"/>
        <w:spacing w:line="357" w:lineRule="auto" w:before="36"/>
        <w:ind w:right="168" w:firstLine="420"/>
        <w:jc w:val="both"/>
      </w:pPr>
      <w:r>
        <w:rPr>
          <w:spacing w:val="-2"/>
        </w:rPr>
        <w:t>按照《证券公司风险控制指标管理办法》的要求，公司已制定了《财通证券股份有限公司风险</w:t>
      </w:r>
      <w:r>
        <w:rPr>
          <w:w w:val="100"/>
        </w:rPr>
        <w:t> </w:t>
      </w:r>
      <w:r>
        <w:rPr>
          <w:spacing w:val="-2"/>
        </w:rPr>
        <w:t>控制指标管理办法》、《财通证券股份有限公司风险控制指标动态监控管理办法》，同时持续完善</w:t>
      </w:r>
      <w:r>
        <w:rPr>
          <w:spacing w:val="-25"/>
        </w:rPr>
        <w:t> </w:t>
      </w:r>
      <w:r>
        <w:rPr>
          <w:spacing w:val="-25"/>
        </w:rPr>
      </w:r>
      <w:r>
        <w:rPr/>
        <w:t>动态风险控制指标的监控系统，实现了风险控制指标的动态监控和预警。</w:t>
      </w:r>
    </w:p>
    <w:p>
      <w:pPr>
        <w:pStyle w:val="BodyText"/>
        <w:spacing w:line="355" w:lineRule="auto" w:before="30"/>
        <w:ind w:right="168" w:firstLine="420"/>
        <w:jc w:val="both"/>
      </w:pPr>
      <w:r>
        <w:rPr>
          <w:spacing w:val="-2"/>
        </w:rPr>
        <w:t>公司已建立净资本补足机制，保证净资本等风险控制指标持续符合证券监管部门的要求，报告</w:t>
      </w:r>
      <w:r>
        <w:rPr>
          <w:w w:val="100"/>
        </w:rPr>
        <w:t> </w:t>
      </w:r>
      <w:r>
        <w:rPr/>
        <w:t>期内，公司各项风险控制指标均持续符合监管标准，未出现触及监管标准的情况。</w:t>
      </w:r>
    </w:p>
    <w:p>
      <w:pPr>
        <w:pStyle w:val="BodyText"/>
        <w:spacing w:line="357" w:lineRule="auto" w:before="32"/>
        <w:ind w:right="168" w:firstLine="420"/>
        <w:jc w:val="both"/>
      </w:pPr>
      <w:r>
        <w:rPr>
          <w:spacing w:val="-2"/>
        </w:rPr>
        <w:t>公司建立了风险控制指标压力测试机制。根据《证券公司压力测试指引》等相关要求，结合市</w:t>
      </w:r>
      <w:r>
        <w:rPr>
          <w:w w:val="100"/>
        </w:rPr>
        <w:t> </w:t>
      </w:r>
      <w:r>
        <w:rPr>
          <w:spacing w:val="-2"/>
        </w:rPr>
        <w:t>场环境变化和公司业务发展状况，定期或不定期开展综合或专项压力测试，全面衡量公司风险承受</w:t>
      </w:r>
      <w:r>
        <w:rPr>
          <w:spacing w:val="-25"/>
        </w:rPr>
        <w:t> </w:t>
      </w:r>
      <w:r>
        <w:rPr>
          <w:spacing w:val="-25"/>
        </w:rPr>
      </w:r>
      <w:r>
        <w:rPr/>
        <w:t>能力，并拟订相关应对措施，保障公司健康、持续、稳定发展。</w:t>
      </w:r>
    </w:p>
    <w:p>
      <w:pPr>
        <w:spacing w:line="240" w:lineRule="auto" w:before="11"/>
        <w:rPr>
          <w:rFonts w:ascii="宋体" w:hAnsi="宋体" w:cs="宋体" w:eastAsia="宋体" w:hint="default"/>
          <w:sz w:val="27"/>
          <w:szCs w:val="27"/>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pStyle w:val="BodyText"/>
        <w:tabs>
          <w:tab w:pos="1084"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4" w:val="left" w:leader="none"/>
        </w:tabs>
        <w:spacing w:line="240" w:lineRule="auto"/>
        <w:ind w:left="4" w:right="0"/>
        <w:jc w:val="center"/>
        <w:rPr>
          <w:b w:val="0"/>
          <w:bCs w:val="0"/>
        </w:rPr>
      </w:pPr>
      <w:bookmarkStart w:name="_TOC_250008"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9"/>
          <w:szCs w:val="19"/>
        </w:rPr>
      </w:pPr>
    </w:p>
    <w:p>
      <w:pPr>
        <w:pStyle w:val="Heading5"/>
        <w:tabs>
          <w:tab w:pos="978" w:val="left" w:leader="none"/>
        </w:tabs>
        <w:spacing w:line="290" w:lineRule="auto"/>
        <w:ind w:right="4779"/>
        <w:jc w:val="left"/>
        <w:rPr>
          <w:b w:val="0"/>
          <w:bCs w:val="0"/>
        </w:rPr>
      </w:pPr>
      <w:r>
        <w:rPr/>
        <w:t>一、普通股利润分配或资本公积金转增预案</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spacing w:val="-1"/>
        </w:rPr>
        <w:t>现金分红政策的制定、执行或调整情况</w:t>
      </w:r>
      <w:r>
        <w:rPr>
          <w:b w:val="0"/>
          <w:bCs w:val="0"/>
          <w:spacing w:val="-1"/>
        </w:rPr>
      </w:r>
    </w:p>
    <w:p>
      <w:pPr>
        <w:pStyle w:val="BodyText"/>
        <w:spacing w:line="448" w:lineRule="auto" w:before="12"/>
        <w:ind w:left="558" w:right="0" w:hanging="420"/>
        <w:jc w:val="left"/>
      </w:pPr>
      <w:r>
        <w:rPr/>
        <w:t>√适用</w:t>
      </w:r>
      <w:r>
        <w:rPr>
          <w:spacing w:val="-2"/>
        </w:rPr>
        <w:t> </w:t>
      </w:r>
      <w:r>
        <w:rPr/>
        <w:t>□不适用</w:t>
      </w:r>
      <w:r>
        <w:rPr>
          <w:spacing w:val="-103"/>
        </w:rPr>
        <w:t> </w:t>
      </w:r>
      <w:r>
        <w:rPr>
          <w:spacing w:val="-103"/>
        </w:rPr>
      </w:r>
      <w:r>
        <w:rPr>
          <w:spacing w:val="-2"/>
        </w:rPr>
        <w:t>公司严格按照《公司章程》关于利润分配的规定，按照“同股同权、同股同利”的原则，根据</w:t>
      </w:r>
    </w:p>
    <w:p>
      <w:pPr>
        <w:pStyle w:val="BodyText"/>
        <w:spacing w:line="225" w:lineRule="exact"/>
        <w:ind w:right="0"/>
        <w:jc w:val="left"/>
      </w:pPr>
      <w:r>
        <w:rPr/>
        <w:t>各股东持有的公司股份比例进行分配。公司实行持续、稳定的利润分配政策，重视对投资者的合理</w:t>
      </w:r>
    </w:p>
    <w:p>
      <w:pPr>
        <w:pStyle w:val="BodyText"/>
        <w:spacing w:line="355" w:lineRule="auto" w:before="133"/>
        <w:ind w:left="558" w:right="5408" w:hanging="420"/>
        <w:jc w:val="left"/>
      </w:pPr>
      <w:r>
        <w:rPr>
          <w:spacing w:val="-2"/>
        </w:rPr>
        <w:t>投资回报并兼顾公司的长期发展。</w:t>
      </w:r>
      <w:r>
        <w:rPr>
          <w:spacing w:val="-75"/>
        </w:rPr>
        <w:t> </w:t>
      </w:r>
      <w:r>
        <w:rPr>
          <w:spacing w:val="-75"/>
        </w:rPr>
      </w:r>
      <w:r>
        <w:rPr/>
        <w:t>公司利润分配为：</w:t>
      </w:r>
    </w:p>
    <w:p>
      <w:pPr>
        <w:pStyle w:val="BodyText"/>
        <w:spacing w:line="357" w:lineRule="auto" w:before="34"/>
        <w:ind w:right="127" w:firstLine="420"/>
        <w:jc w:val="both"/>
      </w:pPr>
      <w:r>
        <w:rPr>
          <w:rFonts w:ascii="宋体" w:hAnsi="宋体" w:cs="宋体" w:eastAsia="宋体" w:hint="default"/>
        </w:rPr>
        <w:t>1.</w:t>
      </w:r>
      <w:r>
        <w:rPr>
          <w:rFonts w:ascii="宋体" w:hAnsi="宋体" w:cs="宋体" w:eastAsia="宋体" w:hint="default"/>
          <w:spacing w:val="41"/>
        </w:rPr>
        <w:t> </w:t>
      </w:r>
      <w:r>
        <w:rPr>
          <w:spacing w:val="-3"/>
        </w:rPr>
        <w:t>公司利润分配形式：公司可以采取现金、股票或者现金与股票相结合或法律、法规允许的其</w:t>
      </w:r>
      <w:r>
        <w:rPr>
          <w:w w:val="100"/>
        </w:rPr>
        <w:t> </w:t>
      </w:r>
      <w:r>
        <w:rPr>
          <w:spacing w:val="-2"/>
        </w:rPr>
        <w:t>他方式分配利润。公司应结合所处发展阶段、资金需求等因素，选择有利于股东分享公司成长和发</w:t>
      </w:r>
      <w:r>
        <w:rPr>
          <w:spacing w:val="-25"/>
        </w:rPr>
        <w:t> </w:t>
      </w:r>
      <w:r>
        <w:rPr>
          <w:spacing w:val="-25"/>
        </w:rPr>
      </w:r>
      <w:r>
        <w:rPr/>
        <w:t>展成果、取得合理投资回报的现金分红政策。</w:t>
      </w:r>
    </w:p>
    <w:p>
      <w:pPr>
        <w:pStyle w:val="BodyText"/>
        <w:spacing w:line="357" w:lineRule="auto" w:before="30"/>
        <w:ind w:right="126" w:firstLine="420"/>
        <w:jc w:val="both"/>
      </w:pPr>
      <w:r>
        <w:rPr>
          <w:rFonts w:ascii="宋体" w:hAnsi="宋体" w:cs="宋体" w:eastAsia="宋体" w:hint="default"/>
        </w:rPr>
        <w:t>2.</w:t>
      </w:r>
      <w:r>
        <w:rPr>
          <w:rFonts w:ascii="宋体" w:hAnsi="宋体" w:cs="宋体" w:eastAsia="宋体" w:hint="default"/>
          <w:spacing w:val="71"/>
        </w:rPr>
        <w:t> </w:t>
      </w:r>
      <w:r>
        <w:rPr>
          <w:spacing w:val="-4"/>
        </w:rPr>
        <w:t>公司现金方式分红的具体条件和比例：公司优先采取现金分红的利润分配政策，即公司当年</w:t>
      </w:r>
      <w:r>
        <w:rPr>
          <w:w w:val="100"/>
        </w:rPr>
        <w:t> </w:t>
      </w:r>
      <w:r>
        <w:rPr>
          <w:spacing w:val="-2"/>
        </w:rPr>
        <w:t>度实现盈利且累计未分配利润为正数，在依法弥补亏损、提取各项公积金和准备金后有可分配利润</w:t>
      </w:r>
      <w:r>
        <w:rPr>
          <w:spacing w:val="-26"/>
        </w:rPr>
        <w:t> </w:t>
      </w:r>
      <w:r>
        <w:rPr>
          <w:spacing w:val="-26"/>
        </w:rPr>
      </w:r>
      <w:r>
        <w:rPr>
          <w:spacing w:val="-2"/>
        </w:rPr>
        <w:t>的，则公司应当进行现金分红；公司利润分配不得超过累计可分配利润的范围，连续三个会计年度</w:t>
      </w:r>
      <w:r>
        <w:rPr>
          <w:spacing w:val="-25"/>
        </w:rPr>
        <w:t> </w:t>
      </w:r>
      <w:r>
        <w:rPr>
          <w:spacing w:val="-25"/>
        </w:rPr>
      </w:r>
      <w:r>
        <w:rPr/>
        <w:t>以现金方式累计分配的利润不少于该三个会计年度实现年均可分配利润的 </w:t>
      </w:r>
      <w:r>
        <w:rPr>
          <w:rFonts w:ascii="宋体" w:hAnsi="宋体" w:cs="宋体" w:eastAsia="宋体" w:hint="default"/>
          <w:spacing w:val="-12"/>
        </w:rPr>
        <w:t>30%</w:t>
      </w:r>
      <w:r>
        <w:rPr>
          <w:spacing w:val="-12"/>
        </w:rPr>
        <w:t>。</w:t>
      </w:r>
      <w:r>
        <w:rPr>
          <w:rFonts w:ascii="宋体" w:hAnsi="宋体" w:cs="宋体" w:eastAsia="宋体" w:hint="default"/>
          <w:spacing w:val="-12"/>
        </w:rPr>
        <w:t>3.</w:t>
      </w:r>
      <w:r>
        <w:rPr>
          <w:rFonts w:ascii="宋体" w:hAnsi="宋体" w:cs="宋体" w:eastAsia="宋体" w:hint="default"/>
        </w:rPr>
        <w:t> </w:t>
      </w:r>
      <w:r>
        <w:rPr/>
        <w:t>利润分配的时间</w:t>
      </w:r>
      <w:r>
        <w:rPr>
          <w:w w:val="100"/>
        </w:rPr>
        <w:t> </w:t>
      </w:r>
      <w:r>
        <w:rPr>
          <w:spacing w:val="-2"/>
        </w:rPr>
        <w:t>间隔：公司一般按照年度进行利润分配；在符合利润分配原则，满足现金分红条件的前提下，公司</w:t>
      </w:r>
      <w:r>
        <w:rPr>
          <w:spacing w:val="-25"/>
        </w:rPr>
        <w:t> </w:t>
      </w:r>
      <w:r>
        <w:rPr>
          <w:spacing w:val="-25"/>
        </w:rPr>
      </w:r>
      <w:r>
        <w:rPr/>
        <w:t>可以进行中期现金分红。</w:t>
      </w:r>
    </w:p>
    <w:p>
      <w:pPr>
        <w:spacing w:after="0" w:line="357" w:lineRule="auto"/>
        <w:jc w:val="both"/>
        <w:sectPr>
          <w:pgSz w:w="11910" w:h="16840"/>
          <w:pgMar w:header="880" w:footer="1195" w:top="1060" w:bottom="1380" w:left="1280" w:right="1280"/>
        </w:sectPr>
      </w:pPr>
    </w:p>
    <w:p>
      <w:pPr>
        <w:spacing w:line="240" w:lineRule="auto" w:before="8"/>
        <w:rPr>
          <w:rFonts w:ascii="宋体" w:hAnsi="宋体" w:cs="宋体" w:eastAsia="宋体" w:hint="default"/>
          <w:sz w:val="28"/>
          <w:szCs w:val="28"/>
        </w:rPr>
      </w:pPr>
    </w:p>
    <w:p>
      <w:pPr>
        <w:pStyle w:val="BodyText"/>
        <w:spacing w:line="357" w:lineRule="auto" w:before="36"/>
        <w:ind w:right="309" w:firstLine="420"/>
        <w:jc w:val="both"/>
      </w:pPr>
      <w:r>
        <w:rPr>
          <w:rFonts w:ascii="宋体" w:hAnsi="宋体" w:cs="宋体" w:eastAsia="宋体" w:hint="default"/>
        </w:rPr>
        <w:t>4.</w:t>
      </w:r>
      <w:r>
        <w:rPr>
          <w:rFonts w:ascii="宋体" w:hAnsi="宋体" w:cs="宋体" w:eastAsia="宋体" w:hint="default"/>
          <w:spacing w:val="73"/>
        </w:rPr>
        <w:t> </w:t>
      </w:r>
      <w:r>
        <w:rPr>
          <w:spacing w:val="-4"/>
        </w:rPr>
        <w:t>发放股票股利的具体条件：若公司快速成长，并且董事会认为公司股票价格与公司股本规模</w:t>
      </w:r>
      <w:r>
        <w:rPr>
          <w:w w:val="100"/>
        </w:rPr>
        <w:t> </w:t>
      </w:r>
      <w:r>
        <w:rPr>
          <w:spacing w:val="-2"/>
        </w:rPr>
        <w:t>不匹配时，可以在满足上述现金股利分配之余，综合考虑公司成长性、每股净资产的摊薄等因素，</w:t>
      </w:r>
      <w:r>
        <w:rPr>
          <w:spacing w:val="-25"/>
        </w:rPr>
        <w:t> </w:t>
      </w:r>
      <w:r>
        <w:rPr>
          <w:spacing w:val="-25"/>
        </w:rPr>
      </w:r>
      <w:r>
        <w:rPr/>
        <w:t>提出实施股票股利分配方案。</w:t>
      </w:r>
    </w:p>
    <w:p>
      <w:pPr>
        <w:pStyle w:val="BodyText"/>
        <w:spacing w:line="355" w:lineRule="auto" w:before="30"/>
        <w:ind w:right="310" w:firstLine="420"/>
        <w:jc w:val="both"/>
      </w:pPr>
      <w:r>
        <w:rPr>
          <w:rFonts w:ascii="宋体" w:hAnsi="宋体" w:cs="宋体" w:eastAsia="宋体" w:hint="default"/>
        </w:rPr>
        <w:t>5.</w:t>
      </w:r>
      <w:r>
        <w:rPr>
          <w:rFonts w:ascii="宋体" w:hAnsi="宋体" w:cs="宋体" w:eastAsia="宋体" w:hint="default"/>
          <w:spacing w:val="72"/>
        </w:rPr>
        <w:t> </w:t>
      </w:r>
      <w:r>
        <w:rPr>
          <w:spacing w:val="-4"/>
        </w:rPr>
        <w:t>公司董事会会综合考虑所处行业特点、发展阶段、自身经营模式、盈利水平以及是否有重大</w:t>
      </w:r>
      <w:r>
        <w:rPr>
          <w:w w:val="100"/>
        </w:rPr>
        <w:t> </w:t>
      </w:r>
      <w:r>
        <w:rPr>
          <w:spacing w:val="-2"/>
        </w:rPr>
        <w:t>资金支出安排等因素，区分下列情形，并按照公司章程规定的程序，提出差异化的现金分红政策：</w:t>
      </w:r>
    </w:p>
    <w:p>
      <w:pPr>
        <w:pStyle w:val="BodyText"/>
        <w:spacing w:line="357" w:lineRule="auto" w:before="32"/>
        <w:ind w:right="307" w:firstLine="420"/>
        <w:jc w:val="both"/>
      </w:pPr>
      <w:r>
        <w:rPr>
          <w:spacing w:val="-3"/>
        </w:rPr>
        <w:t>（</w:t>
      </w:r>
      <w:r>
        <w:rPr>
          <w:rFonts w:ascii="宋体" w:hAnsi="宋体" w:cs="宋体" w:eastAsia="宋体" w:hint="default"/>
          <w:spacing w:val="-3"/>
        </w:rPr>
        <w:t>1</w:t>
      </w:r>
      <w:r>
        <w:rPr>
          <w:spacing w:val="-3"/>
        </w:rPr>
        <w:t>）公司发展阶段属成熟期且无重大资金支出安排的，进行利润分配时，现金分红在本次利润</w:t>
      </w:r>
      <w:r>
        <w:rPr>
          <w:w w:val="100"/>
        </w:rPr>
        <w:t> </w:t>
      </w:r>
      <w:r>
        <w:rPr/>
        <w:t>分配中所占比例最低 应达到</w:t>
      </w:r>
      <w:r>
        <w:rPr>
          <w:spacing w:val="-3"/>
        </w:rPr>
        <w:t> </w:t>
      </w:r>
      <w:r>
        <w:rPr>
          <w:rFonts w:ascii="宋体" w:hAnsi="宋体" w:cs="宋体" w:eastAsia="宋体" w:hint="default"/>
        </w:rPr>
        <w:t>80%</w:t>
      </w:r>
      <w:r>
        <w:rPr/>
        <w:t>；</w:t>
      </w:r>
    </w:p>
    <w:p>
      <w:pPr>
        <w:pStyle w:val="BodyText"/>
        <w:spacing w:line="357" w:lineRule="auto" w:before="30"/>
        <w:ind w:right="307" w:firstLine="420"/>
        <w:jc w:val="both"/>
      </w:pPr>
      <w:r>
        <w:rPr>
          <w:spacing w:val="-3"/>
        </w:rPr>
        <w:t>（</w:t>
      </w:r>
      <w:r>
        <w:rPr>
          <w:rFonts w:ascii="宋体" w:hAnsi="宋体" w:cs="宋体" w:eastAsia="宋体" w:hint="default"/>
          <w:spacing w:val="-3"/>
        </w:rPr>
        <w:t>2</w:t>
      </w:r>
      <w:r>
        <w:rPr>
          <w:spacing w:val="-3"/>
        </w:rPr>
        <w:t>）公司发展阶段属成熟期且有重大资金支出安排的，进行利润分配时，现金分红在本次利润</w:t>
      </w:r>
      <w:r>
        <w:rPr>
          <w:w w:val="100"/>
        </w:rPr>
        <w:t> </w:t>
      </w:r>
      <w:r>
        <w:rPr/>
        <w:t>分配中所占比例最低应达到</w:t>
      </w:r>
      <w:r>
        <w:rPr>
          <w:spacing w:val="-1"/>
        </w:rPr>
        <w:t> </w:t>
      </w:r>
      <w:r>
        <w:rPr>
          <w:rFonts w:ascii="宋体" w:hAnsi="宋体" w:cs="宋体" w:eastAsia="宋体" w:hint="default"/>
        </w:rPr>
        <w:t>40%</w:t>
      </w:r>
      <w:r>
        <w:rPr/>
        <w:t>；</w:t>
      </w:r>
    </w:p>
    <w:p>
      <w:pPr>
        <w:pStyle w:val="BodyText"/>
        <w:spacing w:line="357" w:lineRule="auto" w:before="30"/>
        <w:ind w:right="307" w:firstLine="420"/>
        <w:jc w:val="both"/>
      </w:pPr>
      <w:r>
        <w:rPr>
          <w:spacing w:val="-3"/>
        </w:rPr>
        <w:t>（</w:t>
      </w:r>
      <w:r>
        <w:rPr>
          <w:rFonts w:ascii="宋体" w:hAnsi="宋体" w:cs="宋体" w:eastAsia="宋体" w:hint="default"/>
          <w:spacing w:val="-3"/>
        </w:rPr>
        <w:t>3</w:t>
      </w:r>
      <w:r>
        <w:rPr>
          <w:spacing w:val="-3"/>
        </w:rPr>
        <w:t>）公司发展阶段属成长期且有重大资金支出安排的，进行利润分配时，现金分红在本次利润</w:t>
      </w:r>
      <w:r>
        <w:rPr>
          <w:w w:val="100"/>
        </w:rPr>
        <w:t> </w:t>
      </w:r>
      <w:r>
        <w:rPr/>
        <w:t>分配中所占比例最低应达到 </w:t>
      </w:r>
      <w:r>
        <w:rPr>
          <w:rFonts w:ascii="宋体" w:hAnsi="宋体" w:cs="宋体" w:eastAsia="宋体" w:hint="default"/>
        </w:rPr>
        <w:t>20%</w:t>
      </w:r>
      <w:r>
        <w:rPr/>
        <w:t>； 公司发展阶段不易区分但有重大资金支出安排的，可以按照</w:t>
      </w:r>
      <w:r>
        <w:rPr>
          <w:spacing w:val="-8"/>
        </w:rPr>
        <w:t> </w:t>
      </w:r>
      <w:r>
        <w:rPr/>
        <w:t>前</w:t>
      </w:r>
      <w:r>
        <w:rPr>
          <w:w w:val="100"/>
        </w:rPr>
        <w:t> </w:t>
      </w:r>
      <w:r>
        <w:rPr/>
        <w:t>项规定处理。</w:t>
      </w:r>
    </w:p>
    <w:p>
      <w:pPr>
        <w:pStyle w:val="BodyText"/>
        <w:spacing w:line="240" w:lineRule="auto" w:before="30"/>
        <w:ind w:left="664" w:right="0"/>
        <w:jc w:val="left"/>
      </w:pPr>
      <w:r>
        <w:rPr/>
        <w:t>利润分配的决策程序和机制为：</w:t>
      </w:r>
    </w:p>
    <w:p>
      <w:pPr>
        <w:pStyle w:val="BodyText"/>
        <w:spacing w:line="355" w:lineRule="auto" w:before="133"/>
        <w:ind w:left="558" w:right="0"/>
        <w:jc w:val="left"/>
      </w:pPr>
      <w:r>
        <w:rPr/>
        <w:t>（一）制定利润分配方案的决策程序</w:t>
      </w:r>
      <w:r>
        <w:rPr>
          <w:w w:val="100"/>
        </w:rPr>
        <w:t> </w:t>
      </w:r>
      <w:r>
        <w:rPr>
          <w:spacing w:val="-2"/>
        </w:rPr>
        <w:t>董事会在论证利润分配条件、比例和公司所处发展阶段和重大资金支出安排的基础上，每三年</w:t>
      </w:r>
    </w:p>
    <w:p>
      <w:pPr>
        <w:pStyle w:val="BodyText"/>
        <w:spacing w:line="357" w:lineRule="auto" w:before="34"/>
        <w:ind w:right="348"/>
        <w:jc w:val="both"/>
      </w:pPr>
      <w:r>
        <w:rPr>
          <w:spacing w:val="-2"/>
        </w:rPr>
        <w:t>制定明确清晰的股东回报规划，并在认真研究和论证公司现金分红的时机、条件和最低比例、调整</w:t>
      </w:r>
      <w:r>
        <w:rPr>
          <w:spacing w:val="-25"/>
        </w:rPr>
        <w:t> </w:t>
      </w:r>
      <w:r>
        <w:rPr>
          <w:spacing w:val="-25"/>
        </w:rPr>
      </w:r>
      <w:r>
        <w:rPr>
          <w:spacing w:val="-2"/>
        </w:rPr>
        <w:t>的条件的基础上制定当期利润分配方案。董事会拟定的利润分配方案须经全体董事过半数通过，独</w:t>
      </w:r>
      <w:r>
        <w:rPr>
          <w:spacing w:val="-25"/>
        </w:rPr>
        <w:t> </w:t>
      </w:r>
      <w:r>
        <w:rPr>
          <w:spacing w:val="-25"/>
        </w:rPr>
      </w:r>
      <w:r>
        <w:rPr/>
        <w:t>立董事应对利润分配方案发表独立意见，并提交股东大会审议决定。</w:t>
      </w:r>
    </w:p>
    <w:p>
      <w:pPr>
        <w:pStyle w:val="BodyText"/>
        <w:spacing w:line="355" w:lineRule="auto" w:before="30"/>
        <w:ind w:left="558" w:right="0" w:firstLine="105"/>
        <w:jc w:val="left"/>
      </w:pPr>
      <w:r>
        <w:rPr/>
        <w:t>独立董事可以征集中小股东的意见，提出分红提案，并直接提交董事会审议。</w:t>
      </w:r>
      <w:r>
        <w:rPr>
          <w:w w:val="100"/>
        </w:rPr>
        <w:t> </w:t>
      </w:r>
      <w:r>
        <w:rPr>
          <w:spacing w:val="-2"/>
        </w:rPr>
        <w:t>股东大会对利润分配方案进行审议时，会与股东特别是中小股东进行沟通和联系，就利润分配</w:t>
      </w:r>
    </w:p>
    <w:p>
      <w:pPr>
        <w:pStyle w:val="BodyText"/>
        <w:spacing w:line="355" w:lineRule="auto" w:before="34"/>
        <w:ind w:right="348"/>
        <w:jc w:val="both"/>
      </w:pPr>
      <w:r>
        <w:rPr>
          <w:spacing w:val="-2"/>
        </w:rPr>
        <w:t>方案进行充分讨论和交流。对于按照既定的现金分红政策或最低现金分红比例确定当年利润分配方</w:t>
      </w:r>
      <w:r>
        <w:rPr>
          <w:spacing w:val="-25"/>
        </w:rPr>
        <w:t> </w:t>
      </w:r>
      <w:r>
        <w:rPr>
          <w:spacing w:val="-25"/>
        </w:rPr>
      </w:r>
      <w:r>
        <w:rPr>
          <w:spacing w:val="-2"/>
        </w:rPr>
        <w:t>案的，股东大会审议利润分配方案时，须经出席股东大会会议的股东（包括股东代理人）所持表决</w:t>
      </w:r>
      <w:r>
        <w:rPr>
          <w:spacing w:val="-25"/>
        </w:rPr>
        <w:t> </w:t>
      </w:r>
      <w:r>
        <w:rPr>
          <w:spacing w:val="-25"/>
        </w:rPr>
      </w:r>
      <w:r>
        <w:rPr/>
        <w:t>权的 </w:t>
      </w:r>
      <w:r>
        <w:rPr>
          <w:rFonts w:ascii="宋体" w:hAnsi="宋体" w:cs="宋体" w:eastAsia="宋体" w:hint="default"/>
        </w:rPr>
        <w:t>1/2</w:t>
      </w:r>
      <w:r>
        <w:rPr>
          <w:rFonts w:ascii="宋体" w:hAnsi="宋体" w:cs="宋体" w:eastAsia="宋体" w:hint="default"/>
          <w:spacing w:val="-2"/>
        </w:rPr>
        <w:t> </w:t>
      </w:r>
      <w:r>
        <w:rPr/>
        <w:t>以上表决通过。</w:t>
      </w:r>
    </w:p>
    <w:p>
      <w:pPr>
        <w:pStyle w:val="BodyText"/>
        <w:spacing w:line="357" w:lineRule="auto" w:before="32"/>
        <w:ind w:right="0" w:firstLine="420"/>
        <w:jc w:val="left"/>
      </w:pPr>
      <w:r>
        <w:rPr>
          <w:spacing w:val="-1"/>
        </w:rPr>
        <w:t>公司在特殊情况下无法按照既定的现金分红政策或最低现金分红比例确定当年利润分配方案的，</w:t>
      </w:r>
      <w:r>
        <w:rPr>
          <w:w w:val="100"/>
        </w:rPr>
        <w:t> </w:t>
      </w:r>
      <w:r>
        <w:rPr/>
        <w:t>会在定期报告中披露具体原因以及独立董事的明确意见，并对公司留存收益的用途及预计投资收益</w:t>
      </w:r>
      <w:r>
        <w:rPr>
          <w:w w:val="100"/>
        </w:rPr>
        <w:t> </w:t>
      </w:r>
      <w:r>
        <w:rPr/>
        <w:t>等事项进行专项说明。公司当年利润分配方案应当经出席股东大会的股东（包括股东代理人）所持</w:t>
      </w:r>
      <w:r>
        <w:rPr>
          <w:spacing w:val="-3"/>
          <w:w w:val="100"/>
        </w:rPr>
        <w:t> </w:t>
      </w:r>
      <w:r>
        <w:rPr/>
        <w:t>表决权的 </w:t>
      </w:r>
      <w:r>
        <w:rPr>
          <w:rFonts w:ascii="宋体" w:hAnsi="宋体" w:cs="宋体" w:eastAsia="宋体" w:hint="default"/>
        </w:rPr>
        <w:t>2/3</w:t>
      </w:r>
      <w:r>
        <w:rPr>
          <w:rFonts w:ascii="宋体" w:hAnsi="宋体" w:cs="宋体" w:eastAsia="宋体" w:hint="default"/>
          <w:spacing w:val="-6"/>
        </w:rPr>
        <w:t> </w:t>
      </w:r>
      <w:r>
        <w:rPr/>
        <w:t>以上通过，并且相关股东大会会议审议时应当为股东提供网络投票便利条件。</w:t>
      </w:r>
    </w:p>
    <w:p>
      <w:pPr>
        <w:pStyle w:val="BodyText"/>
        <w:spacing w:line="357" w:lineRule="auto" w:before="30"/>
        <w:ind w:right="0" w:firstLine="525"/>
        <w:jc w:val="left"/>
      </w:pPr>
      <w:r>
        <w:rPr/>
        <w:t>监事会会对董事会执行现金分红政策和股东回报规划以及是否履行相应决策程序和信息披露</w:t>
      </w:r>
      <w:r>
        <w:rPr>
          <w:w w:val="100"/>
        </w:rPr>
        <w:t> </w:t>
      </w:r>
      <w:r>
        <w:rPr>
          <w:spacing w:val="-2"/>
        </w:rPr>
        <w:t>等情况进行监督。当董事会未严格执行现金分红政策和股东回报规划、未严格履行现金分红相应决</w:t>
      </w:r>
      <w:r>
        <w:rPr>
          <w:spacing w:val="-25"/>
        </w:rPr>
        <w:t> </w:t>
      </w:r>
      <w:r>
        <w:rPr>
          <w:spacing w:val="-25"/>
        </w:rPr>
      </w:r>
      <w:r>
        <w:rPr>
          <w:spacing w:val="-2"/>
        </w:rPr>
        <w:t>策程序，或者未能真实、准确、完整披露现金分红政策及其执行情况，监事会应当发表明确意见，</w:t>
      </w:r>
      <w:r>
        <w:rPr>
          <w:spacing w:val="-25"/>
        </w:rPr>
        <w:t> </w:t>
      </w:r>
      <w:r>
        <w:rPr>
          <w:spacing w:val="-25"/>
        </w:rPr>
      </w:r>
      <w:r>
        <w:rPr/>
        <w:t>并督促其及时改正。</w:t>
      </w:r>
    </w:p>
    <w:p>
      <w:pPr>
        <w:pStyle w:val="BodyText"/>
        <w:spacing w:line="357" w:lineRule="auto" w:before="30"/>
        <w:ind w:left="664" w:right="0" w:hanging="106"/>
        <w:jc w:val="left"/>
      </w:pPr>
      <w:r>
        <w:rPr/>
        <w:t>（二）调整利润分配政策的决策程序</w:t>
      </w:r>
      <w:r>
        <w:rPr>
          <w:w w:val="100"/>
        </w:rPr>
        <w:t> </w:t>
      </w:r>
      <w:r>
        <w:rPr>
          <w:spacing w:val="-3"/>
        </w:rPr>
        <w:t>公司根据行业监管政策、自身经营情况、投资规划和长期发展的需要，或者由于外部经营环境</w:t>
      </w:r>
    </w:p>
    <w:p>
      <w:pPr>
        <w:pStyle w:val="BodyText"/>
        <w:spacing w:line="240" w:lineRule="auto" w:before="32"/>
        <w:ind w:right="0"/>
        <w:jc w:val="both"/>
      </w:pPr>
      <w:r>
        <w:rPr/>
        <w:t>或者自身经营状况发生较大变化而需调整利润分配政策的，调整后的利润分配政策不得违反相关法</w:t>
      </w:r>
    </w:p>
    <w:p>
      <w:pPr>
        <w:spacing w:after="0" w:line="240" w:lineRule="auto"/>
        <w:jc w:val="both"/>
        <w:sectPr>
          <w:pgSz w:w="11910" w:h="16840"/>
          <w:pgMar w:header="880" w:footer="1195" w:top="1060" w:bottom="1380" w:left="1280" w:right="1100"/>
        </w:sectPr>
      </w:pPr>
    </w:p>
    <w:p>
      <w:pPr>
        <w:spacing w:line="240" w:lineRule="auto" w:before="8"/>
        <w:rPr>
          <w:rFonts w:ascii="宋体" w:hAnsi="宋体" w:cs="宋体" w:eastAsia="宋体" w:hint="default"/>
          <w:sz w:val="28"/>
          <w:szCs w:val="28"/>
        </w:rPr>
      </w:pPr>
    </w:p>
    <w:p>
      <w:pPr>
        <w:pStyle w:val="BodyText"/>
        <w:spacing w:line="357" w:lineRule="auto" w:before="36"/>
        <w:ind w:left="538" w:right="0"/>
        <w:jc w:val="left"/>
      </w:pPr>
      <w:r>
        <w:rPr>
          <w:spacing w:val="-2"/>
        </w:rPr>
        <w:t>律、法规以及中国证监会和证券交易所的有关规定，有关调整利润分配政策议案由董事会根据公司</w:t>
      </w:r>
      <w:r>
        <w:rPr>
          <w:spacing w:val="-25"/>
        </w:rPr>
        <w:t> </w:t>
      </w:r>
      <w:r>
        <w:rPr>
          <w:spacing w:val="-25"/>
        </w:rPr>
      </w:r>
      <w:r>
        <w:rPr/>
        <w:t>经营状况和相关规定及政策拟定，并提交股东大会审议。</w:t>
      </w:r>
    </w:p>
    <w:p>
      <w:pPr>
        <w:pStyle w:val="BodyText"/>
        <w:spacing w:line="355" w:lineRule="auto" w:before="30"/>
        <w:ind w:left="538" w:right="0" w:firstLine="525"/>
        <w:jc w:val="left"/>
      </w:pPr>
      <w:r>
        <w:rPr>
          <w:spacing w:val="-4"/>
        </w:rPr>
        <w:t>董事会拟定调整利润分配政策议案过程中，会充分听取独立董事的意见，进行详细论证。董事</w:t>
      </w:r>
      <w:r>
        <w:rPr>
          <w:w w:val="100"/>
        </w:rPr>
        <w:t> </w:t>
      </w:r>
      <w:r>
        <w:rPr/>
        <w:t>会拟定的调整利润分配政策的议案须经全体董事过半数通过，独立董事应发表独立意见。</w:t>
      </w:r>
    </w:p>
    <w:p>
      <w:pPr>
        <w:pStyle w:val="BodyText"/>
        <w:spacing w:line="357" w:lineRule="auto" w:before="32"/>
        <w:ind w:left="538" w:right="588" w:firstLine="420"/>
        <w:jc w:val="both"/>
      </w:pPr>
      <w:r>
        <w:rPr>
          <w:spacing w:val="-2"/>
        </w:rPr>
        <w:t>监事会会对董事会调整利润分配政策的行为进行监督。当董事会做出的调整利润分配政策议案</w:t>
      </w:r>
      <w:r>
        <w:rPr>
          <w:w w:val="100"/>
        </w:rPr>
        <w:t> </w:t>
      </w:r>
      <w:r>
        <w:rPr>
          <w:spacing w:val="-2"/>
        </w:rPr>
        <w:t>损害中小股东利益，或不符合相关法律、法规或中国证监会及证券交易所有关规定的，监事会有权</w:t>
      </w:r>
      <w:r>
        <w:rPr>
          <w:spacing w:val="-25"/>
        </w:rPr>
        <w:t> </w:t>
      </w:r>
      <w:r>
        <w:rPr>
          <w:spacing w:val="-25"/>
        </w:rPr>
      </w:r>
      <w:r>
        <w:rPr/>
        <w:t>要求董事会予以纠正。</w:t>
      </w:r>
    </w:p>
    <w:p>
      <w:pPr>
        <w:pStyle w:val="BodyText"/>
        <w:spacing w:line="357" w:lineRule="auto" w:before="30"/>
        <w:ind w:left="538" w:right="547" w:firstLine="420"/>
        <w:jc w:val="both"/>
      </w:pPr>
      <w:r>
        <w:rPr>
          <w:spacing w:val="-2"/>
        </w:rPr>
        <w:t>股东大会审议调整利润分配政策议案前，会与股东特别是中小股东进行沟通和联系，就利润分</w:t>
      </w:r>
      <w:r>
        <w:rPr>
          <w:w w:val="100"/>
        </w:rPr>
        <w:t> </w:t>
      </w:r>
      <w:r>
        <w:rPr>
          <w:spacing w:val="-6"/>
          <w:w w:val="100"/>
        </w:rPr>
        <w:t>配政策的调整事宜进行充分讨论和交流。调整利润分配政策的议案须经出席股东大会会议的股东（包</w:t>
      </w:r>
      <w:r>
        <w:rPr>
          <w:spacing w:val="-71"/>
          <w:w w:val="100"/>
        </w:rPr>
        <w:t> </w:t>
      </w:r>
      <w:r>
        <w:rPr>
          <w:spacing w:val="-71"/>
          <w:w w:val="100"/>
        </w:rPr>
      </w:r>
      <w:r>
        <w:rPr>
          <w:spacing w:val="-4"/>
        </w:rPr>
        <w:t>括股东代理人）所持表决权的</w:t>
      </w:r>
      <w:r>
        <w:rPr>
          <w:spacing w:val="29"/>
        </w:rPr>
        <w:t> </w:t>
      </w:r>
      <w:r>
        <w:rPr>
          <w:rFonts w:ascii="宋体" w:hAnsi="宋体" w:cs="宋体" w:eastAsia="宋体" w:hint="default"/>
        </w:rPr>
        <w:t>2/3</w:t>
      </w:r>
      <w:r>
        <w:rPr>
          <w:rFonts w:ascii="宋体" w:hAnsi="宋体" w:cs="宋体" w:eastAsia="宋体" w:hint="default"/>
          <w:spacing w:val="26"/>
        </w:rPr>
        <w:t> </w:t>
      </w:r>
      <w:r>
        <w:rPr>
          <w:spacing w:val="-3"/>
        </w:rPr>
        <w:t>以上表决通过，并且相关股东大会会议审议时应为股东提供网络</w:t>
      </w:r>
      <w:r>
        <w:rPr>
          <w:spacing w:val="-99"/>
        </w:rPr>
        <w:t> </w:t>
      </w:r>
      <w:r>
        <w:rPr>
          <w:spacing w:val="-99"/>
        </w:rPr>
      </w:r>
      <w:r>
        <w:rPr/>
        <w:t>投票便利条件。</w:t>
      </w:r>
    </w:p>
    <w:p>
      <w:pPr>
        <w:pStyle w:val="BodyText"/>
        <w:spacing w:line="240" w:lineRule="auto" w:before="30"/>
        <w:ind w:left="538" w:right="0"/>
        <w:jc w:val="left"/>
      </w:pPr>
      <w:r>
        <w:rPr/>
        <w:t>公司</w:t>
      </w:r>
      <w:r>
        <w:rPr>
          <w:spacing w:val="-46"/>
        </w:rPr>
        <w:t> </w:t>
      </w:r>
      <w:r>
        <w:rPr>
          <w:rFonts w:ascii="宋体" w:hAnsi="宋体" w:cs="宋体" w:eastAsia="宋体" w:hint="default"/>
        </w:rPr>
        <w:t>2017</w:t>
      </w:r>
      <w:r>
        <w:rPr>
          <w:rFonts w:ascii="宋体" w:hAnsi="宋体" w:cs="宋体" w:eastAsia="宋体" w:hint="default"/>
          <w:spacing w:val="-48"/>
        </w:rPr>
        <w:t> </w:t>
      </w:r>
      <w:r>
        <w:rPr/>
        <w:t>年度利润分配方案已于</w:t>
      </w:r>
      <w:r>
        <w:rPr>
          <w:spacing w:val="-46"/>
        </w:rPr>
        <w:t> </w:t>
      </w:r>
      <w:r>
        <w:rPr>
          <w:rFonts w:ascii="宋体" w:hAnsi="宋体" w:cs="宋体" w:eastAsia="宋体" w:hint="default"/>
        </w:rPr>
        <w:t>2018</w:t>
      </w:r>
      <w:r>
        <w:rPr>
          <w:rFonts w:ascii="宋体" w:hAnsi="宋体" w:cs="宋体" w:eastAsia="宋体" w:hint="default"/>
          <w:spacing w:val="-43"/>
        </w:rPr>
        <w:t> </w:t>
      </w:r>
      <w:r>
        <w:rPr/>
        <w:t>年</w:t>
      </w:r>
      <w:r>
        <w:rPr>
          <w:spacing w:val="-46"/>
        </w:rPr>
        <w:t> </w:t>
      </w:r>
      <w:r>
        <w:rPr>
          <w:rFonts w:ascii="宋体" w:hAnsi="宋体" w:cs="宋体" w:eastAsia="宋体" w:hint="default"/>
        </w:rPr>
        <w:t>7</w:t>
      </w:r>
      <w:r>
        <w:rPr>
          <w:rFonts w:ascii="宋体" w:hAnsi="宋体" w:cs="宋体" w:eastAsia="宋体" w:hint="default"/>
          <w:spacing w:val="-43"/>
        </w:rPr>
        <w:t> </w:t>
      </w:r>
      <w:r>
        <w:rPr/>
        <w:t>月</w:t>
      </w:r>
      <w:r>
        <w:rPr>
          <w:spacing w:val="-46"/>
        </w:rPr>
        <w:t> </w:t>
      </w:r>
      <w:r>
        <w:rPr>
          <w:rFonts w:ascii="宋体" w:hAnsi="宋体" w:cs="宋体" w:eastAsia="宋体" w:hint="default"/>
        </w:rPr>
        <w:t>11</w:t>
      </w:r>
      <w:r>
        <w:rPr>
          <w:rFonts w:ascii="宋体" w:hAnsi="宋体" w:cs="宋体" w:eastAsia="宋体" w:hint="default"/>
          <w:spacing w:val="-43"/>
        </w:rPr>
        <w:t> </w:t>
      </w:r>
      <w:r>
        <w:rPr/>
        <w:t>日实施完毕</w:t>
      </w:r>
      <w:r>
        <w:rPr>
          <w:rFonts w:ascii="宋体" w:hAnsi="宋体" w:cs="宋体" w:eastAsia="宋体" w:hint="default"/>
        </w:rPr>
        <w:t>,</w:t>
      </w:r>
      <w:r>
        <w:rPr/>
        <w:t>以总股本</w:t>
      </w:r>
      <w:r>
        <w:rPr>
          <w:spacing w:val="-39"/>
        </w:rPr>
        <w:t> </w:t>
      </w:r>
      <w:r>
        <w:rPr>
          <w:rFonts w:ascii="宋体" w:hAnsi="宋体" w:cs="宋体" w:eastAsia="宋体" w:hint="default"/>
          <w:spacing w:val="2"/>
        </w:rPr>
        <w:t>3,589,000,000</w:t>
      </w:r>
      <w:r>
        <w:rPr>
          <w:rFonts w:ascii="宋体" w:hAnsi="宋体" w:cs="宋体" w:eastAsia="宋体" w:hint="default"/>
          <w:spacing w:val="-39"/>
        </w:rPr>
        <w:t> </w:t>
      </w:r>
      <w:r>
        <w:rPr>
          <w:spacing w:val="2"/>
        </w:rPr>
        <w:t>股为基数，</w:t>
      </w:r>
    </w:p>
    <w:p>
      <w:pPr>
        <w:pStyle w:val="BodyText"/>
        <w:spacing w:line="240" w:lineRule="auto" w:before="133"/>
        <w:ind w:left="538" w:right="0"/>
        <w:jc w:val="left"/>
      </w:pPr>
      <w:r>
        <w:rPr/>
        <w:t>向全体股东每</w:t>
      </w:r>
      <w:r>
        <w:rPr>
          <w:spacing w:val="-26"/>
        </w:rPr>
        <w:t> </w:t>
      </w:r>
      <w:r>
        <w:rPr>
          <w:rFonts w:ascii="宋体" w:hAnsi="宋体" w:cs="宋体" w:eastAsia="宋体" w:hint="default"/>
        </w:rPr>
        <w:t>10</w:t>
      </w:r>
      <w:r>
        <w:rPr>
          <w:rFonts w:ascii="宋体" w:hAnsi="宋体" w:cs="宋体" w:eastAsia="宋体" w:hint="default"/>
          <w:spacing w:val="-34"/>
        </w:rPr>
        <w:t> </w:t>
      </w:r>
      <w:r>
        <w:rPr/>
        <w:t>股派发现金红利</w:t>
      </w:r>
      <w:r>
        <w:rPr>
          <w:spacing w:val="-25"/>
        </w:rPr>
        <w:t> </w:t>
      </w:r>
      <w:r>
        <w:rPr>
          <w:rFonts w:ascii="宋体" w:hAnsi="宋体" w:cs="宋体" w:eastAsia="宋体" w:hint="default"/>
        </w:rPr>
        <w:t>1.80</w:t>
      </w:r>
      <w:r>
        <w:rPr>
          <w:rFonts w:ascii="宋体" w:hAnsi="宋体" w:cs="宋体" w:eastAsia="宋体" w:hint="default"/>
          <w:spacing w:val="-33"/>
        </w:rPr>
        <w:t> </w:t>
      </w:r>
      <w:r>
        <w:rPr/>
        <w:t>元（含税），共派发现金红利</w:t>
      </w:r>
      <w:r>
        <w:rPr>
          <w:spacing w:val="-26"/>
        </w:rPr>
        <w:t> </w:t>
      </w:r>
      <w:r>
        <w:rPr>
          <w:rFonts w:ascii="宋体" w:hAnsi="宋体" w:cs="宋体" w:eastAsia="宋体" w:hint="default"/>
        </w:rPr>
        <w:t>646,020,000.00</w:t>
      </w:r>
      <w:r>
        <w:rPr>
          <w:rFonts w:ascii="宋体" w:hAnsi="宋体" w:cs="宋体" w:eastAsia="宋体" w:hint="default"/>
          <w:spacing w:val="-30"/>
        </w:rPr>
        <w:t> </w:t>
      </w:r>
      <w:r>
        <w:rPr>
          <w:spacing w:val="3"/>
        </w:rPr>
        <w:t>元。</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tabs>
          <w:tab w:pos="1378" w:val="left" w:leader="none"/>
        </w:tabs>
        <w:spacing w:line="240" w:lineRule="auto"/>
        <w:ind w:left="53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56"/>
        <w:ind w:left="0" w:right="54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426" w:type="dxa"/>
        <w:tblLayout w:type="fixed"/>
        <w:tblCellMar>
          <w:top w:w="0" w:type="dxa"/>
          <w:left w:w="0" w:type="dxa"/>
          <w:bottom w:w="0" w:type="dxa"/>
          <w:right w:w="0" w:type="dxa"/>
        </w:tblCellMar>
        <w:tblLook w:val="01E0"/>
      </w:tblPr>
      <w:tblGrid>
        <w:gridCol w:w="938"/>
        <w:gridCol w:w="1138"/>
        <w:gridCol w:w="1095"/>
        <w:gridCol w:w="1140"/>
        <w:gridCol w:w="1685"/>
        <w:gridCol w:w="1897"/>
        <w:gridCol w:w="1397"/>
      </w:tblGrid>
      <w:tr>
        <w:trPr>
          <w:trHeight w:val="164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4" w:right="24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2" w:right="120"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5"/>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67" w:right="163"/>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251,230,000.00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795,834,916.51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31.57</w:t>
            </w:r>
          </w:p>
        </w:tc>
      </w:tr>
      <w:tr>
        <w:trPr>
          <w:trHeight w:val="281"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646,020,000.00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1,480,930,468.18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43.62</w:t>
            </w:r>
          </w:p>
        </w:tc>
      </w:tr>
      <w:tr>
        <w:trPr>
          <w:trHeight w:val="28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1,785,885,436.51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
        <w:rPr>
          <w:rFonts w:ascii="宋体" w:hAnsi="宋体" w:cs="宋体" w:eastAsia="宋体" w:hint="default"/>
          <w:sz w:val="23"/>
          <w:szCs w:val="23"/>
        </w:rPr>
      </w:pPr>
    </w:p>
    <w:p>
      <w:pPr>
        <w:pStyle w:val="Heading5"/>
        <w:tabs>
          <w:tab w:pos="1378" w:val="left" w:leader="none"/>
        </w:tabs>
        <w:spacing w:line="240" w:lineRule="auto" w:before="36"/>
        <w:ind w:left="53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以现金方式要约回购股份计入现金分红的情况</w:t>
      </w:r>
      <w:r>
        <w:rPr>
          <w:b w:val="0"/>
          <w:bCs w:val="0"/>
        </w:rPr>
      </w:r>
    </w:p>
    <w:p>
      <w:pPr>
        <w:pStyle w:val="BodyText"/>
        <w:spacing w:line="240" w:lineRule="auto" w:before="56"/>
        <w:ind w:left="538" w:right="0"/>
        <w:jc w:val="left"/>
      </w:pPr>
      <w:r>
        <w:rPr/>
        <w:t>□适用 √不适用</w:t>
      </w:r>
    </w:p>
    <w:p>
      <w:pPr>
        <w:pStyle w:val="Heading5"/>
        <w:tabs>
          <w:tab w:pos="1378" w:val="left" w:leader="none"/>
        </w:tabs>
        <w:spacing w:line="272" w:lineRule="exact" w:before="87"/>
        <w:ind w:left="958" w:right="548" w:hanging="42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报告期内盈利且母公司可供普通股股东分配利润为正，但未提出普通股现金利润分配方案</w:t>
      </w:r>
      <w:r>
        <w:rPr>
          <w:spacing w:val="-92"/>
        </w:rPr>
        <w:t> </w:t>
      </w:r>
      <w:r>
        <w:rPr/>
        <w:t>预案的，公司应当详细披露原因以及未分配利润的用途和使用计划</w:t>
      </w:r>
      <w:r>
        <w:rPr>
          <w:b w:val="0"/>
          <w:bCs w:val="0"/>
        </w:rPr>
      </w:r>
    </w:p>
    <w:p>
      <w:pPr>
        <w:spacing w:line="290" w:lineRule="auto" w:before="34"/>
        <w:ind w:left="538" w:right="75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5"/>
        <w:spacing w:line="272" w:lineRule="exact" w:before="42"/>
        <w:ind w:left="1105" w:right="547" w:hanging="56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00"/>
        </w:rPr>
        <w:t> </w:t>
      </w:r>
      <w:r>
        <w:rPr/>
        <w:t>公司实际控制人、股东、关联方、收购人以及公司等承诺相关方在报告期内或持续到报告期</w:t>
      </w:r>
      <w:r>
        <w:rPr>
          <w:spacing w:val="-102"/>
        </w:rPr>
        <w:t> </w:t>
      </w:r>
      <w:r>
        <w:rPr>
          <w:spacing w:val="-102"/>
        </w:rPr>
      </w:r>
      <w:r>
        <w:rPr/>
        <w:t>内的承诺事项</w:t>
      </w:r>
      <w:r>
        <w:rPr>
          <w:b w:val="0"/>
          <w:bCs w:val="0"/>
        </w:rPr>
      </w:r>
    </w:p>
    <w:p>
      <w:pPr>
        <w:pStyle w:val="BodyText"/>
        <w:spacing w:line="240" w:lineRule="auto" w:before="31"/>
        <w:ind w:left="538"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13"/>
        <w:gridCol w:w="708"/>
        <w:gridCol w:w="994"/>
        <w:gridCol w:w="3121"/>
        <w:gridCol w:w="854"/>
        <w:gridCol w:w="708"/>
        <w:gridCol w:w="713"/>
        <w:gridCol w:w="1126"/>
        <w:gridCol w:w="989"/>
      </w:tblGrid>
      <w:tr>
        <w:trPr>
          <w:trHeight w:val="137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4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44" w:right="1342"/>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39" w:right="132"/>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28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浙江金</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自持有本公司股票</w:t>
            </w:r>
            <w:r>
              <w:rPr>
                <w:rFonts w:ascii="宋体" w:hAnsi="宋体" w:cs="宋体" w:eastAsia="宋体" w:hint="default"/>
                <w:spacing w:val="-52"/>
                <w:sz w:val="21"/>
                <w:szCs w:val="21"/>
              </w:rPr>
              <w:t> </w:t>
            </w:r>
            <w:r>
              <w:rPr>
                <w:rFonts w:ascii="宋体" w:hAnsi="宋体" w:cs="宋体" w:eastAsia="宋体" w:hint="default"/>
                <w:sz w:val="21"/>
                <w:szCs w:val="21"/>
              </w:rPr>
              <w:t>60</w:t>
            </w:r>
            <w:r>
              <w:rPr>
                <w:rFonts w:ascii="宋体" w:hAnsi="宋体" w:cs="宋体" w:eastAsia="宋体" w:hint="default"/>
                <w:spacing w:val="-55"/>
                <w:sz w:val="21"/>
                <w:szCs w:val="21"/>
              </w:rPr>
              <w:t> </w:t>
            </w:r>
            <w:r>
              <w:rPr>
                <w:rFonts w:ascii="宋体" w:hAnsi="宋体" w:cs="宋体" w:eastAsia="宋体" w:hint="default"/>
                <w:sz w:val="21"/>
                <w:szCs w:val="21"/>
              </w:rPr>
              <w:t>个月与</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自持有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w:t>
            </w:r>
          </w:p>
        </w:tc>
      </w:tr>
    </w:tbl>
    <w:p>
      <w:pPr>
        <w:spacing w:after="0" w:line="243" w:lineRule="exact"/>
        <w:jc w:val="left"/>
        <w:rPr>
          <w:rFonts w:ascii="宋体" w:hAnsi="宋体" w:cs="宋体" w:eastAsia="宋体" w:hint="default"/>
          <w:sz w:val="21"/>
          <w:szCs w:val="21"/>
        </w:rPr>
        <w:sectPr>
          <w:pgSz w:w="11910" w:h="16840"/>
          <w:pgMar w:header="880" w:footer="1195" w:top="1060" w:bottom="1380" w:left="88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713"/>
        <w:gridCol w:w="708"/>
        <w:gridCol w:w="994"/>
        <w:gridCol w:w="3121"/>
        <w:gridCol w:w="854"/>
        <w:gridCol w:w="708"/>
        <w:gridCol w:w="713"/>
        <w:gridCol w:w="1126"/>
        <w:gridCol w:w="989"/>
      </w:tblGrid>
      <w:tr>
        <w:trPr>
          <w:trHeight w:val="382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次公</w:t>
            </w:r>
          </w:p>
          <w:p>
            <w:pPr>
              <w:pStyle w:val="TableParagraph"/>
              <w:spacing w:line="237" w:lineRule="auto"/>
              <w:ind w:left="103" w:right="176"/>
              <w:jc w:val="both"/>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控</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本公司股票上市之日起</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孰长期限内</w:t>
            </w:r>
            <w:r>
              <w:rPr>
                <w:rFonts w:ascii="宋体" w:hAnsi="宋体" w:cs="宋体" w:eastAsia="宋体" w:hint="default"/>
                <w:sz w:val="21"/>
                <w:szCs w:val="21"/>
              </w:rPr>
              <w:t>,</w:t>
            </w:r>
            <w:r>
              <w:rPr>
                <w:rFonts w:ascii="宋体" w:hAnsi="宋体" w:cs="宋体" w:eastAsia="宋体" w:hint="default"/>
                <w:sz w:val="21"/>
                <w:szCs w:val="21"/>
              </w:rPr>
              <w:t>不转让或者委托他</w:t>
            </w:r>
            <w:r>
              <w:rPr>
                <w:rFonts w:ascii="宋体" w:hAnsi="宋体" w:cs="宋体" w:eastAsia="宋体" w:hint="default"/>
                <w:w w:val="100"/>
                <w:sz w:val="21"/>
                <w:szCs w:val="21"/>
              </w:rPr>
              <w:t> </w:t>
            </w:r>
            <w:r>
              <w:rPr>
                <w:rFonts w:ascii="宋体" w:hAnsi="宋体" w:cs="宋体" w:eastAsia="宋体" w:hint="default"/>
                <w:sz w:val="21"/>
                <w:szCs w:val="21"/>
              </w:rPr>
              <w:t>人管理本公司已直接和间接持</w:t>
            </w:r>
            <w:r>
              <w:rPr>
                <w:rFonts w:ascii="宋体" w:hAnsi="宋体" w:cs="宋体" w:eastAsia="宋体" w:hint="default"/>
                <w:w w:val="100"/>
                <w:sz w:val="21"/>
                <w:szCs w:val="21"/>
              </w:rPr>
              <w:t> </w:t>
            </w:r>
            <w:r>
              <w:rPr>
                <w:rFonts w:ascii="宋体" w:hAnsi="宋体" w:cs="宋体" w:eastAsia="宋体" w:hint="default"/>
                <w:sz w:val="21"/>
                <w:szCs w:val="21"/>
              </w:rPr>
              <w:t>有的本公司股票</w:t>
            </w:r>
            <w:r>
              <w:rPr>
                <w:rFonts w:ascii="宋体" w:hAnsi="宋体" w:cs="宋体" w:eastAsia="宋体" w:hint="default"/>
                <w:sz w:val="21"/>
                <w:szCs w:val="21"/>
              </w:rPr>
              <w:t>,</w:t>
            </w:r>
            <w:r>
              <w:rPr>
                <w:rFonts w:ascii="宋体" w:hAnsi="宋体" w:cs="宋体" w:eastAsia="宋体" w:hint="default"/>
                <w:sz w:val="21"/>
                <w:szCs w:val="21"/>
              </w:rPr>
              <w:t>也不有本公司</w:t>
            </w:r>
            <w:r>
              <w:rPr>
                <w:rFonts w:ascii="宋体" w:hAnsi="宋体" w:cs="宋体" w:eastAsia="宋体" w:hint="default"/>
                <w:w w:val="100"/>
                <w:sz w:val="21"/>
                <w:szCs w:val="21"/>
              </w:rPr>
              <w:t> </w:t>
            </w:r>
            <w:r>
              <w:rPr>
                <w:rFonts w:ascii="宋体" w:hAnsi="宋体" w:cs="宋体" w:eastAsia="宋体" w:hint="default"/>
                <w:sz w:val="21"/>
                <w:szCs w:val="21"/>
              </w:rPr>
              <w:t>回购该部分股份</w:t>
            </w:r>
            <w:r>
              <w:rPr>
                <w:rFonts w:ascii="宋体" w:hAnsi="宋体" w:cs="宋体" w:eastAsia="宋体" w:hint="default"/>
                <w:sz w:val="21"/>
                <w:szCs w:val="21"/>
              </w:rPr>
              <w:t>;2.</w:t>
            </w:r>
            <w:r>
              <w:rPr>
                <w:rFonts w:ascii="宋体" w:hAnsi="宋体" w:cs="宋体" w:eastAsia="宋体" w:hint="default"/>
                <w:sz w:val="21"/>
                <w:szCs w:val="21"/>
              </w:rPr>
              <w:t>发行人股票</w:t>
            </w:r>
            <w:r>
              <w:rPr>
                <w:rFonts w:ascii="宋体" w:hAnsi="宋体" w:cs="宋体" w:eastAsia="宋体" w:hint="default"/>
                <w:w w:val="100"/>
                <w:sz w:val="21"/>
                <w:szCs w:val="21"/>
              </w:rPr>
              <w:t> </w:t>
            </w:r>
            <w:r>
              <w:rPr>
                <w:rFonts w:ascii="宋体" w:hAnsi="宋体" w:cs="宋体" w:eastAsia="宋体" w:hint="default"/>
                <w:sz w:val="21"/>
                <w:szCs w:val="21"/>
              </w:rPr>
              <w:t>上市后</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5"/>
                <w:sz w:val="21"/>
                <w:szCs w:val="21"/>
              </w:rPr>
              <w:t>个月内，如发行人股票</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连续</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个交易日的收盘价均低</w:t>
            </w:r>
            <w:r>
              <w:rPr>
                <w:rFonts w:ascii="宋体" w:hAnsi="宋体" w:cs="宋体" w:eastAsia="宋体" w:hint="default"/>
                <w:w w:val="100"/>
                <w:sz w:val="21"/>
                <w:szCs w:val="21"/>
              </w:rPr>
              <w:t> </w:t>
            </w:r>
            <w:r>
              <w:rPr>
                <w:rFonts w:ascii="宋体" w:hAnsi="宋体" w:cs="宋体" w:eastAsia="宋体" w:hint="default"/>
                <w:spacing w:val="-4"/>
                <w:sz w:val="21"/>
                <w:szCs w:val="21"/>
              </w:rPr>
              <w:t>于发行价，或者发行人股票上市</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后</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5"/>
                <w:sz w:val="21"/>
                <w:szCs w:val="21"/>
              </w:rPr>
              <w:t>个月期末（如该日不是交易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日，则为该日后一个交易日）收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盘价低于发行价，本公司持有发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行人股票的锁定期限自动延长</w:t>
            </w:r>
            <w:r>
              <w:rPr>
                <w:rFonts w:ascii="宋体" w:hAnsi="宋体" w:cs="宋体" w:eastAsia="宋体" w:hint="default"/>
                <w:w w:val="100"/>
                <w:sz w:val="21"/>
                <w:szCs w:val="21"/>
              </w:rPr>
              <w:t> 至少</w:t>
            </w:r>
            <w:r>
              <w:rPr>
                <w:rFonts w:ascii="宋体" w:hAnsi="宋体" w:cs="宋体" w:eastAsia="宋体" w:hint="default"/>
                <w:spacing w:val="-67"/>
                <w:w w:val="100"/>
                <w:sz w:val="21"/>
                <w:szCs w:val="21"/>
              </w:rPr>
              <w:t> </w:t>
            </w:r>
            <w:r>
              <w:rPr>
                <w:rFonts w:ascii="宋体" w:hAnsi="宋体" w:cs="宋体" w:eastAsia="宋体" w:hint="default"/>
                <w:w w:val="100"/>
                <w:sz w:val="21"/>
                <w:szCs w:val="21"/>
              </w:rPr>
              <w:t>6</w:t>
            </w:r>
            <w:r>
              <w:rPr>
                <w:rFonts w:ascii="宋体" w:hAnsi="宋体" w:cs="宋体" w:eastAsia="宋体" w:hint="default"/>
                <w:spacing w:val="-69"/>
                <w:w w:val="100"/>
                <w:sz w:val="21"/>
                <w:szCs w:val="21"/>
              </w:rPr>
              <w:t> </w:t>
            </w:r>
            <w:r>
              <w:rPr>
                <w:rFonts w:ascii="宋体" w:hAnsi="宋体" w:cs="宋体" w:eastAsia="宋体" w:hint="default"/>
                <w:spacing w:val="-11"/>
                <w:w w:val="100"/>
                <w:sz w:val="21"/>
                <w:szCs w:val="21"/>
              </w:rPr>
              <w:t>个月。如遇除息除权事项，</w:t>
            </w:r>
            <w:r>
              <w:rPr>
                <w:rFonts w:ascii="宋体" w:hAnsi="宋体" w:cs="宋体" w:eastAsia="宋体" w:hint="default"/>
                <w:w w:val="100"/>
                <w:sz w:val="21"/>
                <w:szCs w:val="21"/>
              </w:rPr>
              <w:t> </w:t>
            </w:r>
            <w:r>
              <w:rPr>
                <w:rFonts w:ascii="宋体" w:hAnsi="宋体" w:cs="宋体" w:eastAsia="宋体" w:hint="default"/>
                <w:sz w:val="21"/>
                <w:szCs w:val="21"/>
              </w:rPr>
              <w:t>上述发行价格作相应调整。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股票之</w:t>
            </w:r>
            <w:r>
              <w:rPr>
                <w:rFonts w:ascii="宋体" w:hAnsi="宋体" w:cs="宋体" w:eastAsia="宋体" w:hint="default"/>
                <w:spacing w:val="-102"/>
                <w:sz w:val="21"/>
                <w:szCs w:val="21"/>
              </w:rPr>
              <w:t> </w:t>
            </w:r>
            <w:r>
              <w:rPr>
                <w:rFonts w:ascii="宋体" w:hAnsi="宋体" w:cs="宋体" w:eastAsia="宋体" w:hint="default"/>
                <w:sz w:val="21"/>
                <w:szCs w:val="21"/>
              </w:rPr>
              <w:t>日起</w:t>
            </w:r>
          </w:p>
          <w:p>
            <w:pPr>
              <w:pStyle w:val="TableParagraph"/>
              <w:spacing w:line="237" w:lineRule="auto"/>
              <w:ind w:left="103" w:right="107"/>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月与公</w:t>
            </w:r>
            <w:r>
              <w:rPr>
                <w:rFonts w:ascii="宋体" w:hAnsi="宋体" w:cs="宋体" w:eastAsia="宋体" w:hint="default"/>
                <w:spacing w:val="-102"/>
                <w:sz w:val="21"/>
                <w:szCs w:val="21"/>
              </w:rPr>
              <w:t> </w:t>
            </w:r>
            <w:r>
              <w:rPr>
                <w:rFonts w:ascii="宋体" w:hAnsi="宋体" w:cs="宋体" w:eastAsia="宋体" w:hint="default"/>
                <w:sz w:val="21"/>
                <w:szCs w:val="21"/>
              </w:rPr>
              <w:t>司股票</w:t>
            </w:r>
            <w:r>
              <w:rPr>
                <w:rFonts w:ascii="宋体" w:hAnsi="宋体" w:cs="宋体" w:eastAsia="宋体" w:hint="default"/>
                <w:spacing w:val="-102"/>
                <w:sz w:val="21"/>
                <w:szCs w:val="21"/>
              </w:rPr>
              <w:t> </w:t>
            </w:r>
            <w:r>
              <w:rPr>
                <w:rFonts w:ascii="宋体" w:hAnsi="宋体" w:cs="宋体" w:eastAsia="宋体" w:hint="default"/>
                <w:sz w:val="21"/>
                <w:szCs w:val="21"/>
              </w:rPr>
              <w:t>上市之</w:t>
            </w:r>
            <w:r>
              <w:rPr>
                <w:rFonts w:ascii="宋体" w:hAnsi="宋体" w:cs="宋体" w:eastAsia="宋体" w:hint="default"/>
                <w:spacing w:val="-102"/>
                <w:sz w:val="21"/>
                <w:szCs w:val="21"/>
              </w:rPr>
              <w:t> </w:t>
            </w:r>
            <w:r>
              <w:rPr>
                <w:rFonts w:ascii="宋体" w:hAnsi="宋体" w:cs="宋体" w:eastAsia="宋体" w:hint="default"/>
                <w:sz w:val="21"/>
                <w:szCs w:val="21"/>
              </w:rPr>
              <w:t>日起</w:t>
            </w:r>
          </w:p>
          <w:p>
            <w:pPr>
              <w:pStyle w:val="TableParagraph"/>
              <w:spacing w:line="274" w:lineRule="exact" w:before="22"/>
              <w:ind w:left="103" w:right="107"/>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月孰长</w:t>
            </w:r>
          </w:p>
        </w:tc>
        <w:tc>
          <w:tcPr>
            <w:tcW w:w="70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17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浙江金</w:t>
            </w:r>
            <w:r>
              <w:rPr>
                <w:rFonts w:ascii="宋体" w:hAnsi="宋体" w:cs="宋体" w:eastAsia="宋体" w:hint="default"/>
                <w:spacing w:val="-102"/>
                <w:sz w:val="21"/>
                <w:szCs w:val="21"/>
              </w:rPr>
              <w:t> </w:t>
            </w:r>
            <w:r>
              <w:rPr>
                <w:rFonts w:ascii="宋体" w:hAnsi="宋体" w:cs="宋体" w:eastAsia="宋体" w:hint="default"/>
                <w:sz w:val="21"/>
                <w:szCs w:val="21"/>
              </w:rPr>
              <w:t>控</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本公司所持发行人本次发行前</w:t>
            </w:r>
          </w:p>
          <w:p>
            <w:pPr>
              <w:pStyle w:val="TableParagraph"/>
              <w:spacing w:line="237" w:lineRule="auto" w:before="2"/>
              <w:ind w:left="103" w:right="61"/>
              <w:jc w:val="left"/>
              <w:rPr>
                <w:rFonts w:ascii="宋体" w:hAnsi="宋体" w:cs="宋体" w:eastAsia="宋体" w:hint="default"/>
                <w:sz w:val="21"/>
                <w:szCs w:val="21"/>
              </w:rPr>
            </w:pPr>
            <w:r>
              <w:rPr>
                <w:rFonts w:ascii="宋体" w:hAnsi="宋体" w:cs="宋体" w:eastAsia="宋体" w:hint="default"/>
                <w:sz w:val="21"/>
                <w:szCs w:val="21"/>
              </w:rPr>
              <w:t>的股票在锁定期满后</w:t>
            </w:r>
            <w:r>
              <w:rPr>
                <w:rFonts w:ascii="宋体" w:hAnsi="宋体" w:cs="宋体" w:eastAsia="宋体" w:hint="default"/>
                <w:spacing w:val="-71"/>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年内减持</w:t>
            </w:r>
            <w:r>
              <w:rPr>
                <w:rFonts w:ascii="宋体" w:hAnsi="宋体" w:cs="宋体" w:eastAsia="宋体" w:hint="default"/>
                <w:w w:val="100"/>
                <w:sz w:val="21"/>
                <w:szCs w:val="21"/>
              </w:rPr>
              <w:t> </w:t>
            </w:r>
            <w:r>
              <w:rPr>
                <w:rFonts w:ascii="宋体" w:hAnsi="宋体" w:cs="宋体" w:eastAsia="宋体" w:hint="default"/>
                <w:spacing w:val="-2"/>
                <w:sz w:val="21"/>
                <w:szCs w:val="21"/>
              </w:rPr>
              <w:t>的，其减持价格不低于发行价，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本公司每年减持上述发行人股</w:t>
            </w:r>
            <w:r>
              <w:rPr>
                <w:rFonts w:ascii="宋体" w:hAnsi="宋体" w:cs="宋体" w:eastAsia="宋体" w:hint="default"/>
                <w:w w:val="100"/>
                <w:sz w:val="21"/>
                <w:szCs w:val="21"/>
              </w:rPr>
              <w:t> </w:t>
            </w:r>
            <w:r>
              <w:rPr>
                <w:rFonts w:ascii="宋体" w:hAnsi="宋体" w:cs="宋体" w:eastAsia="宋体" w:hint="default"/>
                <w:sz w:val="21"/>
                <w:szCs w:val="21"/>
              </w:rPr>
              <w:t>份数量不超过发行人股份总数</w:t>
            </w:r>
          </w:p>
          <w:p>
            <w:pPr>
              <w:pStyle w:val="TableParagraph"/>
              <w:spacing w:line="237" w:lineRule="auto" w:before="1"/>
              <w:ind w:left="103" w:right="61"/>
              <w:jc w:val="left"/>
              <w:rPr>
                <w:rFonts w:ascii="宋体" w:hAnsi="宋体" w:cs="宋体" w:eastAsia="宋体" w:hint="default"/>
                <w:sz w:val="21"/>
                <w:szCs w:val="21"/>
              </w:rPr>
            </w:pPr>
            <w:r>
              <w:rPr>
                <w:rFonts w:ascii="宋体" w:hAnsi="宋体" w:cs="宋体" w:eastAsia="宋体" w:hint="default"/>
                <w:w w:val="100"/>
                <w:sz w:val="21"/>
                <w:szCs w:val="21"/>
              </w:rPr>
              <w:t>的</w:t>
            </w:r>
            <w:r>
              <w:rPr>
                <w:rFonts w:ascii="宋体" w:hAnsi="宋体" w:cs="宋体" w:eastAsia="宋体" w:hint="default"/>
                <w:spacing w:val="-50"/>
                <w:w w:val="100"/>
                <w:sz w:val="21"/>
                <w:szCs w:val="21"/>
              </w:rPr>
              <w:t> </w:t>
            </w:r>
            <w:r>
              <w:rPr>
                <w:rFonts w:ascii="宋体" w:hAnsi="宋体" w:cs="宋体" w:eastAsia="宋体" w:hint="default"/>
                <w:spacing w:val="-8"/>
                <w:w w:val="100"/>
                <w:sz w:val="21"/>
                <w:szCs w:val="21"/>
              </w:rPr>
              <w:t>5%</w:t>
            </w:r>
            <w:r>
              <w:rPr>
                <w:rFonts w:ascii="宋体" w:hAnsi="宋体" w:cs="宋体" w:eastAsia="宋体" w:hint="default"/>
                <w:spacing w:val="-8"/>
                <w:w w:val="100"/>
                <w:sz w:val="21"/>
                <w:szCs w:val="21"/>
              </w:rPr>
              <w:t>，减持方式包括二级市场集</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中竞价交易、大宗交易，或协议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转让等证券监督管理部门及证</w:t>
            </w:r>
            <w:r>
              <w:rPr>
                <w:rFonts w:ascii="宋体" w:hAnsi="宋体" w:cs="宋体" w:eastAsia="宋体" w:hint="default"/>
                <w:w w:val="100"/>
                <w:sz w:val="21"/>
                <w:szCs w:val="21"/>
              </w:rPr>
              <w:t> </w:t>
            </w:r>
            <w:r>
              <w:rPr>
                <w:rFonts w:ascii="宋体" w:hAnsi="宋体" w:cs="宋体" w:eastAsia="宋体" w:hint="default"/>
                <w:spacing w:val="-4"/>
                <w:sz w:val="21"/>
                <w:szCs w:val="21"/>
              </w:rPr>
              <w:t>券交易所认可的合法方式。本公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司拟减持发行人股份时，将提前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个交易日通知发行人并予以公</w:t>
            </w:r>
            <w:r>
              <w:rPr>
                <w:rFonts w:ascii="宋体" w:hAnsi="宋体" w:cs="宋体" w:eastAsia="宋体" w:hint="default"/>
                <w:w w:val="100"/>
                <w:sz w:val="21"/>
                <w:szCs w:val="21"/>
              </w:rPr>
              <w:t> </w:t>
            </w:r>
            <w:r>
              <w:rPr>
                <w:rFonts w:ascii="宋体" w:hAnsi="宋体" w:cs="宋体" w:eastAsia="宋体" w:hint="default"/>
                <w:spacing w:val="-2"/>
                <w:sz w:val="21"/>
                <w:szCs w:val="21"/>
              </w:rPr>
              <w:t>告，并承诺将按照《公司法》、</w:t>
            </w:r>
          </w:p>
          <w:p>
            <w:pPr>
              <w:pStyle w:val="TableParagraph"/>
              <w:spacing w:line="274" w:lineRule="exact" w:before="22"/>
              <w:ind w:left="103" w:right="97"/>
              <w:jc w:val="left"/>
              <w:rPr>
                <w:rFonts w:ascii="宋体" w:hAnsi="宋体" w:cs="宋体" w:eastAsia="宋体" w:hint="default"/>
                <w:sz w:val="21"/>
                <w:szCs w:val="21"/>
              </w:rPr>
            </w:pPr>
            <w:r>
              <w:rPr>
                <w:rFonts w:ascii="宋体" w:hAnsi="宋体" w:cs="宋体" w:eastAsia="宋体" w:hint="default"/>
                <w:spacing w:val="-4"/>
                <w:sz w:val="21"/>
                <w:szCs w:val="21"/>
              </w:rPr>
              <w:t>《证券法》、证券监督管理部门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及证券交易所相关规定办理。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2" w:lineRule="exact"/>
              <w:ind w:left="103" w:right="107"/>
              <w:jc w:val="both"/>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102"/>
                <w:sz w:val="21"/>
                <w:szCs w:val="21"/>
              </w:rPr>
              <w:t> </w:t>
            </w:r>
            <w:r>
              <w:rPr>
                <w:rFonts w:ascii="宋体" w:hAnsi="宋体" w:cs="宋体" w:eastAsia="宋体" w:hint="default"/>
                <w:sz w:val="21"/>
                <w:szCs w:val="21"/>
              </w:rPr>
              <w:t>满后</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年内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w w:val="100"/>
                <w:sz w:val="21"/>
              </w:rPr>
              <w:t>-</w:t>
            </w:r>
          </w:p>
        </w:tc>
      </w:tr>
      <w:tr>
        <w:trPr>
          <w:trHeight w:val="3550"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17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浙江财</w:t>
            </w:r>
            <w:r>
              <w:rPr>
                <w:rFonts w:ascii="宋体" w:hAnsi="宋体" w:cs="宋体" w:eastAsia="宋体" w:hint="default"/>
                <w:spacing w:val="-102"/>
                <w:sz w:val="21"/>
                <w:szCs w:val="21"/>
              </w:rPr>
              <w:t> </w:t>
            </w:r>
            <w:r>
              <w:rPr>
                <w:rFonts w:ascii="宋体" w:hAnsi="宋体" w:cs="宋体" w:eastAsia="宋体" w:hint="default"/>
                <w:sz w:val="21"/>
                <w:szCs w:val="21"/>
              </w:rPr>
              <w:t>开</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严格遵守相关法律、法规及政策</w:t>
            </w:r>
          </w:p>
          <w:p>
            <w:pPr>
              <w:pStyle w:val="TableParagraph"/>
              <w:spacing w:line="237" w:lineRule="auto" w:before="2"/>
              <w:ind w:left="103" w:right="97"/>
              <w:jc w:val="left"/>
              <w:rPr>
                <w:rFonts w:ascii="宋体" w:hAnsi="宋体" w:cs="宋体" w:eastAsia="宋体" w:hint="default"/>
                <w:sz w:val="21"/>
                <w:szCs w:val="21"/>
              </w:rPr>
            </w:pPr>
            <w:r>
              <w:rPr>
                <w:rFonts w:ascii="宋体" w:hAnsi="宋体" w:cs="宋体" w:eastAsia="宋体" w:hint="default"/>
                <w:spacing w:val="-4"/>
                <w:sz w:val="21"/>
                <w:szCs w:val="21"/>
              </w:rPr>
              <w:t>规定，同时根据孰高孰长原则确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定持股期限。在持股期限内，不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转让或委托他人持有或管理本</w:t>
            </w:r>
            <w:r>
              <w:rPr>
                <w:rFonts w:ascii="宋体" w:hAnsi="宋体" w:cs="宋体" w:eastAsia="宋体" w:hint="default"/>
                <w:w w:val="100"/>
                <w:sz w:val="21"/>
                <w:szCs w:val="21"/>
              </w:rPr>
              <w:t> </w:t>
            </w:r>
            <w:r>
              <w:rPr>
                <w:rFonts w:ascii="宋体" w:hAnsi="宋体" w:cs="宋体" w:eastAsia="宋体" w:hint="default"/>
                <w:sz w:val="21"/>
                <w:szCs w:val="21"/>
              </w:rPr>
              <w:t>公司直接或间接持有的财通证</w:t>
            </w:r>
            <w:r>
              <w:rPr>
                <w:rFonts w:ascii="宋体" w:hAnsi="宋体" w:cs="宋体" w:eastAsia="宋体" w:hint="default"/>
                <w:w w:val="100"/>
                <w:sz w:val="21"/>
                <w:szCs w:val="21"/>
              </w:rPr>
              <w:t> </w:t>
            </w:r>
            <w:r>
              <w:rPr>
                <w:rFonts w:ascii="宋体" w:hAnsi="宋体" w:cs="宋体" w:eastAsia="宋体" w:hint="default"/>
                <w:spacing w:val="-4"/>
                <w:sz w:val="21"/>
                <w:szCs w:val="21"/>
              </w:rPr>
              <w:t>券股份。本公司同时承诺，将督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促浙江金控股根据中国证监会</w:t>
            </w:r>
          </w:p>
          <w:p>
            <w:pPr>
              <w:pStyle w:val="TableParagraph"/>
              <w:spacing w:line="237" w:lineRule="auto" w:before="1"/>
              <w:ind w:left="103" w:right="97"/>
              <w:jc w:val="left"/>
              <w:rPr>
                <w:rFonts w:ascii="宋体" w:hAnsi="宋体" w:cs="宋体" w:eastAsia="宋体" w:hint="default"/>
                <w:sz w:val="21"/>
                <w:szCs w:val="21"/>
              </w:rPr>
            </w:pPr>
            <w:r>
              <w:rPr>
                <w:rFonts w:ascii="宋体" w:hAnsi="宋体" w:cs="宋体" w:eastAsia="宋体" w:hint="default"/>
                <w:sz w:val="21"/>
                <w:szCs w:val="21"/>
              </w:rPr>
              <w:t>《关于进一步推动新股发行体</w:t>
            </w:r>
            <w:r>
              <w:rPr>
                <w:rFonts w:ascii="宋体" w:hAnsi="宋体" w:cs="宋体" w:eastAsia="宋体" w:hint="default"/>
                <w:w w:val="100"/>
                <w:sz w:val="21"/>
                <w:szCs w:val="21"/>
              </w:rPr>
              <w:t> </w:t>
            </w:r>
            <w:r>
              <w:rPr>
                <w:rFonts w:ascii="宋体" w:hAnsi="宋体" w:cs="宋体" w:eastAsia="宋体" w:hint="default"/>
                <w:spacing w:val="-4"/>
                <w:sz w:val="21"/>
                <w:szCs w:val="21"/>
              </w:rPr>
              <w:t>制改革的意见》的相关要求，就</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其持有的财通证券的股份切实</w:t>
            </w:r>
            <w:r>
              <w:rPr>
                <w:rFonts w:ascii="宋体" w:hAnsi="宋体" w:cs="宋体" w:eastAsia="宋体" w:hint="default"/>
                <w:w w:val="100"/>
                <w:sz w:val="21"/>
                <w:szCs w:val="21"/>
              </w:rPr>
              <w:t> </w:t>
            </w:r>
            <w:r>
              <w:rPr>
                <w:rFonts w:ascii="宋体" w:hAnsi="宋体" w:cs="宋体" w:eastAsia="宋体" w:hint="default"/>
                <w:spacing w:val="-4"/>
                <w:sz w:val="21"/>
                <w:szCs w:val="21"/>
              </w:rPr>
              <w:t>履行股份锁定、减持意向等相关</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承诺。因国有股权划转发生的转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让，本公司不受本承诺限制。</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自持有</w:t>
            </w:r>
            <w:r>
              <w:rPr>
                <w:rFonts w:ascii="宋体" w:hAnsi="宋体" w:cs="宋体" w:eastAsia="宋体" w:hint="default"/>
                <w:spacing w:val="-102"/>
                <w:sz w:val="21"/>
                <w:szCs w:val="21"/>
              </w:rPr>
              <w:t> </w:t>
            </w:r>
            <w:r>
              <w:rPr>
                <w:rFonts w:ascii="宋体" w:hAnsi="宋体" w:cs="宋体" w:eastAsia="宋体" w:hint="default"/>
                <w:sz w:val="21"/>
                <w:szCs w:val="21"/>
              </w:rPr>
              <w:t>本公司</w:t>
            </w:r>
            <w:r>
              <w:rPr>
                <w:rFonts w:ascii="宋体" w:hAnsi="宋体" w:cs="宋体" w:eastAsia="宋体" w:hint="default"/>
                <w:spacing w:val="-102"/>
                <w:sz w:val="21"/>
                <w:szCs w:val="21"/>
              </w:rPr>
              <w:t> </w:t>
            </w:r>
            <w:r>
              <w:rPr>
                <w:rFonts w:ascii="宋体" w:hAnsi="宋体" w:cs="宋体" w:eastAsia="宋体" w:hint="default"/>
                <w:sz w:val="21"/>
                <w:szCs w:val="21"/>
              </w:rPr>
              <w:t>股票之</w:t>
            </w:r>
            <w:r>
              <w:rPr>
                <w:rFonts w:ascii="宋体" w:hAnsi="宋体" w:cs="宋体" w:eastAsia="宋体" w:hint="default"/>
                <w:spacing w:val="-102"/>
                <w:sz w:val="21"/>
                <w:szCs w:val="21"/>
              </w:rPr>
              <w:t> </w:t>
            </w:r>
            <w:r>
              <w:rPr>
                <w:rFonts w:ascii="宋体" w:hAnsi="宋体" w:cs="宋体" w:eastAsia="宋体" w:hint="default"/>
                <w:sz w:val="21"/>
                <w:szCs w:val="21"/>
              </w:rPr>
              <w:t>日起</w:t>
            </w:r>
          </w:p>
          <w:p>
            <w:pPr>
              <w:pStyle w:val="TableParagraph"/>
              <w:spacing w:line="237" w:lineRule="auto" w:before="1"/>
              <w:ind w:left="103" w:right="107"/>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月与公</w:t>
            </w:r>
            <w:r>
              <w:rPr>
                <w:rFonts w:ascii="宋体" w:hAnsi="宋体" w:cs="宋体" w:eastAsia="宋体" w:hint="default"/>
                <w:spacing w:val="-102"/>
                <w:sz w:val="21"/>
                <w:szCs w:val="21"/>
              </w:rPr>
              <w:t> </w:t>
            </w:r>
            <w:r>
              <w:rPr>
                <w:rFonts w:ascii="宋体" w:hAnsi="宋体" w:cs="宋体" w:eastAsia="宋体" w:hint="default"/>
                <w:sz w:val="21"/>
                <w:szCs w:val="21"/>
              </w:rPr>
              <w:t>司股票</w:t>
            </w:r>
            <w:r>
              <w:rPr>
                <w:rFonts w:ascii="宋体" w:hAnsi="宋体" w:cs="宋体" w:eastAsia="宋体" w:hint="default"/>
                <w:spacing w:val="-102"/>
                <w:sz w:val="21"/>
                <w:szCs w:val="21"/>
              </w:rPr>
              <w:t> </w:t>
            </w:r>
            <w:r>
              <w:rPr>
                <w:rFonts w:ascii="宋体" w:hAnsi="宋体" w:cs="宋体" w:eastAsia="宋体" w:hint="default"/>
                <w:sz w:val="21"/>
                <w:szCs w:val="21"/>
              </w:rPr>
              <w:t>上市之</w:t>
            </w:r>
            <w:r>
              <w:rPr>
                <w:rFonts w:ascii="宋体" w:hAnsi="宋体" w:cs="宋体" w:eastAsia="宋体" w:hint="default"/>
                <w:spacing w:val="-102"/>
                <w:sz w:val="21"/>
                <w:szCs w:val="21"/>
              </w:rPr>
              <w:t> </w:t>
            </w:r>
            <w:r>
              <w:rPr>
                <w:rFonts w:ascii="宋体" w:hAnsi="宋体" w:cs="宋体" w:eastAsia="宋体" w:hint="default"/>
                <w:sz w:val="21"/>
                <w:szCs w:val="21"/>
              </w:rPr>
              <w:t>日起</w:t>
            </w:r>
          </w:p>
          <w:p>
            <w:pPr>
              <w:pStyle w:val="TableParagraph"/>
              <w:spacing w:line="274" w:lineRule="exact" w:before="22"/>
              <w:ind w:left="103" w:right="107"/>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月孰长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r>
      <w:tr>
        <w:trPr>
          <w:trHeight w:val="246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7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98" w:hanging="3"/>
              <w:jc w:val="center"/>
              <w:rPr>
                <w:rFonts w:ascii="宋体" w:hAnsi="宋体" w:cs="宋体" w:eastAsia="宋体" w:hint="default"/>
                <w:sz w:val="21"/>
                <w:szCs w:val="21"/>
              </w:rPr>
            </w:pPr>
            <w:r>
              <w:rPr>
                <w:rFonts w:ascii="宋体" w:hAnsi="宋体" w:cs="宋体" w:eastAsia="宋体" w:hint="default"/>
                <w:sz w:val="21"/>
                <w:szCs w:val="21"/>
              </w:rPr>
              <w:t>浙江金</w:t>
            </w:r>
            <w:r>
              <w:rPr>
                <w:rFonts w:ascii="宋体" w:hAnsi="宋体" w:cs="宋体" w:eastAsia="宋体" w:hint="default"/>
                <w:w w:val="100"/>
                <w:sz w:val="21"/>
                <w:szCs w:val="21"/>
              </w:rPr>
              <w:t> </w:t>
            </w:r>
            <w:r>
              <w:rPr>
                <w:rFonts w:ascii="宋体" w:hAnsi="宋体" w:cs="宋体" w:eastAsia="宋体" w:hint="default"/>
                <w:spacing w:val="-17"/>
                <w:sz w:val="21"/>
                <w:szCs w:val="21"/>
              </w:rPr>
              <w:t>控、浙江</w:t>
            </w:r>
            <w:r>
              <w:rPr>
                <w:rFonts w:ascii="宋体" w:hAnsi="宋体" w:cs="宋体" w:eastAsia="宋体" w:hint="default"/>
                <w:w w:val="100"/>
                <w:sz w:val="21"/>
                <w:szCs w:val="21"/>
              </w:rPr>
              <w:t> </w:t>
            </w:r>
            <w:r>
              <w:rPr>
                <w:rFonts w:ascii="宋体" w:hAnsi="宋体" w:cs="宋体" w:eastAsia="宋体" w:hint="default"/>
                <w:sz w:val="21"/>
                <w:szCs w:val="21"/>
              </w:rPr>
              <w:t>财开及</w:t>
            </w:r>
            <w:r>
              <w:rPr>
                <w:rFonts w:ascii="宋体" w:hAnsi="宋体" w:cs="宋体" w:eastAsia="宋体" w:hint="default"/>
                <w:w w:val="100"/>
                <w:sz w:val="21"/>
                <w:szCs w:val="21"/>
              </w:rPr>
              <w:t> </w:t>
            </w:r>
            <w:r>
              <w:rPr>
                <w:rFonts w:ascii="宋体" w:hAnsi="宋体" w:cs="宋体" w:eastAsia="宋体" w:hint="default"/>
                <w:sz w:val="21"/>
                <w:szCs w:val="21"/>
              </w:rPr>
              <w:t>其控制</w:t>
            </w:r>
            <w:r>
              <w:rPr>
                <w:rFonts w:ascii="宋体" w:hAnsi="宋体" w:cs="宋体" w:eastAsia="宋体" w:hint="default"/>
                <w:w w:val="100"/>
                <w:sz w:val="21"/>
                <w:szCs w:val="21"/>
              </w:rPr>
              <w:t> </w:t>
            </w:r>
            <w:r>
              <w:rPr>
                <w:rFonts w:ascii="宋体" w:hAnsi="宋体" w:cs="宋体" w:eastAsia="宋体" w:hint="default"/>
                <w:sz w:val="21"/>
                <w:szCs w:val="21"/>
              </w:rPr>
              <w:t>的其他</w:t>
            </w:r>
            <w:r>
              <w:rPr>
                <w:rFonts w:ascii="宋体" w:hAnsi="宋体" w:cs="宋体" w:eastAsia="宋体" w:hint="default"/>
                <w:w w:val="100"/>
                <w:sz w:val="21"/>
                <w:szCs w:val="21"/>
              </w:rPr>
              <w:t> </w:t>
            </w:r>
            <w:r>
              <w:rPr>
                <w:rFonts w:ascii="宋体" w:hAnsi="宋体" w:cs="宋体" w:eastAsia="宋体" w:hint="default"/>
                <w:sz w:val="21"/>
                <w:szCs w:val="21"/>
              </w:rPr>
              <w:t>企业</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不存在直接或间接从事与财通</w:t>
            </w:r>
          </w:p>
          <w:p>
            <w:pPr>
              <w:pStyle w:val="TableParagraph"/>
              <w:spacing w:line="237" w:lineRule="auto"/>
              <w:ind w:left="103" w:right="61"/>
              <w:jc w:val="left"/>
              <w:rPr>
                <w:rFonts w:ascii="宋体" w:hAnsi="宋体" w:cs="宋体" w:eastAsia="宋体" w:hint="default"/>
                <w:sz w:val="21"/>
                <w:szCs w:val="21"/>
              </w:rPr>
            </w:pPr>
            <w:r>
              <w:rPr>
                <w:rFonts w:ascii="宋体" w:hAnsi="宋体" w:cs="宋体" w:eastAsia="宋体" w:hint="default"/>
                <w:sz w:val="21"/>
                <w:szCs w:val="21"/>
              </w:rPr>
              <w:t>证券及其控制的企业相同或相</w:t>
            </w:r>
            <w:r>
              <w:rPr>
                <w:rFonts w:ascii="宋体" w:hAnsi="宋体" w:cs="宋体" w:eastAsia="宋体" w:hint="default"/>
                <w:w w:val="100"/>
                <w:sz w:val="21"/>
                <w:szCs w:val="21"/>
              </w:rPr>
              <w:t> </w:t>
            </w:r>
            <w:r>
              <w:rPr>
                <w:rFonts w:ascii="宋体" w:hAnsi="宋体" w:cs="宋体" w:eastAsia="宋体" w:hint="default"/>
                <w:sz w:val="21"/>
                <w:szCs w:val="21"/>
              </w:rPr>
              <w:t>似并构成竞争关系的业务的情</w:t>
            </w:r>
            <w:r>
              <w:rPr>
                <w:rFonts w:ascii="宋体" w:hAnsi="宋体" w:cs="宋体" w:eastAsia="宋体" w:hint="default"/>
                <w:w w:val="100"/>
                <w:sz w:val="21"/>
                <w:szCs w:val="21"/>
              </w:rPr>
              <w:t> </w:t>
            </w:r>
            <w:r>
              <w:rPr>
                <w:rFonts w:ascii="宋体" w:hAnsi="宋体" w:cs="宋体" w:eastAsia="宋体" w:hint="default"/>
                <w:spacing w:val="-4"/>
                <w:sz w:val="21"/>
                <w:szCs w:val="21"/>
              </w:rPr>
              <w:t>形。严格遵守《证券公司监督管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理条例》等有关法律、法规、规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范性文件的规定及中国证监会</w:t>
            </w:r>
            <w:r>
              <w:rPr>
                <w:rFonts w:ascii="宋体" w:hAnsi="宋体" w:cs="宋体" w:eastAsia="宋体" w:hint="default"/>
                <w:w w:val="100"/>
                <w:sz w:val="21"/>
                <w:szCs w:val="21"/>
              </w:rPr>
              <w:t> </w:t>
            </w:r>
            <w:r>
              <w:rPr>
                <w:rFonts w:ascii="宋体" w:hAnsi="宋体" w:cs="宋体" w:eastAsia="宋体" w:hint="default"/>
                <w:spacing w:val="-2"/>
                <w:sz w:val="21"/>
                <w:szCs w:val="21"/>
              </w:rPr>
              <w:t>的要求，不在中国境内或境外，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直接或间接从事与财通证券及</w:t>
            </w:r>
            <w:r>
              <w:rPr>
                <w:rFonts w:ascii="宋体" w:hAnsi="宋体" w:cs="宋体" w:eastAsia="宋体" w:hint="default"/>
                <w:w w:val="100"/>
                <w:sz w:val="21"/>
                <w:szCs w:val="21"/>
              </w:rPr>
              <w:t> </w:t>
            </w:r>
            <w:r>
              <w:rPr>
                <w:rFonts w:ascii="宋体" w:hAnsi="宋体" w:cs="宋体" w:eastAsia="宋体" w:hint="default"/>
                <w:sz w:val="21"/>
                <w:szCs w:val="21"/>
              </w:rPr>
              <w:t>其控制的企业相同或相似并构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103" w:right="10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w w:val="100"/>
                <w:sz w:val="21"/>
              </w:rPr>
              <w:t>-</w:t>
            </w:r>
          </w:p>
        </w:tc>
      </w:tr>
    </w:tbl>
    <w:p>
      <w:pPr>
        <w:spacing w:after="0" w:line="240" w:lineRule="auto"/>
        <w:jc w:val="left"/>
        <w:rPr>
          <w:rFonts w:ascii="宋体" w:hAnsi="宋体" w:cs="宋体" w:eastAsia="宋体" w:hint="default"/>
          <w:sz w:val="21"/>
          <w:szCs w:val="21"/>
        </w:rPr>
        <w:sectPr>
          <w:pgSz w:w="11910" w:h="16840"/>
          <w:pgMar w:header="880" w:footer="1195" w:top="1060" w:bottom="1380" w:left="88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713"/>
        <w:gridCol w:w="708"/>
        <w:gridCol w:w="994"/>
        <w:gridCol w:w="3121"/>
        <w:gridCol w:w="854"/>
        <w:gridCol w:w="708"/>
        <w:gridCol w:w="713"/>
        <w:gridCol w:w="1126"/>
        <w:gridCol w:w="989"/>
      </w:tblGrid>
      <w:tr>
        <w:trPr>
          <w:trHeight w:val="4643" w:hRule="exact"/>
        </w:trPr>
        <w:tc>
          <w:tcPr>
            <w:tcW w:w="7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成竞争关系的业务，亦不会直接</w:t>
            </w:r>
          </w:p>
          <w:p>
            <w:pPr>
              <w:pStyle w:val="TableParagraph"/>
              <w:spacing w:line="237" w:lineRule="auto"/>
              <w:ind w:left="103" w:right="61"/>
              <w:jc w:val="left"/>
              <w:rPr>
                <w:rFonts w:ascii="宋体" w:hAnsi="宋体" w:cs="宋体" w:eastAsia="宋体" w:hint="default"/>
                <w:sz w:val="21"/>
                <w:szCs w:val="21"/>
              </w:rPr>
            </w:pPr>
            <w:r>
              <w:rPr>
                <w:rFonts w:ascii="宋体" w:hAnsi="宋体" w:cs="宋体" w:eastAsia="宋体" w:hint="default"/>
                <w:sz w:val="21"/>
                <w:szCs w:val="21"/>
              </w:rPr>
              <w:t>或间接拥有从事前述业务的企</w:t>
            </w:r>
            <w:r>
              <w:rPr>
                <w:rFonts w:ascii="宋体" w:hAnsi="宋体" w:cs="宋体" w:eastAsia="宋体" w:hint="default"/>
                <w:w w:val="100"/>
                <w:sz w:val="21"/>
                <w:szCs w:val="21"/>
              </w:rPr>
              <w:t> </w:t>
            </w:r>
            <w:r>
              <w:rPr>
                <w:rFonts w:ascii="宋体" w:hAnsi="宋体" w:cs="宋体" w:eastAsia="宋体" w:hint="default"/>
                <w:spacing w:val="-4"/>
                <w:sz w:val="21"/>
                <w:szCs w:val="21"/>
              </w:rPr>
              <w:t>业、其他组织、经济实体的控制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权。</w:t>
            </w:r>
            <w:r>
              <w:rPr>
                <w:rFonts w:ascii="宋体" w:hAnsi="宋体" w:cs="宋体" w:eastAsia="宋体" w:hint="default"/>
                <w:spacing w:val="100"/>
                <w:sz w:val="21"/>
                <w:szCs w:val="21"/>
              </w:rPr>
              <w:t> </w:t>
            </w:r>
            <w:r>
              <w:rPr>
                <w:rFonts w:ascii="宋体" w:hAnsi="宋体" w:cs="宋体" w:eastAsia="宋体" w:hint="default"/>
                <w:spacing w:val="-3"/>
                <w:sz w:val="21"/>
                <w:szCs w:val="21"/>
              </w:rPr>
              <w:t>严格遵守《证券公司监督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管理条例》等有关法律、法规、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规范性文件的规定及中国证监</w:t>
            </w:r>
            <w:r>
              <w:rPr>
                <w:rFonts w:ascii="宋体" w:hAnsi="宋体" w:cs="宋体" w:eastAsia="宋体" w:hint="default"/>
                <w:w w:val="100"/>
                <w:sz w:val="21"/>
                <w:szCs w:val="21"/>
              </w:rPr>
              <w:t> </w:t>
            </w:r>
            <w:r>
              <w:rPr>
                <w:rFonts w:ascii="宋体" w:hAnsi="宋体" w:cs="宋体" w:eastAsia="宋体" w:hint="default"/>
                <w:sz w:val="21"/>
                <w:szCs w:val="21"/>
              </w:rPr>
              <w:t>会的要求，不在中国境内或境</w:t>
            </w:r>
            <w:r>
              <w:rPr>
                <w:rFonts w:ascii="宋体" w:hAnsi="宋体" w:cs="宋体" w:eastAsia="宋体" w:hint="default"/>
                <w:w w:val="100"/>
                <w:sz w:val="21"/>
                <w:szCs w:val="21"/>
              </w:rPr>
              <w:t> </w:t>
            </w:r>
            <w:r>
              <w:rPr>
                <w:rFonts w:ascii="宋体" w:hAnsi="宋体" w:cs="宋体" w:eastAsia="宋体" w:hint="default"/>
                <w:spacing w:val="-4"/>
                <w:sz w:val="21"/>
                <w:szCs w:val="21"/>
              </w:rPr>
              <w:t>外，直接或间接从事与财通证券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现有主营业务相同或相似并构</w:t>
            </w:r>
            <w:r>
              <w:rPr>
                <w:rFonts w:ascii="宋体" w:hAnsi="宋体" w:cs="宋体" w:eastAsia="宋体" w:hint="default"/>
                <w:w w:val="100"/>
                <w:sz w:val="21"/>
                <w:szCs w:val="21"/>
              </w:rPr>
              <w:t> </w:t>
            </w:r>
            <w:r>
              <w:rPr>
                <w:rFonts w:ascii="宋体" w:hAnsi="宋体" w:cs="宋体" w:eastAsia="宋体" w:hint="default"/>
                <w:spacing w:val="-4"/>
                <w:sz w:val="21"/>
                <w:szCs w:val="21"/>
              </w:rPr>
              <w:t>成竞争关系的投资业务，亦不会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直接或间接获取从事前述业务</w:t>
            </w:r>
            <w:r>
              <w:rPr>
                <w:rFonts w:ascii="宋体" w:hAnsi="宋体" w:cs="宋体" w:eastAsia="宋体" w:hint="default"/>
                <w:w w:val="100"/>
                <w:sz w:val="21"/>
                <w:szCs w:val="21"/>
              </w:rPr>
              <w:t> </w:t>
            </w:r>
            <w:r>
              <w:rPr>
                <w:rFonts w:ascii="宋体" w:hAnsi="宋体" w:cs="宋体" w:eastAsia="宋体" w:hint="default"/>
                <w:spacing w:val="-4"/>
                <w:sz w:val="21"/>
                <w:szCs w:val="21"/>
              </w:rPr>
              <w:t>的企业、其他组织、经济实体的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控制权。在任何投资机会中与财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通证券构成或可能构成直接或</w:t>
            </w:r>
            <w:r>
              <w:rPr>
                <w:rFonts w:ascii="宋体" w:hAnsi="宋体" w:cs="宋体" w:eastAsia="宋体" w:hint="default"/>
                <w:w w:val="100"/>
                <w:sz w:val="21"/>
                <w:szCs w:val="21"/>
              </w:rPr>
              <w:t> </w:t>
            </w:r>
            <w:r>
              <w:rPr>
                <w:rFonts w:ascii="宋体" w:hAnsi="宋体" w:cs="宋体" w:eastAsia="宋体" w:hint="default"/>
                <w:spacing w:val="-4"/>
                <w:sz w:val="21"/>
                <w:szCs w:val="21"/>
              </w:rPr>
              <w:t>间接竞争的，在同等条件下，应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优先将该等投资机会让与财通</w:t>
            </w:r>
            <w:r>
              <w:rPr>
                <w:rFonts w:ascii="宋体" w:hAnsi="宋体" w:cs="宋体" w:eastAsia="宋体" w:hint="default"/>
                <w:w w:val="100"/>
                <w:sz w:val="21"/>
                <w:szCs w:val="21"/>
              </w:rPr>
              <w:t> </w:t>
            </w:r>
            <w:r>
              <w:rPr>
                <w:rFonts w:ascii="宋体" w:hAnsi="宋体" w:cs="宋体" w:eastAsia="宋体" w:hint="default"/>
                <w:sz w:val="21"/>
                <w:szCs w:val="21"/>
              </w:rPr>
              <w:t>证券。</w:t>
            </w:r>
          </w:p>
        </w:tc>
        <w:tc>
          <w:tcPr>
            <w:tcW w:w="85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36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17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7"/>
              <w:ind w:left="139" w:right="134"/>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98" w:hanging="3"/>
              <w:jc w:val="center"/>
              <w:rPr>
                <w:rFonts w:ascii="宋体" w:hAnsi="宋体" w:cs="宋体" w:eastAsia="宋体" w:hint="default"/>
                <w:sz w:val="21"/>
                <w:szCs w:val="21"/>
              </w:rPr>
            </w:pPr>
            <w:r>
              <w:rPr>
                <w:rFonts w:ascii="宋体" w:hAnsi="宋体" w:cs="宋体" w:eastAsia="宋体" w:hint="default"/>
                <w:sz w:val="21"/>
                <w:szCs w:val="21"/>
              </w:rPr>
              <w:t>浙江金</w:t>
            </w:r>
            <w:r>
              <w:rPr>
                <w:rFonts w:ascii="宋体" w:hAnsi="宋体" w:cs="宋体" w:eastAsia="宋体" w:hint="default"/>
                <w:w w:val="100"/>
                <w:sz w:val="21"/>
                <w:szCs w:val="21"/>
              </w:rPr>
              <w:t> </w:t>
            </w:r>
            <w:r>
              <w:rPr>
                <w:rFonts w:ascii="宋体" w:hAnsi="宋体" w:cs="宋体" w:eastAsia="宋体" w:hint="default"/>
                <w:spacing w:val="-17"/>
                <w:sz w:val="21"/>
                <w:szCs w:val="21"/>
              </w:rPr>
              <w:t>控、浙江</w:t>
            </w:r>
            <w:r>
              <w:rPr>
                <w:rFonts w:ascii="宋体" w:hAnsi="宋体" w:cs="宋体" w:eastAsia="宋体" w:hint="default"/>
                <w:w w:val="100"/>
                <w:sz w:val="21"/>
                <w:szCs w:val="21"/>
              </w:rPr>
              <w:t> </w:t>
            </w:r>
            <w:r>
              <w:rPr>
                <w:rFonts w:ascii="宋体" w:hAnsi="宋体" w:cs="宋体" w:eastAsia="宋体" w:hint="default"/>
                <w:sz w:val="21"/>
                <w:szCs w:val="21"/>
              </w:rPr>
              <w:t>财开及</w:t>
            </w:r>
            <w:r>
              <w:rPr>
                <w:rFonts w:ascii="宋体" w:hAnsi="宋体" w:cs="宋体" w:eastAsia="宋体" w:hint="default"/>
                <w:w w:val="100"/>
                <w:sz w:val="21"/>
                <w:szCs w:val="21"/>
              </w:rPr>
              <w:t> </w:t>
            </w:r>
            <w:r>
              <w:rPr>
                <w:rFonts w:ascii="宋体" w:hAnsi="宋体" w:cs="宋体" w:eastAsia="宋体" w:hint="default"/>
                <w:sz w:val="21"/>
                <w:szCs w:val="21"/>
              </w:rPr>
              <w:t>其控制</w:t>
            </w:r>
            <w:r>
              <w:rPr>
                <w:rFonts w:ascii="宋体" w:hAnsi="宋体" w:cs="宋体" w:eastAsia="宋体" w:hint="default"/>
                <w:w w:val="100"/>
                <w:sz w:val="21"/>
                <w:szCs w:val="21"/>
              </w:rPr>
              <w:t> </w:t>
            </w:r>
            <w:r>
              <w:rPr>
                <w:rFonts w:ascii="宋体" w:hAnsi="宋体" w:cs="宋体" w:eastAsia="宋体" w:hint="default"/>
                <w:sz w:val="21"/>
                <w:szCs w:val="21"/>
              </w:rPr>
              <w:t>的其他</w:t>
            </w:r>
            <w:r>
              <w:rPr>
                <w:rFonts w:ascii="宋体" w:hAnsi="宋体" w:cs="宋体" w:eastAsia="宋体" w:hint="default"/>
                <w:w w:val="100"/>
                <w:sz w:val="21"/>
                <w:szCs w:val="21"/>
              </w:rPr>
              <w:t> </w:t>
            </w:r>
            <w:r>
              <w:rPr>
                <w:rFonts w:ascii="宋体" w:hAnsi="宋体" w:cs="宋体" w:eastAsia="宋体" w:hint="default"/>
                <w:sz w:val="21"/>
                <w:szCs w:val="21"/>
              </w:rPr>
              <w:t>企业</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保证不会实施影响公司的独立</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性的行为，并将保持公司在资</w:t>
            </w:r>
            <w:r>
              <w:rPr>
                <w:rFonts w:ascii="宋体" w:hAnsi="宋体" w:cs="宋体" w:eastAsia="宋体" w:hint="default"/>
                <w:w w:val="100"/>
                <w:sz w:val="21"/>
                <w:szCs w:val="21"/>
              </w:rPr>
              <w:t> </w:t>
            </w:r>
            <w:r>
              <w:rPr>
                <w:rFonts w:ascii="宋体" w:hAnsi="宋体" w:cs="宋体" w:eastAsia="宋体" w:hint="default"/>
                <w:spacing w:val="-4"/>
                <w:sz w:val="21"/>
                <w:szCs w:val="21"/>
              </w:rPr>
              <w:t>产、人员、财务、业务和机构等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方面的独立性；将尽量避免与公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司之间产生关联交易事项，对于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不可避免发生的关联业务往来</w:t>
            </w:r>
            <w:r>
              <w:rPr>
                <w:rFonts w:ascii="宋体" w:hAnsi="宋体" w:cs="宋体" w:eastAsia="宋体" w:hint="default"/>
                <w:w w:val="100"/>
                <w:sz w:val="21"/>
                <w:szCs w:val="21"/>
              </w:rPr>
              <w:t> </w:t>
            </w:r>
            <w:r>
              <w:rPr>
                <w:rFonts w:ascii="宋体" w:hAnsi="宋体" w:cs="宋体" w:eastAsia="宋体" w:hint="default"/>
                <w:spacing w:val="-4"/>
                <w:sz w:val="21"/>
                <w:szCs w:val="21"/>
              </w:rPr>
              <w:t>或交易，将在平等、自愿的基础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上，按照公平、公允和等价有偿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的原则进行，交易价格将按照市</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场公认的合理价格确定。保证不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会利用关联交易转移本公司的</w:t>
            </w:r>
            <w:r>
              <w:rPr>
                <w:rFonts w:ascii="宋体" w:hAnsi="宋体" w:cs="宋体" w:eastAsia="宋体" w:hint="default"/>
                <w:w w:val="100"/>
                <w:sz w:val="21"/>
                <w:szCs w:val="21"/>
              </w:rPr>
              <w:t> </w:t>
            </w:r>
            <w:r>
              <w:rPr>
                <w:rFonts w:ascii="宋体" w:hAnsi="宋体" w:cs="宋体" w:eastAsia="宋体" w:hint="default"/>
                <w:spacing w:val="-4"/>
                <w:sz w:val="21"/>
                <w:szCs w:val="21"/>
              </w:rPr>
              <w:t>利润，不会通过影响公司的经营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决策来损害本公司及其他股东</w:t>
            </w:r>
            <w:r>
              <w:rPr>
                <w:rFonts w:ascii="宋体" w:hAnsi="宋体" w:cs="宋体" w:eastAsia="宋体" w:hint="default"/>
                <w:w w:val="100"/>
                <w:sz w:val="21"/>
                <w:szCs w:val="21"/>
              </w:rPr>
              <w:t> </w:t>
            </w:r>
            <w:r>
              <w:rPr>
                <w:rFonts w:ascii="宋体" w:hAnsi="宋体" w:cs="宋体" w:eastAsia="宋体" w:hint="default"/>
                <w:spacing w:val="-4"/>
                <w:sz w:val="21"/>
                <w:szCs w:val="21"/>
              </w:rPr>
              <w:t>的合法权益，不以任何方式违法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违规占用公司资金及要求公司</w:t>
            </w:r>
            <w:r>
              <w:rPr>
                <w:rFonts w:ascii="宋体" w:hAnsi="宋体" w:cs="宋体" w:eastAsia="宋体" w:hint="default"/>
                <w:w w:val="100"/>
                <w:sz w:val="21"/>
                <w:szCs w:val="21"/>
              </w:rPr>
              <w:t> </w:t>
            </w:r>
            <w:r>
              <w:rPr>
                <w:rFonts w:ascii="宋体" w:hAnsi="宋体" w:cs="宋体" w:eastAsia="宋体" w:hint="default"/>
                <w:sz w:val="21"/>
                <w:szCs w:val="21"/>
              </w:rPr>
              <w:t>违规提供担保。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24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24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w w:val="100"/>
                <w:sz w:val="21"/>
              </w:rPr>
              <w:t>-</w:t>
            </w:r>
          </w:p>
        </w:tc>
      </w:tr>
      <w:tr>
        <w:trPr>
          <w:trHeight w:val="27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3" w:right="17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浙江金</w:t>
            </w:r>
            <w:r>
              <w:rPr>
                <w:rFonts w:ascii="宋体" w:hAnsi="宋体" w:cs="宋体" w:eastAsia="宋体" w:hint="default"/>
                <w:w w:val="100"/>
                <w:sz w:val="21"/>
                <w:szCs w:val="21"/>
              </w:rPr>
              <w:t> </w:t>
            </w:r>
            <w:r>
              <w:rPr>
                <w:rFonts w:ascii="宋体" w:hAnsi="宋体" w:cs="宋体" w:eastAsia="宋体" w:hint="default"/>
                <w:spacing w:val="-17"/>
                <w:sz w:val="21"/>
                <w:szCs w:val="21"/>
              </w:rPr>
              <w:t>控、浙江</w:t>
            </w:r>
            <w:r>
              <w:rPr>
                <w:rFonts w:ascii="宋体" w:hAnsi="宋体" w:cs="宋体" w:eastAsia="宋体" w:hint="default"/>
                <w:w w:val="100"/>
                <w:sz w:val="21"/>
                <w:szCs w:val="21"/>
              </w:rPr>
              <w:t> </w:t>
            </w:r>
            <w:r>
              <w:rPr>
                <w:rFonts w:ascii="宋体" w:hAnsi="宋体" w:cs="宋体" w:eastAsia="宋体" w:hint="default"/>
                <w:sz w:val="21"/>
                <w:szCs w:val="21"/>
              </w:rPr>
              <w:t>产业基</w:t>
            </w:r>
            <w:r>
              <w:rPr>
                <w:rFonts w:ascii="宋体" w:hAnsi="宋体" w:cs="宋体" w:eastAsia="宋体" w:hint="default"/>
                <w:w w:val="100"/>
                <w:sz w:val="21"/>
                <w:szCs w:val="21"/>
              </w:rPr>
              <w:t> </w:t>
            </w:r>
            <w:r>
              <w:rPr>
                <w:rFonts w:ascii="宋体" w:hAnsi="宋体" w:cs="宋体" w:eastAsia="宋体" w:hint="default"/>
                <w:spacing w:val="-17"/>
                <w:sz w:val="21"/>
                <w:szCs w:val="21"/>
              </w:rPr>
              <w:t>金（备注</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z w:val="21"/>
                <w:szCs w:val="21"/>
              </w:rPr>
              <w:t>月，浙江金控作出承</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诺，在《一致行动人协议》到期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后，将促使子公司浙江产业基金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与财通证券续签该协议，协议有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效期至不早于财通证券上市后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三年的时间；同时，浙江产业基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金作出承诺，在《一致行动人协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议》到期后，将与财通证券续签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该协议，协议有效期至不早于财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通证券上市后三年的时间。</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6"/>
              <w:ind w:left="103" w:right="107"/>
              <w:jc w:val="left"/>
              <w:rPr>
                <w:rFonts w:ascii="宋体" w:hAnsi="宋体" w:cs="宋体" w:eastAsia="宋体" w:hint="default"/>
                <w:sz w:val="21"/>
                <w:szCs w:val="21"/>
              </w:rPr>
            </w:pPr>
            <w:r>
              <w:rPr>
                <w:rFonts w:ascii="宋体" w:hAnsi="宋体" w:cs="宋体" w:eastAsia="宋体" w:hint="default"/>
                <w:sz w:val="21"/>
                <w:szCs w:val="21"/>
              </w:rPr>
              <w:t>上市后</w:t>
            </w:r>
            <w:r>
              <w:rPr>
                <w:rFonts w:ascii="宋体" w:hAnsi="宋体" w:cs="宋体" w:eastAsia="宋体" w:hint="default"/>
                <w:spacing w:val="-102"/>
                <w:sz w:val="21"/>
                <w:szCs w:val="21"/>
              </w:rPr>
              <w:t> </w:t>
            </w:r>
            <w:r>
              <w:rPr>
                <w:rFonts w:ascii="宋体" w:hAnsi="宋体" w:cs="宋体" w:eastAsia="宋体" w:hint="default"/>
                <w:sz w:val="21"/>
                <w:szCs w:val="21"/>
              </w:rPr>
              <w:t>三年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r>
      <w:tr>
        <w:trPr>
          <w:trHeight w:val="191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76"/>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天堂硅</w:t>
            </w:r>
          </w:p>
          <w:p>
            <w:pPr>
              <w:pStyle w:val="TableParagraph"/>
              <w:spacing w:line="237" w:lineRule="auto"/>
              <w:ind w:left="103" w:right="36" w:hanging="63"/>
              <w:jc w:val="center"/>
              <w:rPr>
                <w:rFonts w:ascii="宋体" w:hAnsi="宋体" w:cs="宋体" w:eastAsia="宋体" w:hint="default"/>
                <w:sz w:val="21"/>
                <w:szCs w:val="21"/>
              </w:rPr>
            </w:pPr>
            <w:r>
              <w:rPr>
                <w:rFonts w:ascii="宋体" w:hAnsi="宋体" w:cs="宋体" w:eastAsia="宋体" w:hint="default"/>
                <w:spacing w:val="-17"/>
                <w:sz w:val="21"/>
                <w:szCs w:val="21"/>
              </w:rPr>
              <w:t>谷、万丰</w:t>
            </w:r>
            <w:r>
              <w:rPr>
                <w:rFonts w:ascii="宋体" w:hAnsi="宋体" w:cs="宋体" w:eastAsia="宋体" w:hint="default"/>
                <w:w w:val="100"/>
                <w:sz w:val="21"/>
                <w:szCs w:val="21"/>
              </w:rPr>
              <w:t> </w:t>
            </w:r>
            <w:r>
              <w:rPr>
                <w:rFonts w:ascii="宋体" w:hAnsi="宋体" w:cs="宋体" w:eastAsia="宋体" w:hint="default"/>
                <w:spacing w:val="-17"/>
                <w:sz w:val="21"/>
                <w:szCs w:val="21"/>
              </w:rPr>
              <w:t>锦源、杭</w:t>
            </w:r>
            <w:r>
              <w:rPr>
                <w:rFonts w:ascii="宋体" w:hAnsi="宋体" w:cs="宋体" w:eastAsia="宋体" w:hint="default"/>
                <w:w w:val="100"/>
                <w:sz w:val="21"/>
                <w:szCs w:val="21"/>
              </w:rPr>
              <w:t> </w:t>
            </w:r>
            <w:r>
              <w:rPr>
                <w:rFonts w:ascii="宋体" w:hAnsi="宋体" w:cs="宋体" w:eastAsia="宋体" w:hint="default"/>
                <w:sz w:val="21"/>
                <w:szCs w:val="21"/>
              </w:rPr>
              <w:t>州邮政、</w:t>
            </w:r>
            <w:r>
              <w:rPr>
                <w:rFonts w:ascii="宋体" w:hAnsi="宋体" w:cs="宋体" w:eastAsia="宋体" w:hint="default"/>
                <w:w w:val="100"/>
                <w:sz w:val="21"/>
                <w:szCs w:val="21"/>
              </w:rPr>
              <w:t> </w:t>
            </w:r>
            <w:r>
              <w:rPr>
                <w:rFonts w:ascii="宋体" w:hAnsi="宋体" w:cs="宋体" w:eastAsia="宋体" w:hint="default"/>
                <w:sz w:val="21"/>
                <w:szCs w:val="21"/>
              </w:rPr>
              <w:t>浙江中</w:t>
            </w:r>
            <w:r>
              <w:rPr>
                <w:rFonts w:ascii="宋体" w:hAnsi="宋体" w:cs="宋体" w:eastAsia="宋体" w:hint="default"/>
                <w:w w:val="100"/>
                <w:sz w:val="21"/>
                <w:szCs w:val="21"/>
              </w:rPr>
              <w:t> </w:t>
            </w:r>
            <w:r>
              <w:rPr>
                <w:rFonts w:ascii="宋体" w:hAnsi="宋体" w:cs="宋体" w:eastAsia="宋体" w:hint="default"/>
                <w:sz w:val="21"/>
                <w:szCs w:val="21"/>
              </w:rPr>
              <w:t>大等</w:t>
            </w:r>
            <w:r>
              <w:rPr>
                <w:rFonts w:ascii="宋体" w:hAnsi="宋体" w:cs="宋体" w:eastAsia="宋体" w:hint="default"/>
                <w:spacing w:val="-52"/>
                <w:sz w:val="21"/>
                <w:szCs w:val="21"/>
              </w:rPr>
              <w:t> </w:t>
            </w:r>
            <w:r>
              <w:rPr>
                <w:rFonts w:ascii="宋体" w:hAnsi="宋体" w:cs="宋体" w:eastAsia="宋体" w:hint="default"/>
                <w:spacing w:val="-3"/>
                <w:sz w:val="21"/>
                <w:szCs w:val="21"/>
              </w:rPr>
              <w:t>38</w:t>
            </w:r>
            <w:r>
              <w:rPr>
                <w:rFonts w:ascii="宋体" w:hAnsi="宋体" w:cs="宋体" w:eastAsia="宋体" w:hint="default"/>
                <w:spacing w:val="-3"/>
                <w:w w:val="100"/>
                <w:sz w:val="21"/>
                <w:szCs w:val="21"/>
              </w:rPr>
              <w:t> </w:t>
            </w:r>
            <w:r>
              <w:rPr>
                <w:rFonts w:ascii="宋体" w:hAnsi="宋体" w:cs="宋体" w:eastAsia="宋体" w:hint="default"/>
                <w:sz w:val="21"/>
                <w:szCs w:val="21"/>
              </w:rPr>
              <w:t>家法人</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68"/>
              <w:jc w:val="left"/>
              <w:rPr>
                <w:rFonts w:ascii="宋体" w:hAnsi="宋体" w:cs="宋体" w:eastAsia="宋体" w:hint="default"/>
                <w:sz w:val="21"/>
                <w:szCs w:val="21"/>
              </w:rPr>
            </w:pPr>
            <w:r>
              <w:rPr>
                <w:rFonts w:ascii="宋体" w:hAnsi="宋体" w:cs="宋体" w:eastAsia="宋体" w:hint="default"/>
                <w:sz w:val="21"/>
                <w:szCs w:val="21"/>
              </w:rPr>
              <w:t>自持有本公司股票</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个月与本</w:t>
            </w:r>
            <w:r>
              <w:rPr>
                <w:rFonts w:ascii="宋体" w:hAnsi="宋体" w:cs="宋体" w:eastAsia="宋体" w:hint="default"/>
                <w:w w:val="100"/>
                <w:sz w:val="21"/>
                <w:szCs w:val="21"/>
              </w:rPr>
              <w:t> </w:t>
            </w:r>
            <w:r>
              <w:rPr>
                <w:rFonts w:ascii="宋体" w:hAnsi="宋体" w:cs="宋体" w:eastAsia="宋体" w:hint="default"/>
                <w:sz w:val="21"/>
                <w:szCs w:val="21"/>
              </w:rPr>
              <w:t>公司股票上市之日起一年孰长</w:t>
            </w:r>
            <w:r>
              <w:rPr>
                <w:rFonts w:ascii="宋体" w:hAnsi="宋体" w:cs="宋体" w:eastAsia="宋体" w:hint="default"/>
                <w:w w:val="100"/>
                <w:sz w:val="21"/>
                <w:szCs w:val="21"/>
              </w:rPr>
              <w:t> </w:t>
            </w:r>
            <w:r>
              <w:rPr>
                <w:rFonts w:ascii="宋体" w:hAnsi="宋体" w:cs="宋体" w:eastAsia="宋体" w:hint="default"/>
                <w:spacing w:val="-2"/>
                <w:sz w:val="21"/>
                <w:szCs w:val="21"/>
              </w:rPr>
              <w:t>期限内</w:t>
            </w:r>
            <w:r>
              <w:rPr>
                <w:rFonts w:ascii="宋体" w:hAnsi="宋体" w:cs="宋体" w:eastAsia="宋体" w:hint="default"/>
                <w:spacing w:val="-2"/>
                <w:sz w:val="21"/>
                <w:szCs w:val="21"/>
              </w:rPr>
              <w:t>,</w:t>
            </w:r>
            <w:r>
              <w:rPr>
                <w:rFonts w:ascii="宋体" w:hAnsi="宋体" w:cs="宋体" w:eastAsia="宋体" w:hint="default"/>
                <w:spacing w:val="-2"/>
                <w:sz w:val="21"/>
                <w:szCs w:val="21"/>
              </w:rPr>
              <w:t>不转让或者委托他人管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理本公司已直接和间接持有的</w:t>
            </w:r>
            <w:r>
              <w:rPr>
                <w:rFonts w:ascii="宋体" w:hAnsi="宋体" w:cs="宋体" w:eastAsia="宋体" w:hint="default"/>
                <w:w w:val="100"/>
                <w:sz w:val="21"/>
                <w:szCs w:val="21"/>
              </w:rPr>
              <w:t> </w:t>
            </w:r>
            <w:r>
              <w:rPr>
                <w:rFonts w:ascii="宋体" w:hAnsi="宋体" w:cs="宋体" w:eastAsia="宋体" w:hint="default"/>
                <w:spacing w:val="-2"/>
                <w:sz w:val="21"/>
                <w:szCs w:val="21"/>
              </w:rPr>
              <w:t>本公司股票</w:t>
            </w:r>
            <w:r>
              <w:rPr>
                <w:rFonts w:ascii="宋体" w:hAnsi="宋体" w:cs="宋体" w:eastAsia="宋体" w:hint="default"/>
                <w:spacing w:val="-2"/>
                <w:sz w:val="21"/>
                <w:szCs w:val="21"/>
              </w:rPr>
              <w:t>,</w:t>
            </w:r>
            <w:r>
              <w:rPr>
                <w:rFonts w:ascii="宋体" w:hAnsi="宋体" w:cs="宋体" w:eastAsia="宋体" w:hint="default"/>
                <w:spacing w:val="-2"/>
                <w:sz w:val="21"/>
                <w:szCs w:val="21"/>
              </w:rPr>
              <w:t>也不有本公司回购</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该部分股份</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自持有</w:t>
            </w:r>
          </w:p>
          <w:p>
            <w:pPr>
              <w:pStyle w:val="TableParagraph"/>
              <w:spacing w:line="237" w:lineRule="auto"/>
              <w:ind w:left="103" w:right="107"/>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102"/>
                <w:sz w:val="21"/>
                <w:szCs w:val="21"/>
              </w:rPr>
              <w:t> </w:t>
            </w:r>
            <w:r>
              <w:rPr>
                <w:rFonts w:ascii="宋体" w:hAnsi="宋体" w:cs="宋体" w:eastAsia="宋体" w:hint="default"/>
                <w:sz w:val="21"/>
                <w:szCs w:val="21"/>
              </w:rPr>
              <w:t>股票之</w:t>
            </w:r>
            <w:r>
              <w:rPr>
                <w:rFonts w:ascii="宋体" w:hAnsi="宋体" w:cs="宋体" w:eastAsia="宋体" w:hint="default"/>
                <w:spacing w:val="-102"/>
                <w:sz w:val="21"/>
                <w:szCs w:val="21"/>
              </w:rPr>
              <w:t> </w:t>
            </w:r>
            <w:r>
              <w:rPr>
                <w:rFonts w:ascii="宋体" w:hAnsi="宋体" w:cs="宋体" w:eastAsia="宋体" w:hint="default"/>
                <w:sz w:val="21"/>
                <w:szCs w:val="21"/>
              </w:rPr>
              <w:t>日起</w:t>
            </w:r>
          </w:p>
          <w:p>
            <w:pPr>
              <w:pStyle w:val="TableParagraph"/>
              <w:spacing w:line="237" w:lineRule="auto"/>
              <w:ind w:left="103" w:right="107"/>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月与公</w:t>
            </w:r>
            <w:r>
              <w:rPr>
                <w:rFonts w:ascii="宋体" w:hAnsi="宋体" w:cs="宋体" w:eastAsia="宋体" w:hint="default"/>
                <w:spacing w:val="-102"/>
                <w:sz w:val="21"/>
                <w:szCs w:val="21"/>
              </w:rPr>
              <w:t> </w:t>
            </w:r>
            <w:r>
              <w:rPr>
                <w:rFonts w:ascii="宋体" w:hAnsi="宋体" w:cs="宋体" w:eastAsia="宋体" w:hint="default"/>
                <w:sz w:val="21"/>
                <w:szCs w:val="21"/>
              </w:rPr>
              <w:t>司股票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w:t>
            </w:r>
          </w:p>
        </w:tc>
      </w:tr>
    </w:tbl>
    <w:p>
      <w:pPr>
        <w:spacing w:after="0" w:line="240" w:lineRule="auto"/>
        <w:jc w:val="left"/>
        <w:rPr>
          <w:rFonts w:ascii="宋体" w:hAnsi="宋体" w:cs="宋体" w:eastAsia="宋体" w:hint="default"/>
          <w:sz w:val="21"/>
          <w:szCs w:val="21"/>
        </w:rPr>
        <w:sectPr>
          <w:pgSz w:w="11910" w:h="16840"/>
          <w:pgMar w:header="880" w:footer="1195" w:top="1060" w:bottom="1380" w:left="88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713"/>
        <w:gridCol w:w="708"/>
        <w:gridCol w:w="994"/>
        <w:gridCol w:w="3121"/>
        <w:gridCol w:w="854"/>
        <w:gridCol w:w="708"/>
        <w:gridCol w:w="713"/>
        <w:gridCol w:w="1126"/>
        <w:gridCol w:w="989"/>
      </w:tblGrid>
      <w:tr>
        <w:trPr>
          <w:trHeight w:val="828" w:hRule="exact"/>
        </w:trPr>
        <w:tc>
          <w:tcPr>
            <w:tcW w:w="7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1" w:right="0" w:hanging="99"/>
              <w:jc w:val="left"/>
              <w:rPr>
                <w:rFonts w:ascii="宋体" w:hAnsi="宋体" w:cs="宋体" w:eastAsia="宋体" w:hint="default"/>
                <w:sz w:val="21"/>
                <w:szCs w:val="21"/>
              </w:rPr>
            </w:pPr>
            <w:r>
              <w:rPr>
                <w:rFonts w:ascii="宋体" w:hAnsi="宋体" w:cs="宋体" w:eastAsia="宋体" w:hint="default"/>
                <w:spacing w:val="-17"/>
                <w:sz w:val="21"/>
                <w:szCs w:val="21"/>
              </w:rPr>
              <w:t>股东（备</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w:t>
            </w: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z w:val="21"/>
                <w:szCs w:val="21"/>
              </w:rPr>
              <w:t>日起一</w:t>
            </w:r>
            <w:r>
              <w:rPr>
                <w:rFonts w:ascii="宋体" w:hAnsi="宋体" w:cs="宋体" w:eastAsia="宋体" w:hint="default"/>
                <w:spacing w:val="-102"/>
                <w:sz w:val="21"/>
                <w:szCs w:val="21"/>
              </w:rPr>
              <w:t> </w:t>
            </w:r>
            <w:r>
              <w:rPr>
                <w:rFonts w:ascii="宋体" w:hAnsi="宋体" w:cs="宋体" w:eastAsia="宋体" w:hint="default"/>
                <w:sz w:val="21"/>
                <w:szCs w:val="21"/>
              </w:rPr>
              <w:t>年孰长</w:t>
            </w:r>
          </w:p>
        </w:tc>
        <w:tc>
          <w:tcPr>
            <w:tcW w:w="70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17"/>
          <w:szCs w:val="17"/>
        </w:rPr>
      </w:pPr>
    </w:p>
    <w:p>
      <w:pPr>
        <w:spacing w:before="44"/>
        <w:ind w:left="898" w:right="0" w:firstLine="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pacing w:val="-41"/>
          <w:sz w:val="18"/>
          <w:szCs w:val="18"/>
        </w:rPr>
        <w:t> </w:t>
      </w:r>
      <w:r>
        <w:rPr>
          <w:rFonts w:ascii="宋体" w:hAnsi="宋体" w:cs="宋体" w:eastAsia="宋体" w:hint="default"/>
          <w:spacing w:val="-12"/>
          <w:sz w:val="18"/>
          <w:szCs w:val="18"/>
        </w:rPr>
        <w:t>1</w:t>
      </w:r>
      <w:r>
        <w:rPr>
          <w:rFonts w:ascii="宋体" w:hAnsi="宋体" w:cs="宋体" w:eastAsia="宋体" w:hint="default"/>
          <w:spacing w:val="-12"/>
          <w:sz w:val="18"/>
          <w:szCs w:val="18"/>
        </w:rPr>
        <w:t>：原《一致行动人协议》于</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4"/>
          <w:sz w:val="18"/>
          <w:szCs w:val="18"/>
        </w:rPr>
        <w:t>日到期，因金控法定代表人缺位等原因未能及时续签协议。</w:t>
      </w:r>
      <w:r>
        <w:rPr>
          <w:rFonts w:ascii="宋体" w:hAnsi="宋体" w:cs="宋体" w:eastAsia="宋体" w:hint="default"/>
          <w:spacing w:val="-4"/>
          <w:sz w:val="18"/>
          <w:szCs w:val="18"/>
        </w:rPr>
        <w:t>2018</w:t>
      </w:r>
    </w:p>
    <w:p>
      <w:pPr>
        <w:spacing w:before="115"/>
        <w:ind w:left="538"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日期间，双方始终按原《一致行动人协议》履行。</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日，双方重新签署</w:t>
      </w:r>
    </w:p>
    <w:p>
      <w:pPr>
        <w:spacing w:before="111"/>
        <w:ind w:left="538" w:right="0" w:firstLine="0"/>
        <w:jc w:val="left"/>
        <w:rPr>
          <w:rFonts w:ascii="宋体" w:hAnsi="宋体" w:cs="宋体" w:eastAsia="宋体" w:hint="default"/>
          <w:sz w:val="21"/>
          <w:szCs w:val="21"/>
        </w:rPr>
      </w:pPr>
      <w:r>
        <w:rPr>
          <w:rFonts w:ascii="宋体" w:hAnsi="宋体" w:cs="宋体" w:eastAsia="宋体" w:hint="default"/>
          <w:sz w:val="18"/>
          <w:szCs w:val="18"/>
        </w:rPr>
        <w:t>《一致行动人协议》，协议有限期至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21"/>
          <w:szCs w:val="21"/>
        </w:rPr>
        <w:t>。</w:t>
      </w:r>
    </w:p>
    <w:p>
      <w:pPr>
        <w:spacing w:line="357" w:lineRule="auto" w:before="137"/>
        <w:ind w:left="538" w:right="0" w:firstLine="36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pacing w:val="-16"/>
          <w:sz w:val="18"/>
          <w:szCs w:val="18"/>
        </w:rPr>
        <w:t> </w:t>
      </w:r>
      <w:r>
        <w:rPr>
          <w:rFonts w:ascii="宋体" w:hAnsi="宋体" w:cs="宋体" w:eastAsia="宋体" w:hint="default"/>
          <w:spacing w:val="-6"/>
          <w:sz w:val="18"/>
          <w:szCs w:val="18"/>
        </w:rPr>
        <w:t>2</w:t>
      </w:r>
      <w:r>
        <w:rPr>
          <w:rFonts w:ascii="宋体" w:hAnsi="宋体" w:cs="宋体" w:eastAsia="宋体" w:hint="default"/>
          <w:spacing w:val="-6"/>
          <w:sz w:val="18"/>
          <w:szCs w:val="18"/>
        </w:rPr>
        <w:t>：浙江天堂硅谷银嘉创业投资合伙企业（有限合伙）、杭州万丰锦源京新股权投资合伙企业（有限合伙）、</w:t>
      </w:r>
      <w:r>
        <w:rPr>
          <w:rFonts w:ascii="宋体" w:hAnsi="宋体" w:cs="宋体" w:eastAsia="宋体" w:hint="default"/>
          <w:sz w:val="18"/>
          <w:szCs w:val="18"/>
        </w:rPr>
        <w:t> 杭州邮政科技实业有限公司、浙江中大集团投资有限公司、台州市金融投资有限责任公司、杭州恒鑫股权投资合伙 企业（有限合伙）、维科控股集团股份有限公司、浙江华联集团有限公司、苏泊尔集团有限公司、石河子睿德信财 </w:t>
      </w:r>
      <w:r>
        <w:rPr>
          <w:rFonts w:ascii="宋体" w:hAnsi="宋体" w:cs="宋体" w:eastAsia="宋体" w:hint="default"/>
          <w:spacing w:val="-3"/>
          <w:sz w:val="18"/>
          <w:szCs w:val="18"/>
        </w:rPr>
        <w:t>通股权投资合伙企业（有限合伙）、浙江省交通投资集团有限公司、绍兴柯桥明源股权投资合伙企业（有限合伙）、</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杭州富阳工贸资产经营投资集团有限公司、诸暨华睿嘉银创业投资合伙企业（有限合伙）、西藏工布江达县九盛投 资有限责任公司、浙江兴发化纤集团有限公司、浙江蓝天实业集团有限公司、嘉兴市嘉实金融控股有限公司、杭州</w:t>
      </w:r>
      <w:r>
        <w:rPr>
          <w:rFonts w:ascii="宋体" w:hAnsi="宋体" w:cs="宋体" w:eastAsia="宋体" w:hint="default"/>
          <w:sz w:val="18"/>
          <w:szCs w:val="18"/>
        </w:rPr>
        <w:t> 崇福众财投资合伙企业（有限合伙）、莱恩达集团有限公司、信雅达系统工程股份有限公司、浙江春晖集团有限公 司、回音必集团有限公司、利时集团股份有限公司、杭州港嘉实业有限公司、浙江龙柏集团有限公司、嘉兴市财茂 经济发展有限公司、蓝山投资有限公司、荣怀集团有限公司、温州市财务开发有限公司、浙江省茶叶集团股份有限 公司、浙江黄岩财务开发公司、兰溪市兴业工贸有限责任公司、玉环市财务开发公司、宁波禾元控股有限公司、海 宁金融投资有限公司、淳安千岛湖建设集团有限公司、江山市国有资产经营公司。</w:t>
      </w:r>
    </w:p>
    <w:p>
      <w:pPr>
        <w:pStyle w:val="Heading5"/>
        <w:spacing w:line="290" w:lineRule="auto" w:before="85"/>
        <w:ind w:left="538" w:right="145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3"/>
        </w:rPr>
        <w:t> </w:t>
      </w:r>
      <w:r>
        <w:rPr/>
        <w:t>公司资产或项目存在盈利预测，且报告期仍处在盈利预测期间，公司就资产或项目</w:t>
      </w:r>
      <w:r>
        <w:rPr>
          <w:w w:val="100"/>
        </w:rPr>
        <w:t> </w:t>
      </w:r>
      <w:r>
        <w:rPr/>
        <w:t>是否达到原盈利预测及其原因作出说明</w:t>
      </w:r>
      <w:r>
        <w:rPr>
          <w:b w:val="0"/>
          <w:bCs w:val="0"/>
        </w:rPr>
      </w:r>
    </w:p>
    <w:p>
      <w:pPr>
        <w:pStyle w:val="BodyText"/>
        <w:spacing w:line="229" w:lineRule="exact"/>
        <w:ind w:left="538" w:right="0"/>
        <w:jc w:val="left"/>
      </w:pPr>
      <w:r>
        <w:rPr/>
        <w:t>□已达到□未达到</w:t>
      </w:r>
      <w:r>
        <w:rPr>
          <w:spacing w:val="5"/>
        </w:rPr>
        <w:t> </w:t>
      </w:r>
      <w:r>
        <w:rPr>
          <w:spacing w:val="-3"/>
        </w:rPr>
        <w:t>√不适用</w:t>
      </w:r>
      <w:r>
        <w:rPr/>
      </w:r>
    </w:p>
    <w:p>
      <w:pPr>
        <w:spacing w:line="240" w:lineRule="auto" w:before="0"/>
        <w:rPr>
          <w:rFonts w:ascii="宋体" w:hAnsi="宋体" w:cs="宋体" w:eastAsia="宋体" w:hint="default"/>
          <w:sz w:val="25"/>
          <w:szCs w:val="25"/>
        </w:rPr>
      </w:pPr>
    </w:p>
    <w:p>
      <w:pPr>
        <w:pStyle w:val="Heading5"/>
        <w:spacing w:line="240" w:lineRule="auto"/>
        <w:ind w:left="538"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6"/>
        </w:rPr>
        <w:t> </w:t>
      </w:r>
      <w:r>
        <w:rPr/>
        <w:t>业绩承诺的完成情况及其对商誉减值测试的影响</w:t>
      </w:r>
      <w:r>
        <w:rPr>
          <w:b w:val="0"/>
          <w:bCs w:val="0"/>
        </w:rPr>
      </w:r>
    </w:p>
    <w:p>
      <w:pPr>
        <w:pStyle w:val="BodyText"/>
        <w:spacing w:line="240" w:lineRule="auto" w:before="58"/>
        <w:ind w:left="538" w:right="0"/>
        <w:jc w:val="left"/>
      </w:pPr>
      <w:r>
        <w:rPr/>
        <w:t>□适用√不适用</w:t>
      </w:r>
    </w:p>
    <w:p>
      <w:pPr>
        <w:spacing w:line="240" w:lineRule="auto" w:before="2"/>
        <w:rPr>
          <w:rFonts w:ascii="宋体" w:hAnsi="宋体" w:cs="宋体" w:eastAsia="宋体" w:hint="default"/>
          <w:sz w:val="28"/>
          <w:szCs w:val="28"/>
        </w:rPr>
      </w:pPr>
    </w:p>
    <w:p>
      <w:pPr>
        <w:pStyle w:val="Heading5"/>
        <w:spacing w:line="240" w:lineRule="auto"/>
        <w:ind w:left="538" w:right="0"/>
        <w:jc w:val="left"/>
        <w:rPr>
          <w:b w:val="0"/>
          <w:bCs w:val="0"/>
        </w:rPr>
      </w:pPr>
      <w:r>
        <w:rPr/>
        <w:t>三、报告期内资金被占用情况及清欠进展情况</w:t>
      </w:r>
      <w:r>
        <w:rPr>
          <w:b w:val="0"/>
          <w:bCs w:val="0"/>
        </w:rPr>
      </w:r>
    </w:p>
    <w:p>
      <w:pPr>
        <w:spacing w:line="290" w:lineRule="auto" w:before="58"/>
        <w:ind w:left="538" w:right="36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left="538" w:right="0"/>
        <w:jc w:val="left"/>
      </w:pPr>
      <w:r>
        <w:rPr/>
        <w:t>□适用 √不适用</w:t>
      </w:r>
    </w:p>
    <w:p>
      <w:pPr>
        <w:spacing w:line="240" w:lineRule="auto" w:before="3"/>
        <w:rPr>
          <w:rFonts w:ascii="宋体" w:hAnsi="宋体" w:cs="宋体" w:eastAsia="宋体" w:hint="default"/>
          <w:sz w:val="28"/>
          <w:szCs w:val="28"/>
        </w:rPr>
      </w:pPr>
    </w:p>
    <w:p>
      <w:pPr>
        <w:pStyle w:val="Heading5"/>
        <w:spacing w:line="240" w:lineRule="auto"/>
        <w:ind w:left="538" w:right="0"/>
        <w:jc w:val="left"/>
        <w:rPr>
          <w:b w:val="0"/>
          <w:bCs w:val="0"/>
        </w:rPr>
      </w:pPr>
      <w:r>
        <w:rPr/>
        <w:t>五、公司对会计政策、会计估计变更或重大会计差错更正的原因和影响的分析说明</w:t>
      </w:r>
      <w:r>
        <w:rPr>
          <w:b w:val="0"/>
          <w:bCs w:val="0"/>
        </w:rPr>
      </w:r>
    </w:p>
    <w:p>
      <w:pPr>
        <w:pStyle w:val="Heading5"/>
        <w:tabs>
          <w:tab w:pos="1378" w:val="left" w:leader="none"/>
        </w:tabs>
        <w:spacing w:line="240" w:lineRule="auto" w:before="56"/>
        <w:ind w:left="538" w:right="0"/>
        <w:jc w:val="left"/>
        <w:rPr>
          <w:b w:val="0"/>
          <w:bCs w:val="0"/>
        </w:rPr>
      </w:pPr>
      <w:r>
        <w:rPr/>
        <w:t>（一）</w:t>
        <w:tab/>
        <w:t>公司对会计政策、会计估计变更原因及影响的分析说明</w:t>
      </w:r>
      <w:r>
        <w:rPr>
          <w:b w:val="0"/>
          <w:bCs w:val="0"/>
        </w:rPr>
      </w:r>
    </w:p>
    <w:p>
      <w:pPr>
        <w:pStyle w:val="BodyText"/>
        <w:tabs>
          <w:tab w:pos="1381" w:val="left" w:leader="none"/>
        </w:tabs>
        <w:spacing w:line="273" w:lineRule="exact" w:before="58"/>
        <w:ind w:left="538" w:right="0"/>
        <w:jc w:val="left"/>
      </w:pPr>
      <w:r>
        <w:rPr/>
        <w:t>√适用</w:t>
        <w:tab/>
        <w:t>□不适用</w:t>
      </w:r>
    </w:p>
    <w:p>
      <w:pPr>
        <w:pStyle w:val="BodyText"/>
        <w:spacing w:line="355" w:lineRule="auto"/>
        <w:ind w:left="958" w:right="3698"/>
        <w:jc w:val="left"/>
      </w:pPr>
      <w:r>
        <w:rPr>
          <w:rFonts w:ascii="宋体" w:hAnsi="宋体" w:cs="宋体" w:eastAsia="宋体" w:hint="default"/>
        </w:rPr>
        <w:t>1.</w:t>
      </w:r>
      <w:r>
        <w:rPr>
          <w:rFonts w:ascii="宋体" w:hAnsi="宋体" w:cs="宋体" w:eastAsia="宋体" w:hint="default"/>
          <w:spacing w:val="-1"/>
        </w:rPr>
        <w:t> </w:t>
      </w:r>
      <w:r>
        <w:rPr/>
        <w:t>重要会计政策变更</w:t>
      </w:r>
      <w:r>
        <w:rPr>
          <w:w w:val="100"/>
        </w:rPr>
        <w:t> </w:t>
      </w:r>
      <w:r>
        <w:rPr>
          <w:spacing w:val="-2"/>
        </w:rPr>
        <w:t>企业会计准则变化引起的会计政策变更</w:t>
      </w:r>
    </w:p>
    <w:p>
      <w:pPr>
        <w:pStyle w:val="BodyText"/>
        <w:spacing w:line="240" w:lineRule="auto" w:before="34"/>
        <w:ind w:left="958" w:right="0"/>
        <w:jc w:val="left"/>
      </w:pPr>
      <w:r>
        <w:rPr>
          <w:rFonts w:ascii="宋体" w:hAnsi="宋体" w:cs="宋体" w:eastAsia="宋体" w:hint="default"/>
        </w:rPr>
        <w:t>(1) </w:t>
      </w:r>
      <w:r>
        <w:rPr>
          <w:spacing w:val="-6"/>
        </w:rPr>
        <w:t>本公司参照《财政部关于修订印发 </w:t>
      </w:r>
      <w:r>
        <w:rPr>
          <w:rFonts w:ascii="宋体" w:hAnsi="宋体" w:cs="宋体" w:eastAsia="宋体" w:hint="default"/>
        </w:rPr>
        <w:t>2018</w:t>
      </w:r>
      <w:r>
        <w:rPr>
          <w:rFonts w:ascii="宋体" w:hAnsi="宋体" w:cs="宋体" w:eastAsia="宋体" w:hint="default"/>
          <w:spacing w:val="-39"/>
        </w:rPr>
        <w:t> </w:t>
      </w:r>
      <w:r>
        <w:rPr>
          <w:spacing w:val="-6"/>
        </w:rPr>
        <w:t>年度一般企业财务报表格式的通知》</w:t>
      </w:r>
      <w:r>
        <w:rPr>
          <w:rFonts w:ascii="宋体" w:hAnsi="宋体" w:cs="宋体" w:eastAsia="宋体" w:hint="default"/>
          <w:spacing w:val="-6"/>
        </w:rPr>
        <w:t>(</w:t>
      </w:r>
      <w:r>
        <w:rPr>
          <w:spacing w:val="-6"/>
        </w:rPr>
        <w:t>财会〔</w:t>
      </w:r>
      <w:r>
        <w:rPr>
          <w:rFonts w:ascii="宋体" w:hAnsi="宋体" w:cs="宋体" w:eastAsia="宋体" w:hint="default"/>
          <w:spacing w:val="-6"/>
        </w:rPr>
        <w:t>2018</w:t>
      </w:r>
      <w:r>
        <w:rPr>
          <w:spacing w:val="-6"/>
        </w:rPr>
        <w:t>〕</w:t>
      </w:r>
    </w:p>
    <w:p>
      <w:pPr>
        <w:pStyle w:val="BodyText"/>
        <w:spacing w:line="240" w:lineRule="auto" w:before="133"/>
        <w:ind w:left="538" w:right="0"/>
        <w:jc w:val="left"/>
      </w:pPr>
      <w:r>
        <w:rPr>
          <w:rFonts w:ascii="宋体" w:hAnsi="宋体" w:cs="宋体" w:eastAsia="宋体" w:hint="default"/>
          <w:w w:val="100"/>
        </w:rPr>
        <w:t>15</w:t>
      </w:r>
      <w:r>
        <w:rPr>
          <w:rFonts w:ascii="宋体" w:hAnsi="宋体" w:cs="宋体" w:eastAsia="宋体" w:hint="default"/>
          <w:spacing w:val="-57"/>
        </w:rPr>
        <w:t> </w:t>
      </w:r>
      <w:r>
        <w:rPr>
          <w:w w:val="100"/>
        </w:rPr>
        <w:t>号</w:t>
      </w:r>
      <w:r>
        <w:rPr>
          <w:rFonts w:ascii="宋体" w:hAnsi="宋体" w:cs="宋体" w:eastAsia="宋体" w:hint="default"/>
          <w:w w:val="100"/>
        </w:rPr>
        <w:t>)</w:t>
      </w:r>
      <w:r>
        <w:rPr>
          <w:spacing w:val="-3"/>
          <w:w w:val="100"/>
        </w:rPr>
        <w:t>及</w:t>
      </w:r>
      <w:r>
        <w:rPr>
          <w:w w:val="100"/>
        </w:rPr>
        <w:t>其</w:t>
      </w:r>
      <w:r>
        <w:rPr>
          <w:spacing w:val="-3"/>
          <w:w w:val="100"/>
        </w:rPr>
        <w:t>解</w:t>
      </w:r>
      <w:r>
        <w:rPr>
          <w:w w:val="100"/>
        </w:rPr>
        <w:t>读</w:t>
      </w:r>
      <w:r>
        <w:rPr>
          <w:spacing w:val="-3"/>
          <w:w w:val="100"/>
        </w:rPr>
        <w:t>和</w:t>
      </w:r>
      <w:r>
        <w:rPr>
          <w:w w:val="100"/>
        </w:rPr>
        <w:t>企</w:t>
      </w:r>
      <w:r>
        <w:rPr>
          <w:spacing w:val="-3"/>
          <w:w w:val="100"/>
        </w:rPr>
        <w:t>业会</w:t>
      </w:r>
      <w:r>
        <w:rPr>
          <w:w w:val="100"/>
        </w:rPr>
        <w:t>计准</w:t>
      </w:r>
      <w:r>
        <w:rPr>
          <w:spacing w:val="-3"/>
          <w:w w:val="100"/>
        </w:rPr>
        <w:t>则</w:t>
      </w:r>
      <w:r>
        <w:rPr>
          <w:w w:val="100"/>
        </w:rPr>
        <w:t>的</w:t>
      </w:r>
      <w:r>
        <w:rPr>
          <w:spacing w:val="-3"/>
          <w:w w:val="100"/>
        </w:rPr>
        <w:t>要</w:t>
      </w:r>
      <w:r>
        <w:rPr>
          <w:w w:val="100"/>
        </w:rPr>
        <w:t>求</w:t>
      </w:r>
      <w:r>
        <w:rPr>
          <w:spacing w:val="-3"/>
          <w:w w:val="100"/>
        </w:rPr>
        <w:t>编</w:t>
      </w:r>
      <w:r>
        <w:rPr>
          <w:w w:val="100"/>
        </w:rPr>
        <w:t>制</w:t>
      </w:r>
      <w:r>
        <w:rPr>
          <w:spacing w:val="-58"/>
        </w:rPr>
        <w:t> </w:t>
      </w:r>
      <w:r>
        <w:rPr>
          <w:rFonts w:ascii="宋体" w:hAnsi="宋体" w:cs="宋体" w:eastAsia="宋体" w:hint="default"/>
          <w:w w:val="100"/>
        </w:rPr>
        <w:t>2018</w:t>
      </w:r>
      <w:r>
        <w:rPr>
          <w:rFonts w:ascii="宋体" w:hAnsi="宋体" w:cs="宋体" w:eastAsia="宋体" w:hint="default"/>
          <w:spacing w:val="-60"/>
        </w:rPr>
        <w:t> </w:t>
      </w:r>
      <w:r>
        <w:rPr>
          <w:spacing w:val="-3"/>
          <w:w w:val="100"/>
        </w:rPr>
        <w:t>年</w:t>
      </w:r>
      <w:r>
        <w:rPr>
          <w:w w:val="100"/>
        </w:rPr>
        <w:t>度财</w:t>
      </w:r>
      <w:r>
        <w:rPr>
          <w:spacing w:val="-3"/>
          <w:w w:val="100"/>
        </w:rPr>
        <w:t>务</w:t>
      </w:r>
      <w:r>
        <w:rPr>
          <w:w w:val="100"/>
        </w:rPr>
        <w:t>报</w:t>
      </w:r>
      <w:r>
        <w:rPr>
          <w:spacing w:val="-3"/>
          <w:w w:val="100"/>
        </w:rPr>
        <w:t>表</w:t>
      </w:r>
      <w:r>
        <w:rPr>
          <w:spacing w:val="-106"/>
          <w:w w:val="100"/>
        </w:rPr>
        <w:t>，</w:t>
      </w:r>
      <w:r>
        <w:rPr>
          <w:spacing w:val="-3"/>
          <w:w w:val="100"/>
        </w:rPr>
        <w:t>此</w:t>
      </w:r>
      <w:r>
        <w:rPr>
          <w:w w:val="100"/>
        </w:rPr>
        <w:t>项</w:t>
      </w:r>
      <w:r>
        <w:rPr>
          <w:spacing w:val="-3"/>
          <w:w w:val="100"/>
        </w:rPr>
        <w:t>会</w:t>
      </w:r>
      <w:r>
        <w:rPr>
          <w:w w:val="100"/>
        </w:rPr>
        <w:t>计</w:t>
      </w:r>
      <w:r>
        <w:rPr>
          <w:spacing w:val="-3"/>
          <w:w w:val="100"/>
        </w:rPr>
        <w:t>政策</w:t>
      </w:r>
      <w:r>
        <w:rPr>
          <w:w w:val="100"/>
        </w:rPr>
        <w:t>变更</w:t>
      </w:r>
      <w:r>
        <w:rPr>
          <w:spacing w:val="-3"/>
          <w:w w:val="100"/>
        </w:rPr>
        <w:t>采</w:t>
      </w:r>
      <w:r>
        <w:rPr>
          <w:w w:val="100"/>
        </w:rPr>
        <w:t>用</w:t>
      </w:r>
      <w:r>
        <w:rPr>
          <w:spacing w:val="-3"/>
          <w:w w:val="100"/>
        </w:rPr>
        <w:t>追</w:t>
      </w:r>
      <w:r>
        <w:rPr>
          <w:w w:val="100"/>
        </w:rPr>
        <w:t>溯</w:t>
      </w:r>
      <w:r>
        <w:rPr>
          <w:spacing w:val="-3"/>
          <w:w w:val="100"/>
        </w:rPr>
        <w:t>调</w:t>
      </w:r>
      <w:r>
        <w:rPr>
          <w:w w:val="100"/>
        </w:rPr>
        <w:t>整</w:t>
      </w:r>
      <w:r>
        <w:rPr>
          <w:spacing w:val="-3"/>
          <w:w w:val="100"/>
        </w:rPr>
        <w:t>法</w:t>
      </w:r>
      <w:r>
        <w:rPr>
          <w:w w:val="100"/>
        </w:rPr>
        <w:t>，</w:t>
      </w:r>
    </w:p>
    <w:p>
      <w:pPr>
        <w:pStyle w:val="BodyText"/>
        <w:spacing w:line="240" w:lineRule="auto" w:before="133"/>
        <w:ind w:left="538" w:right="0"/>
        <w:jc w:val="left"/>
      </w:pPr>
      <w:r>
        <w:rPr/>
        <w:t>本次变更将 </w:t>
      </w:r>
      <w:r>
        <w:rPr>
          <w:rFonts w:ascii="宋体" w:hAnsi="宋体" w:cs="宋体" w:eastAsia="宋体" w:hint="default"/>
        </w:rPr>
        <w:t>2018</w:t>
      </w:r>
      <w:r>
        <w:rPr>
          <w:rFonts w:ascii="宋体" w:hAnsi="宋体" w:cs="宋体" w:eastAsia="宋体" w:hint="default"/>
          <w:spacing w:val="-33"/>
        </w:rPr>
        <w:t> </w:t>
      </w:r>
      <w:r>
        <w:rPr>
          <w:spacing w:val="-4"/>
        </w:rPr>
        <w:t>年可比报表中收到的个税手续费返还从营业外收入调整至其他收益，相应调增其他</w:t>
      </w:r>
    </w:p>
    <w:p>
      <w:pPr>
        <w:pStyle w:val="BodyText"/>
        <w:spacing w:line="240" w:lineRule="auto" w:before="133"/>
        <w:ind w:left="538" w:right="0"/>
        <w:jc w:val="left"/>
      </w:pPr>
      <w:r>
        <w:rPr/>
        <w:t>收益</w:t>
      </w:r>
      <w:r>
        <w:rPr>
          <w:spacing w:val="-54"/>
        </w:rPr>
        <w:t> </w:t>
      </w:r>
      <w:r>
        <w:rPr>
          <w:rFonts w:ascii="宋体" w:hAnsi="宋体" w:cs="宋体" w:eastAsia="宋体" w:hint="default"/>
        </w:rPr>
        <w:t>5,333,100.70</w:t>
      </w:r>
      <w:r>
        <w:rPr>
          <w:rFonts w:ascii="宋体" w:hAnsi="宋体" w:cs="宋体" w:eastAsia="宋体" w:hint="default"/>
          <w:spacing w:val="-56"/>
        </w:rPr>
        <w:t> </w:t>
      </w:r>
      <w:r>
        <w:rPr/>
        <w:t>元，调减营业外收入</w:t>
      </w:r>
      <w:r>
        <w:rPr>
          <w:spacing w:val="-53"/>
        </w:rPr>
        <w:t> </w:t>
      </w:r>
      <w:r>
        <w:rPr>
          <w:rFonts w:ascii="宋体" w:hAnsi="宋体" w:cs="宋体" w:eastAsia="宋体" w:hint="default"/>
        </w:rPr>
        <w:t>5,333,100.70</w:t>
      </w:r>
      <w:r>
        <w:rPr>
          <w:rFonts w:ascii="宋体" w:hAnsi="宋体" w:cs="宋体" w:eastAsia="宋体" w:hint="default"/>
          <w:spacing w:val="-54"/>
        </w:rPr>
        <w:t> </w:t>
      </w:r>
      <w:r>
        <w:rPr>
          <w:spacing w:val="-3"/>
        </w:rPr>
        <w:t>元。</w:t>
      </w:r>
      <w:r>
        <w:rPr/>
      </w:r>
    </w:p>
    <w:p>
      <w:pPr>
        <w:spacing w:after="0" w:line="240" w:lineRule="auto"/>
        <w:jc w:val="left"/>
        <w:sectPr>
          <w:footerReference w:type="default" r:id="rId25"/>
          <w:pgSz w:w="11910" w:h="16840"/>
          <w:pgMar w:footer="1195" w:header="880" w:top="1060" w:bottom="1380" w:left="880" w:right="860"/>
        </w:sectPr>
      </w:pPr>
    </w:p>
    <w:p>
      <w:pPr>
        <w:spacing w:line="240" w:lineRule="auto" w:before="8"/>
        <w:rPr>
          <w:rFonts w:ascii="宋体" w:hAnsi="宋体" w:cs="宋体" w:eastAsia="宋体" w:hint="default"/>
          <w:sz w:val="28"/>
          <w:szCs w:val="28"/>
        </w:rPr>
      </w:pPr>
    </w:p>
    <w:p>
      <w:pPr>
        <w:pStyle w:val="BodyText"/>
        <w:spacing w:line="240" w:lineRule="auto" w:before="36"/>
        <w:ind w:left="638" w:right="103"/>
        <w:jc w:val="left"/>
      </w:pPr>
      <w:r>
        <w:rPr>
          <w:rFonts w:ascii="宋体" w:hAnsi="宋体" w:cs="宋体" w:eastAsia="宋体" w:hint="default"/>
        </w:rPr>
        <w:t>(2)</w:t>
      </w:r>
      <w:r>
        <w:rPr>
          <w:rFonts w:ascii="宋体" w:hAnsi="宋体" w:cs="宋体" w:eastAsia="宋体" w:hint="default"/>
          <w:spacing w:val="5"/>
        </w:rPr>
        <w:t> </w:t>
      </w:r>
      <w:r>
        <w:rPr/>
        <w:t>财政部于</w:t>
      </w:r>
      <w:r>
        <w:rPr>
          <w:spacing w:val="-51"/>
        </w:rPr>
        <w:t> </w:t>
      </w:r>
      <w:r>
        <w:rPr>
          <w:rFonts w:ascii="宋体" w:hAnsi="宋体" w:cs="宋体" w:eastAsia="宋体" w:hint="default"/>
        </w:rPr>
        <w:t>2017</w:t>
      </w:r>
      <w:r>
        <w:rPr>
          <w:rFonts w:ascii="宋体" w:hAnsi="宋体" w:cs="宋体" w:eastAsia="宋体" w:hint="default"/>
          <w:spacing w:val="-53"/>
        </w:rPr>
        <w:t> </w:t>
      </w:r>
      <w:r>
        <w:rPr>
          <w:spacing w:val="-6"/>
        </w:rPr>
        <w:t>年颁布了《企业会计准则解释第</w:t>
      </w:r>
      <w:r>
        <w:rPr>
          <w:spacing w:val="-53"/>
        </w:rPr>
        <w:t> </w:t>
      </w:r>
      <w:r>
        <w:rPr>
          <w:rFonts w:ascii="宋体" w:hAnsi="宋体" w:cs="宋体" w:eastAsia="宋体" w:hint="default"/>
        </w:rPr>
        <w:t>9</w:t>
      </w:r>
      <w:r>
        <w:rPr>
          <w:rFonts w:ascii="宋体" w:hAnsi="宋体" w:cs="宋体" w:eastAsia="宋体" w:hint="default"/>
          <w:spacing w:val="-51"/>
        </w:rPr>
        <w:t> </w:t>
      </w:r>
      <w:r>
        <w:rPr/>
        <w:t>号——关于权益法下投资净损失的会计处</w:t>
      </w:r>
    </w:p>
    <w:p>
      <w:pPr>
        <w:pStyle w:val="BodyText"/>
        <w:spacing w:line="240" w:lineRule="auto" w:before="135"/>
        <w:ind w:left="218" w:right="0"/>
        <w:jc w:val="both"/>
      </w:pPr>
      <w:r>
        <w:rPr>
          <w:spacing w:val="-4"/>
        </w:rPr>
        <w:t>理》、《企业会计准则解释第 </w:t>
      </w:r>
      <w:r>
        <w:rPr>
          <w:rFonts w:ascii="宋体" w:hAnsi="宋体" w:cs="宋体" w:eastAsia="宋体" w:hint="default"/>
        </w:rPr>
        <w:t>10</w:t>
      </w:r>
      <w:r>
        <w:rPr>
          <w:rFonts w:ascii="宋体" w:hAnsi="宋体" w:cs="宋体" w:eastAsia="宋体" w:hint="default"/>
          <w:spacing w:val="-38"/>
        </w:rPr>
        <w:t> </w:t>
      </w:r>
      <w:r>
        <w:rPr>
          <w:spacing w:val="-3"/>
        </w:rPr>
        <w:t>号——关于以使用固定资产产生的收入为基础的折旧方法》、《企</w:t>
      </w:r>
    </w:p>
    <w:p>
      <w:pPr>
        <w:pStyle w:val="BodyText"/>
        <w:spacing w:line="240" w:lineRule="auto" w:before="133"/>
        <w:ind w:left="218" w:right="0"/>
        <w:jc w:val="both"/>
      </w:pPr>
      <w:r>
        <w:rPr/>
        <w:t>业会计准则解释第 </w:t>
      </w:r>
      <w:r>
        <w:rPr>
          <w:rFonts w:ascii="宋体" w:hAnsi="宋体" w:cs="宋体" w:eastAsia="宋体" w:hint="default"/>
        </w:rPr>
        <w:t>11</w:t>
      </w:r>
      <w:r>
        <w:rPr>
          <w:rFonts w:ascii="宋体" w:hAnsi="宋体" w:cs="宋体" w:eastAsia="宋体" w:hint="default"/>
          <w:spacing w:val="-42"/>
        </w:rPr>
        <w:t> </w:t>
      </w:r>
      <w:r>
        <w:rPr>
          <w:spacing w:val="-4"/>
        </w:rPr>
        <w:t>号——关于以使用无形资产产生的收入为基础的摊销方法》及《企业会计准则</w:t>
      </w:r>
    </w:p>
    <w:p>
      <w:pPr>
        <w:pStyle w:val="BodyText"/>
        <w:spacing w:line="355" w:lineRule="auto" w:before="133"/>
        <w:ind w:left="218" w:right="303"/>
        <w:jc w:val="both"/>
      </w:pPr>
      <w:r>
        <w:rPr/>
        <w:t>解释第</w:t>
      </w:r>
      <w:r>
        <w:rPr>
          <w:spacing w:val="-54"/>
        </w:rPr>
        <w:t> </w:t>
      </w:r>
      <w:r>
        <w:rPr>
          <w:rFonts w:ascii="宋体" w:hAnsi="宋体" w:cs="宋体" w:eastAsia="宋体" w:hint="default"/>
        </w:rPr>
        <w:t>12</w:t>
      </w:r>
      <w:r>
        <w:rPr>
          <w:rFonts w:ascii="宋体" w:hAnsi="宋体" w:cs="宋体" w:eastAsia="宋体" w:hint="default"/>
          <w:spacing w:val="-56"/>
        </w:rPr>
        <w:t> </w:t>
      </w:r>
      <w:r>
        <w:rPr/>
        <w:t>号——关于关键管理人员服务的提供方与接受方是否为关联方》。公司自</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w w:val="100"/>
        </w:rPr>
        <w:t> </w:t>
      </w:r>
      <w:r>
        <w:rPr/>
        <w:t>日起执行上述企业会计准则解释，执行上述解释对公司期初财务数据无影响。</w:t>
      </w:r>
    </w:p>
    <w:p>
      <w:pPr>
        <w:pStyle w:val="BodyText"/>
        <w:spacing w:line="357" w:lineRule="auto" w:before="32"/>
        <w:ind w:left="218" w:right="103" w:firstLine="420"/>
        <w:jc w:val="left"/>
      </w:pPr>
      <w:r>
        <w:rPr>
          <w:spacing w:val="-6"/>
        </w:rPr>
        <w:t>（</w:t>
      </w:r>
      <w:r>
        <w:rPr>
          <w:rFonts w:ascii="宋体" w:hAnsi="宋体" w:cs="宋体" w:eastAsia="宋体" w:hint="default"/>
          <w:spacing w:val="-6"/>
        </w:rPr>
        <w:t>3</w:t>
      </w:r>
      <w:r>
        <w:rPr>
          <w:spacing w:val="-6"/>
        </w:rPr>
        <w:t>）财政部于</w:t>
      </w:r>
      <w:r>
        <w:rPr>
          <w:spacing w:val="-46"/>
        </w:rPr>
        <w:t> </w:t>
      </w:r>
      <w:r>
        <w:rPr>
          <w:rFonts w:ascii="宋体" w:hAnsi="宋体" w:cs="宋体" w:eastAsia="宋体" w:hint="default"/>
        </w:rPr>
        <w:t>2017</w:t>
      </w:r>
      <w:r>
        <w:rPr>
          <w:rFonts w:ascii="宋体" w:hAnsi="宋体" w:cs="宋体" w:eastAsia="宋体" w:hint="default"/>
          <w:spacing w:val="-43"/>
        </w:rPr>
        <w:t> </w:t>
      </w:r>
      <w:r>
        <w:rPr>
          <w:spacing w:val="-4"/>
        </w:rPr>
        <w:t>年颁布了《关于印发修订</w:t>
      </w:r>
      <w:r>
        <w:rPr>
          <w:rFonts w:ascii="宋体" w:hAnsi="宋体" w:cs="宋体" w:eastAsia="宋体" w:hint="default"/>
          <w:spacing w:val="-4"/>
        </w:rPr>
        <w:t>&lt;</w:t>
      </w:r>
      <w:r>
        <w:rPr>
          <w:spacing w:val="-4"/>
        </w:rPr>
        <w:t>企业会计准则第</w:t>
      </w:r>
      <w:r>
        <w:rPr>
          <w:spacing w:val="-43"/>
        </w:rPr>
        <w:t> </w:t>
      </w:r>
      <w:r>
        <w:rPr>
          <w:rFonts w:ascii="宋体" w:hAnsi="宋体" w:cs="宋体" w:eastAsia="宋体" w:hint="default"/>
        </w:rPr>
        <w:t>22</w:t>
      </w:r>
      <w:r>
        <w:rPr>
          <w:rFonts w:ascii="宋体" w:hAnsi="宋体" w:cs="宋体" w:eastAsia="宋体" w:hint="default"/>
          <w:spacing w:val="-46"/>
        </w:rPr>
        <w:t> </w:t>
      </w:r>
      <w:r>
        <w:rPr/>
        <w:t>号——金融工具确认和计量</w:t>
      </w:r>
      <w:r>
        <w:rPr>
          <w:rFonts w:ascii="宋体" w:hAnsi="宋体" w:cs="宋体" w:eastAsia="宋体" w:hint="default"/>
        </w:rPr>
        <w:t>&gt;</w:t>
      </w:r>
      <w:r>
        <w:rPr>
          <w:rFonts w:ascii="宋体" w:hAnsi="宋体" w:cs="宋体" w:eastAsia="宋体" w:hint="default"/>
          <w:w w:val="100"/>
        </w:rPr>
        <w:t> </w:t>
      </w:r>
      <w:r>
        <w:rPr>
          <w:spacing w:val="-11"/>
        </w:rPr>
        <w:t>的通知》（财会〔</w:t>
      </w:r>
      <w:r>
        <w:rPr>
          <w:rFonts w:ascii="宋体" w:hAnsi="宋体" w:cs="宋体" w:eastAsia="宋体" w:hint="default"/>
          <w:spacing w:val="-11"/>
        </w:rPr>
        <w:t>2017</w:t>
      </w:r>
      <w:r>
        <w:rPr>
          <w:spacing w:val="-11"/>
        </w:rPr>
        <w:t>〕</w:t>
      </w:r>
      <w:r>
        <w:rPr>
          <w:rFonts w:ascii="宋体" w:hAnsi="宋体" w:cs="宋体" w:eastAsia="宋体" w:hint="default"/>
          <w:spacing w:val="-11"/>
        </w:rPr>
        <w:t>7</w:t>
      </w:r>
      <w:r>
        <w:rPr>
          <w:rFonts w:ascii="宋体" w:hAnsi="宋体" w:cs="宋体" w:eastAsia="宋体" w:hint="default"/>
          <w:spacing w:val="-39"/>
        </w:rPr>
        <w:t> </w:t>
      </w:r>
      <w:r>
        <w:rPr>
          <w:spacing w:val="-7"/>
        </w:rPr>
        <w:t>号）、《关于印发修订</w:t>
      </w:r>
      <w:r>
        <w:rPr>
          <w:rFonts w:ascii="宋体" w:hAnsi="宋体" w:cs="宋体" w:eastAsia="宋体" w:hint="default"/>
          <w:spacing w:val="-7"/>
        </w:rPr>
        <w:t>&lt;</w:t>
      </w:r>
      <w:r>
        <w:rPr>
          <w:spacing w:val="-7"/>
        </w:rPr>
        <w:t>企业会计准则第</w:t>
      </w:r>
      <w:r>
        <w:rPr>
          <w:spacing w:val="-36"/>
        </w:rPr>
        <w:t> </w:t>
      </w:r>
      <w:r>
        <w:rPr>
          <w:rFonts w:ascii="宋体" w:hAnsi="宋体" w:cs="宋体" w:eastAsia="宋体" w:hint="default"/>
        </w:rPr>
        <w:t>23</w:t>
      </w:r>
      <w:r>
        <w:rPr>
          <w:rFonts w:ascii="宋体" w:hAnsi="宋体" w:cs="宋体" w:eastAsia="宋体" w:hint="default"/>
          <w:spacing w:val="-36"/>
        </w:rPr>
        <w:t> </w:t>
      </w:r>
      <w:r>
        <w:rPr/>
        <w:t>号——金融资产转移</w:t>
      </w:r>
      <w:r>
        <w:rPr>
          <w:rFonts w:ascii="宋体" w:hAnsi="宋体" w:cs="宋体" w:eastAsia="宋体" w:hint="default"/>
        </w:rPr>
        <w:t>&gt;</w:t>
      </w:r>
      <w:r>
        <w:rPr/>
        <w:t>的通知》</w:t>
      </w:r>
    </w:p>
    <w:p>
      <w:pPr>
        <w:pStyle w:val="BodyText"/>
        <w:spacing w:line="357" w:lineRule="auto" w:before="30"/>
        <w:ind w:left="218" w:right="103"/>
        <w:jc w:val="left"/>
      </w:pPr>
      <w:r>
        <w:rPr>
          <w:spacing w:val="-12"/>
          <w:w w:val="100"/>
        </w:rPr>
        <w:t>（财会〔</w:t>
      </w:r>
      <w:r>
        <w:rPr>
          <w:rFonts w:ascii="宋体" w:hAnsi="宋体" w:cs="宋体" w:eastAsia="宋体" w:hint="default"/>
          <w:spacing w:val="-12"/>
          <w:w w:val="100"/>
        </w:rPr>
        <w:t>2017</w:t>
      </w:r>
      <w:r>
        <w:rPr>
          <w:spacing w:val="-12"/>
          <w:w w:val="100"/>
        </w:rPr>
        <w:t>〕</w:t>
      </w:r>
      <w:r>
        <w:rPr>
          <w:rFonts w:ascii="宋体" w:hAnsi="宋体" w:cs="宋体" w:eastAsia="宋体" w:hint="default"/>
          <w:spacing w:val="-12"/>
          <w:w w:val="100"/>
        </w:rPr>
        <w:t>8</w:t>
      </w:r>
      <w:r>
        <w:rPr>
          <w:rFonts w:ascii="宋体" w:hAnsi="宋体" w:cs="宋体" w:eastAsia="宋体" w:hint="default"/>
          <w:spacing w:val="-42"/>
          <w:w w:val="100"/>
        </w:rPr>
        <w:t> </w:t>
      </w:r>
      <w:r>
        <w:rPr>
          <w:spacing w:val="-11"/>
          <w:w w:val="100"/>
        </w:rPr>
        <w:t>号）、《关于印发修订</w:t>
      </w:r>
      <w:r>
        <w:rPr>
          <w:rFonts w:ascii="宋体" w:hAnsi="宋体" w:cs="宋体" w:eastAsia="宋体" w:hint="default"/>
          <w:spacing w:val="-11"/>
          <w:w w:val="100"/>
        </w:rPr>
        <w:t>&lt;</w:t>
      </w:r>
      <w:r>
        <w:rPr>
          <w:spacing w:val="-11"/>
          <w:w w:val="100"/>
        </w:rPr>
        <w:t>企业会计准则第</w:t>
      </w:r>
      <w:r>
        <w:rPr>
          <w:spacing w:val="-42"/>
          <w:w w:val="100"/>
        </w:rPr>
        <w:t> </w:t>
      </w:r>
      <w:r>
        <w:rPr>
          <w:rFonts w:ascii="宋体" w:hAnsi="宋体" w:cs="宋体" w:eastAsia="宋体" w:hint="default"/>
          <w:w w:val="100"/>
        </w:rPr>
        <w:t>24</w:t>
      </w:r>
      <w:r>
        <w:rPr>
          <w:rFonts w:ascii="宋体" w:hAnsi="宋体" w:cs="宋体" w:eastAsia="宋体" w:hint="default"/>
          <w:spacing w:val="-44"/>
          <w:w w:val="100"/>
        </w:rPr>
        <w:t> </w:t>
      </w:r>
      <w:r>
        <w:rPr>
          <w:spacing w:val="-9"/>
          <w:w w:val="100"/>
        </w:rPr>
        <w:t>号——套期会计</w:t>
      </w:r>
      <w:r>
        <w:rPr>
          <w:rFonts w:ascii="宋体" w:hAnsi="宋体" w:cs="宋体" w:eastAsia="宋体" w:hint="default"/>
          <w:spacing w:val="-9"/>
          <w:w w:val="100"/>
        </w:rPr>
        <w:t>&gt;</w:t>
      </w:r>
      <w:r>
        <w:rPr>
          <w:spacing w:val="-9"/>
          <w:w w:val="100"/>
        </w:rPr>
        <w:t>的通知》（财会〔</w:t>
      </w:r>
      <w:r>
        <w:rPr>
          <w:rFonts w:ascii="宋体" w:hAnsi="宋体" w:cs="宋体" w:eastAsia="宋体" w:hint="default"/>
          <w:spacing w:val="-9"/>
          <w:w w:val="100"/>
        </w:rPr>
        <w:t>2017</w:t>
      </w:r>
      <w:r>
        <w:rPr>
          <w:spacing w:val="-9"/>
          <w:w w:val="100"/>
        </w:rPr>
        <w:t>〕</w:t>
      </w:r>
      <w:r>
        <w:rPr>
          <w:w w:val="100"/>
        </w:rPr>
        <w:t> </w:t>
      </w:r>
      <w:r>
        <w:rPr>
          <w:rFonts w:ascii="宋体" w:hAnsi="宋体" w:cs="宋体" w:eastAsia="宋体" w:hint="default"/>
        </w:rPr>
        <w:t>9</w:t>
      </w:r>
      <w:r>
        <w:rPr>
          <w:rFonts w:ascii="宋体" w:hAnsi="宋体" w:cs="宋体" w:eastAsia="宋体" w:hint="default"/>
          <w:spacing w:val="-45"/>
        </w:rPr>
        <w:t> </w:t>
      </w:r>
      <w:r>
        <w:rPr/>
        <w:t>号）和《关于印发修订</w:t>
      </w:r>
      <w:r>
        <w:rPr>
          <w:rFonts w:ascii="宋体" w:hAnsi="宋体" w:cs="宋体" w:eastAsia="宋体" w:hint="default"/>
        </w:rPr>
        <w:t>&lt;</w:t>
      </w:r>
      <w:r>
        <w:rPr/>
        <w:t>企业会计准则第</w:t>
      </w:r>
      <w:r>
        <w:rPr>
          <w:spacing w:val="-44"/>
        </w:rPr>
        <w:t> </w:t>
      </w:r>
      <w:r>
        <w:rPr>
          <w:rFonts w:ascii="宋体" w:hAnsi="宋体" w:cs="宋体" w:eastAsia="宋体" w:hint="default"/>
        </w:rPr>
        <w:t>37</w:t>
      </w:r>
      <w:r>
        <w:rPr>
          <w:rFonts w:ascii="宋体" w:hAnsi="宋体" w:cs="宋体" w:eastAsia="宋体" w:hint="default"/>
          <w:spacing w:val="-48"/>
        </w:rPr>
        <w:t> </w:t>
      </w:r>
      <w:r>
        <w:rPr/>
        <w:t>号——金融工具列报</w:t>
      </w:r>
      <w:r>
        <w:rPr>
          <w:rFonts w:ascii="宋体" w:hAnsi="宋体" w:cs="宋体" w:eastAsia="宋体" w:hint="default"/>
        </w:rPr>
        <w:t>&gt;</w:t>
      </w:r>
      <w:r>
        <w:rPr/>
        <w:t>的通知》（财会〔</w:t>
      </w:r>
      <w:r>
        <w:rPr>
          <w:rFonts w:ascii="宋体" w:hAnsi="宋体" w:cs="宋体" w:eastAsia="宋体" w:hint="default"/>
        </w:rPr>
        <w:t>2017</w:t>
      </w:r>
      <w:r>
        <w:rPr/>
        <w:t>〕</w:t>
      </w:r>
      <w:r>
        <w:rPr>
          <w:rFonts w:ascii="宋体" w:hAnsi="宋体" w:cs="宋体" w:eastAsia="宋体" w:hint="default"/>
        </w:rPr>
        <w:t>14</w:t>
      </w:r>
      <w:r>
        <w:rPr>
          <w:rFonts w:ascii="宋体" w:hAnsi="宋体" w:cs="宋体" w:eastAsia="宋体" w:hint="default"/>
          <w:spacing w:val="-42"/>
        </w:rPr>
        <w:t> </w:t>
      </w:r>
      <w:r>
        <w:rPr/>
        <w:t>号）</w:t>
      </w:r>
    </w:p>
    <w:p>
      <w:pPr>
        <w:pStyle w:val="BodyText"/>
        <w:spacing w:line="240" w:lineRule="auto" w:before="30"/>
        <w:ind w:left="218" w:right="0"/>
        <w:jc w:val="both"/>
      </w:pPr>
      <w:r>
        <w:rPr>
          <w:spacing w:val="-4"/>
        </w:rPr>
        <w:t>（以上统称“新金融工具准则”）。上述通知要求境内上市企业自</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日起执行新金融工</w:t>
      </w:r>
    </w:p>
    <w:p>
      <w:pPr>
        <w:pStyle w:val="BodyText"/>
        <w:spacing w:line="355" w:lineRule="auto" w:before="135"/>
        <w:ind w:left="218" w:right="248"/>
        <w:jc w:val="both"/>
      </w:pPr>
      <w:r>
        <w:rPr/>
        <w:t>具准则。公司于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5"/>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日召开的第二届董事会第十八次会议审议通过了《关于公司会计政</w:t>
      </w:r>
      <w:r>
        <w:rPr>
          <w:w w:val="100"/>
        </w:rPr>
        <w:t> </w:t>
      </w:r>
      <w:r>
        <w:rPr/>
        <w:t>策变更的议案》</w:t>
      </w:r>
      <w:r>
        <w:rPr>
          <w:rFonts w:ascii="宋体" w:hAnsi="宋体" w:cs="宋体" w:eastAsia="宋体" w:hint="default"/>
        </w:rPr>
        <w:t>, </w:t>
      </w:r>
      <w:r>
        <w:rPr/>
        <w:t>同意公司根据上述通知的要求对相关会计政策进行变更</w:t>
      </w:r>
      <w:r>
        <w:rPr>
          <w:rFonts w:ascii="宋体" w:hAnsi="宋体" w:cs="宋体" w:eastAsia="宋体" w:hint="default"/>
        </w:rPr>
        <w:t>,</w:t>
      </w:r>
      <w:r>
        <w:rPr>
          <w:rFonts w:ascii="宋体" w:hAnsi="宋体" w:cs="宋体" w:eastAsia="宋体" w:hint="default"/>
          <w:spacing w:val="-7"/>
        </w:rPr>
        <w:t> </w:t>
      </w:r>
      <w:r>
        <w:rPr/>
        <w:t>并按上述规定的起始日</w:t>
      </w:r>
      <w:r>
        <w:rPr>
          <w:w w:val="100"/>
        </w:rPr>
        <w:t> </w:t>
      </w:r>
      <w:r>
        <w:rPr/>
        <w:t>开始执行。新金融工具准则实施预计将对公司财务报告产生较广泛的影响。</w:t>
      </w:r>
    </w:p>
    <w:p>
      <w:pPr>
        <w:pStyle w:val="BodyText"/>
        <w:spacing w:line="240" w:lineRule="auto" w:before="32"/>
        <w:ind w:left="638" w:right="103"/>
        <w:jc w:val="left"/>
      </w:pPr>
      <w:r>
        <w:rPr>
          <w:rFonts w:ascii="宋体" w:hAnsi="宋体" w:cs="宋体" w:eastAsia="宋体" w:hint="default"/>
        </w:rPr>
        <w:t>2.</w:t>
      </w:r>
      <w:r>
        <w:rPr/>
        <w:t>重要会计估计变更</w:t>
      </w:r>
    </w:p>
    <w:p>
      <w:pPr>
        <w:pStyle w:val="BodyText"/>
        <w:spacing w:line="240" w:lineRule="auto" w:before="133"/>
        <w:ind w:left="638" w:right="103"/>
        <w:jc w:val="left"/>
      </w:pPr>
      <w:r>
        <w:rPr>
          <w:rFonts w:ascii="宋体" w:hAnsi="宋体" w:cs="宋体" w:eastAsia="宋体" w:hint="default"/>
        </w:rPr>
        <w:t>(1)</w:t>
      </w:r>
      <w:r>
        <w:rPr>
          <w:rFonts w:ascii="宋体" w:hAnsi="宋体" w:cs="宋体" w:eastAsia="宋体" w:hint="default"/>
          <w:spacing w:val="1"/>
        </w:rPr>
        <w:t> </w:t>
      </w:r>
      <w:r>
        <w:rPr/>
        <w:t>会计估计变更的内容和原因</w:t>
      </w:r>
    </w:p>
    <w:p>
      <w:pPr>
        <w:spacing w:line="240" w:lineRule="auto" w:before="13"/>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5571"/>
        <w:gridCol w:w="2319"/>
        <w:gridCol w:w="1236"/>
      </w:tblGrid>
      <w:tr>
        <w:trPr>
          <w:trHeight w:val="418" w:hRule="exact"/>
        </w:trPr>
        <w:tc>
          <w:tcPr>
            <w:tcW w:w="557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687"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236" w:type="dxa"/>
            <w:tcBorders>
              <w:top w:val="single" w:sz="4" w:space="0" w:color="000000"/>
              <w:left w:val="single" w:sz="4" w:space="0" w:color="000000"/>
              <w:bottom w:val="single" w:sz="4" w:space="0" w:color="000000"/>
              <w:right w:val="nil" w:sz="6" w:space="0" w:color="auto"/>
            </w:tcBorders>
          </w:tcPr>
          <w:p>
            <w:pPr>
              <w:pStyle w:val="TableParagraph"/>
              <w:tabs>
                <w:tab w:pos="729" w:val="left" w:leader="none"/>
              </w:tabs>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1644" w:hRule="exact"/>
        </w:trPr>
        <w:tc>
          <w:tcPr>
            <w:tcW w:w="557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z w:val="21"/>
                <w:szCs w:val="21"/>
              </w:rPr>
              <w:t>对合并范围内关联方往来，公司原按账龄分析法计提坏账</w:t>
            </w:r>
          </w:p>
          <w:p>
            <w:pPr>
              <w:pStyle w:val="TableParagraph"/>
              <w:spacing w:line="357" w:lineRule="auto" w:before="133"/>
              <w:ind w:left="122" w:right="185"/>
              <w:jc w:val="both"/>
              <w:rPr>
                <w:rFonts w:ascii="宋体" w:hAnsi="宋体" w:cs="宋体" w:eastAsia="宋体" w:hint="default"/>
                <w:sz w:val="21"/>
                <w:szCs w:val="21"/>
              </w:rPr>
            </w:pPr>
            <w:r>
              <w:rPr>
                <w:rFonts w:ascii="宋体" w:hAnsi="宋体" w:cs="宋体" w:eastAsia="宋体" w:hint="default"/>
                <w:sz w:val="21"/>
                <w:szCs w:val="21"/>
              </w:rPr>
              <w:t>准备；自</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日起，根据其未来现金流量现值</w:t>
            </w:r>
            <w:r>
              <w:rPr>
                <w:rFonts w:ascii="宋体" w:hAnsi="宋体" w:cs="宋体" w:eastAsia="宋体" w:hint="default"/>
                <w:w w:val="100"/>
                <w:sz w:val="21"/>
                <w:szCs w:val="21"/>
              </w:rPr>
              <w:t> </w:t>
            </w:r>
            <w:r>
              <w:rPr>
                <w:rFonts w:ascii="宋体" w:hAnsi="宋体" w:cs="宋体" w:eastAsia="宋体" w:hint="default"/>
                <w:spacing w:val="-2"/>
                <w:sz w:val="21"/>
                <w:szCs w:val="21"/>
              </w:rPr>
              <w:t>低于其账面价值的差额计提坏账准备。此项会计估计变更</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采用未来适用法。</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57"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本次变更已经公司第二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届董事会第十二次会议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审议通过</w:t>
            </w:r>
          </w:p>
        </w:tc>
        <w:tc>
          <w:tcPr>
            <w:tcW w:w="123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38" w:right="103"/>
        <w:jc w:val="left"/>
      </w:pPr>
      <w:r>
        <w:rPr>
          <w:rFonts w:ascii="宋体" w:hAnsi="宋体" w:cs="宋体" w:eastAsia="宋体" w:hint="default"/>
        </w:rPr>
        <w:t>(2) </w:t>
      </w:r>
      <w:r>
        <w:rPr/>
        <w:t>受影响的报表项目和金额</w:t>
      </w:r>
    </w:p>
    <w:p>
      <w:pPr>
        <w:pStyle w:val="BodyText"/>
        <w:spacing w:line="240" w:lineRule="auto" w:before="133"/>
        <w:ind w:left="638" w:right="103"/>
        <w:jc w:val="left"/>
      </w:pPr>
      <w:r>
        <w:rPr/>
        <w:t>本次会计估计变更对公司</w:t>
      </w:r>
      <w:r>
        <w:rPr>
          <w:spacing w:val="-55"/>
        </w:rPr>
        <w:t> </w:t>
      </w:r>
      <w:r>
        <w:rPr>
          <w:rFonts w:ascii="宋体" w:hAnsi="宋体" w:cs="宋体" w:eastAsia="宋体" w:hint="default"/>
        </w:rPr>
        <w:t>2018</w:t>
      </w:r>
      <w:r>
        <w:rPr>
          <w:rFonts w:ascii="宋体" w:hAnsi="宋体" w:cs="宋体" w:eastAsia="宋体" w:hint="default"/>
          <w:spacing w:val="-56"/>
        </w:rPr>
        <w:t> </w:t>
      </w:r>
      <w:r>
        <w:rPr/>
        <w:t>年度合并财务报表无影响。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tabs>
          <w:tab w:pos="1058" w:val="left" w:leader="none"/>
        </w:tabs>
        <w:spacing w:line="240" w:lineRule="auto"/>
        <w:ind w:left="218" w:right="103"/>
        <w:jc w:val="left"/>
        <w:rPr>
          <w:b w:val="0"/>
          <w:bCs w:val="0"/>
        </w:rPr>
      </w:pPr>
      <w:r>
        <w:rPr/>
        <w:t>（二）</w:t>
        <w:tab/>
        <w:t>公司对重大会计差错更正原因及影响的分析说明</w:t>
      </w:r>
      <w:r>
        <w:rPr>
          <w:b w:val="0"/>
          <w:bCs w:val="0"/>
        </w:rPr>
      </w:r>
    </w:p>
    <w:p>
      <w:pPr>
        <w:pStyle w:val="BodyText"/>
        <w:spacing w:line="240" w:lineRule="auto" w:before="59"/>
        <w:ind w:left="218" w:right="103"/>
        <w:jc w:val="left"/>
      </w:pPr>
      <w:r>
        <w:rPr/>
        <w:t>□适用 √不适用</w:t>
      </w:r>
    </w:p>
    <w:p>
      <w:pPr>
        <w:spacing w:line="240" w:lineRule="auto" w:before="2"/>
        <w:rPr>
          <w:rFonts w:ascii="宋体" w:hAnsi="宋体" w:cs="宋体" w:eastAsia="宋体" w:hint="default"/>
          <w:sz w:val="28"/>
          <w:szCs w:val="28"/>
        </w:rPr>
      </w:pPr>
    </w:p>
    <w:p>
      <w:pPr>
        <w:pStyle w:val="Heading5"/>
        <w:tabs>
          <w:tab w:pos="1058" w:val="left" w:leader="none"/>
        </w:tabs>
        <w:spacing w:line="240" w:lineRule="auto"/>
        <w:ind w:left="218" w:right="103"/>
        <w:jc w:val="left"/>
        <w:rPr>
          <w:b w:val="0"/>
          <w:bCs w:val="0"/>
        </w:rPr>
      </w:pPr>
      <w:r>
        <w:rPr/>
        <w:t>（三）</w:t>
        <w:tab/>
        <w:t>与前任会计师事务所进行的沟通情况</w:t>
      </w:r>
      <w:r>
        <w:rPr>
          <w:b w:val="0"/>
          <w:bCs w:val="0"/>
        </w:rPr>
      </w:r>
    </w:p>
    <w:p>
      <w:pPr>
        <w:pStyle w:val="BodyText"/>
        <w:spacing w:line="240" w:lineRule="auto" w:before="56"/>
        <w:ind w:left="218" w:right="103"/>
        <w:jc w:val="left"/>
      </w:pPr>
      <w:r>
        <w:rPr/>
        <w:t>□适用 √不适用</w:t>
      </w:r>
    </w:p>
    <w:p>
      <w:pPr>
        <w:spacing w:line="240" w:lineRule="auto" w:before="4"/>
        <w:rPr>
          <w:rFonts w:ascii="宋体" w:hAnsi="宋体" w:cs="宋体" w:eastAsia="宋体" w:hint="default"/>
          <w:sz w:val="28"/>
          <w:szCs w:val="28"/>
        </w:rPr>
      </w:pPr>
    </w:p>
    <w:p>
      <w:pPr>
        <w:pStyle w:val="Heading5"/>
        <w:tabs>
          <w:tab w:pos="1058" w:val="left" w:leader="none"/>
        </w:tabs>
        <w:spacing w:line="240" w:lineRule="auto"/>
        <w:ind w:left="218" w:right="103"/>
        <w:jc w:val="left"/>
        <w:rPr>
          <w:b w:val="0"/>
          <w:bCs w:val="0"/>
        </w:rPr>
      </w:pPr>
      <w:r>
        <w:rPr/>
        <w:t>（四）</w:t>
        <w:tab/>
        <w:t>其他说明</w:t>
      </w:r>
      <w:r>
        <w:rPr>
          <w:b w:val="0"/>
          <w:bCs w:val="0"/>
        </w:rPr>
      </w:r>
    </w:p>
    <w:p>
      <w:pPr>
        <w:pStyle w:val="BodyText"/>
        <w:spacing w:line="240" w:lineRule="auto" w:before="56"/>
        <w:ind w:left="218" w:right="103"/>
        <w:jc w:val="left"/>
      </w:pPr>
      <w:r>
        <w:rPr/>
        <w:t>□适用 √不适用</w:t>
      </w:r>
    </w:p>
    <w:p>
      <w:pPr>
        <w:spacing w:line="240" w:lineRule="auto" w:before="6"/>
        <w:rPr>
          <w:rFonts w:ascii="宋体" w:hAnsi="宋体" w:cs="宋体" w:eastAsia="宋体" w:hint="default"/>
          <w:sz w:val="22"/>
          <w:szCs w:val="22"/>
        </w:rPr>
      </w:pPr>
    </w:p>
    <w:p>
      <w:pPr>
        <w:pStyle w:val="Heading5"/>
        <w:spacing w:line="240" w:lineRule="auto" w:before="36"/>
        <w:ind w:left="218" w:right="103"/>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0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800,000.00</w:t>
            </w:r>
          </w:p>
        </w:tc>
      </w:tr>
    </w:tbl>
    <w:p>
      <w:pPr>
        <w:spacing w:after="0" w:line="243" w:lineRule="exact"/>
        <w:jc w:val="center"/>
        <w:rPr>
          <w:rFonts w:ascii="宋体" w:hAnsi="宋体" w:cs="宋体" w:eastAsia="宋体" w:hint="default"/>
          <w:sz w:val="21"/>
          <w:szCs w:val="21"/>
        </w:rPr>
        <w:sectPr>
          <w:footerReference w:type="default" r:id="rId26"/>
          <w:pgSz w:w="11910" w:h="16840"/>
          <w:pgMar w:footer="1195" w:header="880" w:top="1060" w:bottom="1380" w:left="1200" w:right="1200"/>
          <w:pgNumType w:start="5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3017"/>
        <w:gridCol w:w="3754"/>
        <w:gridCol w:w="2278"/>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4" w:right="0"/>
              <w:jc w:val="left"/>
              <w:rPr>
                <w:rFonts w:ascii="宋体" w:hAnsi="宋体" w:cs="宋体" w:eastAsia="宋体" w:hint="default"/>
                <w:sz w:val="21"/>
                <w:szCs w:val="21"/>
              </w:rPr>
            </w:pPr>
            <w:r>
              <w:rPr>
                <w:rFonts w:ascii="宋体"/>
                <w:sz w:val="21"/>
              </w:rPr>
              <w:t>100,000.00</w:t>
            </w:r>
          </w:p>
        </w:tc>
      </w:tr>
    </w:tbl>
    <w:p>
      <w:pPr>
        <w:spacing w:line="240" w:lineRule="auto" w:before="6"/>
        <w:rPr>
          <w:rFonts w:ascii="宋体" w:hAnsi="宋体" w:cs="宋体" w:eastAsia="宋体" w:hint="default"/>
          <w:sz w:val="18"/>
          <w:szCs w:val="18"/>
        </w:rPr>
      </w:pPr>
    </w:p>
    <w:p>
      <w:pPr>
        <w:pStyle w:val="BodyText"/>
        <w:spacing w:line="273" w:lineRule="exact" w:before="36"/>
        <w:ind w:left="218" w:right="0"/>
        <w:jc w:val="left"/>
      </w:pPr>
      <w:r>
        <w:rPr/>
        <w:t>聘任、解聘会计师事务所的情况说明</w:t>
      </w:r>
    </w:p>
    <w:p>
      <w:pPr>
        <w:pStyle w:val="BodyText"/>
        <w:spacing w:line="272" w:lineRule="exact"/>
        <w:ind w:left="218" w:right="0"/>
        <w:jc w:val="left"/>
      </w:pPr>
      <w:r>
        <w:rPr/>
        <w:t>√适用 □不适用</w:t>
      </w:r>
    </w:p>
    <w:p>
      <w:pPr>
        <w:pStyle w:val="BodyText"/>
        <w:spacing w:line="274" w:lineRule="exact"/>
        <w:ind w:left="698" w:right="0"/>
        <w:jc w:val="left"/>
      </w:pPr>
      <w:r>
        <w:rPr>
          <w:spacing w:val="-6"/>
        </w:rPr>
        <w:t>报告期内，本公司聘任天健会计师事务所（特殊普通合伙）担任公司 </w:t>
      </w:r>
      <w:r>
        <w:rPr>
          <w:rFonts w:ascii="宋体" w:hAnsi="宋体" w:cs="宋体" w:eastAsia="宋体" w:hint="default"/>
        </w:rPr>
        <w:t>2018</w:t>
      </w:r>
      <w:r>
        <w:rPr>
          <w:rFonts w:ascii="宋体" w:hAnsi="宋体" w:cs="宋体" w:eastAsia="宋体" w:hint="default"/>
          <w:spacing w:val="-56"/>
        </w:rPr>
        <w:t> </w:t>
      </w:r>
      <w:r>
        <w:rPr/>
        <w:t>年度境内审计机构。</w:t>
      </w:r>
    </w:p>
    <w:p>
      <w:pPr>
        <w:spacing w:line="240" w:lineRule="auto" w:before="7"/>
        <w:rPr>
          <w:rFonts w:ascii="宋体" w:hAnsi="宋体" w:cs="宋体" w:eastAsia="宋体" w:hint="default"/>
          <w:sz w:val="23"/>
          <w:szCs w:val="23"/>
        </w:rPr>
      </w:pPr>
    </w:p>
    <w:p>
      <w:pPr>
        <w:pStyle w:val="BodyText"/>
        <w:spacing w:line="273" w:lineRule="exact"/>
        <w:ind w:left="218" w:right="0"/>
        <w:jc w:val="left"/>
      </w:pPr>
      <w:r>
        <w:rPr/>
        <w:t>审计期间改聘会计师事务所的情况说明</w:t>
      </w:r>
    </w:p>
    <w:p>
      <w:pPr>
        <w:pStyle w:val="BodyText"/>
        <w:spacing w:line="273" w:lineRule="exact"/>
        <w:ind w:left="218" w:right="0"/>
        <w:jc w:val="left"/>
      </w:pPr>
      <w:r>
        <w:rPr/>
        <w:t>□适用 √不适用</w:t>
      </w:r>
    </w:p>
    <w:p>
      <w:pPr>
        <w:spacing w:line="240" w:lineRule="auto" w:before="5"/>
        <w:rPr>
          <w:rFonts w:ascii="宋体" w:hAnsi="宋体" w:cs="宋体" w:eastAsia="宋体" w:hint="default"/>
          <w:sz w:val="28"/>
          <w:szCs w:val="28"/>
        </w:rPr>
      </w:pPr>
    </w:p>
    <w:p>
      <w:pPr>
        <w:pStyle w:val="Heading5"/>
        <w:tabs>
          <w:tab w:pos="1058" w:val="left" w:leader="none"/>
        </w:tabs>
        <w:spacing w:line="290" w:lineRule="auto"/>
        <w:ind w:left="218" w:right="6462"/>
        <w:jc w:val="left"/>
        <w:rPr>
          <w:b w:val="0"/>
          <w:bCs w:val="0"/>
        </w:rPr>
      </w:pPr>
      <w:r>
        <w:rPr/>
        <w:t>七、面临暂停上市风险的情况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spacing w:line="240" w:lineRule="auto" w:before="14"/>
        <w:ind w:left="218" w:right="0"/>
        <w:jc w:val="left"/>
      </w:pPr>
      <w:r>
        <w:rPr/>
        <w:t>□适用 √不适用</w:t>
      </w:r>
    </w:p>
    <w:p>
      <w:pPr>
        <w:spacing w:line="240" w:lineRule="auto" w:before="3"/>
        <w:rPr>
          <w:rFonts w:ascii="宋体" w:hAnsi="宋体" w:cs="宋体" w:eastAsia="宋体" w:hint="default"/>
          <w:sz w:val="25"/>
          <w:szCs w:val="25"/>
        </w:rPr>
      </w:pPr>
    </w:p>
    <w:p>
      <w:pPr>
        <w:pStyle w:val="Heading5"/>
        <w:tabs>
          <w:tab w:pos="1058" w:val="left" w:leader="none"/>
        </w:tabs>
        <w:spacing w:line="240" w:lineRule="auto"/>
        <w:ind w:left="21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56"/>
        <w:ind w:left="21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t>八、面临终止上市的情况和原因</w:t>
      </w:r>
      <w:r>
        <w:rPr>
          <w:b w:val="0"/>
          <w:bCs w:val="0"/>
        </w:rPr>
      </w:r>
    </w:p>
    <w:p>
      <w:pPr>
        <w:pStyle w:val="BodyText"/>
        <w:spacing w:line="240" w:lineRule="auto" w:before="56"/>
        <w:ind w:left="21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t>九、破产重整相关事项</w:t>
      </w:r>
      <w:r>
        <w:rPr>
          <w:b w:val="0"/>
          <w:bCs w:val="0"/>
        </w:rPr>
      </w:r>
    </w:p>
    <w:p>
      <w:pPr>
        <w:pStyle w:val="BodyText"/>
        <w:spacing w:line="240" w:lineRule="auto" w:before="58"/>
        <w:ind w:left="218"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8" w:right="0"/>
        <w:jc w:val="left"/>
        <w:rPr>
          <w:b w:val="0"/>
          <w:bCs w:val="0"/>
        </w:rPr>
      </w:pPr>
      <w:r>
        <w:rPr/>
        <w:t>十、重大诉讼、仲裁事项</w:t>
      </w:r>
      <w:r>
        <w:rPr>
          <w:b w:val="0"/>
          <w:bCs w:val="0"/>
        </w:rPr>
      </w:r>
    </w:p>
    <w:p>
      <w:pPr>
        <w:pStyle w:val="BodyText"/>
        <w:spacing w:line="240" w:lineRule="auto" w:before="56"/>
        <w:ind w:left="218" w:right="0"/>
        <w:jc w:val="left"/>
      </w:pPr>
      <w:r>
        <w:rPr/>
        <w:t>□本年度公司有重大诉讼、仲裁事项</w:t>
      </w:r>
      <w:r>
        <w:rPr>
          <w:spacing w:val="-6"/>
        </w:rPr>
        <w:t> </w:t>
      </w:r>
      <w:r>
        <w:rPr/>
        <w:t>√本年度公司无重大诉讼、仲裁事项</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t>十一、上市公司及其董事、监事、高级管理人员、控股股东、实际控制人、收购人处罚及整改情况</w:t>
      </w:r>
      <w:r>
        <w:rPr>
          <w:b w:val="0"/>
          <w:bCs w:val="0"/>
        </w:rPr>
      </w:r>
    </w:p>
    <w:p>
      <w:pPr>
        <w:pStyle w:val="BodyText"/>
        <w:spacing w:line="240" w:lineRule="auto" w:before="58"/>
        <w:ind w:left="218"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8" w:right="0"/>
        <w:jc w:val="left"/>
        <w:rPr>
          <w:b w:val="0"/>
          <w:bCs w:val="0"/>
        </w:rPr>
      </w:pPr>
      <w:r>
        <w:rPr/>
        <w:t>十二、报告期内公司及其控股股东、实际控制人诚信状况的说明</w:t>
      </w:r>
      <w:r>
        <w:rPr>
          <w:b w:val="0"/>
          <w:bCs w:val="0"/>
        </w:rPr>
      </w:r>
    </w:p>
    <w:p>
      <w:pPr>
        <w:pStyle w:val="BodyText"/>
        <w:spacing w:line="272" w:lineRule="exact" w:before="87"/>
        <w:ind w:left="638" w:right="0" w:hanging="420"/>
        <w:jc w:val="left"/>
      </w:pPr>
      <w:r>
        <w:rPr/>
        <w:t>√适用</w:t>
      </w:r>
      <w:r>
        <w:rPr>
          <w:spacing w:val="-2"/>
        </w:rPr>
        <w:t> </w:t>
      </w:r>
      <w:r>
        <w:rPr/>
        <w:t>□不适用</w:t>
      </w:r>
      <w:r>
        <w:rPr>
          <w:spacing w:val="-103"/>
        </w:rPr>
        <w:t> </w:t>
      </w:r>
      <w:r>
        <w:rPr>
          <w:spacing w:val="-103"/>
        </w:rPr>
      </w:r>
      <w:r>
        <w:rPr>
          <w:spacing w:val="-2"/>
        </w:rPr>
        <w:t>报告期内，公司及控股股东、实际控制人诚信状况良好，不存在未履行法院生效判决、所负数</w:t>
      </w:r>
    </w:p>
    <w:p>
      <w:pPr>
        <w:pStyle w:val="BodyText"/>
        <w:spacing w:line="240" w:lineRule="auto" w:before="108"/>
        <w:ind w:left="218" w:right="0"/>
        <w:jc w:val="left"/>
      </w:pPr>
      <w:r>
        <w:rPr/>
        <w:t>额较大的债务到期未清偿等情况。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90" w:lineRule="auto"/>
        <w:ind w:left="218" w:right="167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14"/>
        <w:ind w:left="218" w:right="0"/>
        <w:jc w:val="left"/>
      </w:pPr>
      <w:r>
        <w:rPr/>
        <w:t>□适用 √不适用</w:t>
      </w:r>
    </w:p>
    <w:p>
      <w:pPr>
        <w:spacing w:line="290" w:lineRule="auto" w:before="56"/>
        <w:ind w:left="218" w:right="482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left="218" w:right="0"/>
        <w:jc w:val="left"/>
      </w:pPr>
      <w:r>
        <w:rPr/>
        <w:t>□适用 √不适用</w:t>
      </w:r>
    </w:p>
    <w:p>
      <w:pPr>
        <w:pStyle w:val="BodyText"/>
        <w:spacing w:line="273" w:lineRule="exact"/>
        <w:ind w:left="218" w:right="0"/>
        <w:jc w:val="left"/>
      </w:pPr>
      <w:r>
        <w:rPr/>
        <w:t>其他说明</w:t>
      </w:r>
    </w:p>
    <w:p>
      <w:pPr>
        <w:pStyle w:val="BodyText"/>
        <w:spacing w:line="273" w:lineRule="exact"/>
        <w:ind w:left="218" w:right="0"/>
        <w:jc w:val="left"/>
      </w:pPr>
      <w:r>
        <w:rPr/>
        <w:t>□适用 √不适用</w:t>
      </w:r>
    </w:p>
    <w:p>
      <w:pPr>
        <w:spacing w:after="0" w:line="273" w:lineRule="exact"/>
        <w:jc w:val="left"/>
        <w:sectPr>
          <w:pgSz w:w="11910" w:h="16840"/>
          <w:pgMar w:header="880" w:footer="1195" w:top="1060" w:bottom="1380" w:left="12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73" w:lineRule="exact" w:before="36"/>
        <w:ind w:right="0"/>
        <w:jc w:val="left"/>
      </w:pPr>
      <w:r>
        <w:rPr/>
        <w:t>员工持股计划情况</w:t>
      </w:r>
    </w:p>
    <w:p>
      <w:pPr>
        <w:pStyle w:val="BodyText"/>
        <w:spacing w:line="273" w:lineRule="exact"/>
        <w:ind w:right="0"/>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其他激励措施</w:t>
      </w:r>
    </w:p>
    <w:p>
      <w:pPr>
        <w:pStyle w:val="BodyText"/>
        <w:spacing w:line="274" w:lineRule="exact"/>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t>十四、重大关联交易</w:t>
      </w:r>
      <w:r>
        <w:rPr>
          <w:b w:val="0"/>
          <w:bCs w:val="0"/>
        </w:rPr>
      </w:r>
    </w:p>
    <w:p>
      <w:pPr>
        <w:pStyle w:val="Heading5"/>
        <w:tabs>
          <w:tab w:pos="978" w:val="left" w:leader="none"/>
        </w:tabs>
        <w:spacing w:line="240" w:lineRule="auto" w:before="56"/>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与日常经营相关的关联交易</w:t>
      </w:r>
      <w:r>
        <w:rPr>
          <w:b w:val="0"/>
          <w:bCs w:val="0"/>
        </w:rPr>
      </w:r>
    </w:p>
    <w:p>
      <w:pPr>
        <w:pStyle w:val="Heading5"/>
        <w:spacing w:line="240" w:lineRule="auto" w:before="58"/>
        <w:ind w:right="0"/>
        <w:jc w:val="left"/>
        <w:rPr>
          <w:b w:val="0"/>
          <w:bCs w:val="0"/>
        </w:rPr>
      </w:pPr>
      <w:r>
        <w:rPr>
          <w:rFonts w:ascii="宋体" w:hAnsi="宋体" w:cs="宋体" w:eastAsia="宋体" w:hint="default"/>
        </w:rPr>
        <w:t>1</w:t>
      </w:r>
      <w:r>
        <w:rPr/>
        <w:t>、</w:t>
      </w:r>
      <w:r>
        <w:rPr>
          <w:spacing w:val="-3"/>
        </w:rPr>
        <w:t> </w:t>
      </w:r>
      <w:r>
        <w:rPr/>
        <w:t>已在临时公告披露且后续实施无进展或变化的事项</w:t>
      </w:r>
      <w:r>
        <w:rPr>
          <w:b w:val="0"/>
          <w:bCs w:val="0"/>
        </w:rPr>
      </w:r>
    </w:p>
    <w:p>
      <w:pPr>
        <w:pStyle w:val="BodyText"/>
        <w:spacing w:line="240" w:lineRule="auto" w:before="56"/>
        <w:ind w:right="0"/>
        <w:jc w:val="left"/>
      </w:pPr>
      <w:r>
        <w:rPr/>
        <w:t>□适用 √不适用</w:t>
      </w:r>
    </w:p>
    <w:p>
      <w:pPr>
        <w:pStyle w:val="Heading5"/>
        <w:spacing w:line="240" w:lineRule="auto" w:before="59"/>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138" w:right="518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5"/>
        <w:spacing w:line="240" w:lineRule="auto" w:before="14"/>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t>□适用 √不适用</w:t>
      </w:r>
    </w:p>
    <w:p>
      <w:pPr>
        <w:pStyle w:val="Heading5"/>
        <w:spacing w:line="240" w:lineRule="auto" w:before="5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5"/>
        <w:spacing w:line="240" w:lineRule="auto"/>
        <w:ind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6"/>
        <w:ind w:right="0"/>
        <w:jc w:val="left"/>
      </w:pPr>
      <w:r>
        <w:rPr/>
        <w:t>□适用 √不适用</w:t>
      </w:r>
    </w:p>
    <w:p>
      <w:pPr>
        <w:spacing w:line="240" w:lineRule="auto" w:before="4"/>
        <w:rPr>
          <w:rFonts w:ascii="宋体" w:hAnsi="宋体" w:cs="宋体" w:eastAsia="宋体" w:hint="default"/>
          <w:sz w:val="28"/>
          <w:szCs w:val="28"/>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共同对外投资的重大关联交易</w:t>
      </w:r>
      <w:r>
        <w:rPr>
          <w:b w:val="0"/>
          <w:bCs w:val="0"/>
        </w:rPr>
      </w:r>
    </w:p>
    <w:p>
      <w:pPr>
        <w:pStyle w:val="Heading5"/>
        <w:spacing w:line="240" w:lineRule="auto" w:before="56"/>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right="0"/>
        <w:jc w:val="left"/>
      </w:pPr>
      <w:r>
        <w:rPr/>
        <w:t>□适用 √不适用</w:t>
      </w:r>
    </w:p>
    <w:p>
      <w:pPr>
        <w:pStyle w:val="Heading5"/>
        <w:spacing w:line="240" w:lineRule="auto" w:before="5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关联债权债务往来</w:t>
      </w:r>
      <w:r>
        <w:rPr>
          <w:b w:val="0"/>
          <w:bCs w:val="0"/>
        </w:rPr>
      </w:r>
    </w:p>
    <w:p>
      <w:pPr>
        <w:pStyle w:val="Heading5"/>
        <w:spacing w:line="240" w:lineRule="auto" w:before="56"/>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left"/>
      </w:pPr>
      <w:r>
        <w:rPr/>
        <w:t>□适用 √不适用</w:t>
      </w:r>
    </w:p>
    <w:p>
      <w:pPr>
        <w:pStyle w:val="Heading5"/>
        <w:spacing w:line="240" w:lineRule="auto" w:before="5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left"/>
      </w:pPr>
      <w:r>
        <w:rPr/>
        <w:t>□适用 √不适用</w:t>
      </w:r>
    </w:p>
    <w:p>
      <w:pPr>
        <w:spacing w:after="0" w:line="240" w:lineRule="auto"/>
        <w:jc w:val="left"/>
        <w:sectPr>
          <w:pgSz w:w="11910" w:h="16840"/>
          <w:pgMar w:header="880" w:footer="1195" w:top="1060" w:bottom="138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5"/>
        <w:spacing w:line="240" w:lineRule="auto" w:before="36"/>
        <w:ind w:right="655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tabs>
          <w:tab w:pos="978" w:val="left" w:leader="none"/>
        </w:tabs>
        <w:spacing w:line="290" w:lineRule="auto" w:before="58"/>
        <w:ind w:left="138" w:right="792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right="6555"/>
        <w:jc w:val="left"/>
      </w:pPr>
      <w:r>
        <w:rPr/>
        <w:t>□适用 √不适用</w:t>
      </w:r>
    </w:p>
    <w:p>
      <w:pPr>
        <w:spacing w:line="240" w:lineRule="auto" w:before="0"/>
        <w:rPr>
          <w:rFonts w:ascii="宋体" w:hAnsi="宋体" w:cs="宋体" w:eastAsia="宋体" w:hint="default"/>
          <w:sz w:val="25"/>
          <w:szCs w:val="25"/>
        </w:rPr>
      </w:pPr>
    </w:p>
    <w:p>
      <w:pPr>
        <w:pStyle w:val="Heading5"/>
        <w:tabs>
          <w:tab w:pos="978" w:val="left" w:leader="none"/>
        </w:tabs>
        <w:spacing w:line="290" w:lineRule="auto"/>
        <w:ind w:right="6555"/>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right="6555"/>
        <w:jc w:val="left"/>
      </w:pPr>
      <w:r>
        <w:rPr/>
        <w:t>□适用 √不适用</w:t>
      </w:r>
    </w:p>
    <w:p>
      <w:pPr>
        <w:spacing w:line="240" w:lineRule="auto" w:before="3"/>
        <w:rPr>
          <w:rFonts w:ascii="宋体" w:hAnsi="宋体" w:cs="宋体" w:eastAsia="宋体" w:hint="default"/>
          <w:sz w:val="28"/>
          <w:szCs w:val="28"/>
        </w:rPr>
      </w:pPr>
    </w:p>
    <w:p>
      <w:pPr>
        <w:pStyle w:val="Heading5"/>
        <w:spacing w:line="240" w:lineRule="auto"/>
        <w:ind w:right="655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6555"/>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right="655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6555"/>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060" w:bottom="1380" w:left="1280" w:right="980"/>
        </w:sectPr>
      </w:pPr>
    </w:p>
    <w:p>
      <w:pPr>
        <w:pStyle w:val="Heading5"/>
        <w:tabs>
          <w:tab w:pos="978" w:val="left" w:leader="none"/>
        </w:tabs>
        <w:spacing w:line="240" w:lineRule="auto" w:before="36"/>
        <w:ind w:right="-1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90"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060" w:bottom="1380" w:left="1280" w:right="980"/>
          <w:cols w:num="2" w:equalWidth="0">
            <w:col w:w="1824" w:space="5252"/>
            <w:col w:w="2574"/>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60"/>
        <w:gridCol w:w="653"/>
        <w:gridCol w:w="653"/>
        <w:gridCol w:w="658"/>
        <w:gridCol w:w="631"/>
        <w:gridCol w:w="708"/>
        <w:gridCol w:w="696"/>
        <w:gridCol w:w="584"/>
        <w:gridCol w:w="686"/>
        <w:gridCol w:w="698"/>
        <w:gridCol w:w="701"/>
        <w:gridCol w:w="701"/>
        <w:gridCol w:w="696"/>
        <w:gridCol w:w="410"/>
      </w:tblGrid>
      <w:tr>
        <w:trPr>
          <w:trHeight w:val="305" w:hRule="exact"/>
        </w:trPr>
        <w:tc>
          <w:tcPr>
            <w:tcW w:w="9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6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8" w:right="110"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0" w:right="108"/>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5" w:right="11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48" w:right="43"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23"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6" w:right="72"/>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2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24"/>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 w:right="24"/>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8" w:right="27"/>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1" w:right="96"/>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302"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额</w:t>
            </w:r>
            <w:r>
              <w:rPr>
                <w:rFonts w:ascii="宋体" w:hAnsi="宋体" w:cs="宋体" w:eastAsia="宋体" w:hint="default"/>
                <w:w w:val="100"/>
                <w:sz w:val="21"/>
                <w:szCs w:val="21"/>
              </w:rPr>
              <w:t>合</w:t>
            </w:r>
            <w:r>
              <w:rPr>
                <w:rFonts w:ascii="宋体" w:hAnsi="宋体" w:cs="宋体" w:eastAsia="宋体" w:hint="default"/>
                <w:spacing w:val="-92"/>
                <w:w w:val="100"/>
                <w:sz w:val="21"/>
                <w:szCs w:val="21"/>
              </w:rPr>
              <w:t>计</w:t>
            </w:r>
            <w:r>
              <w:rPr>
                <w:rFonts w:ascii="宋体" w:hAnsi="宋体" w:cs="宋体" w:eastAsia="宋体" w:hint="default"/>
                <w:spacing w:val="-3"/>
                <w:w w:val="100"/>
                <w:sz w:val="21"/>
                <w:szCs w:val="21"/>
              </w:rPr>
              <w:t>（</w:t>
            </w:r>
            <w:r>
              <w:rPr>
                <w:rFonts w:ascii="宋体" w:hAnsi="宋体" w:cs="宋体" w:eastAsia="宋体" w:hint="default"/>
                <w:w w:val="100"/>
                <w:sz w:val="21"/>
                <w:szCs w:val="21"/>
              </w:rPr>
              <w:t>不包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173" w:type="dxa"/>
            <w:gridSpan w:val="8"/>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173"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9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80"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87,620,000.00</w:t>
            </w:r>
          </w:p>
        </w:tc>
      </w:tr>
      <w:tr>
        <w:trPr>
          <w:trHeight w:val="319"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797,908,000.00</w:t>
            </w:r>
          </w:p>
        </w:tc>
      </w:tr>
      <w:tr>
        <w:trPr>
          <w:trHeight w:val="317" w:hRule="exact"/>
        </w:trPr>
        <w:tc>
          <w:tcPr>
            <w:tcW w:w="9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6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797,908,000.00</w:t>
            </w:r>
          </w:p>
        </w:tc>
      </w:tr>
      <w:tr>
        <w:trPr>
          <w:trHeight w:val="319"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1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4.06%</w:t>
            </w:r>
          </w:p>
        </w:tc>
      </w:tr>
      <w:tr>
        <w:trPr>
          <w:trHeight w:val="317" w:hRule="exact"/>
        </w:trPr>
        <w:tc>
          <w:tcPr>
            <w:tcW w:w="91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7"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为股</w:t>
            </w:r>
            <w:r>
              <w:rPr>
                <w:rFonts w:ascii="宋体" w:hAnsi="宋体" w:cs="宋体" w:eastAsia="宋体" w:hint="default"/>
                <w:spacing w:val="-3"/>
                <w:w w:val="100"/>
                <w:sz w:val="21"/>
                <w:szCs w:val="21"/>
              </w:rPr>
              <w:t>东</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人</w:t>
            </w:r>
            <w:r>
              <w:rPr>
                <w:rFonts w:ascii="宋体" w:hAnsi="宋体" w:cs="宋体" w:eastAsia="宋体" w:hint="default"/>
                <w:w w:val="100"/>
                <w:sz w:val="21"/>
                <w:szCs w:val="21"/>
              </w:rPr>
              <w:t>及</w:t>
            </w:r>
            <w:r>
              <w:rPr>
                <w:rFonts w:ascii="宋体" w:hAnsi="宋体" w:cs="宋体" w:eastAsia="宋体" w:hint="default"/>
                <w:spacing w:val="-3"/>
                <w:w w:val="100"/>
                <w:sz w:val="21"/>
                <w:szCs w:val="21"/>
              </w:rPr>
              <w:t>其关</w:t>
            </w:r>
            <w:r>
              <w:rPr>
                <w:rFonts w:ascii="宋体" w:hAnsi="宋体" w:cs="宋体" w:eastAsia="宋体" w:hint="default"/>
                <w:w w:val="100"/>
                <w:sz w:val="21"/>
                <w:szCs w:val="21"/>
              </w:rPr>
              <w:t>联方</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担</w:t>
            </w:r>
            <w:r>
              <w:rPr>
                <w:rFonts w:ascii="宋体" w:hAnsi="宋体" w:cs="宋体" w:eastAsia="宋体" w:hint="default"/>
                <w:w w:val="100"/>
                <w:sz w:val="21"/>
                <w:szCs w:val="21"/>
              </w:rPr>
              <w:t>保的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173"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tc>
        <w:tc>
          <w:tcPr>
            <w:tcW w:w="5173"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2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3963"/>
        <w:gridCol w:w="5173"/>
      </w:tblGrid>
      <w:tr>
        <w:trPr>
          <w:trHeight w:val="320"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17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17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17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17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日，公司累计为全资子公司实际提供</w:t>
            </w:r>
          </w:p>
          <w:p>
            <w:pPr>
              <w:pStyle w:val="TableParagraph"/>
              <w:spacing w:line="237" w:lineRule="auto"/>
              <w:ind w:left="26" w:right="19"/>
              <w:jc w:val="left"/>
              <w:rPr>
                <w:rFonts w:ascii="宋体" w:hAnsi="宋体" w:cs="宋体" w:eastAsia="宋体" w:hint="default"/>
                <w:sz w:val="21"/>
                <w:szCs w:val="21"/>
              </w:rPr>
            </w:pPr>
            <w:r>
              <w:rPr>
                <w:rFonts w:ascii="宋体" w:hAnsi="宋体" w:cs="宋体" w:eastAsia="宋体" w:hint="default"/>
                <w:sz w:val="21"/>
                <w:szCs w:val="21"/>
              </w:rPr>
              <w:t>的担保总额为等值人民币</w:t>
            </w:r>
            <w:r>
              <w:rPr>
                <w:rFonts w:ascii="宋体" w:hAnsi="宋体" w:cs="宋体" w:eastAsia="宋体" w:hint="default"/>
                <w:sz w:val="21"/>
                <w:szCs w:val="21"/>
              </w:rPr>
              <w:t>7.98</w:t>
            </w:r>
            <w:r>
              <w:rPr>
                <w:rFonts w:ascii="宋体" w:hAnsi="宋体" w:cs="宋体" w:eastAsia="宋体" w:hint="default"/>
                <w:sz w:val="21"/>
                <w:szCs w:val="21"/>
              </w:rPr>
              <w:t>亿元：其中通过内保外贷</w:t>
            </w:r>
            <w:r>
              <w:rPr>
                <w:rFonts w:ascii="宋体" w:hAnsi="宋体" w:cs="宋体" w:eastAsia="宋体" w:hint="default"/>
                <w:w w:val="100"/>
                <w:sz w:val="21"/>
                <w:szCs w:val="21"/>
              </w:rPr>
              <w:t> </w:t>
            </w:r>
            <w:r>
              <w:rPr>
                <w:rFonts w:ascii="宋体" w:hAnsi="宋体" w:cs="宋体" w:eastAsia="宋体" w:hint="default"/>
                <w:sz w:val="21"/>
                <w:szCs w:val="21"/>
              </w:rPr>
              <w:t>形式为财通香港提供了等值人民币</w:t>
            </w:r>
            <w:r>
              <w:rPr>
                <w:rFonts w:ascii="宋体" w:hAnsi="宋体" w:cs="宋体" w:eastAsia="宋体" w:hint="default"/>
                <w:sz w:val="21"/>
                <w:szCs w:val="21"/>
              </w:rPr>
              <w:t>2.98</w:t>
            </w:r>
            <w:r>
              <w:rPr>
                <w:rFonts w:ascii="宋体" w:hAnsi="宋体" w:cs="宋体" w:eastAsia="宋体" w:hint="default"/>
                <w:sz w:val="21"/>
                <w:szCs w:val="21"/>
              </w:rPr>
              <w:t>亿元的担保；为</w:t>
            </w:r>
            <w:r>
              <w:rPr>
                <w:rFonts w:ascii="宋体" w:hAnsi="宋体" w:cs="宋体" w:eastAsia="宋体" w:hint="default"/>
                <w:w w:val="100"/>
                <w:sz w:val="21"/>
                <w:szCs w:val="21"/>
              </w:rPr>
              <w:t> </w:t>
            </w:r>
            <w:r>
              <w:rPr>
                <w:rFonts w:ascii="宋体" w:hAnsi="宋体" w:cs="宋体" w:eastAsia="宋体" w:hint="default"/>
                <w:spacing w:val="-3"/>
                <w:sz w:val="21"/>
                <w:szCs w:val="21"/>
              </w:rPr>
              <w:t>财通证券资管提供了人民币</w:t>
            </w:r>
            <w:r>
              <w:rPr>
                <w:rFonts w:ascii="宋体" w:hAnsi="宋体" w:cs="宋体" w:eastAsia="宋体" w:hint="default"/>
                <w:spacing w:val="-3"/>
                <w:sz w:val="21"/>
                <w:szCs w:val="21"/>
              </w:rPr>
              <w:t>5</w:t>
            </w:r>
            <w:r>
              <w:rPr>
                <w:rFonts w:ascii="宋体" w:hAnsi="宋体" w:cs="宋体" w:eastAsia="宋体" w:hint="default"/>
                <w:spacing w:val="-3"/>
                <w:sz w:val="21"/>
                <w:szCs w:val="21"/>
              </w:rPr>
              <w:t>亿元净资本担保。公司不存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在逾期担保情形。</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2"/>
        </w:rPr>
        <w:t> </w:t>
      </w:r>
      <w:r>
        <w:rPr/>
        <w:t>其他重大合同</w:t>
      </w:r>
      <w:r>
        <w:rPr>
          <w:b w:val="0"/>
          <w:bCs w:val="0"/>
        </w:rPr>
      </w:r>
    </w:p>
    <w:p>
      <w:pPr>
        <w:pStyle w:val="BodyText"/>
        <w:spacing w:line="240" w:lineRule="auto" w:before="56"/>
        <w:ind w:right="0"/>
        <w:jc w:val="both"/>
      </w:pPr>
      <w:r>
        <w:rPr/>
        <w:t>□适用 √不适用</w:t>
      </w:r>
    </w:p>
    <w:p>
      <w:pPr>
        <w:spacing w:line="240" w:lineRule="auto" w:before="2"/>
        <w:rPr>
          <w:rFonts w:ascii="宋体" w:hAnsi="宋体" w:cs="宋体" w:eastAsia="宋体" w:hint="default"/>
          <w:sz w:val="28"/>
          <w:szCs w:val="28"/>
        </w:rPr>
      </w:pPr>
    </w:p>
    <w:p>
      <w:pPr>
        <w:pStyle w:val="Heading5"/>
        <w:spacing w:line="240" w:lineRule="auto"/>
        <w:ind w:right="0"/>
        <w:jc w:val="both"/>
        <w:rPr>
          <w:b w:val="0"/>
          <w:bCs w:val="0"/>
        </w:rPr>
      </w:pPr>
      <w:r>
        <w:rPr/>
        <w:t>十六、其他重大事项的说明</w:t>
      </w:r>
      <w:r>
        <w:rPr>
          <w:b w:val="0"/>
          <w:bCs w:val="0"/>
        </w:rPr>
      </w:r>
    </w:p>
    <w:p>
      <w:pPr>
        <w:pStyle w:val="BodyText"/>
        <w:spacing w:line="446" w:lineRule="auto" w:before="58"/>
        <w:ind w:left="558" w:right="7535" w:hanging="420"/>
        <w:jc w:val="left"/>
      </w:pPr>
      <w:r>
        <w:rPr/>
        <w:t>√适用</w:t>
      </w:r>
      <w:r>
        <w:rPr>
          <w:spacing w:val="-1"/>
        </w:rPr>
        <w:t> </w:t>
      </w:r>
      <w:r>
        <w:rPr/>
        <w:t>□不适用</w:t>
      </w:r>
      <w:r>
        <w:rPr>
          <w:w w:val="100"/>
        </w:rPr>
        <w:t> </w:t>
      </w:r>
      <w:r>
        <w:rPr>
          <w:rFonts w:ascii="宋体" w:hAnsi="宋体" w:cs="宋体" w:eastAsia="宋体" w:hint="default"/>
          <w:spacing w:val="-1"/>
        </w:rPr>
        <w:t>1.</w:t>
      </w:r>
      <w:r>
        <w:rPr>
          <w:spacing w:val="-1"/>
        </w:rPr>
        <w:t>再融资情况</w:t>
      </w:r>
    </w:p>
    <w:p>
      <w:pPr>
        <w:pStyle w:val="BodyText"/>
        <w:spacing w:line="227" w:lineRule="exact"/>
        <w:ind w:right="0" w:firstLine="42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日，公司召开第二届董事会第十二次会议审议通过《关于公开发行可转换公司</w:t>
      </w:r>
    </w:p>
    <w:p>
      <w:pPr>
        <w:pStyle w:val="BodyText"/>
        <w:spacing w:line="357" w:lineRule="auto" w:before="135"/>
        <w:ind w:right="147"/>
        <w:jc w:val="both"/>
      </w:pPr>
      <w:r>
        <w:rPr>
          <w:spacing w:val="-2"/>
        </w:rPr>
        <w:t>债券募集资金运用可行性报告的议案》《关于公开发行可转换公司债券摊薄即期回报及填补措施的</w:t>
      </w:r>
      <w:r>
        <w:rPr>
          <w:spacing w:val="-25"/>
        </w:rPr>
        <w:t> </w:t>
      </w:r>
      <w:r>
        <w:rPr>
          <w:spacing w:val="-25"/>
        </w:rPr>
      </w:r>
      <w:r>
        <w:rPr>
          <w:spacing w:val="-6"/>
        </w:rPr>
        <w:t>议案》《关于公开发行可转换公司债券预案的议案》《关于前次募集资金使用情况报告的议案》《关</w:t>
      </w:r>
      <w:r>
        <w:rPr>
          <w:spacing w:val="-19"/>
        </w:rPr>
        <w:t> </w:t>
      </w:r>
      <w:r>
        <w:rPr>
          <w:spacing w:val="-19"/>
        </w:rPr>
      </w:r>
      <w:r>
        <w:rPr>
          <w:spacing w:val="-2"/>
        </w:rPr>
        <w:t>于可转换公司债券持有人会议规则的议案》《关于提请股东大会授权董事会办理本次公开发行可转</w:t>
      </w:r>
      <w:r>
        <w:rPr>
          <w:spacing w:val="-25"/>
        </w:rPr>
        <w:t> </w:t>
      </w:r>
      <w:r>
        <w:rPr>
          <w:spacing w:val="-25"/>
        </w:rPr>
      </w:r>
      <w:r>
        <w:rPr/>
        <w:t>换公司债券相关事宜的议案》等议案。</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28</w:t>
      </w:r>
      <w:r>
        <w:rPr>
          <w:rFonts w:ascii="宋体" w:hAnsi="宋体" w:cs="宋体" w:eastAsia="宋体" w:hint="default"/>
          <w:spacing w:val="-54"/>
        </w:rPr>
        <w:t> </w:t>
      </w:r>
      <w:r>
        <w:rPr/>
        <w:t>日公司</w:t>
      </w:r>
      <w:r>
        <w:rPr>
          <w:spacing w:val="-55"/>
        </w:rPr>
        <w:t> </w:t>
      </w:r>
      <w:r>
        <w:rPr>
          <w:rFonts w:ascii="宋体" w:hAnsi="宋体" w:cs="宋体" w:eastAsia="宋体" w:hint="default"/>
        </w:rPr>
        <w:t>2017</w:t>
      </w:r>
      <w:r>
        <w:rPr>
          <w:rFonts w:ascii="宋体" w:hAnsi="宋体" w:cs="宋体" w:eastAsia="宋体" w:hint="default"/>
          <w:spacing w:val="-57"/>
        </w:rPr>
        <w:t> </w:t>
      </w:r>
      <w:r>
        <w:rPr/>
        <w:t>年度股东大会审议通过了上述议</w:t>
      </w:r>
      <w:r>
        <w:rPr>
          <w:w w:val="100"/>
        </w:rPr>
        <w:t> </w:t>
      </w:r>
      <w:r>
        <w:rPr/>
        <w:t>案，公司开始实施公开发行可转债再融资项目。</w:t>
      </w:r>
    </w:p>
    <w:p>
      <w:pPr>
        <w:pStyle w:val="BodyText"/>
        <w:spacing w:line="240" w:lineRule="auto" w:before="32"/>
        <w:ind w:left="558" w:right="0"/>
        <w:jc w:val="left"/>
      </w:pPr>
      <w:r>
        <w:rPr>
          <w:rFonts w:ascii="宋体" w:hAnsi="宋体" w:cs="宋体" w:eastAsia="宋体" w:hint="default"/>
        </w:rPr>
        <w:t>2.</w:t>
      </w:r>
      <w:r>
        <w:rPr/>
        <w:t>权益分派实施情况</w:t>
      </w:r>
    </w:p>
    <w:p>
      <w:pPr>
        <w:pStyle w:val="BodyText"/>
        <w:spacing w:line="355" w:lineRule="auto" w:before="133"/>
        <w:ind w:right="149" w:firstLine="420"/>
        <w:jc w:val="both"/>
      </w:pP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日，公司召开</w:t>
      </w:r>
      <w:r>
        <w:rPr>
          <w:rFonts w:ascii="宋体" w:hAnsi="宋体" w:cs="宋体" w:eastAsia="宋体" w:hint="default"/>
          <w:spacing w:val="-3"/>
        </w:rPr>
        <w:t>2017</w:t>
      </w:r>
      <w:r>
        <w:rPr>
          <w:spacing w:val="-3"/>
        </w:rPr>
        <w:t>年度股东大会审议通过了《关于审议</w:t>
      </w:r>
      <w:r>
        <w:rPr>
          <w:rFonts w:ascii="宋体" w:hAnsi="宋体" w:cs="宋体" w:eastAsia="宋体" w:hint="default"/>
          <w:spacing w:val="-3"/>
        </w:rPr>
        <w:t>2017</w:t>
      </w:r>
      <w:r>
        <w:rPr>
          <w:spacing w:val="-3"/>
        </w:rPr>
        <w:t>年度利润分配方案的议</w:t>
      </w:r>
      <w:r>
        <w:rPr>
          <w:w w:val="100"/>
        </w:rPr>
        <w:t> </w:t>
      </w:r>
      <w:r>
        <w:rPr>
          <w:spacing w:val="-3"/>
        </w:rPr>
        <w:t>案》：公司</w:t>
      </w:r>
      <w:r>
        <w:rPr>
          <w:rFonts w:ascii="宋体" w:hAnsi="宋体" w:cs="宋体" w:eastAsia="宋体" w:hint="default"/>
          <w:spacing w:val="-3"/>
        </w:rPr>
        <w:t>2017</w:t>
      </w:r>
      <w:r>
        <w:rPr>
          <w:spacing w:val="-3"/>
        </w:rPr>
        <w:t>年度利润分配采用现金分红方式，以总股本</w:t>
      </w:r>
      <w:r>
        <w:rPr>
          <w:rFonts w:ascii="宋体" w:hAnsi="宋体" w:cs="宋体" w:eastAsia="宋体" w:hint="default"/>
          <w:spacing w:val="-3"/>
        </w:rPr>
        <w:t>3,589,000,000</w:t>
      </w:r>
      <w:r>
        <w:rPr>
          <w:spacing w:val="-3"/>
        </w:rPr>
        <w:t>股为基数，向全体股东每</w:t>
      </w:r>
      <w:r>
        <w:rPr>
          <w:spacing w:val="-23"/>
        </w:rPr>
        <w:t> </w:t>
      </w:r>
      <w:r>
        <w:rPr>
          <w:spacing w:val="-23"/>
        </w:rPr>
      </w:r>
      <w:r>
        <w:rPr>
          <w:rFonts w:ascii="宋体" w:hAnsi="宋体" w:cs="宋体" w:eastAsia="宋体" w:hint="default"/>
          <w:spacing w:val="-2"/>
        </w:rPr>
        <w:t>10</w:t>
      </w:r>
      <w:r>
        <w:rPr>
          <w:spacing w:val="-2"/>
        </w:rPr>
        <w:t>股派发现金红利</w:t>
      </w:r>
      <w:r>
        <w:rPr>
          <w:rFonts w:ascii="宋体" w:hAnsi="宋体" w:cs="宋体" w:eastAsia="宋体" w:hint="default"/>
          <w:spacing w:val="-2"/>
        </w:rPr>
        <w:t>1.80</w:t>
      </w:r>
      <w:r>
        <w:rPr>
          <w:spacing w:val="-2"/>
        </w:rPr>
        <w:t>元（含税），共派发现金红利</w:t>
      </w:r>
      <w:r>
        <w:rPr>
          <w:rFonts w:ascii="宋体" w:hAnsi="宋体" w:cs="宋体" w:eastAsia="宋体" w:hint="default"/>
          <w:spacing w:val="-2"/>
        </w:rPr>
        <w:t>646,020,000.00</w:t>
      </w:r>
      <w:r>
        <w:rPr>
          <w:spacing w:val="-2"/>
        </w:rPr>
        <w:t>元。根据上述利润分配方案，</w:t>
      </w:r>
      <w:r>
        <w:rPr>
          <w:spacing w:val="-7"/>
        </w:rPr>
        <w:t> </w:t>
      </w:r>
      <w:r>
        <w:rPr>
          <w:spacing w:val="-7"/>
        </w:rPr>
      </w:r>
      <w:r>
        <w:rPr/>
        <w:t>公司分配的现金股利总额占</w:t>
      </w:r>
      <w:r>
        <w:rPr>
          <w:rFonts w:ascii="宋体" w:hAnsi="宋体" w:cs="宋体" w:eastAsia="宋体" w:hint="default"/>
        </w:rPr>
        <w:t>2017</w:t>
      </w:r>
      <w:r>
        <w:rPr/>
        <w:t>年合并口径下归属于母公司股东净利润的</w:t>
      </w:r>
      <w:r>
        <w:rPr>
          <w:rFonts w:ascii="宋体" w:hAnsi="宋体" w:cs="宋体" w:eastAsia="宋体" w:hint="default"/>
        </w:rPr>
        <w:t>42.96%</w:t>
      </w:r>
      <w:r>
        <w:rPr/>
        <w:t>。</w:t>
      </w:r>
    </w:p>
    <w:p>
      <w:pPr>
        <w:pStyle w:val="BodyText"/>
        <w:spacing w:line="355" w:lineRule="auto" w:before="35"/>
        <w:ind w:right="188"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日公司通过《证券日报》、《证券时报》、《中国证券报》、《上海证券报》和上</w:t>
      </w:r>
      <w:r>
        <w:rPr>
          <w:w w:val="100"/>
        </w:rPr>
        <w:t> </w:t>
      </w:r>
      <w:r>
        <w:rPr>
          <w:spacing w:val="-2"/>
        </w:rPr>
        <w:t>海证券交易所网站披露了《财通证券股份有限公司</w:t>
      </w:r>
      <w:r>
        <w:rPr>
          <w:rFonts w:ascii="宋体" w:hAnsi="宋体" w:cs="宋体" w:eastAsia="宋体" w:hint="default"/>
          <w:spacing w:val="-2"/>
        </w:rPr>
        <w:t>2017</w:t>
      </w:r>
      <w:r>
        <w:rPr>
          <w:spacing w:val="-2"/>
        </w:rPr>
        <w:t>年年度权益分派实施公告》，本次权益分派</w:t>
      </w:r>
      <w:r>
        <w:rPr>
          <w:spacing w:val="-25"/>
        </w:rPr>
        <w:t> </w:t>
      </w:r>
      <w:r>
        <w:rPr>
          <w:spacing w:val="-25"/>
        </w:rPr>
      </w:r>
      <w:r>
        <w:rPr>
          <w:spacing w:val="-2"/>
        </w:rPr>
        <w:t>股权登记日为</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日，现金发放日为</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11</w:t>
      </w:r>
      <w:r>
        <w:rPr>
          <w:spacing w:val="-2"/>
        </w:rPr>
        <w:t>日。截至本报告披露日，</w:t>
      </w:r>
      <w:r>
        <w:rPr>
          <w:rFonts w:ascii="宋体" w:hAnsi="宋体" w:cs="宋体" w:eastAsia="宋体" w:hint="default"/>
          <w:spacing w:val="-2"/>
        </w:rPr>
        <w:t>2017</w:t>
      </w:r>
      <w:r>
        <w:rPr>
          <w:spacing w:val="-2"/>
        </w:rPr>
        <w:t>年度权益分</w:t>
      </w:r>
      <w:r>
        <w:rPr>
          <w:spacing w:val="-14"/>
        </w:rPr>
        <w:t> </w:t>
      </w:r>
      <w:r>
        <w:rPr>
          <w:spacing w:val="-14"/>
        </w:rPr>
      </w:r>
      <w:r>
        <w:rPr/>
        <w:t>派已实施完毕。</w:t>
      </w:r>
    </w:p>
    <w:p>
      <w:pPr>
        <w:pStyle w:val="BodyText"/>
        <w:spacing w:line="240" w:lineRule="auto" w:before="34"/>
        <w:ind w:left="558" w:right="0"/>
        <w:jc w:val="left"/>
      </w:pPr>
      <w:r>
        <w:rPr>
          <w:rFonts w:ascii="宋体" w:hAnsi="宋体" w:cs="宋体" w:eastAsia="宋体" w:hint="default"/>
        </w:rPr>
        <w:t>3.</w:t>
      </w:r>
      <w:r>
        <w:rPr/>
        <w:t>对外投资情况</w:t>
      </w:r>
    </w:p>
    <w:p>
      <w:pPr>
        <w:pStyle w:val="BodyText"/>
        <w:spacing w:line="357" w:lineRule="auto" w:before="133"/>
        <w:ind w:right="149" w:firstLine="420"/>
        <w:jc w:val="both"/>
      </w:pP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25</w:t>
      </w:r>
      <w:r>
        <w:rPr>
          <w:spacing w:val="-3"/>
        </w:rPr>
        <w:t>日，公司第二届董事会第十三次会议审议通过了《关于增资浙江财通创新投资有限</w:t>
      </w:r>
      <w:r>
        <w:rPr>
          <w:w w:val="100"/>
        </w:rPr>
        <w:t> </w:t>
      </w:r>
      <w:r>
        <w:rPr>
          <w:spacing w:val="-2"/>
        </w:rPr>
        <w:t>公司的议案》、《关于浙江财通创新投资有限公司增资浙江省浙商资产管理有限公司的议案》，公</w:t>
      </w:r>
      <w:r>
        <w:rPr>
          <w:spacing w:val="-25"/>
        </w:rPr>
        <w:t> </w:t>
      </w:r>
      <w:r>
        <w:rPr>
          <w:spacing w:val="-25"/>
        </w:rPr>
      </w:r>
      <w:r>
        <w:rPr/>
        <w:t>司全资子公司拟通过现金方式增资浙江省浙商资产管理有限公司，增资金额不超过</w:t>
      </w:r>
      <w:r>
        <w:rPr>
          <w:rFonts w:ascii="宋体" w:hAnsi="宋体" w:cs="宋体" w:eastAsia="宋体" w:hint="default"/>
        </w:rPr>
        <w:t>25</w:t>
      </w:r>
      <w:r>
        <w:rPr/>
        <w:t>亿。</w:t>
      </w:r>
    </w:p>
    <w:p>
      <w:pPr>
        <w:pStyle w:val="BodyText"/>
        <w:spacing w:line="240" w:lineRule="auto" w:before="30"/>
        <w:ind w:left="558" w:right="0"/>
        <w:jc w:val="left"/>
      </w:pP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30</w:t>
      </w:r>
      <w:r>
        <w:rPr>
          <w:spacing w:val="-3"/>
        </w:rPr>
        <w:t>日，公司第二届董事会第十四次会议审议通过《关于浙江财通创新投资有限公司签</w:t>
      </w:r>
    </w:p>
    <w:p>
      <w:pPr>
        <w:spacing w:after="0" w:line="240" w:lineRule="auto"/>
        <w:jc w:val="left"/>
        <w:sectPr>
          <w:pgSz w:w="11910" w:h="16840"/>
          <w:pgMar w:header="880" w:footer="1195" w:top="1060" w:bottom="1380" w:left="1280" w:right="1260"/>
        </w:sectPr>
      </w:pPr>
    </w:p>
    <w:p>
      <w:pPr>
        <w:spacing w:line="240" w:lineRule="auto" w:before="8"/>
        <w:rPr>
          <w:rFonts w:ascii="宋体" w:hAnsi="宋体" w:cs="宋体" w:eastAsia="宋体" w:hint="default"/>
          <w:sz w:val="28"/>
          <w:szCs w:val="28"/>
        </w:rPr>
      </w:pPr>
    </w:p>
    <w:p>
      <w:pPr>
        <w:pStyle w:val="BodyText"/>
        <w:spacing w:line="357" w:lineRule="auto" w:before="36"/>
        <w:ind w:right="0"/>
        <w:jc w:val="left"/>
      </w:pPr>
      <w:r>
        <w:rPr>
          <w:spacing w:val="-2"/>
        </w:rPr>
        <w:t>订增资协议的议案》，根据协议约定公司子公司财通创新以现金出资方式对浙江省浙商资产管理有</w:t>
      </w:r>
      <w:r>
        <w:rPr>
          <w:spacing w:val="-25"/>
        </w:rPr>
        <w:t> </w:t>
      </w:r>
      <w:r>
        <w:rPr>
          <w:spacing w:val="-25"/>
        </w:rPr>
      </w:r>
      <w:r>
        <w:rPr/>
        <w:t>限公司增资人民币</w:t>
      </w:r>
      <w:r>
        <w:rPr>
          <w:rFonts w:ascii="宋体" w:hAnsi="宋体" w:cs="宋体" w:eastAsia="宋体" w:hint="default"/>
        </w:rPr>
        <w:t>20.37</w:t>
      </w:r>
      <w:r>
        <w:rPr/>
        <w:t>亿元，增资完成后财通创新持有浙江省浙商资产管理有限公司股份比例为</w:t>
      </w:r>
      <w:r>
        <w:rPr>
          <w:w w:val="100"/>
        </w:rPr>
        <w:t> </w:t>
      </w:r>
      <w:r>
        <w:rPr>
          <w:rFonts w:ascii="宋体" w:hAnsi="宋体" w:cs="宋体" w:eastAsia="宋体" w:hint="default"/>
        </w:rPr>
        <w:t>20.8142%</w:t>
      </w:r>
      <w:r>
        <w:rPr/>
        <w:t>。截至本报告披露日，上述增资款已经支付。</w:t>
      </w:r>
    </w:p>
    <w:p>
      <w:pPr>
        <w:pStyle w:val="BodyText"/>
        <w:spacing w:line="240" w:lineRule="auto" w:before="30"/>
        <w:ind w:left="558" w:right="0"/>
        <w:jc w:val="left"/>
      </w:pPr>
      <w:r>
        <w:rPr>
          <w:rFonts w:ascii="宋体" w:hAnsi="宋体" w:cs="宋体" w:eastAsia="宋体" w:hint="default"/>
        </w:rPr>
        <w:t>4.</w:t>
      </w:r>
      <w:r>
        <w:rPr/>
        <w:t>涉及诉讼事项</w:t>
      </w:r>
    </w:p>
    <w:p>
      <w:pPr>
        <w:pStyle w:val="BodyText"/>
        <w:spacing w:line="357" w:lineRule="auto" w:before="133"/>
        <w:ind w:right="129" w:firstLine="420"/>
        <w:jc w:val="both"/>
      </w:pP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日，公司起诉北京东方君盛投资管理有限公司、冯彪合同纠纷一案获杭州市人民中</w:t>
      </w:r>
      <w:r>
        <w:rPr>
          <w:w w:val="100"/>
        </w:rPr>
        <w:t> </w:t>
      </w:r>
      <w:r>
        <w:rPr>
          <w:spacing w:val="-3"/>
        </w:rPr>
        <w:t>级法院受理，公司诉请：（</w:t>
      </w:r>
      <w:r>
        <w:rPr>
          <w:rFonts w:ascii="宋体" w:hAnsi="宋体" w:cs="宋体" w:eastAsia="宋体" w:hint="default"/>
          <w:spacing w:val="-3"/>
        </w:rPr>
        <w:t>1</w:t>
      </w:r>
      <w:r>
        <w:rPr>
          <w:spacing w:val="-3"/>
        </w:rPr>
        <w:t>）判令被告北京东方君盛投资管理有限公司立即向原告财通证券股份有</w:t>
      </w:r>
      <w:r>
        <w:rPr>
          <w:spacing w:val="-45"/>
        </w:rPr>
        <w:t> </w:t>
      </w:r>
      <w:r>
        <w:rPr>
          <w:spacing w:val="-45"/>
        </w:rPr>
      </w:r>
      <w:r>
        <w:rPr>
          <w:spacing w:val="-5"/>
          <w:w w:val="100"/>
        </w:rPr>
        <w:t>限公司支付转让价款</w:t>
      </w:r>
      <w:r>
        <w:rPr>
          <w:rFonts w:ascii="宋体" w:hAnsi="宋体" w:cs="宋体" w:eastAsia="宋体" w:hint="default"/>
          <w:spacing w:val="-5"/>
          <w:w w:val="100"/>
        </w:rPr>
        <w:t>1.5</w:t>
      </w:r>
      <w:r>
        <w:rPr>
          <w:spacing w:val="-5"/>
          <w:w w:val="100"/>
        </w:rPr>
        <w:t>亿元及其溢价和违约金；（</w:t>
      </w:r>
      <w:r>
        <w:rPr>
          <w:rFonts w:ascii="宋体" w:hAnsi="宋体" w:cs="宋体" w:eastAsia="宋体" w:hint="default"/>
          <w:spacing w:val="-5"/>
          <w:w w:val="100"/>
        </w:rPr>
        <w:t>2</w:t>
      </w:r>
      <w:r>
        <w:rPr>
          <w:spacing w:val="-5"/>
          <w:w w:val="100"/>
        </w:rPr>
        <w:t>）判令被告冯彪对上述债务承担连带清偿责任；</w:t>
      </w:r>
    </w:p>
    <w:p>
      <w:pPr>
        <w:pStyle w:val="BodyText"/>
        <w:spacing w:line="357" w:lineRule="auto" w:before="30"/>
        <w:ind w:right="127"/>
        <w:jc w:val="both"/>
      </w:pPr>
      <w:r>
        <w:rPr>
          <w:spacing w:val="-3"/>
        </w:rPr>
        <w:t>（</w:t>
      </w:r>
      <w:r>
        <w:rPr>
          <w:rFonts w:ascii="宋体" w:hAnsi="宋体" w:cs="宋体" w:eastAsia="宋体" w:hint="default"/>
          <w:spacing w:val="-3"/>
        </w:rPr>
        <w:t>3</w:t>
      </w:r>
      <w:r>
        <w:rPr>
          <w:spacing w:val="-3"/>
        </w:rPr>
        <w:t>）要求两被告连带承担本案的全部案件受理费、财产保全费和律师费。目前，该案处于一审审理</w:t>
      </w:r>
      <w:r>
        <w:rPr>
          <w:spacing w:val="-43"/>
        </w:rPr>
        <w:t> </w:t>
      </w:r>
      <w:r>
        <w:rPr>
          <w:spacing w:val="-43"/>
        </w:rPr>
      </w:r>
      <w:r>
        <w:rPr/>
        <w:t>阶段。</w:t>
      </w:r>
    </w:p>
    <w:p>
      <w:pPr>
        <w:pStyle w:val="BodyText"/>
        <w:spacing w:line="240" w:lineRule="auto" w:before="30"/>
        <w:ind w:left="558" w:right="0"/>
        <w:jc w:val="left"/>
      </w:pPr>
      <w:r>
        <w:rPr>
          <w:rFonts w:ascii="宋体" w:hAnsi="宋体" w:cs="宋体" w:eastAsia="宋体" w:hint="default"/>
        </w:rPr>
        <w:t>5.</w:t>
      </w:r>
      <w:r>
        <w:rPr/>
        <w:t>新设分支机构情况</w:t>
      </w:r>
    </w:p>
    <w:p>
      <w:pPr>
        <w:pStyle w:val="BodyText"/>
        <w:spacing w:line="355" w:lineRule="auto" w:before="135"/>
        <w:ind w:right="127"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月，根据浙江证监局《关于核准财通证券股份有限公司设立</w:t>
      </w:r>
      <w:r>
        <w:rPr>
          <w:rFonts w:ascii="宋体" w:hAnsi="宋体" w:cs="宋体" w:eastAsia="宋体" w:hint="default"/>
          <w:spacing w:val="-2"/>
        </w:rPr>
        <w:t>3</w:t>
      </w:r>
      <w:r>
        <w:rPr>
          <w:spacing w:val="-2"/>
        </w:rPr>
        <w:t>家分支机构的批复》（浙</w:t>
      </w:r>
      <w:r>
        <w:rPr>
          <w:w w:val="100"/>
        </w:rPr>
        <w:t> </w:t>
      </w:r>
      <w:r>
        <w:rPr>
          <w:spacing w:val="-7"/>
        </w:rPr>
        <w:t>证监许可〔</w:t>
      </w:r>
      <w:r>
        <w:rPr>
          <w:rFonts w:ascii="宋体" w:hAnsi="宋体" w:cs="宋体" w:eastAsia="宋体" w:hint="default"/>
          <w:spacing w:val="-7"/>
        </w:rPr>
        <w:t>2017</w:t>
      </w:r>
      <w:r>
        <w:rPr>
          <w:spacing w:val="-7"/>
        </w:rPr>
        <w:t>〕</w:t>
      </w:r>
      <w:r>
        <w:rPr>
          <w:rFonts w:ascii="宋体" w:hAnsi="宋体" w:cs="宋体" w:eastAsia="宋体" w:hint="default"/>
          <w:spacing w:val="-7"/>
        </w:rPr>
        <w:t>31</w:t>
      </w:r>
      <w:r>
        <w:rPr>
          <w:spacing w:val="-7"/>
        </w:rPr>
        <w:t>号），公司获准在江苏省苏州市、深圳市、江西省上饶市各设立</w:t>
      </w:r>
      <w:r>
        <w:rPr>
          <w:rFonts w:ascii="宋体" w:hAnsi="宋体" w:cs="宋体" w:eastAsia="宋体" w:hint="default"/>
          <w:spacing w:val="-7"/>
        </w:rPr>
        <w:t>1</w:t>
      </w:r>
      <w:r>
        <w:rPr>
          <w:spacing w:val="-7"/>
        </w:rPr>
        <w:t>家营业部。</w:t>
      </w:r>
      <w:r>
        <w:rPr>
          <w:rFonts w:ascii="宋体" w:hAnsi="宋体" w:cs="宋体" w:eastAsia="宋体" w:hint="default"/>
          <w:spacing w:val="-7"/>
        </w:rPr>
        <w:t>2018</w:t>
      </w:r>
      <w:r>
        <w:rPr>
          <w:rFonts w:ascii="宋体" w:hAnsi="宋体" w:cs="宋体" w:eastAsia="宋体" w:hint="default"/>
          <w:spacing w:val="-39"/>
        </w:rPr>
        <w:t> </w:t>
      </w:r>
      <w:r>
        <w:rPr>
          <w:rFonts w:ascii="宋体" w:hAnsi="宋体" w:cs="宋体" w:eastAsia="宋体" w:hint="default"/>
          <w:spacing w:val="-39"/>
        </w:rPr>
      </w:r>
      <w:r>
        <w:rPr>
          <w:spacing w:val="-2"/>
        </w:rPr>
        <w:t>年</w:t>
      </w:r>
      <w:r>
        <w:rPr>
          <w:rFonts w:ascii="宋体" w:hAnsi="宋体" w:cs="宋体" w:eastAsia="宋体" w:hint="default"/>
          <w:spacing w:val="-2"/>
        </w:rPr>
        <w:t>8</w:t>
      </w:r>
      <w:r>
        <w:rPr>
          <w:spacing w:val="-2"/>
        </w:rPr>
        <w:t>月，根据浙江证监局《关于核准财通证券股份有限公司设立</w:t>
      </w:r>
      <w:r>
        <w:rPr>
          <w:rFonts w:ascii="宋体" w:hAnsi="宋体" w:cs="宋体" w:eastAsia="宋体" w:hint="default"/>
          <w:spacing w:val="-2"/>
        </w:rPr>
        <w:t>3</w:t>
      </w:r>
      <w:r>
        <w:rPr>
          <w:spacing w:val="-2"/>
        </w:rPr>
        <w:t>家分支机构的批复》（浙证监许可</w:t>
      </w:r>
    </w:p>
    <w:p>
      <w:pPr>
        <w:pStyle w:val="BodyText"/>
        <w:spacing w:line="357" w:lineRule="auto" w:before="32"/>
        <w:ind w:right="129"/>
        <w:jc w:val="both"/>
      </w:pPr>
      <w:r>
        <w:rPr>
          <w:spacing w:val="-3"/>
        </w:rPr>
        <w:t>〔</w:t>
      </w:r>
      <w:r>
        <w:rPr>
          <w:rFonts w:ascii="宋体" w:hAnsi="宋体" w:cs="宋体" w:eastAsia="宋体" w:hint="default"/>
          <w:spacing w:val="-3"/>
        </w:rPr>
        <w:t>2018</w:t>
      </w:r>
      <w:r>
        <w:rPr>
          <w:spacing w:val="-3"/>
        </w:rPr>
        <w:t>〕</w:t>
      </w:r>
      <w:r>
        <w:rPr>
          <w:rFonts w:ascii="宋体" w:hAnsi="宋体" w:cs="宋体" w:eastAsia="宋体" w:hint="default"/>
          <w:spacing w:val="-3"/>
        </w:rPr>
        <w:t>11</w:t>
      </w:r>
      <w:r>
        <w:rPr>
          <w:spacing w:val="-3"/>
        </w:rPr>
        <w:t>号），公司获准在江苏省苏州市设立</w:t>
      </w:r>
      <w:r>
        <w:rPr>
          <w:rFonts w:ascii="宋体" w:hAnsi="宋体" w:cs="宋体" w:eastAsia="宋体" w:hint="default"/>
          <w:spacing w:val="-3"/>
        </w:rPr>
        <w:t>1</w:t>
      </w:r>
      <w:r>
        <w:rPr>
          <w:spacing w:val="-3"/>
        </w:rPr>
        <w:t>家证券分公司，在江苏省徐州市、浙江省绍兴市各</w:t>
      </w:r>
      <w:r>
        <w:rPr>
          <w:spacing w:val="-40"/>
        </w:rPr>
        <w:t> </w:t>
      </w:r>
      <w:r>
        <w:rPr>
          <w:spacing w:val="-40"/>
        </w:rPr>
      </w:r>
      <w:r>
        <w:rPr>
          <w:spacing w:val="-2"/>
        </w:rPr>
        <w:t>设立</w:t>
      </w:r>
      <w:r>
        <w:rPr>
          <w:rFonts w:ascii="宋体" w:hAnsi="宋体" w:cs="宋体" w:eastAsia="宋体" w:hint="default"/>
          <w:spacing w:val="-2"/>
        </w:rPr>
        <w:t>1</w:t>
      </w:r>
      <w:r>
        <w:rPr>
          <w:spacing w:val="-2"/>
        </w:rPr>
        <w:t>家证券营业部。截至目前，公司已设立证券分支机构</w:t>
      </w:r>
      <w:r>
        <w:rPr>
          <w:rFonts w:ascii="宋体" w:hAnsi="宋体" w:cs="宋体" w:eastAsia="宋体" w:hint="default"/>
          <w:spacing w:val="-2"/>
        </w:rPr>
        <w:t>139</w:t>
      </w:r>
      <w:r>
        <w:rPr>
          <w:spacing w:val="-2"/>
        </w:rPr>
        <w:t>家（不含筹建网点），其中分公司</w:t>
      </w:r>
      <w:r>
        <w:rPr>
          <w:rFonts w:ascii="宋体" w:hAnsi="宋体" w:cs="宋体" w:eastAsia="宋体" w:hint="default"/>
          <w:spacing w:val="-2"/>
        </w:rPr>
        <w:t>15</w:t>
      </w:r>
      <w:r>
        <w:rPr>
          <w:rFonts w:ascii="宋体" w:hAnsi="宋体" w:cs="宋体" w:eastAsia="宋体" w:hint="default"/>
          <w:spacing w:val="-21"/>
        </w:rPr>
        <w:t> </w:t>
      </w:r>
      <w:r>
        <w:rPr/>
        <w:t>家，营业部</w:t>
      </w:r>
      <w:r>
        <w:rPr>
          <w:rFonts w:ascii="宋体" w:hAnsi="宋体" w:cs="宋体" w:eastAsia="宋体" w:hint="default"/>
        </w:rPr>
        <w:t>124</w:t>
      </w:r>
      <w:r>
        <w:rPr/>
        <w:t>家。</w:t>
      </w:r>
    </w:p>
    <w:p>
      <w:pPr>
        <w:pStyle w:val="BodyText"/>
        <w:spacing w:line="240" w:lineRule="auto" w:before="30"/>
        <w:ind w:left="558" w:right="0"/>
        <w:jc w:val="left"/>
      </w:pPr>
      <w:r>
        <w:rPr>
          <w:rFonts w:ascii="宋体" w:hAnsi="宋体" w:cs="宋体" w:eastAsia="宋体" w:hint="default"/>
        </w:rPr>
        <w:t>2018</w:t>
      </w:r>
      <w:r>
        <w:rPr/>
        <w:t>年</w:t>
      </w:r>
      <w:r>
        <w:rPr>
          <w:rFonts w:ascii="宋体" w:hAnsi="宋体" w:cs="宋体" w:eastAsia="宋体" w:hint="default"/>
        </w:rPr>
        <w:t>7</w:t>
      </w:r>
      <w:r>
        <w:rPr/>
        <w:t>月，根据浙江证监局《关于核准财通证券资产管理有限公司设立</w:t>
      </w:r>
      <w:r>
        <w:rPr>
          <w:rFonts w:ascii="宋体" w:hAnsi="宋体" w:cs="宋体" w:eastAsia="宋体" w:hint="default"/>
        </w:rPr>
        <w:t>1</w:t>
      </w:r>
      <w:r>
        <w:rPr/>
        <w:t>家分支机构的批复》</w:t>
      </w:r>
    </w:p>
    <w:p>
      <w:pPr>
        <w:pStyle w:val="BodyText"/>
        <w:spacing w:line="355" w:lineRule="auto" w:before="133"/>
        <w:ind w:left="544" w:right="0" w:hanging="406"/>
        <w:jc w:val="left"/>
      </w:pPr>
      <w:r>
        <w:rPr/>
        <w:t>（浙证监许可〔</w:t>
      </w:r>
      <w:r>
        <w:rPr>
          <w:rFonts w:ascii="宋体" w:hAnsi="宋体" w:cs="宋体" w:eastAsia="宋体" w:hint="default"/>
        </w:rPr>
        <w:t>2018</w:t>
      </w:r>
      <w:r>
        <w:rPr/>
        <w:t>〕</w:t>
      </w:r>
      <w:r>
        <w:rPr>
          <w:rFonts w:ascii="宋体" w:hAnsi="宋体" w:cs="宋体" w:eastAsia="宋体" w:hint="default"/>
        </w:rPr>
        <w:t>9</w:t>
      </w:r>
      <w:r>
        <w:rPr/>
        <w:t>号），财通证券资管获准在北京市设立</w:t>
      </w:r>
      <w:r>
        <w:rPr>
          <w:rFonts w:ascii="宋体" w:hAnsi="宋体" w:cs="宋体" w:eastAsia="宋体" w:hint="default"/>
        </w:rPr>
        <w:t>1</w:t>
      </w:r>
      <w:r>
        <w:rPr/>
        <w:t>家证券分公司。</w:t>
      </w:r>
      <w:r>
        <w:rPr>
          <w:w w:val="100"/>
        </w:rPr>
        <w:t> </w:t>
      </w:r>
      <w:r>
        <w:rPr>
          <w:rFonts w:ascii="宋体" w:hAnsi="宋体" w:cs="宋体" w:eastAsia="宋体" w:hint="default"/>
        </w:rPr>
        <w:t>6.</w:t>
      </w:r>
      <w:r>
        <w:rPr/>
        <w:t>参股子公司经营风险情况</w:t>
      </w:r>
      <w:r>
        <w:rPr>
          <w:w w:val="100"/>
        </w:rPr>
        <w:t> </w:t>
      </w:r>
      <w:r>
        <w:rPr>
          <w:spacing w:val="-2"/>
        </w:rPr>
        <w:t>公司的联营企业财通基金之子公司上海财通资产管理有限公司因其相关产品涉及阜兴事件。阜</w:t>
      </w:r>
    </w:p>
    <w:p>
      <w:pPr>
        <w:pStyle w:val="BodyText"/>
        <w:spacing w:line="355" w:lineRule="auto" w:before="34"/>
        <w:ind w:right="168"/>
        <w:jc w:val="both"/>
      </w:pPr>
      <w:r>
        <w:rPr/>
        <w:t>兴事件于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月下旬爆发；</w:t>
      </w:r>
      <w:r>
        <w:rPr>
          <w:rFonts w:ascii="宋体" w:hAnsi="宋体" w:cs="宋体" w:eastAsia="宋体" w:hint="default"/>
        </w:rPr>
        <w:t>7</w:t>
      </w:r>
      <w:r>
        <w:rPr>
          <w:rFonts w:ascii="宋体" w:hAnsi="宋体" w:cs="宋体" w:eastAsia="宋体" w:hint="default"/>
          <w:spacing w:val="-53"/>
        </w:rPr>
        <w:t> </w:t>
      </w:r>
      <w:r>
        <w:rPr/>
        <w:t>月，证监会和相关部门联合成立了阜兴事件专项领导小组；</w:t>
      </w:r>
      <w:r>
        <w:rPr>
          <w:rFonts w:ascii="宋体" w:hAnsi="宋体" w:cs="宋体" w:eastAsia="宋体" w:hint="default"/>
        </w:rPr>
        <w:t>8</w:t>
      </w:r>
      <w:r>
        <w:rPr>
          <w:rFonts w:ascii="宋体" w:hAnsi="宋体" w:cs="宋体" w:eastAsia="宋体" w:hint="default"/>
          <w:spacing w:val="-55"/>
        </w:rPr>
        <w:t> </w:t>
      </w:r>
      <w:r>
        <w:rPr/>
        <w:t>月</w:t>
      </w:r>
      <w:r>
        <w:rPr>
          <w:w w:val="100"/>
        </w:rPr>
        <w:t> </w:t>
      </w:r>
      <w:r>
        <w:rPr>
          <w:spacing w:val="-2"/>
        </w:rPr>
        <w:t>底，阜兴集团主要负责人涉嫌刑事犯罪已被公安批捕回国。截止目前，相关调查工作还在继续。报</w:t>
      </w:r>
      <w:r>
        <w:rPr>
          <w:spacing w:val="-25"/>
        </w:rPr>
        <w:t> </w:t>
      </w:r>
      <w:r>
        <w:rPr>
          <w:spacing w:val="-25"/>
        </w:rPr>
      </w:r>
      <w:r>
        <w:rPr>
          <w:spacing w:val="-2"/>
        </w:rPr>
        <w:t>告期内，上海财通资产管理有限公司及相关关联公司均未收到处罚通知。从目前掌握的情况看，上</w:t>
      </w:r>
      <w:r>
        <w:rPr>
          <w:spacing w:val="-26"/>
        </w:rPr>
        <w:t> </w:t>
      </w:r>
      <w:r>
        <w:rPr>
          <w:spacing w:val="-26"/>
        </w:rPr>
      </w:r>
      <w:r>
        <w:rPr/>
        <w:t>海财通资产管理有限公司可能面临一定的潜在风险。</w:t>
      </w:r>
    </w:p>
    <w:p>
      <w:pPr>
        <w:pStyle w:val="BodyText"/>
        <w:spacing w:line="355" w:lineRule="auto" w:before="35"/>
        <w:ind w:right="182" w:firstLine="405"/>
        <w:jc w:val="both"/>
      </w:pPr>
      <w:r>
        <w:rPr>
          <w:rFonts w:ascii="宋体" w:hAnsi="宋体" w:cs="宋体" w:eastAsia="宋体" w:hint="default"/>
          <w:spacing w:val="-2"/>
        </w:rPr>
        <w:t>7.</w:t>
      </w:r>
      <w:r>
        <w:rPr>
          <w:spacing w:val="-2"/>
        </w:rPr>
        <w:t>严格按照工程建设计划施工，全面推进新大楼建设。一是新办公大楼建设项目总体施工进度</w:t>
      </w:r>
      <w:r>
        <w:rPr>
          <w:w w:val="100"/>
        </w:rPr>
        <w:t> </w:t>
      </w:r>
      <w:r>
        <w:rPr/>
        <w:t>正常，截止</w:t>
      </w:r>
      <w:r>
        <w:rPr>
          <w:spacing w:val="-55"/>
        </w:rPr>
        <w:t> </w:t>
      </w:r>
      <w:r>
        <w:rPr>
          <w:rFonts w:ascii="宋体" w:hAnsi="宋体" w:cs="宋体" w:eastAsia="宋体" w:hint="default"/>
        </w:rPr>
        <w:t>2018</w:t>
      </w:r>
      <w:r>
        <w:rPr>
          <w:rFonts w:ascii="宋体" w:hAnsi="宋体" w:cs="宋体" w:eastAsia="宋体" w:hint="default"/>
          <w:spacing w:val="-55"/>
        </w:rPr>
        <w:t> </w:t>
      </w:r>
      <w:r>
        <w:rPr/>
        <w:t>年底，土建投资投入合计</w:t>
      </w:r>
      <w:r>
        <w:rPr>
          <w:spacing w:val="-55"/>
        </w:rPr>
        <w:t> </w:t>
      </w:r>
      <w:r>
        <w:rPr>
          <w:rFonts w:ascii="宋体" w:hAnsi="宋体" w:cs="宋体" w:eastAsia="宋体" w:hint="default"/>
        </w:rPr>
        <w:t>11.52</w:t>
      </w:r>
      <w:r>
        <w:rPr>
          <w:rFonts w:ascii="宋体" w:hAnsi="宋体" w:cs="宋体" w:eastAsia="宋体" w:hint="default"/>
          <w:spacing w:val="-55"/>
        </w:rPr>
        <w:t> </w:t>
      </w:r>
      <w:r>
        <w:rPr/>
        <w:t>亿元，约占总概算</w:t>
      </w:r>
      <w:r>
        <w:rPr>
          <w:spacing w:val="-55"/>
        </w:rPr>
        <w:t> </w:t>
      </w:r>
      <w:r>
        <w:rPr>
          <w:rFonts w:ascii="宋体" w:hAnsi="宋体" w:cs="宋体" w:eastAsia="宋体" w:hint="default"/>
        </w:rPr>
        <w:t>14.43</w:t>
      </w:r>
      <w:r>
        <w:rPr>
          <w:rFonts w:ascii="宋体" w:hAnsi="宋体" w:cs="宋体" w:eastAsia="宋体" w:hint="default"/>
          <w:spacing w:val="-55"/>
        </w:rPr>
        <w:t> </w:t>
      </w:r>
      <w:r>
        <w:rPr/>
        <w:t>亿元的</w:t>
      </w:r>
      <w:r>
        <w:rPr>
          <w:spacing w:val="-54"/>
        </w:rPr>
        <w:t> </w:t>
      </w:r>
      <w:r>
        <w:rPr>
          <w:rFonts w:ascii="宋体" w:hAnsi="宋体" w:cs="宋体" w:eastAsia="宋体" w:hint="default"/>
        </w:rPr>
        <w:t>79.98%</w:t>
      </w:r>
      <w:r>
        <w:rPr/>
        <w:t>，本公司</w:t>
      </w:r>
    </w:p>
    <w:p>
      <w:pPr>
        <w:pStyle w:val="BodyText"/>
        <w:spacing w:line="357" w:lineRule="auto" w:before="32"/>
        <w:ind w:right="129"/>
        <w:jc w:val="both"/>
      </w:pPr>
      <w:r>
        <w:rPr/>
        <w:t>实际投入金额为</w:t>
      </w:r>
      <w:r>
        <w:rPr>
          <w:spacing w:val="-28"/>
        </w:rPr>
        <w:t> </w:t>
      </w:r>
      <w:r>
        <w:rPr>
          <w:rFonts w:ascii="宋体" w:hAnsi="宋体" w:cs="宋体" w:eastAsia="宋体" w:hint="default"/>
        </w:rPr>
        <w:t>4.12</w:t>
      </w:r>
      <w:r>
        <w:rPr>
          <w:rFonts w:ascii="宋体" w:hAnsi="宋体" w:cs="宋体" w:eastAsia="宋体" w:hint="default"/>
          <w:spacing w:val="-28"/>
        </w:rPr>
        <w:t> </w:t>
      </w:r>
      <w:r>
        <w:rPr>
          <w:spacing w:val="-4"/>
        </w:rPr>
        <w:t>亿元。二是项目主体外立面、土建工程、室外市政工程、工艺机房及综合项目</w:t>
      </w:r>
      <w:r>
        <w:rPr>
          <w:spacing w:val="-94"/>
        </w:rPr>
        <w:t> </w:t>
      </w:r>
      <w:r>
        <w:rPr>
          <w:spacing w:val="-94"/>
        </w:rPr>
      </w:r>
      <w:r>
        <w:rPr>
          <w:spacing w:val="-2"/>
        </w:rPr>
        <w:t>等相关工程施工招标工作陆续完成。三是现场施工操作规范，全年安全作业。四是项目严格按照相</w:t>
      </w:r>
      <w:r>
        <w:rPr>
          <w:spacing w:val="-25"/>
        </w:rPr>
        <w:t> </w:t>
      </w:r>
      <w:r>
        <w:rPr>
          <w:spacing w:val="-25"/>
        </w:rPr>
      </w:r>
      <w:r>
        <w:rPr>
          <w:spacing w:val="-3"/>
        </w:rPr>
        <w:t>关招投标法规及政策要求进行采购，目前本项目共计完成采购工程建设服务</w:t>
      </w:r>
      <w:r>
        <w:rPr>
          <w:spacing w:val="-27"/>
        </w:rPr>
        <w:t> </w:t>
      </w:r>
      <w:r>
        <w:rPr>
          <w:rFonts w:ascii="宋体" w:hAnsi="宋体" w:cs="宋体" w:eastAsia="宋体" w:hint="default"/>
        </w:rPr>
        <w:t>18</w:t>
      </w:r>
      <w:r>
        <w:rPr>
          <w:rFonts w:ascii="宋体" w:hAnsi="宋体" w:cs="宋体" w:eastAsia="宋体" w:hint="default"/>
          <w:spacing w:val="-24"/>
        </w:rPr>
        <w:t> </w:t>
      </w:r>
      <w:r>
        <w:rPr>
          <w:spacing w:val="-5"/>
        </w:rPr>
        <w:t>项。新大楼建设项目</w:t>
      </w:r>
      <w:r>
        <w:rPr>
          <w:spacing w:val="-92"/>
        </w:rPr>
        <w:t> </w:t>
      </w:r>
      <w:r>
        <w:rPr>
          <w:spacing w:val="-92"/>
        </w:rPr>
      </w:r>
      <w:r>
        <w:rPr/>
        <w:t>整体安全、管理规范。</w:t>
      </w:r>
    </w:p>
    <w:p>
      <w:pPr>
        <w:spacing w:line="240" w:lineRule="auto" w:before="8"/>
        <w:rPr>
          <w:rFonts w:ascii="宋体" w:hAnsi="宋体" w:cs="宋体" w:eastAsia="宋体" w:hint="default"/>
          <w:sz w:val="27"/>
          <w:szCs w:val="27"/>
        </w:rPr>
      </w:pPr>
    </w:p>
    <w:p>
      <w:pPr>
        <w:pStyle w:val="Heading5"/>
        <w:tabs>
          <w:tab w:pos="781" w:val="left" w:leader="none"/>
        </w:tabs>
        <w:spacing w:line="292" w:lineRule="auto"/>
        <w:ind w:right="583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10"/>
        <w:ind w:right="0"/>
        <w:jc w:val="both"/>
      </w:pPr>
      <w:r>
        <w:rPr/>
        <w:t>√适用 □不适用</w:t>
      </w:r>
    </w:p>
    <w:p>
      <w:pPr>
        <w:spacing w:after="0" w:line="240" w:lineRule="auto"/>
        <w:jc w:val="both"/>
        <w:sectPr>
          <w:pgSz w:w="11910" w:h="16840"/>
          <w:pgMar w:header="880" w:footer="1195" w:top="1060" w:bottom="1380" w:left="1280" w:right="1280"/>
        </w:sectPr>
      </w:pPr>
    </w:p>
    <w:p>
      <w:pPr>
        <w:spacing w:line="240" w:lineRule="auto" w:before="8"/>
        <w:rPr>
          <w:rFonts w:ascii="宋体" w:hAnsi="宋体" w:cs="宋体" w:eastAsia="宋体" w:hint="default"/>
          <w:sz w:val="28"/>
          <w:szCs w:val="28"/>
        </w:rPr>
      </w:pPr>
    </w:p>
    <w:p>
      <w:pPr>
        <w:pStyle w:val="Heading5"/>
        <w:tabs>
          <w:tab w:pos="563" w:val="left" w:leader="none"/>
        </w:tabs>
        <w:spacing w:line="448" w:lineRule="auto" w:before="36"/>
        <w:ind w:left="558" w:right="7513" w:hanging="420"/>
        <w:jc w:val="left"/>
        <w:rPr>
          <w:b w:val="0"/>
          <w:bCs w:val="0"/>
        </w:rPr>
      </w:pPr>
      <w:r>
        <w:rPr>
          <w:rFonts w:ascii="宋体" w:hAnsi="宋体" w:cs="宋体" w:eastAsia="宋体" w:hint="default"/>
          <w:w w:val="95"/>
        </w:rPr>
        <w:t>1.</w:t>
        <w:tab/>
        <w:tab/>
      </w:r>
      <w:r>
        <w:rPr/>
        <w:t>精准扶贫规划</w:t>
      </w:r>
      <w:r>
        <w:rPr>
          <w:spacing w:val="-104"/>
        </w:rPr>
        <w:t> </w:t>
      </w:r>
      <w:r>
        <w:rPr/>
        <w:t>基本方略：</w:t>
      </w:r>
      <w:r>
        <w:rPr>
          <w:b w:val="0"/>
          <w:bCs w:val="0"/>
        </w:rPr>
      </w:r>
    </w:p>
    <w:p>
      <w:pPr>
        <w:pStyle w:val="BodyText"/>
        <w:spacing w:line="357" w:lineRule="auto" w:before="53"/>
        <w:ind w:right="127" w:firstLine="420"/>
        <w:jc w:val="both"/>
      </w:pPr>
      <w:r>
        <w:rPr>
          <w:spacing w:val="-6"/>
        </w:rPr>
        <w:t>公司以习近平总书记系列重要讲话精神为指导，紧紧围绕“五位一体”总体布局和“四个全面”</w:t>
      </w:r>
      <w:r>
        <w:rPr>
          <w:w w:val="100"/>
        </w:rPr>
        <w:t> </w:t>
      </w:r>
      <w:r>
        <w:rPr>
          <w:spacing w:val="-6"/>
        </w:rPr>
        <w:t>战略布局，积极落实《中共中央国务院关于打赢脱贫攻坚战的决定》、《“十三五”脱贫攻坚规划》</w:t>
      </w:r>
      <w:r>
        <w:rPr>
          <w:spacing w:val="-19"/>
        </w:rPr>
        <w:t> </w:t>
      </w:r>
      <w:r>
        <w:rPr>
          <w:spacing w:val="-19"/>
        </w:rPr>
      </w:r>
      <w:r>
        <w:rPr>
          <w:spacing w:val="-2"/>
        </w:rPr>
        <w:t>以及《中国证监会关于发挥资本市场作用服务国家脱贫攻坚战略的意见》的要求，响应中国证券业</w:t>
      </w:r>
      <w:r>
        <w:rPr>
          <w:spacing w:val="-25"/>
        </w:rPr>
        <w:t> </w:t>
      </w:r>
      <w:r>
        <w:rPr>
          <w:spacing w:val="-25"/>
        </w:rPr>
      </w:r>
      <w:r>
        <w:rPr>
          <w:spacing w:val="-2"/>
        </w:rPr>
        <w:t>协会“一司一县”结对帮扶行动号召，把打赢脱贫攻坚战作为崇高的政治责任。公司在现阶段扶贫</w:t>
      </w:r>
      <w:r>
        <w:rPr>
          <w:spacing w:val="-25"/>
        </w:rPr>
        <w:t> </w:t>
      </w:r>
      <w:r>
        <w:rPr>
          <w:spacing w:val="-25"/>
        </w:rPr>
      </w:r>
      <w:r>
        <w:rPr>
          <w:spacing w:val="-2"/>
        </w:rPr>
        <w:t>攻坚的新形势下，深入分析自身资源和帮扶对象需求特征，加强实地调研，进一步明确了新目标和</w:t>
      </w:r>
      <w:r>
        <w:rPr>
          <w:spacing w:val="-25"/>
        </w:rPr>
        <w:t> </w:t>
      </w:r>
      <w:r>
        <w:rPr>
          <w:spacing w:val="-25"/>
        </w:rPr>
      </w:r>
      <w:r>
        <w:rPr>
          <w:spacing w:val="-2"/>
        </w:rPr>
        <w:t>新任务，与甘肃省甘谷县、四川省剑阁县、江西省余干县、云南省禄劝县四个国家级贫困县开展结</w:t>
      </w:r>
      <w:r>
        <w:rPr>
          <w:spacing w:val="-28"/>
        </w:rPr>
        <w:t> </w:t>
      </w:r>
      <w:r>
        <w:rPr>
          <w:spacing w:val="-28"/>
        </w:rPr>
      </w:r>
      <w:r>
        <w:rPr>
          <w:spacing w:val="-2"/>
        </w:rPr>
        <w:t>对帮扶，将精准帮扶与区域特色开发相结合，通过产业扶贫、教育扶贫、金融扶贫、公益扶贫等多</w:t>
      </w:r>
      <w:r>
        <w:rPr>
          <w:spacing w:val="-25"/>
        </w:rPr>
        <w:t> </w:t>
      </w:r>
      <w:r>
        <w:rPr>
          <w:spacing w:val="-25"/>
        </w:rPr>
      </w:r>
      <w:r>
        <w:rPr/>
        <w:t>元化的方式推动贫困地区自身能力建设，助力其实现“造血功能”。</w:t>
      </w:r>
    </w:p>
    <w:p>
      <w:pPr>
        <w:pStyle w:val="BodyText"/>
        <w:spacing w:line="355" w:lineRule="auto" w:before="30"/>
        <w:ind w:left="558" w:right="0" w:hanging="8"/>
        <w:jc w:val="left"/>
      </w:pPr>
      <w:r>
        <w:rPr>
          <w:rFonts w:ascii="宋体" w:hAnsi="宋体" w:cs="宋体" w:eastAsia="宋体" w:hint="default"/>
          <w:b/>
          <w:bCs/>
        </w:rPr>
        <w:t>总体目标：</w:t>
      </w:r>
      <w:r>
        <w:rPr>
          <w:rFonts w:ascii="宋体" w:hAnsi="宋体" w:cs="宋体" w:eastAsia="宋体" w:hint="default"/>
          <w:b/>
          <w:bCs/>
          <w:w w:val="100"/>
        </w:rPr>
        <w:t> </w:t>
      </w:r>
      <w:r>
        <w:rPr>
          <w:spacing w:val="-2"/>
        </w:rPr>
        <w:t>汇集公司体系上下资源，集中力量，侧重结对帮扶县，在贫困地区挖掘或培育适于当地的产业</w:t>
      </w:r>
    </w:p>
    <w:p>
      <w:pPr>
        <w:pStyle w:val="BodyText"/>
        <w:spacing w:line="355" w:lineRule="auto" w:before="34"/>
        <w:ind w:left="551" w:right="2142" w:hanging="413"/>
        <w:jc w:val="left"/>
        <w:rPr>
          <w:rFonts w:ascii="宋体" w:hAnsi="宋体" w:cs="宋体" w:eastAsia="宋体" w:hint="default"/>
        </w:rPr>
      </w:pPr>
      <w:r>
        <w:rPr>
          <w:spacing w:val="-2"/>
        </w:rPr>
        <w:t>项目，或引进资源，或协助宣传，促进社会经济发展，改善民生。</w:t>
      </w:r>
      <w:r>
        <w:rPr>
          <w:spacing w:val="-49"/>
        </w:rPr>
        <w:t> </w:t>
      </w:r>
      <w:r>
        <w:rPr>
          <w:spacing w:val="-49"/>
        </w:rPr>
      </w:r>
      <w:r>
        <w:rPr>
          <w:rFonts w:ascii="宋体" w:hAnsi="宋体" w:cs="宋体" w:eastAsia="宋体" w:hint="default"/>
          <w:b/>
          <w:bCs/>
        </w:rPr>
        <w:t>主要任务：</w:t>
      </w:r>
      <w:r>
        <w:rPr>
          <w:rFonts w:ascii="宋体" w:hAnsi="宋体" w:cs="宋体" w:eastAsia="宋体" w:hint="default"/>
        </w:rPr>
      </w:r>
    </w:p>
    <w:p>
      <w:pPr>
        <w:pStyle w:val="BodyText"/>
        <w:spacing w:line="240" w:lineRule="auto" w:before="32"/>
        <w:ind w:left="558" w:right="0"/>
        <w:jc w:val="left"/>
      </w:pPr>
      <w:r>
        <w:rPr/>
        <w:t>（</w:t>
      </w:r>
      <w:r>
        <w:rPr>
          <w:rFonts w:ascii="宋体" w:hAnsi="宋体" w:cs="宋体" w:eastAsia="宋体" w:hint="default"/>
        </w:rPr>
        <w:t>1</w:t>
      </w:r>
      <w:r>
        <w:rPr/>
        <w:t>）充分发挥金融专业能力和优势，提供全方位的综合金融服务。</w:t>
      </w:r>
    </w:p>
    <w:p>
      <w:pPr>
        <w:pStyle w:val="BodyText"/>
        <w:spacing w:line="357" w:lineRule="auto" w:before="133"/>
        <w:ind w:right="129" w:firstLine="420"/>
        <w:jc w:val="both"/>
      </w:pPr>
      <w:r>
        <w:rPr>
          <w:spacing w:val="-8"/>
          <w:w w:val="100"/>
        </w:rPr>
        <w:t>（</w:t>
      </w:r>
      <w:r>
        <w:rPr>
          <w:rFonts w:ascii="宋体" w:hAnsi="宋体" w:cs="宋体" w:eastAsia="宋体" w:hint="default"/>
          <w:spacing w:val="-8"/>
          <w:w w:val="100"/>
        </w:rPr>
        <w:t>2</w:t>
      </w:r>
      <w:r>
        <w:rPr>
          <w:spacing w:val="-8"/>
          <w:w w:val="100"/>
        </w:rPr>
        <w:t>）深入了解和掌握贫困地区企业的实际情况，因地制宜地完善企业发展规划，发挥专业优势，</w:t>
      </w:r>
      <w:r>
        <w:rPr>
          <w:w w:val="100"/>
        </w:rPr>
        <w:t> </w:t>
      </w:r>
      <w:r>
        <w:rPr/>
        <w:t>通过资本市场服务实体经济。</w:t>
      </w:r>
    </w:p>
    <w:p>
      <w:pPr>
        <w:pStyle w:val="BodyText"/>
        <w:spacing w:line="355" w:lineRule="auto" w:before="32"/>
        <w:ind w:right="127" w:firstLine="420"/>
        <w:jc w:val="both"/>
      </w:pPr>
      <w:r>
        <w:rPr>
          <w:spacing w:val="-3"/>
        </w:rPr>
        <w:t>（</w:t>
      </w:r>
      <w:r>
        <w:rPr>
          <w:rFonts w:ascii="宋体" w:hAnsi="宋体" w:cs="宋体" w:eastAsia="宋体" w:hint="default"/>
          <w:spacing w:val="-3"/>
        </w:rPr>
        <w:t>3</w:t>
      </w:r>
      <w:r>
        <w:rPr>
          <w:spacing w:val="-3"/>
        </w:rPr>
        <w:t>）立足结对贫困县资源和产业基础，深化双方协作助力其发展特色产业，通过产业带动贫困</w:t>
      </w:r>
      <w:r>
        <w:rPr>
          <w:w w:val="100"/>
        </w:rPr>
        <w:t> </w:t>
      </w:r>
      <w:r>
        <w:rPr/>
        <w:t>人口脱贫。</w:t>
      </w:r>
    </w:p>
    <w:p>
      <w:pPr>
        <w:pStyle w:val="BodyText"/>
        <w:spacing w:line="355" w:lineRule="auto" w:before="32"/>
        <w:ind w:right="130" w:firstLine="420"/>
        <w:jc w:val="both"/>
      </w:pPr>
      <w:r>
        <w:rPr>
          <w:spacing w:val="-3"/>
        </w:rPr>
        <w:t>（</w:t>
      </w:r>
      <w:r>
        <w:rPr>
          <w:rFonts w:ascii="宋体" w:hAnsi="宋体" w:cs="宋体" w:eastAsia="宋体" w:hint="default"/>
          <w:spacing w:val="-3"/>
        </w:rPr>
        <w:t>4</w:t>
      </w:r>
      <w:r>
        <w:rPr>
          <w:spacing w:val="-3"/>
        </w:rPr>
        <w:t>）增加贫困地区教育基础设施建设投入，支持贫困地区中小学的宿舍、食堂、图书室等教育</w:t>
      </w:r>
      <w:r>
        <w:rPr>
          <w:w w:val="100"/>
        </w:rPr>
        <w:t> </w:t>
      </w:r>
      <w:r>
        <w:rPr/>
        <w:t>基础设施建设。</w:t>
      </w:r>
    </w:p>
    <w:p>
      <w:pPr>
        <w:pStyle w:val="Heading5"/>
        <w:spacing w:line="240" w:lineRule="auto" w:before="32"/>
        <w:ind w:left="551" w:right="0"/>
        <w:jc w:val="left"/>
        <w:rPr>
          <w:b w:val="0"/>
          <w:bCs w:val="0"/>
        </w:rPr>
      </w:pPr>
      <w:r>
        <w:rPr/>
        <w:t>保障措施：</w:t>
      </w:r>
      <w:r>
        <w:rPr>
          <w:b w:val="0"/>
          <w:bCs w:val="0"/>
        </w:rPr>
      </w:r>
    </w:p>
    <w:p>
      <w:pPr>
        <w:pStyle w:val="BodyText"/>
        <w:spacing w:line="240" w:lineRule="auto" w:before="135"/>
        <w:ind w:left="558" w:right="0"/>
        <w:jc w:val="left"/>
      </w:pPr>
      <w:r>
        <w:rPr/>
        <w:t>（</w:t>
      </w:r>
      <w:r>
        <w:rPr>
          <w:rFonts w:ascii="宋体" w:hAnsi="宋体" w:cs="宋体" w:eastAsia="宋体" w:hint="default"/>
        </w:rPr>
        <w:t>1</w:t>
      </w:r>
      <w:r>
        <w:rPr/>
        <w:t>）与结对帮扶县签订精准扶贫战略合作协议，保障扶贫工作的落实。</w:t>
      </w:r>
    </w:p>
    <w:p>
      <w:pPr>
        <w:pStyle w:val="BodyText"/>
        <w:spacing w:line="357" w:lineRule="auto" w:before="133"/>
        <w:ind w:right="127" w:firstLine="420"/>
        <w:jc w:val="both"/>
      </w:pPr>
      <w:r>
        <w:rPr>
          <w:spacing w:val="-3"/>
        </w:rPr>
        <w:t>（</w:t>
      </w:r>
      <w:r>
        <w:rPr>
          <w:rFonts w:ascii="宋体" w:hAnsi="宋体" w:cs="宋体" w:eastAsia="宋体" w:hint="default"/>
          <w:spacing w:val="-3"/>
        </w:rPr>
        <w:t>2</w:t>
      </w:r>
      <w:r>
        <w:rPr>
          <w:spacing w:val="-3"/>
        </w:rPr>
        <w:t>）建立日常工作联系机制，公司与精准帮扶结对贫困县建立健全对接部门工作联系机制，做</w:t>
      </w:r>
      <w:r>
        <w:rPr>
          <w:w w:val="100"/>
        </w:rPr>
        <w:t> </w:t>
      </w:r>
      <w:r>
        <w:rPr/>
        <w:t>好日常沟通协调等各项工作的组织落实，保障各扶贫项目的顺利开展。</w:t>
      </w:r>
    </w:p>
    <w:p>
      <w:pPr>
        <w:pStyle w:val="BodyText"/>
        <w:spacing w:line="240" w:lineRule="auto" w:before="30"/>
        <w:ind w:left="558" w:right="0"/>
        <w:jc w:val="left"/>
      </w:pPr>
      <w:r>
        <w:rPr/>
        <w:t>（</w:t>
      </w:r>
      <w:r>
        <w:rPr>
          <w:rFonts w:ascii="宋体" w:hAnsi="宋体" w:cs="宋体" w:eastAsia="宋体" w:hint="default"/>
        </w:rPr>
        <w:t>3</w:t>
      </w:r>
      <w:r>
        <w:rPr/>
        <w:t>）实施走访调研，公司对扶贫项目进行实地走访调研，为扶贫项目的推进提供一手资料。</w:t>
      </w:r>
    </w:p>
    <w:p>
      <w:pPr>
        <w:pStyle w:val="BodyText"/>
        <w:spacing w:line="355" w:lineRule="auto" w:before="135"/>
        <w:ind w:right="127" w:firstLine="420"/>
        <w:jc w:val="both"/>
      </w:pPr>
      <w:r>
        <w:rPr>
          <w:spacing w:val="-3"/>
        </w:rPr>
        <w:t>（</w:t>
      </w:r>
      <w:r>
        <w:rPr>
          <w:rFonts w:ascii="宋体" w:hAnsi="宋体" w:cs="宋体" w:eastAsia="宋体" w:hint="default"/>
          <w:spacing w:val="-3"/>
        </w:rPr>
        <w:t>4</w:t>
      </w:r>
      <w:r>
        <w:rPr>
          <w:spacing w:val="-3"/>
        </w:rPr>
        <w:t>）依托第三方扶贫机构及专业团队，将成熟的经验与机制辐射到结对的贫困县，促精准扶贫</w:t>
      </w:r>
      <w:r>
        <w:rPr>
          <w:w w:val="100"/>
        </w:rPr>
        <w:t> </w:t>
      </w:r>
      <w:r>
        <w:rPr/>
        <w:t>落地实施。</w:t>
      </w:r>
    </w:p>
    <w:p>
      <w:pPr>
        <w:spacing w:line="240" w:lineRule="auto" w:before="0"/>
        <w:rPr>
          <w:rFonts w:ascii="宋体" w:hAnsi="宋体" w:cs="宋体" w:eastAsia="宋体" w:hint="default"/>
          <w:sz w:val="20"/>
          <w:szCs w:val="20"/>
        </w:rPr>
      </w:pPr>
    </w:p>
    <w:p>
      <w:pPr>
        <w:pStyle w:val="Heading5"/>
        <w:tabs>
          <w:tab w:pos="563" w:val="left" w:leader="none"/>
        </w:tabs>
        <w:spacing w:line="240" w:lineRule="auto" w:before="142"/>
        <w:ind w:right="0"/>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357" w:lineRule="auto" w:before="56"/>
        <w:ind w:right="127" w:firstLine="420"/>
        <w:jc w:val="both"/>
      </w:pPr>
      <w:r>
        <w:rPr>
          <w:rFonts w:ascii="宋体" w:hAnsi="宋体" w:cs="宋体" w:eastAsia="宋体" w:hint="default"/>
        </w:rPr>
        <w:t>1.2018</w:t>
      </w:r>
      <w:r>
        <w:rPr>
          <w:rFonts w:ascii="宋体" w:hAnsi="宋体" w:cs="宋体" w:eastAsia="宋体" w:hint="default"/>
          <w:spacing w:val="-58"/>
        </w:rPr>
        <w:t> </w:t>
      </w:r>
      <w:r>
        <w:rPr/>
        <w:t>年</w:t>
      </w:r>
      <w:r>
        <w:rPr>
          <w:spacing w:val="-60"/>
        </w:rPr>
        <w:t> </w:t>
      </w:r>
      <w:r>
        <w:rPr>
          <w:rFonts w:ascii="宋体" w:hAnsi="宋体" w:cs="宋体" w:eastAsia="宋体" w:hint="default"/>
        </w:rPr>
        <w:t>4</w:t>
      </w:r>
      <w:r>
        <w:rPr>
          <w:rFonts w:ascii="宋体" w:hAnsi="宋体" w:cs="宋体" w:eastAsia="宋体" w:hint="default"/>
          <w:spacing w:val="-58"/>
        </w:rPr>
        <w:t> </w:t>
      </w:r>
      <w:r>
        <w:rPr/>
        <w:t>月，为进一步提升结对县干部推动和引领当地精准脱贫的能力和水平，公司联合浙</w:t>
      </w:r>
      <w:r>
        <w:rPr>
          <w:w w:val="100"/>
        </w:rPr>
        <w:t> </w:t>
      </w:r>
      <w:r>
        <w:rPr>
          <w:spacing w:val="-2"/>
        </w:rPr>
        <w:t>江大学举办了金融扶贫支持培训班，来自甘肃省甘谷县、四川省剑阁县、江西省余干县的领导干部</w:t>
      </w:r>
      <w:r>
        <w:rPr>
          <w:spacing w:val="-25"/>
        </w:rPr>
        <w:t> </w:t>
      </w:r>
      <w:r>
        <w:rPr>
          <w:spacing w:val="-25"/>
        </w:rPr>
      </w:r>
      <w:r>
        <w:rPr/>
        <w:t>共</w:t>
      </w:r>
      <w:r>
        <w:rPr>
          <w:spacing w:val="-53"/>
        </w:rPr>
        <w:t> </w:t>
      </w:r>
      <w:r>
        <w:rPr>
          <w:rFonts w:ascii="宋体" w:hAnsi="宋体" w:cs="宋体" w:eastAsia="宋体" w:hint="default"/>
        </w:rPr>
        <w:t>30</w:t>
      </w:r>
      <w:r>
        <w:rPr>
          <w:rFonts w:ascii="宋体" w:hAnsi="宋体" w:cs="宋体" w:eastAsia="宋体" w:hint="default"/>
          <w:spacing w:val="-55"/>
        </w:rPr>
        <w:t> </w:t>
      </w:r>
      <w:r>
        <w:rPr/>
        <w:t>人参加了培训。</w:t>
      </w:r>
    </w:p>
    <w:p>
      <w:pPr>
        <w:spacing w:after="0" w:line="357" w:lineRule="auto"/>
        <w:jc w:val="both"/>
        <w:sectPr>
          <w:pgSz w:w="11910" w:h="16840"/>
          <w:pgMar w:header="880" w:footer="1195" w:top="1060" w:bottom="1380" w:left="1280" w:right="1280"/>
        </w:sectPr>
      </w:pPr>
    </w:p>
    <w:p>
      <w:pPr>
        <w:spacing w:line="240" w:lineRule="auto" w:before="8"/>
        <w:rPr>
          <w:rFonts w:ascii="宋体" w:hAnsi="宋体" w:cs="宋体" w:eastAsia="宋体" w:hint="default"/>
          <w:sz w:val="28"/>
          <w:szCs w:val="28"/>
        </w:rPr>
      </w:pPr>
    </w:p>
    <w:p>
      <w:pPr>
        <w:pStyle w:val="BodyText"/>
        <w:spacing w:line="357" w:lineRule="auto" w:before="36"/>
        <w:ind w:left="218" w:right="229" w:firstLine="420"/>
        <w:jc w:val="both"/>
      </w:pPr>
      <w:r>
        <w:rPr>
          <w:rFonts w:ascii="宋体" w:hAnsi="宋体" w:cs="宋体" w:eastAsia="宋体" w:hint="default"/>
        </w:rPr>
        <w:t>2.2018</w:t>
      </w:r>
      <w:r>
        <w:rPr>
          <w:rFonts w:ascii="宋体" w:hAnsi="宋体" w:cs="宋体" w:eastAsia="宋体" w:hint="default"/>
          <w:spacing w:val="-56"/>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月，公司向四川省剑阁县投入帮扶资金</w:t>
      </w:r>
      <w:r>
        <w:rPr>
          <w:spacing w:val="-58"/>
        </w:rPr>
        <w:t> </w:t>
      </w:r>
      <w:r>
        <w:rPr>
          <w:rFonts w:ascii="宋体" w:hAnsi="宋体" w:cs="宋体" w:eastAsia="宋体" w:hint="default"/>
        </w:rPr>
        <w:t>150</w:t>
      </w:r>
      <w:r>
        <w:rPr>
          <w:rFonts w:ascii="宋体" w:hAnsi="宋体" w:cs="宋体" w:eastAsia="宋体" w:hint="default"/>
          <w:spacing w:val="-56"/>
        </w:rPr>
        <w:t> </w:t>
      </w:r>
      <w:r>
        <w:rPr/>
        <w:t>万元，用于扶持剑阁县特色产业，带动</w:t>
      </w:r>
      <w:r>
        <w:rPr>
          <w:w w:val="100"/>
        </w:rPr>
        <w:t> </w:t>
      </w:r>
      <w:r>
        <w:rPr/>
        <w:t>当地经济发展，增加当地困难群众收入。</w:t>
      </w:r>
    </w:p>
    <w:p>
      <w:pPr>
        <w:pStyle w:val="BodyText"/>
        <w:spacing w:line="355" w:lineRule="auto" w:before="30"/>
        <w:ind w:left="218" w:right="320" w:firstLine="420"/>
        <w:jc w:val="both"/>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月，公司向甘肃省甘谷县安远镇老庄村投入帮扶资金</w:t>
      </w:r>
      <w:r>
        <w:rPr>
          <w:spacing w:val="-53"/>
        </w:rPr>
        <w:t> </w:t>
      </w:r>
      <w:r>
        <w:rPr>
          <w:rFonts w:ascii="宋体" w:hAnsi="宋体" w:cs="宋体" w:eastAsia="宋体" w:hint="default"/>
        </w:rPr>
        <w:t>150</w:t>
      </w:r>
      <w:r>
        <w:rPr>
          <w:rFonts w:ascii="宋体" w:hAnsi="宋体" w:cs="宋体" w:eastAsia="宋体" w:hint="default"/>
          <w:spacing w:val="-56"/>
        </w:rPr>
        <w:t> </w:t>
      </w:r>
      <w:r>
        <w:rPr/>
        <w:t>万元，发挥地区产业比</w:t>
      </w:r>
      <w:r>
        <w:rPr>
          <w:w w:val="100"/>
        </w:rPr>
        <w:t> </w:t>
      </w:r>
      <w:r>
        <w:rPr/>
        <w:t>较优势，扶持苹果和花椒特色产业种植，推动贫困户增收。</w:t>
      </w:r>
    </w:p>
    <w:p>
      <w:pPr>
        <w:pStyle w:val="BodyText"/>
        <w:spacing w:line="357" w:lineRule="auto" w:before="32"/>
        <w:ind w:left="218" w:right="229" w:firstLine="420"/>
        <w:jc w:val="both"/>
      </w:pPr>
      <w:r>
        <w:rPr>
          <w:rFonts w:ascii="宋体" w:hAnsi="宋体" w:cs="宋体" w:eastAsia="宋体" w:hint="default"/>
        </w:rPr>
        <w:t>4.2018</w:t>
      </w:r>
      <w:r>
        <w:rPr>
          <w:rFonts w:ascii="宋体" w:hAnsi="宋体" w:cs="宋体" w:eastAsia="宋体" w:hint="default"/>
          <w:spacing w:val="-56"/>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月，公司向江西省余干县投入帮扶资金</w:t>
      </w:r>
      <w:r>
        <w:rPr>
          <w:spacing w:val="-58"/>
        </w:rPr>
        <w:t> </w:t>
      </w:r>
      <w:r>
        <w:rPr>
          <w:rFonts w:ascii="宋体" w:hAnsi="宋体" w:cs="宋体" w:eastAsia="宋体" w:hint="default"/>
        </w:rPr>
        <w:t>150</w:t>
      </w:r>
      <w:r>
        <w:rPr>
          <w:rFonts w:ascii="宋体" w:hAnsi="宋体" w:cs="宋体" w:eastAsia="宋体" w:hint="default"/>
          <w:spacing w:val="-56"/>
        </w:rPr>
        <w:t> </w:t>
      </w:r>
      <w:r>
        <w:rPr/>
        <w:t>万元，资助余干县古埠镇黄岗小学校园</w:t>
      </w:r>
      <w:r>
        <w:rPr>
          <w:w w:val="100"/>
        </w:rPr>
        <w:t> </w:t>
      </w:r>
      <w:r>
        <w:rPr>
          <w:spacing w:val="-2"/>
        </w:rPr>
        <w:t>改造项目。将在其现教学楼后的新征土地上建新教学楼舍，改善学校硬件设施薄弱情况，让农村孩</w:t>
      </w:r>
      <w:r>
        <w:rPr>
          <w:spacing w:val="-25"/>
        </w:rPr>
        <w:t> </w:t>
      </w:r>
      <w:r>
        <w:rPr>
          <w:spacing w:val="-25"/>
        </w:rPr>
      </w:r>
      <w:r>
        <w:rPr/>
        <w:t>子享受到优质教育资源，为学生健康成长创设良好的环境。</w:t>
      </w:r>
    </w:p>
    <w:p>
      <w:pPr>
        <w:pStyle w:val="BodyText"/>
        <w:spacing w:line="240" w:lineRule="auto" w:before="30"/>
        <w:ind w:left="638" w:right="0"/>
        <w:jc w:val="left"/>
      </w:pPr>
      <w:r>
        <w:rPr>
          <w:rFonts w:ascii="宋体" w:hAnsi="宋体" w:cs="宋体" w:eastAsia="宋体" w:hint="default"/>
        </w:rPr>
        <w:t>5.</w:t>
      </w:r>
      <w:r>
        <w:rPr>
          <w:rFonts w:ascii="宋体" w:hAnsi="宋体" w:cs="宋体" w:eastAsia="宋体" w:hint="default"/>
          <w:spacing w:val="-11"/>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月，公司向云南省禄劝县投入帮扶资金</w:t>
      </w:r>
      <w:r>
        <w:rPr>
          <w:spacing w:val="-53"/>
        </w:rPr>
        <w:t> </w:t>
      </w:r>
      <w:r>
        <w:rPr>
          <w:rFonts w:ascii="宋体" w:hAnsi="宋体" w:cs="宋体" w:eastAsia="宋体" w:hint="default"/>
        </w:rPr>
        <w:t>150</w:t>
      </w:r>
      <w:r>
        <w:rPr>
          <w:rFonts w:ascii="宋体" w:hAnsi="宋体" w:cs="宋体" w:eastAsia="宋体" w:hint="default"/>
          <w:spacing w:val="-56"/>
        </w:rPr>
        <w:t> </w:t>
      </w:r>
      <w:r>
        <w:rPr/>
        <w:t>万元，连同</w:t>
      </w:r>
      <w:r>
        <w:rPr>
          <w:spacing w:val="-54"/>
        </w:rPr>
        <w:t> </w:t>
      </w:r>
      <w:r>
        <w:rPr>
          <w:rFonts w:ascii="宋体" w:hAnsi="宋体" w:cs="宋体" w:eastAsia="宋体" w:hint="default"/>
        </w:rPr>
        <w:t>2017</w:t>
      </w:r>
      <w:r>
        <w:rPr>
          <w:rFonts w:ascii="宋体" w:hAnsi="宋体" w:cs="宋体" w:eastAsia="宋体" w:hint="default"/>
          <w:spacing w:val="-56"/>
        </w:rPr>
        <w:t> </w:t>
      </w:r>
      <w:r>
        <w:rPr/>
        <w:t>年部分帮扶资金共计</w:t>
      </w:r>
    </w:p>
    <w:p>
      <w:pPr>
        <w:pStyle w:val="BodyText"/>
        <w:spacing w:line="357" w:lineRule="auto" w:before="133"/>
        <w:ind w:left="218" w:right="320"/>
        <w:jc w:val="both"/>
      </w:pPr>
      <w:r>
        <w:rPr>
          <w:rFonts w:ascii="宋体" w:hAnsi="宋体" w:cs="宋体" w:eastAsia="宋体" w:hint="default"/>
        </w:rPr>
        <w:t>200 </w:t>
      </w:r>
      <w:r>
        <w:rPr>
          <w:spacing w:val="-2"/>
        </w:rPr>
        <w:t>万元，用于入股则黑乡与禄劝云郎酱香白酒酒业有限公司合作的高粱酒场项目，则黑乡每年抽</w:t>
      </w:r>
      <w:r>
        <w:rPr>
          <w:spacing w:val="-82"/>
        </w:rPr>
        <w:t> </w:t>
      </w:r>
      <w:r>
        <w:rPr>
          <w:spacing w:val="-82"/>
        </w:rPr>
      </w:r>
      <w:r>
        <w:rPr/>
        <w:t>取</w:t>
      </w:r>
      <w:r>
        <w:rPr>
          <w:spacing w:val="-55"/>
        </w:rPr>
        <w:t> </w:t>
      </w:r>
      <w:r>
        <w:rPr>
          <w:rFonts w:ascii="宋体" w:hAnsi="宋体" w:cs="宋体" w:eastAsia="宋体" w:hint="default"/>
        </w:rPr>
        <w:t>10%</w:t>
      </w:r>
      <w:r>
        <w:rPr/>
        <w:t>的收益分成，用于改善打车村的基础设施建设和公益事业，该项目将使则黑乡打车村</w:t>
      </w:r>
      <w:r>
        <w:rPr>
          <w:spacing w:val="-54"/>
        </w:rPr>
        <w:t> </w:t>
      </w:r>
      <w:r>
        <w:rPr>
          <w:rFonts w:ascii="宋体" w:hAnsi="宋体" w:cs="宋体" w:eastAsia="宋体" w:hint="default"/>
        </w:rPr>
        <w:t>255</w:t>
      </w:r>
      <w:r>
        <w:rPr>
          <w:rFonts w:ascii="宋体" w:hAnsi="宋体" w:cs="宋体" w:eastAsia="宋体" w:hint="default"/>
          <w:spacing w:val="-56"/>
        </w:rPr>
        <w:t> </w:t>
      </w:r>
      <w:r>
        <w:rPr/>
        <w:t>户</w:t>
      </w:r>
      <w:r>
        <w:rPr>
          <w:w w:val="100"/>
        </w:rPr>
        <w:t> </w:t>
      </w:r>
      <w:r>
        <w:rPr/>
        <w:t>建档立卡贫困户受益。</w:t>
      </w:r>
    </w:p>
    <w:p>
      <w:pPr>
        <w:pStyle w:val="BodyText"/>
        <w:spacing w:line="240" w:lineRule="auto" w:before="30"/>
        <w:ind w:left="638" w:right="0"/>
        <w:jc w:val="left"/>
      </w:pPr>
      <w:r>
        <w:rPr>
          <w:rFonts w:ascii="宋体" w:hAnsi="宋体" w:cs="宋体" w:eastAsia="宋体" w:hint="default"/>
        </w:rPr>
        <w:t>6.2018</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月和</w:t>
      </w:r>
      <w:r>
        <w:rPr>
          <w:spacing w:val="-54"/>
        </w:rPr>
        <w:t> </w:t>
      </w:r>
      <w:r>
        <w:rPr>
          <w:rFonts w:ascii="宋体" w:hAnsi="宋体" w:cs="宋体" w:eastAsia="宋体" w:hint="default"/>
        </w:rPr>
        <w:t>12</w:t>
      </w:r>
      <w:r>
        <w:rPr>
          <w:rFonts w:ascii="宋体" w:hAnsi="宋体" w:cs="宋体" w:eastAsia="宋体" w:hint="default"/>
          <w:spacing w:val="-56"/>
        </w:rPr>
        <w:t> </w:t>
      </w:r>
      <w:r>
        <w:rPr/>
        <w:t>月，公司在产业扶贫、智力扶贫的基础上，对云南禄劝县、四川剑阁县、</w:t>
      </w:r>
    </w:p>
    <w:p>
      <w:pPr>
        <w:pStyle w:val="BodyText"/>
        <w:spacing w:line="240" w:lineRule="auto" w:before="133"/>
        <w:ind w:left="218" w:right="0"/>
        <w:jc w:val="both"/>
      </w:pPr>
      <w:r>
        <w:rPr/>
        <w:t>甘肃甘谷县实施了消费扶贫，分别在结对帮扶的禄劝县认购农特产品</w:t>
      </w:r>
      <w:r>
        <w:rPr>
          <w:spacing w:val="-56"/>
        </w:rPr>
        <w:t> </w:t>
      </w:r>
      <w:r>
        <w:rPr>
          <w:rFonts w:ascii="宋体" w:hAnsi="宋体" w:cs="宋体" w:eastAsia="宋体" w:hint="default"/>
        </w:rPr>
        <w:t>116</w:t>
      </w:r>
      <w:r>
        <w:rPr>
          <w:rFonts w:ascii="宋体" w:hAnsi="宋体" w:cs="宋体" w:eastAsia="宋体" w:hint="default"/>
          <w:spacing w:val="-56"/>
        </w:rPr>
        <w:t> </w:t>
      </w:r>
      <w:r>
        <w:rPr/>
        <w:t>万元、在剑阁县、甘谷县</w:t>
      </w:r>
    </w:p>
    <w:p>
      <w:pPr>
        <w:pStyle w:val="BodyText"/>
        <w:spacing w:line="240" w:lineRule="auto" w:before="133"/>
        <w:ind w:left="218" w:right="0"/>
        <w:jc w:val="both"/>
      </w:pPr>
      <w:r>
        <w:rPr/>
        <w:t>各认购价值</w:t>
      </w:r>
      <w:r>
        <w:rPr>
          <w:spacing w:val="-53"/>
        </w:rPr>
        <w:t> </w:t>
      </w:r>
      <w:r>
        <w:rPr>
          <w:rFonts w:ascii="宋体" w:hAnsi="宋体" w:cs="宋体" w:eastAsia="宋体" w:hint="default"/>
        </w:rPr>
        <w:t>30</w:t>
      </w:r>
      <w:r>
        <w:rPr>
          <w:rFonts w:ascii="宋体" w:hAnsi="宋体" w:cs="宋体" w:eastAsia="宋体" w:hint="default"/>
          <w:spacing w:val="-55"/>
        </w:rPr>
        <w:t> </w:t>
      </w:r>
      <w:r>
        <w:rPr/>
        <w:t>万元的农特产品。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5"/>
        <w:tabs>
          <w:tab w:pos="643" w:val="left" w:leader="none"/>
        </w:tabs>
        <w:spacing w:line="240" w:lineRule="auto" w:before="36"/>
        <w:ind w:left="218" w:right="0"/>
        <w:jc w:val="left"/>
        <w:rPr>
          <w:b w:val="0"/>
          <w:bCs w:val="0"/>
        </w:rPr>
      </w:pPr>
      <w:r>
        <w:rPr>
          <w:rFonts w:ascii="宋体" w:hAnsi="宋体" w:cs="宋体" w:eastAsia="宋体" w:hint="default"/>
          <w:w w:val="95"/>
        </w:rPr>
        <w:t>3.</w:t>
        <w:tab/>
      </w:r>
      <w:r>
        <w:rPr/>
        <w:t>精准扶贫成效</w:t>
      </w:r>
      <w:r>
        <w:rPr>
          <w:b w:val="0"/>
          <w:bCs w:val="0"/>
        </w:rPr>
      </w:r>
    </w:p>
    <w:p>
      <w:pPr>
        <w:pStyle w:val="BodyText"/>
        <w:tabs>
          <w:tab w:pos="1262" w:val="left" w:leader="none"/>
        </w:tabs>
        <w:spacing w:line="240" w:lineRule="auto" w:before="59"/>
        <w:ind w:left="0" w:right="231"/>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11"/>
        <w:gridCol w:w="4379"/>
      </w:tblGrid>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tabs>
                <w:tab w:pos="63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7"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791</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2,462</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1645"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 农林产业扶贫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电商扶贫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 资产收益扶贫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科技扶贫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2,462</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职业技能培训投入金额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60"/>
                <w:sz w:val="21"/>
                <w:szCs w:val="21"/>
              </w:rPr>
              <w:t> </w:t>
            </w:r>
            <w:r>
              <w:rPr>
                <w:rFonts w:ascii="宋体" w:hAnsi="宋体" w:cs="宋体" w:eastAsia="宋体" w:hint="default"/>
                <w:sz w:val="21"/>
                <w:szCs w:val="21"/>
              </w:rPr>
              <w:t>帮助建档立卡贫困户实现就业人数（人）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帮助搬迁户就业人数（人）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80" w:footer="1195" w:top="1060" w:bottom="1380" w:left="120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911"/>
        <w:gridCol w:w="4379"/>
      </w:tblGrid>
      <w:tr>
        <w:trPr>
          <w:trHeight w:val="28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150</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5.1</w:t>
            </w:r>
            <w:r>
              <w:rPr>
                <w:rFonts w:ascii="宋体" w:hAnsi="宋体" w:cs="宋体" w:eastAsia="宋体" w:hint="default"/>
                <w:spacing w:val="-54"/>
                <w:sz w:val="21"/>
                <w:szCs w:val="21"/>
              </w:rPr>
              <w:t> </w:t>
            </w:r>
            <w:r>
              <w:rPr>
                <w:rFonts w:ascii="宋体" w:hAnsi="宋体" w:cs="宋体" w:eastAsia="宋体" w:hint="default"/>
                <w:sz w:val="21"/>
                <w:szCs w:val="21"/>
              </w:rPr>
              <w:t>贫困地区医疗卫生资源投入金额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6.1</w:t>
            </w:r>
            <w:r>
              <w:rPr>
                <w:rFonts w:ascii="宋体" w:hAnsi="宋体" w:cs="宋体" w:eastAsia="宋体" w:hint="default"/>
                <w:spacing w:val="-51"/>
                <w:sz w:val="21"/>
                <w:szCs w:val="21"/>
              </w:rPr>
              <w:t> </w:t>
            </w:r>
            <w:r>
              <w:rPr>
                <w:rFonts w:ascii="宋体" w:hAnsi="宋体" w:cs="宋体" w:eastAsia="宋体" w:hint="default"/>
                <w:sz w:val="21"/>
                <w:szCs w:val="21"/>
              </w:rPr>
              <w:t>项目名称</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开展生态保护与建设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建立生态保护补偿方式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设立生态公益岗位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7.1</w:t>
            </w:r>
            <w:r>
              <w:rPr>
                <w:rFonts w:ascii="宋体" w:hAnsi="宋体" w:cs="宋体" w:eastAsia="宋体" w:hint="default"/>
                <w:spacing w:val="-52"/>
                <w:sz w:val="21"/>
                <w:szCs w:val="21"/>
              </w:rPr>
              <w:t> </w:t>
            </w:r>
            <w:r>
              <w:rPr>
                <w:rFonts w:ascii="宋体" w:hAnsi="宋体" w:cs="宋体" w:eastAsia="宋体" w:hint="default"/>
                <w:sz w:val="21"/>
                <w:szCs w:val="21"/>
              </w:rPr>
              <w:t>帮助“三留守”人员投入金额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帮助“三留守”人员数（人）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3"/>
                <w:sz w:val="21"/>
                <w:szCs w:val="21"/>
              </w:rPr>
              <w:t> </w:t>
            </w:r>
            <w:r>
              <w:rPr>
                <w:rFonts w:ascii="宋体" w:hAnsi="宋体" w:cs="宋体" w:eastAsia="宋体" w:hint="default"/>
                <w:sz w:val="21"/>
                <w:szCs w:val="21"/>
              </w:rPr>
              <w:t>帮助贫困残疾人投入金额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帮助贫困残疾人数（人）</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2"/>
                <w:sz w:val="21"/>
                <w:szCs w:val="21"/>
              </w:rPr>
              <w:t> </w:t>
            </w:r>
            <w:r>
              <w:rPr>
                <w:rFonts w:ascii="宋体" w:hAnsi="宋体" w:cs="宋体" w:eastAsia="宋体" w:hint="default"/>
                <w:sz w:val="21"/>
                <w:szCs w:val="21"/>
              </w:rPr>
              <w:t>东西部扶贫协作投入金额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8"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3"/>
                <w:sz w:val="21"/>
                <w:szCs w:val="21"/>
              </w:rPr>
              <w:t> </w:t>
            </w:r>
            <w:r>
              <w:rPr>
                <w:rFonts w:ascii="宋体" w:hAnsi="宋体" w:cs="宋体" w:eastAsia="宋体" w:hint="default"/>
                <w:sz w:val="21"/>
                <w:szCs w:val="21"/>
              </w:rPr>
              <w:t>扶贫公益基金</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w:t>
            </w:r>
          </w:p>
        </w:tc>
      </w:tr>
      <w:tr>
        <w:trPr>
          <w:trHeight w:val="281"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3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个认购项目、</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个金融支持培训班和</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个金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融专题辅导讲座</w:t>
            </w:r>
          </w:p>
        </w:tc>
      </w:tr>
      <w:tr>
        <w:trPr>
          <w:trHeight w:val="283"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年荣获“最佳教育扶贫项目奖”</w:t>
            </w:r>
          </w:p>
        </w:tc>
      </w:tr>
      <w:tr>
        <w:trPr>
          <w:trHeight w:val="554" w:hRule="exact"/>
        </w:trPr>
        <w:tc>
          <w:tcPr>
            <w:tcW w:w="9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月，公司帮扶的江西余干县古埠镇黄岗小学校园改造项目获得</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中国证券期货业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“最佳教育扶贫项目奖”。</w:t>
            </w:r>
          </w:p>
        </w:tc>
      </w:tr>
    </w:tbl>
    <w:p>
      <w:pPr>
        <w:pStyle w:val="BodyText"/>
        <w:spacing w:line="240" w:lineRule="exact"/>
        <w:ind w:left="533" w:right="0"/>
        <w:jc w:val="left"/>
      </w:pPr>
      <w:r>
        <w:rPr>
          <w:spacing w:val="-3"/>
        </w:rPr>
        <w:t>备注：上表所列精准扶贫资金 </w:t>
      </w:r>
      <w:r>
        <w:rPr>
          <w:rFonts w:ascii="宋体" w:hAnsi="宋体" w:cs="宋体" w:eastAsia="宋体" w:hint="default"/>
        </w:rPr>
        <w:t>791</w:t>
      </w:r>
      <w:r>
        <w:rPr>
          <w:rFonts w:ascii="宋体" w:hAnsi="宋体" w:cs="宋体" w:eastAsia="宋体" w:hint="default"/>
          <w:spacing w:val="-52"/>
        </w:rPr>
        <w:t> </w:t>
      </w:r>
      <w:r>
        <w:rPr>
          <w:spacing w:val="-3"/>
        </w:rPr>
        <w:t>万元为中国证券业协会“一司一县”结对帮扶行动所涉及项目</w:t>
      </w:r>
    </w:p>
    <w:p>
      <w:pPr>
        <w:pStyle w:val="BodyText"/>
        <w:spacing w:line="274" w:lineRule="exact"/>
        <w:ind w:left="218" w:right="0"/>
        <w:jc w:val="both"/>
      </w:pPr>
      <w:r>
        <w:rPr/>
        <w:t>资金，不包括公司其他社会公益项目资金。</w:t>
      </w:r>
    </w:p>
    <w:p>
      <w:pPr>
        <w:spacing w:line="240" w:lineRule="auto" w:before="2"/>
        <w:rPr>
          <w:rFonts w:ascii="宋体" w:hAnsi="宋体" w:cs="宋体" w:eastAsia="宋体" w:hint="default"/>
          <w:sz w:val="28"/>
          <w:szCs w:val="28"/>
        </w:rPr>
      </w:pPr>
    </w:p>
    <w:p>
      <w:pPr>
        <w:tabs>
          <w:tab w:pos="643" w:val="left" w:leader="none"/>
        </w:tabs>
        <w:spacing w:line="446" w:lineRule="auto" w:before="0"/>
        <w:ind w:left="744" w:right="228" w:hanging="526"/>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后续精准扶贫计划</w:t>
      </w:r>
      <w:r>
        <w:rPr>
          <w:rFonts w:ascii="宋体" w:hAnsi="宋体" w:cs="宋体" w:eastAsia="宋体" w:hint="default"/>
          <w:b/>
          <w:bCs/>
          <w:spacing w:val="-103"/>
          <w:sz w:val="21"/>
          <w:szCs w:val="21"/>
        </w:rPr>
        <w:t> </w:t>
      </w:r>
      <w:r>
        <w:rPr>
          <w:rFonts w:ascii="宋体" w:hAnsi="宋体" w:cs="宋体" w:eastAsia="宋体" w:hint="default"/>
          <w:spacing w:val="-3"/>
          <w:sz w:val="21"/>
          <w:szCs w:val="21"/>
        </w:rPr>
        <w:t>公司将继续落实证监会关于“资本市场服务脱贫攻坚”的有关要求，按照公司精准扶贫工作统</w:t>
      </w:r>
    </w:p>
    <w:p>
      <w:pPr>
        <w:pStyle w:val="BodyText"/>
        <w:spacing w:line="230" w:lineRule="exact"/>
        <w:ind w:left="218" w:right="0"/>
        <w:jc w:val="both"/>
      </w:pPr>
      <w:r>
        <w:rPr>
          <w:w w:val="100"/>
        </w:rPr>
        <w:t>一部</w:t>
      </w:r>
      <w:r>
        <w:rPr>
          <w:spacing w:val="-3"/>
          <w:w w:val="100"/>
        </w:rPr>
        <w:t>署</w:t>
      </w:r>
      <w:r>
        <w:rPr>
          <w:spacing w:val="-87"/>
          <w:w w:val="100"/>
        </w:rPr>
        <w:t>，</w:t>
      </w:r>
      <w:r>
        <w:rPr>
          <w:w w:val="100"/>
        </w:rPr>
        <w:t>在</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已</w:t>
      </w:r>
      <w:r>
        <w:rPr>
          <w:spacing w:val="-3"/>
          <w:w w:val="100"/>
        </w:rPr>
        <w:t>经开</w:t>
      </w:r>
      <w:r>
        <w:rPr>
          <w:w w:val="100"/>
        </w:rPr>
        <w:t>展的</w:t>
      </w:r>
      <w:r>
        <w:rPr>
          <w:spacing w:val="-3"/>
          <w:w w:val="100"/>
        </w:rPr>
        <w:t>各</w:t>
      </w:r>
      <w:r>
        <w:rPr>
          <w:w w:val="100"/>
        </w:rPr>
        <w:t>项</w:t>
      </w:r>
      <w:r>
        <w:rPr>
          <w:spacing w:val="-3"/>
          <w:w w:val="100"/>
        </w:rPr>
        <w:t>扶</w:t>
      </w:r>
      <w:r>
        <w:rPr>
          <w:w w:val="100"/>
        </w:rPr>
        <w:t>贫</w:t>
      </w:r>
      <w:r>
        <w:rPr>
          <w:spacing w:val="-3"/>
          <w:w w:val="100"/>
        </w:rPr>
        <w:t>工</w:t>
      </w:r>
      <w:r>
        <w:rPr>
          <w:w w:val="100"/>
        </w:rPr>
        <w:t>作</w:t>
      </w:r>
      <w:r>
        <w:rPr>
          <w:spacing w:val="-3"/>
          <w:w w:val="100"/>
        </w:rPr>
        <w:t>和</w:t>
      </w:r>
      <w:r>
        <w:rPr>
          <w:w w:val="100"/>
        </w:rPr>
        <w:t>已</w:t>
      </w:r>
      <w:r>
        <w:rPr>
          <w:spacing w:val="-3"/>
          <w:w w:val="100"/>
        </w:rPr>
        <w:t>取</w:t>
      </w:r>
      <w:r>
        <w:rPr>
          <w:w w:val="100"/>
        </w:rPr>
        <w:t>得的</w:t>
      </w:r>
      <w:r>
        <w:rPr>
          <w:spacing w:val="-3"/>
          <w:w w:val="100"/>
        </w:rPr>
        <w:t>成</w:t>
      </w:r>
      <w:r>
        <w:rPr>
          <w:w w:val="100"/>
        </w:rPr>
        <w:t>果</w:t>
      </w:r>
      <w:r>
        <w:rPr>
          <w:spacing w:val="-3"/>
          <w:w w:val="100"/>
        </w:rPr>
        <w:t>基</w:t>
      </w:r>
      <w:r>
        <w:rPr>
          <w:w w:val="100"/>
        </w:rPr>
        <w:t>础</w:t>
      </w:r>
      <w:r>
        <w:rPr>
          <w:spacing w:val="-3"/>
          <w:w w:val="100"/>
        </w:rPr>
        <w:t>上</w:t>
      </w:r>
      <w:r>
        <w:rPr>
          <w:spacing w:val="-85"/>
          <w:w w:val="100"/>
        </w:rPr>
        <w:t>，</w:t>
      </w:r>
      <w:r>
        <w:rPr>
          <w:spacing w:val="-3"/>
          <w:w w:val="100"/>
        </w:rPr>
        <w:t>继</w:t>
      </w:r>
      <w:r>
        <w:rPr>
          <w:w w:val="100"/>
        </w:rPr>
        <w:t>续</w:t>
      </w:r>
      <w:r>
        <w:rPr>
          <w:spacing w:val="-3"/>
          <w:w w:val="100"/>
        </w:rPr>
        <w:t>做好</w:t>
      </w:r>
      <w:r>
        <w:rPr>
          <w:w w:val="100"/>
        </w:rPr>
        <w:t>现有</w:t>
      </w:r>
      <w:r>
        <w:rPr>
          <w:spacing w:val="-3"/>
          <w:w w:val="100"/>
        </w:rPr>
        <w:t>的</w:t>
      </w:r>
      <w:r>
        <w:rPr>
          <w:w w:val="100"/>
        </w:rPr>
        <w:t>结</w:t>
      </w:r>
      <w:r>
        <w:rPr>
          <w:spacing w:val="-3"/>
          <w:w w:val="100"/>
        </w:rPr>
        <w:t>对</w:t>
      </w:r>
      <w:r>
        <w:rPr>
          <w:w w:val="100"/>
        </w:rPr>
        <w:t>扶</w:t>
      </w:r>
      <w:r>
        <w:rPr>
          <w:spacing w:val="-3"/>
          <w:w w:val="100"/>
        </w:rPr>
        <w:t>贫</w:t>
      </w:r>
      <w:r>
        <w:rPr>
          <w:w w:val="100"/>
        </w:rPr>
        <w:t>工</w:t>
      </w:r>
      <w:r>
        <w:rPr>
          <w:spacing w:val="-3"/>
          <w:w w:val="100"/>
        </w:rPr>
        <w:t>作</w:t>
      </w:r>
      <w:r>
        <w:rPr>
          <w:w w:val="100"/>
        </w:rPr>
        <w:t>，</w:t>
      </w:r>
    </w:p>
    <w:p>
      <w:pPr>
        <w:pStyle w:val="BodyText"/>
        <w:spacing w:line="355" w:lineRule="auto" w:before="133"/>
        <w:ind w:left="218" w:right="268"/>
        <w:jc w:val="both"/>
      </w:pPr>
      <w:r>
        <w:rPr>
          <w:spacing w:val="-2"/>
        </w:rPr>
        <w:t>扎实抓好甘肃省甘谷县、四川省剑阁县、江西省余干县、云南省禄劝县精准帮扶工作。公司将借助</w:t>
      </w:r>
      <w:r>
        <w:rPr>
          <w:spacing w:val="-25"/>
        </w:rPr>
        <w:t> </w:t>
      </w:r>
      <w:r>
        <w:rPr>
          <w:spacing w:val="-25"/>
        </w:rPr>
      </w:r>
      <w:r>
        <w:rPr>
          <w:spacing w:val="-2"/>
        </w:rPr>
        <w:t>专业优势，利用客户资源，依托集团联动，在地方融资、项目引进、资源导入等方面与结对帮扶地</w:t>
      </w:r>
      <w:r>
        <w:rPr>
          <w:spacing w:val="-25"/>
        </w:rPr>
        <w:t> </w:t>
      </w:r>
      <w:r>
        <w:rPr>
          <w:spacing w:val="-25"/>
        </w:rPr>
      </w:r>
      <w:r>
        <w:rPr/>
        <w:t>区加强合作，以期在双方共同努力下，形成具有财通特色、当地特点的精准扶贫新模式。</w:t>
      </w:r>
    </w:p>
    <w:p>
      <w:pPr>
        <w:pStyle w:val="BodyText"/>
        <w:spacing w:line="355" w:lineRule="auto" w:before="34"/>
        <w:ind w:left="218" w:right="0" w:firstLine="420"/>
        <w:jc w:val="left"/>
      </w:pPr>
      <w:r>
        <w:rPr>
          <w:spacing w:val="-1"/>
        </w:rPr>
        <w:t>（</w:t>
      </w:r>
      <w:r>
        <w:rPr>
          <w:rFonts w:ascii="宋体" w:hAnsi="宋体" w:cs="宋体" w:eastAsia="宋体" w:hint="default"/>
          <w:spacing w:val="-1"/>
        </w:rPr>
        <w:t>1</w:t>
      </w:r>
      <w:r>
        <w:rPr>
          <w:spacing w:val="-1"/>
        </w:rPr>
        <w:t>）公司将积极拓展业务空间，推进产业整合，创新并购重组方式，丰富并购重组支付手段，</w:t>
      </w:r>
      <w:r>
        <w:rPr>
          <w:w w:val="100"/>
        </w:rPr>
        <w:t> </w:t>
      </w:r>
      <w:r>
        <w:rPr/>
        <w:t>推动上市公司并购重组贫困地区企业，支持贫困地区企业通过资产注入、引入战略投资者、吸收合</w:t>
      </w:r>
      <w:r>
        <w:rPr>
          <w:w w:val="100"/>
        </w:rPr>
        <w:t> </w:t>
      </w:r>
      <w:r>
        <w:rPr/>
        <w:t>并、整体上市等多种方式做优做强，更好地支持经济结构转型和产业升级。</w:t>
      </w:r>
    </w:p>
    <w:p>
      <w:pPr>
        <w:pStyle w:val="BodyText"/>
        <w:spacing w:line="355" w:lineRule="auto" w:before="32"/>
        <w:ind w:left="218" w:right="0" w:firstLine="420"/>
        <w:jc w:val="left"/>
      </w:pPr>
      <w:r>
        <w:rPr>
          <w:spacing w:val="-3"/>
        </w:rPr>
        <w:t>（</w:t>
      </w:r>
      <w:r>
        <w:rPr>
          <w:rFonts w:ascii="宋体" w:hAnsi="宋体" w:cs="宋体" w:eastAsia="宋体" w:hint="default"/>
          <w:spacing w:val="-3"/>
        </w:rPr>
        <w:t>2</w:t>
      </w:r>
      <w:r>
        <w:rPr>
          <w:spacing w:val="-3"/>
        </w:rPr>
        <w:t>）引导社会资本，促进贫困地区产业发展，服务贫困地区经济发展，通过扶持贫困地区特色</w:t>
      </w:r>
      <w:r>
        <w:rPr>
          <w:w w:val="100"/>
        </w:rPr>
        <w:t> </w:t>
      </w:r>
      <w:r>
        <w:rPr/>
        <w:t>产业，助力贫困地区产业发展，帮助贫困地区从根本上实现脱贫致富。</w:t>
      </w:r>
    </w:p>
    <w:p>
      <w:pPr>
        <w:spacing w:after="0" w:line="355" w:lineRule="auto"/>
        <w:jc w:val="left"/>
        <w:sectPr>
          <w:pgSz w:w="11910" w:h="16840"/>
          <w:pgMar w:header="880" w:footer="1195" w:top="1060" w:bottom="1380" w:left="1200" w:right="1180"/>
        </w:sectPr>
      </w:pPr>
    </w:p>
    <w:p>
      <w:pPr>
        <w:spacing w:line="240" w:lineRule="auto" w:before="8"/>
        <w:rPr>
          <w:rFonts w:ascii="宋体" w:hAnsi="宋体" w:cs="宋体" w:eastAsia="宋体" w:hint="default"/>
          <w:sz w:val="28"/>
          <w:szCs w:val="28"/>
        </w:rPr>
      </w:pPr>
    </w:p>
    <w:p>
      <w:pPr>
        <w:pStyle w:val="BodyText"/>
        <w:spacing w:line="357" w:lineRule="auto" w:before="36"/>
        <w:ind w:right="207" w:firstLine="420"/>
        <w:jc w:val="both"/>
      </w:pPr>
      <w:r>
        <w:rPr>
          <w:spacing w:val="-2"/>
        </w:rPr>
        <w:t>（</w:t>
      </w:r>
      <w:r>
        <w:rPr>
          <w:rFonts w:ascii="宋体" w:hAnsi="宋体" w:cs="宋体" w:eastAsia="宋体" w:hint="default"/>
          <w:spacing w:val="-2"/>
        </w:rPr>
        <w:t>3</w:t>
      </w:r>
      <w:r>
        <w:rPr>
          <w:spacing w:val="-2"/>
        </w:rPr>
        <w:t>）充分发挥资本市场在服务国家脱贫攻坚战略中的作用，利用交易所</w:t>
      </w:r>
      <w:r>
        <w:rPr>
          <w:spacing w:val="-7"/>
        </w:rPr>
        <w:t> </w:t>
      </w:r>
      <w:r>
        <w:rPr>
          <w:rFonts w:ascii="宋体" w:hAnsi="宋体" w:cs="宋体" w:eastAsia="宋体" w:hint="default"/>
          <w:spacing w:val="-2"/>
        </w:rPr>
        <w:t>IPO</w:t>
      </w:r>
      <w:r>
        <w:rPr>
          <w:spacing w:val="-2"/>
        </w:rPr>
        <w:t>、新三板挂牌及债</w:t>
      </w:r>
      <w:r>
        <w:rPr>
          <w:w w:val="100"/>
        </w:rPr>
        <w:t> </w:t>
      </w:r>
      <w:r>
        <w:rPr>
          <w:spacing w:val="-2"/>
        </w:rPr>
        <w:t>权融资对贫困地区企业的绿色通道，积极有效地促进私募市场为贫困地区提供融资服务，通过多层</w:t>
      </w:r>
      <w:r>
        <w:rPr>
          <w:spacing w:val="-25"/>
        </w:rPr>
        <w:t> </w:t>
      </w:r>
      <w:r>
        <w:rPr>
          <w:spacing w:val="-25"/>
        </w:rPr>
      </w:r>
      <w:r>
        <w:rPr/>
        <w:t>次资本市场融资支持结对帮扶县的企业。</w:t>
      </w:r>
    </w:p>
    <w:p>
      <w:pPr>
        <w:pStyle w:val="BodyText"/>
        <w:spacing w:line="355" w:lineRule="auto" w:before="30"/>
        <w:ind w:right="209" w:firstLine="420"/>
        <w:jc w:val="both"/>
      </w:pPr>
      <w:r>
        <w:rPr>
          <w:spacing w:val="-3"/>
        </w:rPr>
        <w:t>（</w:t>
      </w:r>
      <w:r>
        <w:rPr>
          <w:rFonts w:ascii="宋体" w:hAnsi="宋体" w:cs="宋体" w:eastAsia="宋体" w:hint="default"/>
          <w:spacing w:val="-3"/>
        </w:rPr>
        <w:t>4</w:t>
      </w:r>
      <w:r>
        <w:rPr>
          <w:spacing w:val="-3"/>
        </w:rPr>
        <w:t>）为贫困地区提供多方位的资本市场教育培训服务，联合贫困地区政府扶贫机构等相关单位</w:t>
      </w:r>
      <w:r>
        <w:rPr>
          <w:w w:val="100"/>
        </w:rPr>
        <w:t> </w:t>
      </w:r>
      <w:r>
        <w:rPr>
          <w:spacing w:val="-2"/>
        </w:rPr>
        <w:t>举办金融培训班、资本市场发展研讨会，开展业务交流，不断深入探讨证券行业支持贫困地区实体</w:t>
      </w:r>
      <w:r>
        <w:rPr>
          <w:spacing w:val="-25"/>
        </w:rPr>
        <w:t> </w:t>
      </w:r>
      <w:r>
        <w:rPr>
          <w:spacing w:val="-25"/>
        </w:rPr>
      </w:r>
      <w:r>
        <w:rPr/>
        <w:t>经济发展、解决中小微企业融资难等方面的举措思路。</w:t>
      </w:r>
    </w:p>
    <w:p>
      <w:pPr>
        <w:pStyle w:val="BodyText"/>
        <w:spacing w:line="357" w:lineRule="auto" w:before="34"/>
        <w:ind w:right="0" w:firstLine="420"/>
        <w:jc w:val="left"/>
      </w:pPr>
      <w:r>
        <w:rPr>
          <w:spacing w:val="-6"/>
          <w:w w:val="100"/>
        </w:rPr>
        <w:t>（</w:t>
      </w:r>
      <w:r>
        <w:rPr>
          <w:rFonts w:ascii="宋体" w:hAnsi="宋体" w:cs="宋体" w:eastAsia="宋体" w:hint="default"/>
          <w:spacing w:val="-6"/>
          <w:w w:val="100"/>
        </w:rPr>
        <w:t>5</w:t>
      </w:r>
      <w:r>
        <w:rPr>
          <w:spacing w:val="-6"/>
          <w:w w:val="100"/>
        </w:rPr>
        <w:t>）支持贫困地区特色产业发展，充分利用消费扶贫平台发挥互联网在助推脱贫攻坚中的作用，</w:t>
      </w:r>
      <w:r>
        <w:rPr>
          <w:w w:val="100"/>
        </w:rPr>
        <w:t> </w:t>
      </w:r>
      <w:r>
        <w:rPr/>
        <w:t>帮助贫困地区特色产品树立品牌形象，拓宽销售市场。对于需要大批量采购的商品，公司优先考虑</w:t>
      </w:r>
      <w:r>
        <w:rPr>
          <w:w w:val="100"/>
        </w:rPr>
        <w:t> </w:t>
      </w:r>
      <w:r>
        <w:rPr/>
        <w:t>从定点帮扶地区购买，并建立较为长期的购货渠道，支持当地产业发展。</w:t>
      </w:r>
    </w:p>
    <w:p>
      <w:pPr>
        <w:spacing w:line="240" w:lineRule="auto" w:before="0"/>
        <w:rPr>
          <w:rFonts w:ascii="宋体" w:hAnsi="宋体" w:cs="宋体" w:eastAsia="宋体" w:hint="default"/>
          <w:sz w:val="20"/>
          <w:szCs w:val="20"/>
        </w:rPr>
      </w:pPr>
    </w:p>
    <w:p>
      <w:pPr>
        <w:pStyle w:val="Heading5"/>
        <w:tabs>
          <w:tab w:pos="781" w:val="left" w:leader="none"/>
        </w:tabs>
        <w:spacing w:line="240" w:lineRule="auto" w:before="140"/>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BodyText"/>
        <w:spacing w:line="273" w:lineRule="exact" w:before="58"/>
        <w:ind w:right="0"/>
        <w:jc w:val="left"/>
      </w:pPr>
      <w:r>
        <w:rPr/>
        <w:t>√适用 □不适用</w:t>
      </w:r>
    </w:p>
    <w:p>
      <w:pPr>
        <w:pStyle w:val="BodyText"/>
        <w:spacing w:line="273" w:lineRule="exact"/>
        <w:ind w:right="0"/>
        <w:jc w:val="left"/>
      </w:pPr>
      <w:r>
        <w:rPr/>
        <w:t>详见公司</w:t>
      </w:r>
      <w:r>
        <w:rPr>
          <w:spacing w:val="-54"/>
        </w:rPr>
        <w:t> </w:t>
      </w:r>
      <w:r>
        <w:rPr>
          <w:rFonts w:ascii="宋体" w:hAnsi="宋体" w:cs="宋体" w:eastAsia="宋体" w:hint="default"/>
        </w:rPr>
        <w:t>2018</w:t>
      </w:r>
      <w:r>
        <w:rPr>
          <w:rFonts w:ascii="宋体" w:hAnsi="宋体" w:cs="宋体" w:eastAsia="宋体" w:hint="default"/>
          <w:spacing w:val="-56"/>
        </w:rPr>
        <w:t> </w:t>
      </w:r>
      <w:r>
        <w:rPr/>
        <w:t>年度社会责任报告。</w:t>
      </w:r>
    </w:p>
    <w:p>
      <w:pPr>
        <w:spacing w:line="240" w:lineRule="auto" w:before="2"/>
        <w:rPr>
          <w:rFonts w:ascii="宋体" w:hAnsi="宋体" w:cs="宋体" w:eastAsia="宋体" w:hint="default"/>
          <w:sz w:val="28"/>
          <w:szCs w:val="28"/>
        </w:rPr>
      </w:pPr>
    </w:p>
    <w:p>
      <w:pPr>
        <w:pStyle w:val="Heading5"/>
        <w:tabs>
          <w:tab w:pos="781"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pStyle w:val="Heading5"/>
        <w:tabs>
          <w:tab w:pos="563" w:val="left" w:leader="none"/>
        </w:tabs>
        <w:spacing w:line="240" w:lineRule="auto" w:before="58"/>
        <w:ind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spacing w:line="290" w:lineRule="auto" w:before="56"/>
        <w:ind w:left="138" w:right="76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4"/>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40" w:lineRule="auto" w:before="12"/>
        <w:ind w:right="0"/>
        <w:jc w:val="left"/>
      </w:pPr>
      <w:r>
        <w:rPr/>
        <w:t>□适用√不适用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66"/>
        </w:rPr>
        <w:t> </w:t>
      </w:r>
      <w:r>
        <w:rPr/>
        <w:t>防治污染设施的建设和运行情况</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40" w:lineRule="auto" w:before="58"/>
        <w:ind w:right="0"/>
        <w:jc w:val="left"/>
      </w:pPr>
      <w:r>
        <w:rPr/>
        <w:t>□适用√不适用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8"/>
        <w:ind w:right="0"/>
        <w:jc w:val="left"/>
      </w:pPr>
      <w:r>
        <w:rPr/>
        <w:t>□适用√不适用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tabs>
          <w:tab w:pos="563" w:val="left" w:leader="none"/>
        </w:tabs>
        <w:spacing w:line="240" w:lineRule="auto"/>
        <w:ind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446" w:lineRule="auto" w:before="58"/>
        <w:ind w:left="558" w:right="0" w:hanging="420"/>
        <w:jc w:val="left"/>
      </w:pPr>
      <w:r>
        <w:rPr/>
        <w:t>√适用</w:t>
      </w:r>
      <w:r>
        <w:rPr>
          <w:spacing w:val="-2"/>
        </w:rPr>
        <w:t> </w:t>
      </w:r>
      <w:r>
        <w:rPr/>
        <w:t>□不适用</w:t>
      </w:r>
      <w:r>
        <w:rPr>
          <w:spacing w:val="-103"/>
        </w:rPr>
        <w:t> </w:t>
      </w:r>
      <w:r>
        <w:rPr>
          <w:spacing w:val="-103"/>
        </w:rPr>
      </w:r>
      <w:r>
        <w:rPr>
          <w:spacing w:val="-2"/>
        </w:rPr>
        <w:t>公司及下属子公司均不属于环保部门公布的重点排污单位。报告期内，公司不存在因违反环保</w:t>
      </w:r>
    </w:p>
    <w:p>
      <w:pPr>
        <w:pStyle w:val="BodyText"/>
        <w:spacing w:line="228" w:lineRule="exact"/>
        <w:ind w:right="0"/>
        <w:jc w:val="left"/>
      </w:pPr>
      <w:r>
        <w:rPr/>
        <w:t>方面的法律法规而受到处罚的情况。</w:t>
      </w:r>
    </w:p>
    <w:p>
      <w:pPr>
        <w:spacing w:after="0" w:line="228" w:lineRule="exact"/>
        <w:jc w:val="left"/>
        <w:sectPr>
          <w:footerReference w:type="default" r:id="rId27"/>
          <w:pgSz w:w="11910" w:h="16840"/>
          <w:pgMar w:footer="1195" w:header="880" w:top="1060" w:bottom="1380" w:left="1280" w:right="1200"/>
        </w:sectPr>
      </w:pPr>
    </w:p>
    <w:p>
      <w:pPr>
        <w:spacing w:line="240" w:lineRule="auto" w:before="8"/>
        <w:rPr>
          <w:rFonts w:ascii="宋体" w:hAnsi="宋体" w:cs="宋体" w:eastAsia="宋体" w:hint="default"/>
          <w:sz w:val="28"/>
          <w:szCs w:val="28"/>
        </w:rPr>
      </w:pPr>
    </w:p>
    <w:p>
      <w:pPr>
        <w:pStyle w:val="BodyText"/>
        <w:spacing w:line="357" w:lineRule="auto" w:before="36"/>
        <w:ind w:right="168" w:firstLine="420"/>
        <w:jc w:val="both"/>
      </w:pPr>
      <w:r>
        <w:rPr>
          <w:spacing w:val="-2"/>
        </w:rPr>
        <w:t>公司所处的行业是证券行业，主要经营业务证券经纪；证券投资咨询；证券自营；证券承销与</w:t>
      </w:r>
      <w:r>
        <w:rPr>
          <w:w w:val="100"/>
        </w:rPr>
        <w:t> </w:t>
      </w:r>
      <w:r>
        <w:rPr>
          <w:spacing w:val="-2"/>
        </w:rPr>
        <w:t>保荐；融资融券；证券投资基金代销；代销金融产品等。公司向来重视社会责任，重视节能环保，</w:t>
      </w:r>
      <w:r>
        <w:rPr>
          <w:spacing w:val="-26"/>
        </w:rPr>
        <w:t> </w:t>
      </w:r>
      <w:r>
        <w:rPr>
          <w:spacing w:val="-26"/>
        </w:rPr>
      </w:r>
      <w:r>
        <w:rPr>
          <w:spacing w:val="-2"/>
        </w:rPr>
        <w:t>认真执行国家环境保护方面法律、法规，在日常经营管理中，提倡节约能源，倡导绿色办公，尽可</w:t>
      </w:r>
      <w:r>
        <w:rPr>
          <w:spacing w:val="-25"/>
        </w:rPr>
        <w:t> </w:t>
      </w:r>
      <w:r>
        <w:rPr>
          <w:spacing w:val="-25"/>
        </w:rPr>
      </w:r>
      <w:r>
        <w:rPr>
          <w:spacing w:val="-2"/>
        </w:rPr>
        <w:t>能地利用信息技术，建立并使用</w:t>
      </w:r>
      <w:r>
        <w:rPr>
          <w:rFonts w:ascii="宋体" w:hAnsi="宋体" w:cs="宋体" w:eastAsia="宋体" w:hint="default"/>
          <w:spacing w:val="-2"/>
        </w:rPr>
        <w:t>OA</w:t>
      </w:r>
      <w:r>
        <w:rPr>
          <w:spacing w:val="-2"/>
        </w:rPr>
        <w:t>办公系统，实施视频与电话会议，通过电子流转的方式进行业务</w:t>
      </w:r>
      <w:r>
        <w:rPr>
          <w:spacing w:val="-23"/>
        </w:rPr>
        <w:t> </w:t>
      </w:r>
      <w:r>
        <w:rPr>
          <w:spacing w:val="-23"/>
        </w:rPr>
      </w:r>
      <w:r>
        <w:rPr/>
        <w:t>审批。</w:t>
      </w:r>
    </w:p>
    <w:p>
      <w:pPr>
        <w:pStyle w:val="BodyText"/>
        <w:spacing w:line="240" w:lineRule="auto" w:before="30"/>
        <w:ind w:left="558" w:right="0"/>
        <w:jc w:val="left"/>
      </w:pPr>
      <w:r>
        <w:rPr/>
        <w:t>报告期内，公司不存在因违反环保方面的法律法规而受到处罚的情况。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tabs>
          <w:tab w:pos="563" w:val="left" w:leader="none"/>
        </w:tabs>
        <w:spacing w:line="240" w:lineRule="auto"/>
        <w:ind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25"/>
          <w:szCs w:val="25"/>
        </w:rPr>
      </w:pPr>
    </w:p>
    <w:p>
      <w:pPr>
        <w:pStyle w:val="Heading5"/>
        <w:tabs>
          <w:tab w:pos="563" w:val="left" w:leader="none"/>
        </w:tabs>
        <w:spacing w:line="240" w:lineRule="auto"/>
        <w:ind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tabs>
          <w:tab w:pos="781" w:val="left" w:leader="none"/>
        </w:tabs>
        <w:spacing w:line="240" w:lineRule="auto"/>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5"/>
          <w:szCs w:val="25"/>
        </w:rPr>
      </w:pPr>
    </w:p>
    <w:p>
      <w:pPr>
        <w:pStyle w:val="Heading5"/>
        <w:tabs>
          <w:tab w:pos="978" w:val="left" w:leader="none"/>
        </w:tabs>
        <w:spacing w:line="290" w:lineRule="auto"/>
        <w:ind w:right="6671"/>
        <w:jc w:val="left"/>
        <w:rPr>
          <w:b w:val="0"/>
          <w:bCs w:val="0"/>
        </w:rPr>
      </w:pPr>
      <w:r>
        <w:rPr/>
        <w:t>十八、可转换公司债券情况</w:t>
      </w:r>
      <w:r>
        <w:rPr>
          <w:spacing w:val="-103"/>
        </w:rPr>
        <w:t> </w:t>
      </w:r>
      <w:r>
        <w:rPr>
          <w:spacing w:val="-103"/>
        </w:rPr>
      </w:r>
      <w:r>
        <w:rPr>
          <w:rFonts w:ascii="宋体" w:hAnsi="宋体" w:cs="宋体" w:eastAsia="宋体" w:hint="default"/>
          <w:w w:val="95"/>
        </w:rPr>
        <w:t>(</w:t>
      </w:r>
      <w:r>
        <w:rPr>
          <w:w w:val="95"/>
        </w:rPr>
        <w:t>一</w:t>
      </w:r>
      <w:r>
        <w:rPr>
          <w:rFonts w:ascii="宋体" w:hAnsi="宋体" w:cs="宋体" w:eastAsia="宋体" w:hint="default"/>
          <w:w w:val="95"/>
        </w:rPr>
        <w:t>)</w:t>
        <w:tab/>
      </w:r>
      <w:r>
        <w:rPr/>
        <w:t>转债发行情况</w:t>
      </w:r>
      <w:r>
        <w:rPr>
          <w:b w:val="0"/>
          <w:bCs w:val="0"/>
        </w:rPr>
      </w:r>
    </w:p>
    <w:p>
      <w:pPr>
        <w:pStyle w:val="BodyText"/>
        <w:spacing w:line="240" w:lineRule="auto" w:before="12"/>
        <w:ind w:right="0"/>
        <w:jc w:val="left"/>
      </w:pPr>
      <w:r>
        <w:rPr/>
        <w:t>□适用 √不适用</w:t>
      </w:r>
    </w:p>
    <w:p>
      <w:pPr>
        <w:spacing w:line="240" w:lineRule="auto" w:before="3"/>
        <w:rPr>
          <w:rFonts w:ascii="宋体" w:hAnsi="宋体" w:cs="宋体" w:eastAsia="宋体" w:hint="default"/>
          <w:sz w:val="25"/>
          <w:szCs w:val="25"/>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报告期转债持有人及担保人情况</w:t>
      </w:r>
      <w:r>
        <w:rPr>
          <w:b w:val="0"/>
          <w:bCs w:val="0"/>
        </w:rPr>
      </w:r>
    </w:p>
    <w:p>
      <w:pPr>
        <w:pStyle w:val="BodyText"/>
        <w:spacing w:line="240" w:lineRule="auto" w:before="58"/>
        <w:ind w:right="0"/>
        <w:jc w:val="left"/>
      </w:pPr>
      <w:r>
        <w:rPr/>
        <w:t>□适用 √不适用</w:t>
      </w:r>
    </w:p>
    <w:p>
      <w:pPr>
        <w:pStyle w:val="Heading5"/>
        <w:tabs>
          <w:tab w:pos="978" w:val="left" w:leader="none"/>
        </w:tabs>
        <w:spacing w:line="240" w:lineRule="auto" w:before="56"/>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报告期转债变动情况</w:t>
      </w:r>
      <w:r>
        <w:rPr>
          <w:b w:val="0"/>
          <w:bCs w:val="0"/>
        </w:rPr>
      </w:r>
    </w:p>
    <w:p>
      <w:pPr>
        <w:pStyle w:val="BodyText"/>
        <w:spacing w:line="272" w:lineRule="exact" w:before="86"/>
        <w:ind w:right="5408"/>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0" w:lineRule="auto" w:before="108"/>
        <w:ind w:right="0"/>
        <w:jc w:val="left"/>
      </w:pPr>
      <w:r>
        <w:rPr/>
        <w:t>□适用 √不适用</w:t>
      </w:r>
    </w:p>
    <w:p>
      <w:pPr>
        <w:pStyle w:val="Heading5"/>
        <w:tabs>
          <w:tab w:pos="978" w:val="left" w:leader="none"/>
        </w:tabs>
        <w:spacing w:line="240" w:lineRule="auto" w:before="58"/>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转股价格历次调整情况</w:t>
      </w:r>
      <w:r>
        <w:rPr>
          <w:b w:val="0"/>
          <w:bCs w:val="0"/>
        </w:rPr>
      </w:r>
    </w:p>
    <w:p>
      <w:pPr>
        <w:pStyle w:val="BodyText"/>
        <w:spacing w:line="240" w:lineRule="auto" w:before="56"/>
        <w:ind w:right="0"/>
        <w:jc w:val="left"/>
      </w:pPr>
      <w:r>
        <w:rPr/>
        <w:t>□适用 √不适用</w:t>
      </w:r>
    </w:p>
    <w:p>
      <w:pPr>
        <w:pStyle w:val="Heading5"/>
        <w:tabs>
          <w:tab w:pos="978" w:val="left" w:leader="none"/>
        </w:tabs>
        <w:spacing w:line="240" w:lineRule="auto" w:before="58"/>
        <w:ind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公司的负债情况、资信变化情况及在未来年度还债的现金安排</w:t>
      </w:r>
      <w:r>
        <w:rPr>
          <w:b w:val="0"/>
          <w:bCs w:val="0"/>
        </w:rPr>
      </w:r>
    </w:p>
    <w:p>
      <w:pPr>
        <w:pStyle w:val="BodyText"/>
        <w:spacing w:line="240" w:lineRule="auto" w:before="57"/>
        <w:ind w:right="0"/>
        <w:jc w:val="left"/>
      </w:pPr>
      <w:r>
        <w:rPr/>
        <w:t>□适用 √不适用</w:t>
      </w:r>
    </w:p>
    <w:p>
      <w:pPr>
        <w:spacing w:line="240" w:lineRule="auto" w:before="3"/>
        <w:rPr>
          <w:rFonts w:ascii="宋体" w:hAnsi="宋体" w:cs="宋体" w:eastAsia="宋体" w:hint="default"/>
          <w:sz w:val="25"/>
          <w:szCs w:val="25"/>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转债其他情况说明</w:t>
      </w:r>
      <w:r>
        <w:rPr>
          <w:b w:val="0"/>
          <w:bCs w:val="0"/>
        </w:rPr>
      </w:r>
    </w:p>
    <w:p>
      <w:pPr>
        <w:pStyle w:val="BodyText"/>
        <w:spacing w:line="273" w:lineRule="exact" w:before="58"/>
        <w:ind w:right="0"/>
        <w:jc w:val="left"/>
      </w:pPr>
      <w:r>
        <w:rPr/>
        <w:t>√适用 □不适用</w:t>
      </w:r>
    </w:p>
    <w:p>
      <w:pPr>
        <w:pStyle w:val="BodyText"/>
        <w:spacing w:line="357" w:lineRule="auto"/>
        <w:ind w:right="129" w:firstLine="420"/>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spacing w:val="-3"/>
        </w:rPr>
        <w:t>日，公司</w:t>
      </w:r>
      <w:r>
        <w:rPr>
          <w:spacing w:val="-53"/>
        </w:rPr>
        <w:t> </w:t>
      </w:r>
      <w:r>
        <w:rPr>
          <w:rFonts w:ascii="宋体" w:hAnsi="宋体" w:cs="宋体" w:eastAsia="宋体" w:hint="default"/>
        </w:rPr>
        <w:t>2017</w:t>
      </w:r>
      <w:r>
        <w:rPr>
          <w:rFonts w:ascii="宋体" w:hAnsi="宋体" w:cs="宋体" w:eastAsia="宋体" w:hint="default"/>
          <w:spacing w:val="-54"/>
        </w:rPr>
        <w:t> </w:t>
      </w:r>
      <w:r>
        <w:rPr/>
        <w:t>年度股东大会审议通过了《关于公开发行可转换公司债券方案的</w:t>
      </w:r>
      <w:r>
        <w:rPr>
          <w:w w:val="100"/>
        </w:rPr>
        <w:t> </w:t>
      </w:r>
      <w:r>
        <w:rPr>
          <w:spacing w:val="-2"/>
        </w:rPr>
        <w:t>议案》、《关于提请股东大会授权董事会办理本次公开发行可转换公司债券相关事宜的议案》等议</w:t>
      </w:r>
      <w:r>
        <w:rPr>
          <w:spacing w:val="-25"/>
        </w:rPr>
        <w:t> </w:t>
      </w:r>
      <w:r>
        <w:rPr>
          <w:spacing w:val="-25"/>
        </w:rPr>
      </w:r>
      <w:r>
        <w:rPr/>
        <w:t>案，批准公司公开发行不超过人民币</w:t>
      </w:r>
      <w:r>
        <w:rPr>
          <w:spacing w:val="-54"/>
        </w:rPr>
        <w:t> </w:t>
      </w:r>
      <w:r>
        <w:rPr>
          <w:rFonts w:ascii="宋体" w:hAnsi="宋体" w:cs="宋体" w:eastAsia="宋体" w:hint="default"/>
        </w:rPr>
        <w:t>38</w:t>
      </w:r>
      <w:r>
        <w:rPr>
          <w:rFonts w:ascii="宋体" w:hAnsi="宋体" w:cs="宋体" w:eastAsia="宋体" w:hint="default"/>
          <w:spacing w:val="-56"/>
        </w:rPr>
        <w:t> </w:t>
      </w:r>
      <w:r>
        <w:rPr/>
        <w:t>亿元（含</w:t>
      </w:r>
      <w:r>
        <w:rPr>
          <w:spacing w:val="-56"/>
        </w:rPr>
        <w:t> </w:t>
      </w:r>
      <w:r>
        <w:rPr>
          <w:rFonts w:ascii="宋体" w:hAnsi="宋体" w:cs="宋体" w:eastAsia="宋体" w:hint="default"/>
        </w:rPr>
        <w:t>38</w:t>
      </w:r>
      <w:r>
        <w:rPr>
          <w:rFonts w:ascii="宋体" w:hAnsi="宋体" w:cs="宋体" w:eastAsia="宋体" w:hint="default"/>
          <w:spacing w:val="-54"/>
        </w:rPr>
        <w:t> </w:t>
      </w:r>
      <w:r>
        <w:rPr/>
        <w:t>亿元）的可转换公司债券（以下简称“本次公</w:t>
      </w:r>
      <w:r>
        <w:rPr>
          <w:w w:val="100"/>
        </w:rPr>
        <w:t> </w:t>
      </w:r>
      <w:r>
        <w:rPr>
          <w:spacing w:val="-2"/>
        </w:rPr>
        <w:t>开发行可转债”）。截止目前，公司本次公开发行可转债已取得浙江省财政厅批复，尚需取得行业</w:t>
      </w:r>
      <w:r>
        <w:rPr>
          <w:spacing w:val="-25"/>
        </w:rPr>
        <w:t> </w:t>
      </w:r>
      <w:r>
        <w:rPr>
          <w:spacing w:val="-25"/>
        </w:rPr>
      </w:r>
      <w:r>
        <w:rPr/>
        <w:t>监管部门批准及中国证券监督管理委员会核准。</w:t>
      </w:r>
    </w:p>
    <w:p>
      <w:pPr>
        <w:spacing w:after="0" w:line="357" w:lineRule="auto"/>
        <w:jc w:val="both"/>
        <w:sectPr>
          <w:footerReference w:type="default" r:id="rId28"/>
          <w:pgSz w:w="11910" w:h="16840"/>
          <w:pgMar w:footer="1195" w:header="880" w:top="1060" w:bottom="1380" w:left="1280" w:right="1280"/>
          <w:pgNumType w:start="61"/>
        </w:sectPr>
      </w:pPr>
    </w:p>
    <w:p>
      <w:pPr>
        <w:spacing w:line="240" w:lineRule="auto" w:before="3"/>
        <w:rPr>
          <w:rFonts w:ascii="宋体" w:hAnsi="宋体" w:cs="宋体" w:eastAsia="宋体" w:hint="default"/>
          <w:sz w:val="29"/>
          <w:szCs w:val="29"/>
        </w:rPr>
      </w:pPr>
    </w:p>
    <w:p>
      <w:pPr>
        <w:pStyle w:val="Heading1"/>
        <w:tabs>
          <w:tab w:pos="3696" w:val="left" w:leader="none"/>
        </w:tabs>
        <w:spacing w:line="240" w:lineRule="auto" w:before="14"/>
        <w:ind w:left="2436" w:right="0"/>
        <w:jc w:val="left"/>
        <w:rPr>
          <w:b w:val="0"/>
          <w:bCs w:val="0"/>
        </w:rPr>
      </w:pPr>
      <w:bookmarkStart w:name="_TOC_250007"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5"/>
        <w:spacing w:line="290" w:lineRule="auto"/>
        <w:ind w:left="218" w:right="6613"/>
        <w:jc w:val="left"/>
        <w:rPr>
          <w:b w:val="0"/>
          <w:bCs w:val="0"/>
        </w:rPr>
      </w:pPr>
      <w:r>
        <w:rPr/>
        <w:t>一、</w:t>
      </w:r>
      <w:r>
        <w:rPr>
          <w:spacing w:val="-78"/>
        </w:rPr>
        <w:t> </w:t>
      </w:r>
      <w:r>
        <w:rPr/>
        <w:t>普通股股本变动情况</w:t>
      </w:r>
      <w:r>
        <w:rPr>
          <w:spacing w:val="-103"/>
        </w:rPr>
        <w:t> </w:t>
      </w:r>
      <w:r>
        <w:rPr>
          <w:spacing w:val="-103"/>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8"/>
        </w:rPr>
        <w:t> </w:t>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14"/>
        <w:ind w:left="218" w:right="0"/>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spacing w:line="240" w:lineRule="auto" w:before="56"/>
        <w:ind w:left="21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9"/>
        <w:ind w:left="21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6"/>
        <w:ind w:left="21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1200" w:right="1180"/>
        </w:sectPr>
      </w:pPr>
    </w:p>
    <w:p>
      <w:pPr>
        <w:pStyle w:val="Heading5"/>
        <w:spacing w:line="240" w:lineRule="auto" w:before="36"/>
        <w:ind w:left="218" w:right="-1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0"/>
        </w:rPr>
        <w:t> </w:t>
      </w:r>
      <w:r>
        <w:rPr/>
        <w:t>限售股份变动情况</w:t>
      </w:r>
      <w:r>
        <w:rPr>
          <w:b w:val="0"/>
          <w:bCs w:val="0"/>
        </w:rPr>
      </w:r>
    </w:p>
    <w:p>
      <w:pPr>
        <w:pStyle w:val="BodyText"/>
        <w:spacing w:line="240" w:lineRule="auto" w:before="58"/>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060" w:bottom="1380" w:left="1200" w:right="1180"/>
          <w:cols w:num="2" w:equalWidth="0">
            <w:col w:w="2475" w:space="5758"/>
            <w:col w:w="129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82"/>
        <w:gridCol w:w="1388"/>
        <w:gridCol w:w="1409"/>
        <w:gridCol w:w="850"/>
        <w:gridCol w:w="1419"/>
        <w:gridCol w:w="1659"/>
        <w:gridCol w:w="1284"/>
      </w:tblGrid>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6" w:right="161" w:hanging="360"/>
              <w:jc w:val="left"/>
              <w:rPr>
                <w:rFonts w:ascii="宋体" w:hAnsi="宋体" w:cs="宋体" w:eastAsia="宋体" w:hint="default"/>
                <w:sz w:val="18"/>
                <w:szCs w:val="18"/>
              </w:rPr>
            </w:pPr>
            <w:r>
              <w:rPr>
                <w:rFonts w:ascii="宋体" w:hAnsi="宋体" w:cs="宋体" w:eastAsia="宋体" w:hint="default"/>
                <w:sz w:val="18"/>
                <w:szCs w:val="18"/>
              </w:rPr>
              <w:t>本年解除限售 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本年增</w:t>
            </w:r>
          </w:p>
          <w:p>
            <w:pPr>
              <w:pStyle w:val="TableParagraph"/>
              <w:spacing w:line="232" w:lineRule="exact" w:before="23"/>
              <w:ind w:left="240" w:right="146" w:hanging="89"/>
              <w:jc w:val="left"/>
              <w:rPr>
                <w:rFonts w:ascii="宋体" w:hAnsi="宋体" w:cs="宋体" w:eastAsia="宋体" w:hint="default"/>
                <w:sz w:val="18"/>
                <w:szCs w:val="18"/>
              </w:rPr>
            </w:pPr>
            <w:r>
              <w:rPr>
                <w:rFonts w:ascii="宋体" w:hAnsi="宋体" w:cs="宋体" w:eastAsia="宋体" w:hint="default"/>
                <w:sz w:val="18"/>
                <w:szCs w:val="18"/>
              </w:rPr>
              <w:t>加限售 股数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47" w:right="185" w:hanging="360"/>
              <w:jc w:val="left"/>
              <w:rPr>
                <w:rFonts w:ascii="宋体" w:hAnsi="宋体" w:cs="宋体" w:eastAsia="宋体" w:hint="default"/>
                <w:sz w:val="18"/>
                <w:szCs w:val="18"/>
              </w:rPr>
            </w:pPr>
            <w:r>
              <w:rPr>
                <w:rFonts w:ascii="宋体" w:hAnsi="宋体" w:cs="宋体" w:eastAsia="宋体" w:hint="default"/>
                <w:sz w:val="18"/>
                <w:szCs w:val="18"/>
              </w:rPr>
              <w:t>解除限售日 期</w:t>
            </w: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浙江省金融</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控股有限公</w:t>
            </w:r>
            <w:r>
              <w:rPr>
                <w:rFonts w:ascii="宋体" w:hAnsi="宋体" w:cs="宋体" w:eastAsia="宋体" w:hint="default"/>
                <w:spacing w:val="-50"/>
                <w:sz w:val="18"/>
                <w:szCs w:val="18"/>
              </w:rPr>
              <w:t> </w:t>
            </w:r>
            <w:r>
              <w:rPr>
                <w:rFonts w:ascii="宋体" w:hAnsi="宋体" w:cs="宋体" w:eastAsia="宋体" w:hint="default"/>
                <w:sz w:val="18"/>
                <w:szCs w:val="18"/>
              </w:rPr>
              <w:t>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1,157,521,889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1,157,521,889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浙江天堂硅</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32"/>
                <w:sz w:val="18"/>
                <w:szCs w:val="18"/>
              </w:rPr>
              <w:t>谷银嘉创业</w:t>
            </w:r>
            <w:r>
              <w:rPr>
                <w:rFonts w:ascii="宋体" w:hAnsi="宋体" w:cs="宋体" w:eastAsia="宋体" w:hint="default"/>
                <w:spacing w:val="-50"/>
                <w:sz w:val="18"/>
                <w:szCs w:val="18"/>
              </w:rPr>
              <w:t> </w:t>
            </w:r>
            <w:r>
              <w:rPr>
                <w:rFonts w:ascii="宋体" w:hAnsi="宋体" w:cs="宋体" w:eastAsia="宋体" w:hint="default"/>
                <w:spacing w:val="32"/>
                <w:sz w:val="18"/>
                <w:szCs w:val="18"/>
              </w:rPr>
              <w:t>投资合伙企</w:t>
            </w:r>
            <w:r>
              <w:rPr>
                <w:rFonts w:ascii="宋体" w:hAnsi="宋体" w:cs="宋体" w:eastAsia="宋体" w:hint="default"/>
                <w:spacing w:val="-50"/>
                <w:sz w:val="18"/>
                <w:szCs w:val="18"/>
              </w:rPr>
              <w:t> </w:t>
            </w:r>
            <w:r>
              <w:rPr>
                <w:rFonts w:ascii="宋体" w:hAnsi="宋体" w:cs="宋体" w:eastAsia="宋体" w:hint="default"/>
                <w:spacing w:val="32"/>
                <w:sz w:val="18"/>
                <w:szCs w:val="18"/>
              </w:rPr>
              <w:t>业（有限合</w:t>
            </w:r>
            <w:r>
              <w:rPr>
                <w:rFonts w:ascii="宋体" w:hAnsi="宋体" w:cs="宋体" w:eastAsia="宋体" w:hint="default"/>
                <w:spacing w:val="-50"/>
                <w:sz w:val="18"/>
                <w:szCs w:val="18"/>
              </w:rPr>
              <w:t> </w:t>
            </w:r>
            <w:r>
              <w:rPr>
                <w:rFonts w:ascii="宋体" w:hAnsi="宋体" w:cs="宋体" w:eastAsia="宋体" w:hint="default"/>
                <w:sz w:val="18"/>
                <w:szCs w:val="18"/>
              </w:rPr>
              <w:t>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165,000,000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165,000,000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杭州万丰锦</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32"/>
                <w:sz w:val="18"/>
                <w:szCs w:val="18"/>
              </w:rPr>
              <w:t>源京新股权</w:t>
            </w:r>
            <w:r>
              <w:rPr>
                <w:rFonts w:ascii="宋体" w:hAnsi="宋体" w:cs="宋体" w:eastAsia="宋体" w:hint="default"/>
                <w:spacing w:val="-50"/>
                <w:sz w:val="18"/>
                <w:szCs w:val="18"/>
              </w:rPr>
              <w:t> </w:t>
            </w:r>
            <w:r>
              <w:rPr>
                <w:rFonts w:ascii="宋体" w:hAnsi="宋体" w:cs="宋体" w:eastAsia="宋体" w:hint="default"/>
                <w:spacing w:val="32"/>
                <w:sz w:val="18"/>
                <w:szCs w:val="18"/>
              </w:rPr>
              <w:t>投资合伙企</w:t>
            </w:r>
            <w:r>
              <w:rPr>
                <w:rFonts w:ascii="宋体" w:hAnsi="宋体" w:cs="宋体" w:eastAsia="宋体" w:hint="default"/>
                <w:spacing w:val="-50"/>
                <w:sz w:val="18"/>
                <w:szCs w:val="18"/>
              </w:rPr>
              <w:t> </w:t>
            </w:r>
            <w:r>
              <w:rPr>
                <w:rFonts w:ascii="宋体" w:hAnsi="宋体" w:cs="宋体" w:eastAsia="宋体" w:hint="default"/>
                <w:spacing w:val="32"/>
                <w:sz w:val="18"/>
                <w:szCs w:val="18"/>
              </w:rPr>
              <w:t>业（有限合</w:t>
            </w:r>
            <w:r>
              <w:rPr>
                <w:rFonts w:ascii="宋体" w:hAnsi="宋体" w:cs="宋体" w:eastAsia="宋体" w:hint="default"/>
                <w:spacing w:val="-50"/>
                <w:sz w:val="18"/>
                <w:szCs w:val="18"/>
              </w:rPr>
              <w:t> </w:t>
            </w:r>
            <w:r>
              <w:rPr>
                <w:rFonts w:ascii="宋体" w:hAnsi="宋体" w:cs="宋体" w:eastAsia="宋体" w:hint="default"/>
                <w:sz w:val="18"/>
                <w:szCs w:val="18"/>
              </w:rPr>
              <w:t>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杭州邮政科</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技实业有限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122000000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浙江中大集</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团投资有限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118000000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118000000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台州市金融</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62"/>
              <w:jc w:val="left"/>
              <w:rPr>
                <w:rFonts w:ascii="宋体" w:hAnsi="宋体" w:cs="宋体" w:eastAsia="宋体" w:hint="default"/>
                <w:sz w:val="18"/>
                <w:szCs w:val="18"/>
              </w:rPr>
            </w:pPr>
            <w:r>
              <w:rPr>
                <w:rFonts w:ascii="宋体" w:hAnsi="宋体" w:cs="宋体" w:eastAsia="宋体" w:hint="default"/>
                <w:spacing w:val="32"/>
                <w:sz w:val="18"/>
                <w:szCs w:val="18"/>
              </w:rPr>
              <w:t>投资有限责</w:t>
            </w:r>
            <w:r>
              <w:rPr>
                <w:rFonts w:ascii="宋体" w:hAnsi="宋体" w:cs="宋体" w:eastAsia="宋体" w:hint="default"/>
                <w:spacing w:val="-50"/>
                <w:sz w:val="18"/>
                <w:szCs w:val="18"/>
              </w:rPr>
              <w:t> </w:t>
            </w:r>
            <w:r>
              <w:rPr>
                <w:rFonts w:ascii="宋体" w:hAnsi="宋体" w:cs="宋体" w:eastAsia="宋体" w:hint="default"/>
                <w:sz w:val="18"/>
                <w:szCs w:val="18"/>
              </w:rPr>
              <w:t>任公司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106329439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106329439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维科控股集</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62"/>
              <w:jc w:val="left"/>
              <w:rPr>
                <w:rFonts w:ascii="宋体" w:hAnsi="宋体" w:cs="宋体" w:eastAsia="宋体" w:hint="default"/>
                <w:sz w:val="18"/>
                <w:szCs w:val="18"/>
              </w:rPr>
            </w:pPr>
            <w:r>
              <w:rPr>
                <w:rFonts w:ascii="宋体" w:hAnsi="宋体" w:cs="宋体" w:eastAsia="宋体" w:hint="default"/>
                <w:spacing w:val="32"/>
                <w:sz w:val="18"/>
                <w:szCs w:val="18"/>
              </w:rPr>
              <w:t>团股份有限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杭州恒鑫股</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before="23"/>
              <w:ind w:left="103" w:right="62"/>
              <w:jc w:val="both"/>
              <w:rPr>
                <w:rFonts w:ascii="宋体" w:hAnsi="宋体" w:cs="宋体" w:eastAsia="宋体" w:hint="default"/>
                <w:sz w:val="18"/>
                <w:szCs w:val="18"/>
              </w:rPr>
            </w:pPr>
            <w:r>
              <w:rPr>
                <w:rFonts w:ascii="宋体" w:hAnsi="宋体" w:cs="宋体" w:eastAsia="宋体" w:hint="default"/>
                <w:spacing w:val="32"/>
                <w:sz w:val="18"/>
                <w:szCs w:val="18"/>
              </w:rPr>
              <w:t>权投资合伙</w:t>
            </w:r>
            <w:r>
              <w:rPr>
                <w:rFonts w:ascii="宋体" w:hAnsi="宋体" w:cs="宋体" w:eastAsia="宋体" w:hint="default"/>
                <w:spacing w:val="-50"/>
                <w:sz w:val="18"/>
                <w:szCs w:val="18"/>
              </w:rPr>
              <w:t> </w:t>
            </w:r>
            <w:r>
              <w:rPr>
                <w:rFonts w:ascii="宋体" w:hAnsi="宋体" w:cs="宋体" w:eastAsia="宋体" w:hint="default"/>
                <w:spacing w:val="-3"/>
                <w:sz w:val="18"/>
                <w:szCs w:val="18"/>
              </w:rPr>
              <w:t>企业（有限合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24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 w:right="0"/>
              <w:jc w:val="center"/>
              <w:rPr>
                <w:rFonts w:ascii="宋体" w:hAnsi="宋体" w:cs="宋体" w:eastAsia="宋体" w:hint="default"/>
                <w:sz w:val="18"/>
                <w:szCs w:val="18"/>
              </w:rPr>
            </w:pPr>
            <w:r>
              <w:rPr>
                <w:rFonts w:ascii="宋体" w:hAnsi="宋体" w:cs="宋体" w:eastAsia="宋体" w:hint="default"/>
                <w:spacing w:val="32"/>
                <w:sz w:val="18"/>
                <w:szCs w:val="18"/>
              </w:rPr>
              <w:t>浙江华联集</w:t>
            </w:r>
            <w:r>
              <w:rPr>
                <w:rFonts w:ascii="宋体" w:hAnsi="宋体" w:cs="宋体" w:eastAsia="宋体" w:hint="default"/>
                <w:spacing w:val="-50"/>
                <w:sz w:val="18"/>
                <w:szCs w:val="18"/>
              </w:rPr>
              <w:t> </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84145283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84145283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tc>
      </w:tr>
    </w:tbl>
    <w:p>
      <w:pPr>
        <w:spacing w:after="0" w:line="208" w:lineRule="exact"/>
        <w:jc w:val="left"/>
        <w:rPr>
          <w:rFonts w:ascii="宋体" w:hAnsi="宋体" w:cs="宋体" w:eastAsia="宋体" w:hint="default"/>
          <w:sz w:val="18"/>
          <w:szCs w:val="18"/>
        </w:rPr>
        <w:sectPr>
          <w:type w:val="continuous"/>
          <w:pgSz w:w="11910" w:h="16840"/>
          <w:pgMar w:top="1060" w:bottom="138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282"/>
        <w:gridCol w:w="1388"/>
        <w:gridCol w:w="1409"/>
        <w:gridCol w:w="850"/>
        <w:gridCol w:w="1419"/>
        <w:gridCol w:w="1659"/>
        <w:gridCol w:w="1284"/>
      </w:tblGrid>
      <w:tr>
        <w:trPr>
          <w:trHeight w:val="24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苏泊尔集团</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79002426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79002426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117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石河子睿德</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32"/>
                <w:sz w:val="18"/>
                <w:szCs w:val="18"/>
              </w:rPr>
              <w:t>信财通股权</w:t>
            </w:r>
            <w:r>
              <w:rPr>
                <w:rFonts w:ascii="宋体" w:hAnsi="宋体" w:cs="宋体" w:eastAsia="宋体" w:hint="default"/>
                <w:spacing w:val="-50"/>
                <w:sz w:val="18"/>
                <w:szCs w:val="18"/>
              </w:rPr>
              <w:t> </w:t>
            </w:r>
            <w:r>
              <w:rPr>
                <w:rFonts w:ascii="宋体" w:hAnsi="宋体" w:cs="宋体" w:eastAsia="宋体" w:hint="default"/>
                <w:spacing w:val="32"/>
                <w:sz w:val="18"/>
                <w:szCs w:val="18"/>
              </w:rPr>
              <w:t>投资合伙企</w:t>
            </w:r>
            <w:r>
              <w:rPr>
                <w:rFonts w:ascii="宋体" w:hAnsi="宋体" w:cs="宋体" w:eastAsia="宋体" w:hint="default"/>
                <w:spacing w:val="-50"/>
                <w:sz w:val="18"/>
                <w:szCs w:val="18"/>
              </w:rPr>
              <w:t> </w:t>
            </w:r>
            <w:r>
              <w:rPr>
                <w:rFonts w:ascii="宋体" w:hAnsi="宋体" w:cs="宋体" w:eastAsia="宋体" w:hint="default"/>
                <w:spacing w:val="32"/>
                <w:sz w:val="18"/>
                <w:szCs w:val="18"/>
              </w:rPr>
              <w:t>业（有限合</w:t>
            </w:r>
            <w:r>
              <w:rPr>
                <w:rFonts w:ascii="宋体" w:hAnsi="宋体" w:cs="宋体" w:eastAsia="宋体" w:hint="default"/>
                <w:spacing w:val="-50"/>
                <w:sz w:val="18"/>
                <w:szCs w:val="18"/>
              </w:rPr>
              <w:t> </w:t>
            </w:r>
            <w:r>
              <w:rPr>
                <w:rFonts w:ascii="宋体" w:hAnsi="宋体" w:cs="宋体" w:eastAsia="宋体" w:hint="default"/>
                <w:sz w:val="18"/>
                <w:szCs w:val="18"/>
              </w:rPr>
              <w:t>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浙江省交通</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62"/>
              <w:jc w:val="left"/>
              <w:rPr>
                <w:rFonts w:ascii="宋体" w:hAnsi="宋体" w:cs="宋体" w:eastAsia="宋体" w:hint="default"/>
                <w:sz w:val="18"/>
                <w:szCs w:val="18"/>
              </w:rPr>
            </w:pPr>
            <w:r>
              <w:rPr>
                <w:rFonts w:ascii="宋体" w:hAnsi="宋体" w:cs="宋体" w:eastAsia="宋体" w:hint="default"/>
                <w:spacing w:val="32"/>
                <w:sz w:val="18"/>
                <w:szCs w:val="18"/>
              </w:rPr>
              <w:t>投资集团有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72796735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72796735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绍兴柯桥明</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32"/>
                <w:sz w:val="18"/>
                <w:szCs w:val="18"/>
              </w:rPr>
              <w:t>源股权投资</w:t>
            </w:r>
            <w:r>
              <w:rPr>
                <w:rFonts w:ascii="宋体" w:hAnsi="宋体" w:cs="宋体" w:eastAsia="宋体" w:hint="default"/>
                <w:spacing w:val="-50"/>
                <w:sz w:val="18"/>
                <w:szCs w:val="18"/>
              </w:rPr>
              <w:t> </w:t>
            </w:r>
            <w:r>
              <w:rPr>
                <w:rFonts w:ascii="宋体" w:hAnsi="宋体" w:cs="宋体" w:eastAsia="宋体" w:hint="default"/>
                <w:spacing w:val="-3"/>
                <w:sz w:val="18"/>
                <w:szCs w:val="18"/>
              </w:rPr>
              <w:t>合伙企业（有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68849775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68849775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杭州富阳工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62"/>
              <w:jc w:val="both"/>
              <w:rPr>
                <w:rFonts w:ascii="宋体" w:hAnsi="宋体" w:cs="宋体" w:eastAsia="宋体" w:hint="default"/>
                <w:sz w:val="18"/>
                <w:szCs w:val="18"/>
              </w:rPr>
            </w:pPr>
            <w:r>
              <w:rPr>
                <w:rFonts w:ascii="宋体" w:hAnsi="宋体" w:cs="宋体" w:eastAsia="宋体" w:hint="default"/>
                <w:spacing w:val="32"/>
                <w:sz w:val="18"/>
                <w:szCs w:val="18"/>
              </w:rPr>
              <w:t>贸资产经营</w:t>
            </w:r>
            <w:r>
              <w:rPr>
                <w:rFonts w:ascii="宋体" w:hAnsi="宋体" w:cs="宋体" w:eastAsia="宋体" w:hint="default"/>
                <w:spacing w:val="-50"/>
                <w:sz w:val="18"/>
                <w:szCs w:val="18"/>
              </w:rPr>
              <w:t> </w:t>
            </w:r>
            <w:r>
              <w:rPr>
                <w:rFonts w:ascii="宋体" w:hAnsi="宋体" w:cs="宋体" w:eastAsia="宋体" w:hint="default"/>
                <w:spacing w:val="32"/>
                <w:sz w:val="18"/>
                <w:szCs w:val="18"/>
              </w:rPr>
              <w:t>投资集团有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65707138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65707138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诸暨华睿嘉</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both"/>
              <w:rPr>
                <w:rFonts w:ascii="宋体" w:hAnsi="宋体" w:cs="宋体" w:eastAsia="宋体" w:hint="default"/>
                <w:sz w:val="18"/>
                <w:szCs w:val="18"/>
              </w:rPr>
            </w:pPr>
            <w:r>
              <w:rPr>
                <w:rFonts w:ascii="宋体" w:hAnsi="宋体" w:cs="宋体" w:eastAsia="宋体" w:hint="default"/>
                <w:spacing w:val="32"/>
                <w:sz w:val="18"/>
                <w:szCs w:val="18"/>
              </w:rPr>
              <w:t>银创业投资</w:t>
            </w:r>
            <w:r>
              <w:rPr>
                <w:rFonts w:ascii="宋体" w:hAnsi="宋体" w:cs="宋体" w:eastAsia="宋体" w:hint="default"/>
                <w:spacing w:val="-50"/>
                <w:sz w:val="18"/>
                <w:szCs w:val="18"/>
              </w:rPr>
              <w:t> </w:t>
            </w:r>
            <w:r>
              <w:rPr>
                <w:rFonts w:ascii="宋体" w:hAnsi="宋体" w:cs="宋体" w:eastAsia="宋体" w:hint="default"/>
                <w:spacing w:val="-3"/>
                <w:sz w:val="18"/>
                <w:szCs w:val="18"/>
              </w:rPr>
              <w:t>合伙企业（有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西藏工布江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32"/>
                <w:sz w:val="18"/>
                <w:szCs w:val="18"/>
              </w:rPr>
              <w:t>达县九盛投</w:t>
            </w:r>
            <w:r>
              <w:rPr>
                <w:rFonts w:ascii="宋体" w:hAnsi="宋体" w:cs="宋体" w:eastAsia="宋体" w:hint="default"/>
                <w:spacing w:val="-50"/>
                <w:sz w:val="18"/>
                <w:szCs w:val="18"/>
              </w:rPr>
              <w:t> </w:t>
            </w:r>
            <w:r>
              <w:rPr>
                <w:rFonts w:ascii="宋体" w:hAnsi="宋体" w:cs="宋体" w:eastAsia="宋体" w:hint="default"/>
                <w:spacing w:val="32"/>
                <w:sz w:val="18"/>
                <w:szCs w:val="18"/>
              </w:rPr>
              <w:t>资有限责任</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浙江兴发化</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62"/>
              <w:jc w:val="left"/>
              <w:rPr>
                <w:rFonts w:ascii="宋体" w:hAnsi="宋体" w:cs="宋体" w:eastAsia="宋体" w:hint="default"/>
                <w:sz w:val="18"/>
                <w:szCs w:val="18"/>
              </w:rPr>
            </w:pPr>
            <w:r>
              <w:rPr>
                <w:rFonts w:ascii="宋体" w:hAnsi="宋体" w:cs="宋体" w:eastAsia="宋体" w:hint="default"/>
                <w:spacing w:val="32"/>
                <w:sz w:val="18"/>
                <w:szCs w:val="18"/>
              </w:rPr>
              <w:t>纤集团有限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9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杭州崇福众</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32"/>
                <w:sz w:val="18"/>
                <w:szCs w:val="18"/>
              </w:rPr>
              <w:t>财投资合伙</w:t>
            </w:r>
            <w:r>
              <w:rPr>
                <w:rFonts w:ascii="宋体" w:hAnsi="宋体" w:cs="宋体" w:eastAsia="宋体" w:hint="default"/>
                <w:spacing w:val="-50"/>
                <w:sz w:val="18"/>
                <w:szCs w:val="18"/>
              </w:rPr>
              <w:t> </w:t>
            </w:r>
            <w:r>
              <w:rPr>
                <w:rFonts w:ascii="宋体" w:hAnsi="宋体" w:cs="宋体" w:eastAsia="宋体" w:hint="default"/>
                <w:spacing w:val="-3"/>
                <w:sz w:val="18"/>
                <w:szCs w:val="18"/>
              </w:rPr>
              <w:t>企业（有限合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嘉兴市嘉实</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62"/>
              <w:jc w:val="left"/>
              <w:rPr>
                <w:rFonts w:ascii="宋体" w:hAnsi="宋体" w:cs="宋体" w:eastAsia="宋体" w:hint="default"/>
                <w:sz w:val="18"/>
                <w:szCs w:val="18"/>
              </w:rPr>
            </w:pPr>
            <w:r>
              <w:rPr>
                <w:rFonts w:ascii="宋体" w:hAnsi="宋体" w:cs="宋体" w:eastAsia="宋体" w:hint="default"/>
                <w:spacing w:val="32"/>
                <w:sz w:val="18"/>
                <w:szCs w:val="18"/>
              </w:rPr>
              <w:t>金融控股有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48951818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48951818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莱恩达集团</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48888591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48888591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浙江春晖集</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41562871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41562871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信雅达系统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工程股份有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41562871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41562871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浙江蓝天实</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业集团有限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41090894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41090894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回音必集团</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37406583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37406583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利时集团股</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35112189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35112189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杭州港嘉实</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34424887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34424887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全国社会保</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before="21"/>
              <w:ind w:left="103" w:right="62"/>
              <w:jc w:val="left"/>
              <w:rPr>
                <w:rFonts w:ascii="宋体" w:hAnsi="宋体" w:cs="宋体" w:eastAsia="宋体" w:hint="default"/>
                <w:sz w:val="18"/>
                <w:szCs w:val="18"/>
              </w:rPr>
            </w:pPr>
            <w:r>
              <w:rPr>
                <w:rFonts w:ascii="宋体" w:hAnsi="宋体" w:cs="宋体" w:eastAsia="宋体" w:hint="default"/>
                <w:spacing w:val="32"/>
                <w:sz w:val="18"/>
                <w:szCs w:val="18"/>
              </w:rPr>
              <w:t>障基金理事</w:t>
            </w:r>
            <w:r>
              <w:rPr>
                <w:rFonts w:ascii="宋体" w:hAnsi="宋体" w:cs="宋体" w:eastAsia="宋体" w:hint="default"/>
                <w:spacing w:val="-50"/>
                <w:sz w:val="18"/>
                <w:szCs w:val="18"/>
              </w:rPr>
              <w:t> </w:t>
            </w:r>
            <w:r>
              <w:rPr>
                <w:rFonts w:ascii="宋体" w:hAnsi="宋体" w:cs="宋体" w:eastAsia="宋体" w:hint="default"/>
                <w:sz w:val="18"/>
                <w:szCs w:val="18"/>
              </w:rPr>
              <w:t>会转持一户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33,426,290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8,640,825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24,785,465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浙江龙柏集</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27708580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27708580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880" w:footer="1195" w:top="1060" w:bottom="138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282"/>
        <w:gridCol w:w="1388"/>
        <w:gridCol w:w="1409"/>
        <w:gridCol w:w="850"/>
        <w:gridCol w:w="1419"/>
        <w:gridCol w:w="1659"/>
        <w:gridCol w:w="1284"/>
      </w:tblGrid>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蓝山投资有</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26334142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26334142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嘉兴市财茂</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62"/>
              <w:jc w:val="left"/>
              <w:rPr>
                <w:rFonts w:ascii="宋体" w:hAnsi="宋体" w:cs="宋体" w:eastAsia="宋体" w:hint="default"/>
                <w:sz w:val="18"/>
                <w:szCs w:val="18"/>
              </w:rPr>
            </w:pPr>
            <w:r>
              <w:rPr>
                <w:rFonts w:ascii="宋体" w:hAnsi="宋体" w:cs="宋体" w:eastAsia="宋体" w:hint="default"/>
                <w:spacing w:val="32"/>
                <w:sz w:val="18"/>
                <w:szCs w:val="18"/>
              </w:rPr>
              <w:t>经济发展有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25782083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25782083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荣怀集团有</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22859579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22859579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温州市财务</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开发有限公</w:t>
            </w:r>
            <w:r>
              <w:rPr>
                <w:rFonts w:ascii="宋体" w:hAnsi="宋体" w:cs="宋体" w:eastAsia="宋体" w:hint="default"/>
                <w:spacing w:val="-50"/>
                <w:sz w:val="18"/>
                <w:szCs w:val="18"/>
              </w:rPr>
              <w:t> </w:t>
            </w:r>
            <w:r>
              <w:rPr>
                <w:rFonts w:ascii="宋体" w:hAnsi="宋体" w:cs="宋体" w:eastAsia="宋体" w:hint="default"/>
                <w:sz w:val="18"/>
                <w:szCs w:val="18"/>
              </w:rPr>
              <w:t>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18076205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18076205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浙江省茶叶</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集团股份有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17212443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17212443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浙江黄岩财</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务开发公司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14857374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14857374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兰溪市兴业</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工贸有限责</w:t>
            </w:r>
            <w:r>
              <w:rPr>
                <w:rFonts w:ascii="宋体" w:hAnsi="宋体" w:cs="宋体" w:eastAsia="宋体" w:hint="default"/>
                <w:spacing w:val="-50"/>
                <w:sz w:val="18"/>
                <w:szCs w:val="18"/>
              </w:rPr>
              <w:t> </w:t>
            </w:r>
            <w:r>
              <w:rPr>
                <w:rFonts w:ascii="宋体" w:hAnsi="宋体" w:cs="宋体" w:eastAsia="宋体" w:hint="default"/>
                <w:sz w:val="18"/>
                <w:szCs w:val="18"/>
              </w:rPr>
              <w:t>任公司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12951114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12951114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玉环市财务</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12747401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12747401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宁波禾元控</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10350000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10350000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47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海宁金融投</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8928007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8928007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淳安千岛湖</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建设集团有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8594027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8594027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江山市国有</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62"/>
              <w:jc w:val="left"/>
              <w:rPr>
                <w:rFonts w:ascii="宋体" w:hAnsi="宋体" w:cs="宋体" w:eastAsia="宋体" w:hint="default"/>
                <w:sz w:val="18"/>
                <w:szCs w:val="18"/>
              </w:rPr>
            </w:pPr>
            <w:r>
              <w:rPr>
                <w:rFonts w:ascii="宋体" w:hAnsi="宋体" w:cs="宋体" w:eastAsia="宋体" w:hint="default"/>
                <w:spacing w:val="32"/>
                <w:sz w:val="18"/>
                <w:szCs w:val="18"/>
              </w:rPr>
              <w:t>资产经营公</w:t>
            </w:r>
            <w:r>
              <w:rPr>
                <w:rFonts w:ascii="宋体" w:hAnsi="宋体" w:cs="宋体" w:eastAsia="宋体" w:hint="default"/>
                <w:spacing w:val="-50"/>
                <w:sz w:val="18"/>
                <w:szCs w:val="18"/>
              </w:rPr>
              <w:t> </w:t>
            </w:r>
            <w:r>
              <w:rPr>
                <w:rFonts w:ascii="宋体" w:hAnsi="宋体" w:cs="宋体" w:eastAsia="宋体" w:hint="default"/>
                <w:sz w:val="18"/>
                <w:szCs w:val="18"/>
              </w:rPr>
              <w:t>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7819366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7819366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首次公开发行限售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24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3,230,000,000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2,047,692,646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1,182,307,354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5"/>
        <w:spacing w:line="290" w:lineRule="auto" w:before="36"/>
        <w:ind w:left="218" w:right="633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218" w:right="1522"/>
        <w:jc w:val="left"/>
      </w:pPr>
      <w:r>
        <w:rPr/>
        <w:t>□适用</w:t>
      </w:r>
      <w:r>
        <w:rPr>
          <w:spacing w:val="-2"/>
        </w:rPr>
        <w:t> </w:t>
      </w:r>
      <w:r>
        <w:rPr/>
        <w:t>√不适用</w:t>
      </w:r>
      <w:r>
        <w:rPr>
          <w:spacing w:val="-103"/>
        </w:rPr>
        <w:t> </w:t>
      </w:r>
      <w:r>
        <w:rPr>
          <w:spacing w:val="-103"/>
        </w:rPr>
      </w:r>
      <w:r>
        <w:rPr>
          <w:spacing w:val="-2"/>
        </w:rPr>
        <w:t>截至报告期内证券发行情况的说明（存续期内利率不同的债券，请分别说明）：</w:t>
      </w:r>
    </w:p>
    <w:p>
      <w:pPr>
        <w:pStyle w:val="BodyText"/>
        <w:spacing w:line="240" w:lineRule="auto" w:before="110"/>
        <w:ind w:left="21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6"/>
        <w:ind w:left="218"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18" w:right="0"/>
        <w:jc w:val="left"/>
      </w:pPr>
      <w:r>
        <w:rPr/>
        <w:t>□适用 √不适用</w:t>
      </w:r>
    </w:p>
    <w:p>
      <w:pPr>
        <w:pStyle w:val="Heading5"/>
        <w:spacing w:line="290" w:lineRule="auto" w:before="58"/>
        <w:ind w:left="218" w:right="6732"/>
        <w:jc w:val="left"/>
        <w:rPr>
          <w:b w:val="0"/>
          <w:bCs w:val="0"/>
        </w:rPr>
      </w:pPr>
      <w:r>
        <w:rPr/>
        <w:t>三、</w:t>
      </w:r>
      <w:r>
        <w:rPr>
          <w:spacing w:val="-80"/>
        </w:rPr>
        <w:t> </w:t>
      </w:r>
      <w:r>
        <w:rPr/>
        <w:t>股东和实际控制人情况</w:t>
      </w:r>
      <w:r>
        <w:rPr>
          <w:spacing w:val="-3"/>
          <w:w w:val="100"/>
        </w:rPr>
        <w:t> </w:t>
      </w:r>
      <w:r>
        <w:rPr>
          <w:rFonts w:ascii="宋体" w:hAnsi="宋体" w:cs="宋体" w:eastAsia="宋体" w:hint="default"/>
        </w:rPr>
        <w:t>(</w:t>
      </w:r>
      <w:r>
        <w:rPr/>
        <w:t>一</w:t>
      </w:r>
      <w:r>
        <w:rPr>
          <w:rFonts w:ascii="宋体" w:hAnsi="宋体" w:cs="宋体" w:eastAsia="宋体" w:hint="default"/>
        </w:rPr>
        <w:t>)</w:t>
      </w:r>
      <w:r>
        <w:rPr/>
        <w:t>股东总数</w:t>
      </w:r>
      <w:r>
        <w:rPr>
          <w:b w:val="0"/>
          <w:bCs w:val="0"/>
        </w:rPr>
      </w:r>
    </w:p>
    <w:p>
      <w:pPr>
        <w:spacing w:line="240" w:lineRule="auto" w:before="10"/>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121,741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143,420</w:t>
            </w:r>
          </w:p>
        </w:tc>
      </w:tr>
    </w:tbl>
    <w:p>
      <w:pPr>
        <w:spacing w:after="0" w:line="240" w:lineRule="auto"/>
        <w:jc w:val="right"/>
        <w:rPr>
          <w:rFonts w:ascii="宋体" w:hAnsi="宋体" w:cs="宋体" w:eastAsia="宋体" w:hint="default"/>
          <w:sz w:val="21"/>
          <w:szCs w:val="21"/>
        </w:rPr>
        <w:sectPr>
          <w:pgSz w:w="11910" w:h="16840"/>
          <w:pgMar w:header="880" w:footer="1195" w:top="1060" w:bottom="1380" w:left="1200" w:right="1180"/>
        </w:sectPr>
      </w:pPr>
    </w:p>
    <w:p>
      <w:pPr>
        <w:spacing w:line="240" w:lineRule="auto" w:before="8"/>
        <w:rPr>
          <w:rFonts w:ascii="宋体" w:hAnsi="宋体" w:cs="宋体" w:eastAsia="宋体" w:hint="default"/>
          <w:b/>
          <w:bCs/>
          <w:sz w:val="28"/>
          <w:szCs w:val="28"/>
        </w:rPr>
      </w:pPr>
    </w:p>
    <w:p>
      <w:pPr>
        <w:pStyle w:val="Heading5"/>
        <w:spacing w:line="240" w:lineRule="auto" w:before="36"/>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截止报告期末前十名股东、前十名流通股东（或无限售条件股东）持股情况表</w:t>
      </w:r>
      <w:r>
        <w:rPr>
          <w:b w:val="0"/>
          <w:bCs w:val="0"/>
        </w:rPr>
      </w:r>
    </w:p>
    <w:p>
      <w:pPr>
        <w:pStyle w:val="BodyText"/>
        <w:spacing w:line="240" w:lineRule="auto" w:before="58"/>
        <w:ind w:left="0" w:right="229"/>
        <w:jc w:val="right"/>
      </w:pPr>
      <w:r>
        <w:rPr>
          <w:spacing w:val="-1"/>
        </w:rPr>
        <w:t>单位</w:t>
      </w:r>
      <w:r>
        <w:rPr>
          <w:rFonts w:ascii="宋体" w:hAnsi="宋体" w:cs="宋体" w:eastAsia="宋体" w:hint="default"/>
          <w:spacing w:val="-1"/>
        </w:rPr>
        <w:t>:</w:t>
      </w:r>
      <w:r>
        <w:rPr>
          <w:spacing w:val="-1"/>
        </w:rPr>
        <w:t>股</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85"/>
        <w:gridCol w:w="1275"/>
        <w:gridCol w:w="1018"/>
        <w:gridCol w:w="401"/>
        <w:gridCol w:w="708"/>
        <w:gridCol w:w="852"/>
        <w:gridCol w:w="566"/>
        <w:gridCol w:w="708"/>
        <w:gridCol w:w="709"/>
        <w:gridCol w:w="569"/>
        <w:gridCol w:w="1102"/>
      </w:tblGrid>
      <w:tr>
        <w:trPr>
          <w:trHeight w:val="360" w:hRule="exact"/>
        </w:trPr>
        <w:tc>
          <w:tcPr>
            <w:tcW w:w="92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6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9"/>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115"/>
              <w:ind w:left="32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357" w:lineRule="auto" w:before="149"/>
              <w:ind w:left="540" w:right="183"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418"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708" w:type="dxa"/>
            <w:vMerge w:val="restart"/>
            <w:tcBorders>
              <w:top w:val="single" w:sz="4" w:space="0" w:color="000000"/>
              <w:left w:val="single" w:sz="4" w:space="0" w:color="000000"/>
              <w:right w:val="single" w:sz="4" w:space="0" w:color="000000"/>
            </w:tcBorders>
          </w:tcPr>
          <w:p>
            <w:pPr>
              <w:pStyle w:val="TableParagraph"/>
              <w:spacing w:line="357" w:lineRule="auto" w:before="149"/>
              <w:ind w:left="213" w:right="16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19" w:type="dxa"/>
            <w:gridSpan w:val="2"/>
            <w:vMerge w:val="restart"/>
            <w:tcBorders>
              <w:top w:val="single" w:sz="4" w:space="0" w:color="000000"/>
              <w:left w:val="single" w:sz="4" w:space="0" w:color="000000"/>
              <w:right w:val="single" w:sz="4" w:space="0" w:color="000000"/>
            </w:tcBorders>
          </w:tcPr>
          <w:p>
            <w:pPr>
              <w:pStyle w:val="TableParagraph"/>
              <w:spacing w:line="357" w:lineRule="auto" w:before="149"/>
              <w:ind w:left="254" w:right="165" w:hanging="92"/>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102" w:type="dxa"/>
            <w:vMerge w:val="restart"/>
            <w:tcBorders>
              <w:top w:val="single" w:sz="4" w:space="0" w:color="000000"/>
              <w:left w:val="single" w:sz="4" w:space="0" w:color="000000"/>
              <w:right w:val="single" w:sz="4" w:space="0" w:color="000000"/>
            </w:tcBorders>
          </w:tcPr>
          <w:p>
            <w:pPr>
              <w:pStyle w:val="TableParagraph"/>
              <w:spacing w:line="357" w:lineRule="auto" w:before="149"/>
              <w:ind w:left="364" w:right="365"/>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708" w:hRule="exact"/>
        </w:trPr>
        <w:tc>
          <w:tcPr>
            <w:tcW w:w="138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gridSpan w:val="2"/>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9" w:type="dxa"/>
            <w:gridSpan w:val="2"/>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7"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before="115"/>
              <w:ind w:left="167"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02" w:type="dxa"/>
            <w:vMerge/>
            <w:tcBorders>
              <w:left w:val="single" w:sz="4" w:space="0" w:color="000000"/>
              <w:bottom w:val="single" w:sz="4" w:space="0" w:color="000000"/>
              <w:right w:val="single" w:sz="4" w:space="0" w:color="000000"/>
            </w:tcBorders>
          </w:tcPr>
          <w:p>
            <w:pP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浙江省金融控</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宋体" w:hAnsi="宋体" w:cs="宋体" w:eastAsia="宋体" w:hint="default"/>
                <w:sz w:val="18"/>
                <w:szCs w:val="18"/>
              </w:rPr>
            </w:pPr>
            <w:r>
              <w:rPr>
                <w:rFonts w:ascii="宋体"/>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1" w:right="0"/>
              <w:jc w:val="left"/>
              <w:rPr>
                <w:rFonts w:ascii="宋体" w:hAnsi="宋体" w:cs="宋体" w:eastAsia="宋体" w:hint="default"/>
                <w:sz w:val="18"/>
                <w:szCs w:val="18"/>
              </w:rPr>
            </w:pPr>
            <w:r>
              <w:rPr>
                <w:rFonts w:ascii="宋体"/>
                <w:sz w:val="18"/>
              </w:rPr>
              <w:t>1,157,521,889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32.25</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4" w:right="0"/>
              <w:jc w:val="left"/>
              <w:rPr>
                <w:rFonts w:ascii="宋体" w:hAnsi="宋体" w:cs="宋体" w:eastAsia="宋体" w:hint="default"/>
                <w:sz w:val="18"/>
                <w:szCs w:val="18"/>
              </w:rPr>
            </w:pPr>
            <w:r>
              <w:rPr>
                <w:rFonts w:ascii="宋体"/>
                <w:sz w:val="18"/>
              </w:rPr>
              <w:t>1,157,521,889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hAnsi="宋体" w:cs="宋体" w:eastAsia="宋体" w:hint="default"/>
                <w:sz w:val="18"/>
                <w:szCs w:val="18"/>
              </w:rPr>
              <w:t>国有法人</w:t>
            </w:r>
          </w:p>
        </w:tc>
      </w:tr>
      <w:tr>
        <w:trPr>
          <w:trHeight w:val="141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浙江天堂硅谷</w:t>
            </w:r>
          </w:p>
          <w:p>
            <w:pPr>
              <w:pStyle w:val="TableParagraph"/>
              <w:spacing w:line="357" w:lineRule="auto" w:before="112"/>
              <w:ind w:left="103" w:right="189"/>
              <w:jc w:val="both"/>
              <w:rPr>
                <w:rFonts w:ascii="宋体" w:hAnsi="宋体" w:cs="宋体" w:eastAsia="宋体" w:hint="default"/>
                <w:sz w:val="18"/>
                <w:szCs w:val="18"/>
              </w:rPr>
            </w:pPr>
            <w:r>
              <w:rPr>
                <w:rFonts w:ascii="宋体" w:hAnsi="宋体" w:cs="宋体" w:eastAsia="宋体" w:hint="default"/>
                <w:sz w:val="18"/>
                <w:szCs w:val="18"/>
              </w:rPr>
              <w:t>银嘉创业投资 合伙企业（有 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-41,084,033</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sz w:val="18"/>
              </w:rPr>
              <w:t>123,915,967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3.45</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杭州邮政科技</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实业有限公司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11" w:right="0"/>
              <w:jc w:val="left"/>
              <w:rPr>
                <w:rFonts w:ascii="宋体" w:hAnsi="宋体" w:cs="宋体" w:eastAsia="宋体" w:hint="default"/>
                <w:sz w:val="18"/>
                <w:szCs w:val="18"/>
              </w:rPr>
            </w:pPr>
            <w:r>
              <w:rPr>
                <w:rFonts w:ascii="宋体"/>
                <w:sz w:val="18"/>
              </w:rPr>
              <w:t>122,000,000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z w:val="18"/>
              </w:rPr>
              <w:t>3.4</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sz w:val="18"/>
              </w:rPr>
              <w:t>122,000,000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48" w:right="0" w:hanging="18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40" w:lineRule="auto" w:before="115"/>
              <w:ind w:left="448"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106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台州市金融投</w:t>
            </w:r>
          </w:p>
          <w:p>
            <w:pPr>
              <w:pStyle w:val="TableParagraph"/>
              <w:spacing w:line="357" w:lineRule="auto" w:before="115"/>
              <w:ind w:left="103" w:right="189"/>
              <w:jc w:val="left"/>
              <w:rPr>
                <w:rFonts w:ascii="宋体" w:hAnsi="宋体" w:cs="宋体" w:eastAsia="宋体" w:hint="default"/>
                <w:sz w:val="18"/>
                <w:szCs w:val="18"/>
              </w:rPr>
            </w:pPr>
            <w:r>
              <w:rPr>
                <w:rFonts w:ascii="宋体" w:hAnsi="宋体" w:cs="宋体" w:eastAsia="宋体" w:hint="default"/>
                <w:sz w:val="18"/>
                <w:szCs w:val="18"/>
              </w:rPr>
              <w:t>资有限责任公 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sz w:val="18"/>
              </w:rPr>
              <w:t>106,329,439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2.96</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国有法人</w:t>
            </w:r>
          </w:p>
        </w:tc>
      </w:tr>
      <w:tr>
        <w:trPr>
          <w:trHeight w:val="141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杭州万丰锦源</w:t>
            </w:r>
          </w:p>
          <w:p>
            <w:pPr>
              <w:pStyle w:val="TableParagraph"/>
              <w:spacing w:line="357" w:lineRule="auto" w:before="115"/>
              <w:ind w:left="103" w:right="189"/>
              <w:jc w:val="both"/>
              <w:rPr>
                <w:rFonts w:ascii="宋体" w:hAnsi="宋体" w:cs="宋体" w:eastAsia="宋体" w:hint="default"/>
                <w:sz w:val="18"/>
                <w:szCs w:val="18"/>
              </w:rPr>
            </w:pPr>
            <w:r>
              <w:rPr>
                <w:rFonts w:ascii="宋体" w:hAnsi="宋体" w:cs="宋体" w:eastAsia="宋体" w:hint="default"/>
                <w:sz w:val="18"/>
                <w:szCs w:val="18"/>
              </w:rPr>
              <w:t>京新股权投资 合伙企业（有 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-23,201,400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sz w:val="18"/>
              </w:rPr>
              <w:t>99,798,600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2.78</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维科控股集团</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3" w:right="0"/>
              <w:jc w:val="left"/>
              <w:rPr>
                <w:rFonts w:ascii="宋体" w:hAnsi="宋体" w:cs="宋体" w:eastAsia="宋体" w:hint="default"/>
                <w:sz w:val="18"/>
                <w:szCs w:val="18"/>
              </w:rPr>
            </w:pPr>
            <w:r>
              <w:rPr>
                <w:rFonts w:ascii="宋体"/>
                <w:sz w:val="18"/>
              </w:rPr>
              <w:t>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z w:val="18"/>
              </w:rPr>
              <w:t>2.51</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3" w:right="0"/>
              <w:jc w:val="left"/>
              <w:rPr>
                <w:rFonts w:ascii="宋体" w:hAnsi="宋体" w:cs="宋体" w:eastAsia="宋体" w:hint="default"/>
                <w:sz w:val="18"/>
                <w:szCs w:val="18"/>
              </w:rPr>
            </w:pPr>
            <w:r>
              <w:rPr>
                <w:rFonts w:ascii="宋体"/>
                <w:sz w:val="18"/>
              </w:rPr>
              <w:t>54,000,000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48" w:right="0" w:hanging="18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40" w:lineRule="auto" w:before="115"/>
              <w:ind w:left="448"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106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浙江省交通投</w:t>
            </w:r>
          </w:p>
          <w:p>
            <w:pPr>
              <w:pStyle w:val="TableParagraph"/>
              <w:spacing w:line="357" w:lineRule="auto" w:before="115"/>
              <w:ind w:left="103" w:right="189"/>
              <w:jc w:val="left"/>
              <w:rPr>
                <w:rFonts w:ascii="宋体" w:hAnsi="宋体" w:cs="宋体" w:eastAsia="宋体" w:hint="default"/>
                <w:sz w:val="18"/>
                <w:szCs w:val="18"/>
              </w:rPr>
            </w:pPr>
            <w:r>
              <w:rPr>
                <w:rFonts w:ascii="宋体" w:hAnsi="宋体" w:cs="宋体" w:eastAsia="宋体" w:hint="default"/>
                <w:sz w:val="18"/>
                <w:szCs w:val="18"/>
              </w:rPr>
              <w:t>资集团有限公 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03" w:right="0"/>
              <w:jc w:val="left"/>
              <w:rPr>
                <w:rFonts w:ascii="宋体" w:hAnsi="宋体" w:cs="宋体" w:eastAsia="宋体" w:hint="default"/>
                <w:sz w:val="18"/>
                <w:szCs w:val="18"/>
              </w:rPr>
            </w:pPr>
            <w:r>
              <w:rPr>
                <w:rFonts w:ascii="宋体"/>
                <w:sz w:val="18"/>
              </w:rPr>
              <w:t>72,796,735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2.03</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国有法人</w:t>
            </w:r>
          </w:p>
        </w:tc>
      </w:tr>
      <w:tr>
        <w:trPr>
          <w:trHeight w:val="14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石河子睿德信</w:t>
            </w:r>
          </w:p>
          <w:p>
            <w:pPr>
              <w:pStyle w:val="TableParagraph"/>
              <w:spacing w:line="355" w:lineRule="auto" w:before="115"/>
              <w:ind w:left="103" w:right="189"/>
              <w:jc w:val="both"/>
              <w:rPr>
                <w:rFonts w:ascii="宋体" w:hAnsi="宋体" w:cs="宋体" w:eastAsia="宋体" w:hint="default"/>
                <w:sz w:val="18"/>
                <w:szCs w:val="18"/>
              </w:rPr>
            </w:pPr>
            <w:r>
              <w:rPr>
                <w:rFonts w:ascii="宋体" w:hAnsi="宋体" w:cs="宋体" w:eastAsia="宋体" w:hint="default"/>
                <w:sz w:val="18"/>
                <w:szCs w:val="18"/>
              </w:rPr>
              <w:t>财通股权投资 合伙企业（有 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-3,789,000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sz w:val="18"/>
              </w:rPr>
              <w:t>72,211,000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2.01</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4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绍兴柯桥明源</w:t>
            </w:r>
          </w:p>
          <w:p>
            <w:pPr>
              <w:pStyle w:val="TableParagraph"/>
              <w:spacing w:line="357" w:lineRule="auto" w:before="112"/>
              <w:ind w:left="103" w:right="189"/>
              <w:jc w:val="both"/>
              <w:rPr>
                <w:rFonts w:ascii="宋体" w:hAnsi="宋体" w:cs="宋体" w:eastAsia="宋体" w:hint="default"/>
                <w:sz w:val="18"/>
                <w:szCs w:val="18"/>
              </w:rPr>
            </w:pPr>
            <w:r>
              <w:rPr>
                <w:rFonts w:ascii="宋体" w:hAnsi="宋体" w:cs="宋体" w:eastAsia="宋体" w:hint="default"/>
                <w:sz w:val="18"/>
                <w:szCs w:val="18"/>
              </w:rPr>
              <w:t>股权投资合伙 企业（有限合 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sz w:val="18"/>
              </w:rPr>
              <w:t>68,079,775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1.9</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sz w:val="18"/>
              </w:rPr>
              <w:t>5,000,000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中国国际金融</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68,009,700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3" w:right="0"/>
              <w:jc w:val="left"/>
              <w:rPr>
                <w:rFonts w:ascii="宋体" w:hAnsi="宋体" w:cs="宋体" w:eastAsia="宋体" w:hint="default"/>
                <w:sz w:val="18"/>
                <w:szCs w:val="18"/>
              </w:rPr>
            </w:pPr>
            <w:r>
              <w:rPr>
                <w:rFonts w:ascii="宋体"/>
                <w:sz w:val="18"/>
              </w:rPr>
              <w:t>68,009,700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z w:val="18"/>
              </w:rPr>
              <w:t>1.89</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国有法人</w:t>
            </w:r>
          </w:p>
        </w:tc>
      </w:tr>
      <w:tr>
        <w:trPr>
          <w:trHeight w:val="360" w:hRule="exact"/>
        </w:trPr>
        <w:tc>
          <w:tcPr>
            <w:tcW w:w="92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60" w:hRule="exact"/>
        </w:trPr>
        <w:tc>
          <w:tcPr>
            <w:tcW w:w="3677" w:type="dxa"/>
            <w:gridSpan w:val="3"/>
            <w:vMerge w:val="restart"/>
            <w:tcBorders>
              <w:top w:val="single" w:sz="4" w:space="0" w:color="000000"/>
              <w:left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61" w:type="dxa"/>
            <w:gridSpan w:val="3"/>
            <w:vMerge w:val="restart"/>
            <w:tcBorders>
              <w:top w:val="single" w:sz="4" w:space="0" w:color="000000"/>
              <w:left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持有无限售条件流通</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股的数量</w:t>
            </w:r>
          </w:p>
        </w:tc>
        <w:tc>
          <w:tcPr>
            <w:tcW w:w="36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90"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60" w:hRule="exact"/>
        </w:trPr>
        <w:tc>
          <w:tcPr>
            <w:tcW w:w="3677" w:type="dxa"/>
            <w:gridSpan w:val="3"/>
            <w:vMerge/>
            <w:tcBorders>
              <w:left w:val="single" w:sz="4" w:space="0" w:color="000000"/>
              <w:bottom w:val="single" w:sz="4" w:space="0" w:color="000000"/>
              <w:right w:val="single" w:sz="4" w:space="0" w:color="000000"/>
            </w:tcBorders>
          </w:tcPr>
          <w:p>
            <w:pPr/>
          </w:p>
        </w:tc>
        <w:tc>
          <w:tcPr>
            <w:tcW w:w="1961" w:type="dxa"/>
            <w:gridSpan w:val="3"/>
            <w:vMerge/>
            <w:tcBorders>
              <w:left w:val="single" w:sz="4" w:space="0" w:color="000000"/>
              <w:bottom w:val="single" w:sz="4" w:space="0" w:color="000000"/>
              <w:right w:val="single" w:sz="4" w:space="0" w:color="000000"/>
            </w:tcBorders>
          </w:tcPr>
          <w:p>
            <w:pPr/>
          </w:p>
        </w:tc>
        <w:tc>
          <w:tcPr>
            <w:tcW w:w="1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03" w:lineRule="exact"/>
        <w:jc w:val="center"/>
        <w:rPr>
          <w:rFonts w:ascii="宋体" w:hAnsi="宋体" w:cs="宋体" w:eastAsia="宋体" w:hint="default"/>
          <w:sz w:val="18"/>
          <w:szCs w:val="18"/>
        </w:rPr>
        <w:sectPr>
          <w:pgSz w:w="11910" w:h="16840"/>
          <w:pgMar w:header="880" w:footer="1195" w:top="1060" w:bottom="1380" w:left="120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677"/>
        <w:gridCol w:w="1961"/>
        <w:gridCol w:w="1983"/>
        <w:gridCol w:w="1670"/>
      </w:tblGrid>
      <w:tr>
        <w:trPr>
          <w:trHeight w:val="71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浙江天堂硅谷银嘉创业投资合伙企业（有限</w:t>
            </w: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123,915,967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123,915,967</w:t>
            </w:r>
          </w:p>
        </w:tc>
      </w:tr>
      <w:tr>
        <w:trPr>
          <w:trHeight w:val="36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杭州邮政科技实业有限公司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122,000,000</w:t>
            </w:r>
          </w:p>
        </w:tc>
      </w:tr>
      <w:tr>
        <w:trPr>
          <w:trHeight w:val="362"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台州市金融投资有限责任公司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106,329,439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106,329,439</w:t>
            </w:r>
          </w:p>
        </w:tc>
      </w:tr>
      <w:tr>
        <w:trPr>
          <w:trHeight w:val="708"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杭州万丰锦源京新股权投资合伙企业（有限</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99,798,600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99,798,600</w:t>
            </w:r>
          </w:p>
        </w:tc>
      </w:tr>
      <w:tr>
        <w:trPr>
          <w:trHeight w:val="362"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维科控股集团股份有限公司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90,000,000</w:t>
            </w:r>
          </w:p>
        </w:tc>
      </w:tr>
      <w:tr>
        <w:trPr>
          <w:trHeight w:val="36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浙江省交通投资集团有限公司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72,796,735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72,796,735</w:t>
            </w:r>
          </w:p>
        </w:tc>
      </w:tr>
      <w:tr>
        <w:trPr>
          <w:trHeight w:val="711"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石河子睿德信财通股权投资合伙企业（有限</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72,211,000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72,211,000</w:t>
            </w:r>
          </w:p>
        </w:tc>
      </w:tr>
      <w:tr>
        <w:trPr>
          <w:trHeight w:val="36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绍兴柯桥明源股权投资合伙企业（有限合伙）</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68,079,775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68,079,775</w:t>
            </w:r>
          </w:p>
        </w:tc>
      </w:tr>
      <w:tr>
        <w:trPr>
          <w:trHeight w:val="36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68,009,700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68,009,700</w:t>
            </w:r>
          </w:p>
        </w:tc>
      </w:tr>
      <w:tr>
        <w:trPr>
          <w:trHeight w:val="36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杭州富阳工贸资产经营投资集团有限公司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65,707,138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65,707,138</w:t>
            </w:r>
          </w:p>
        </w:tc>
      </w:tr>
      <w:tr>
        <w:trPr>
          <w:trHeight w:val="360" w:hRule="exact"/>
        </w:trPr>
        <w:tc>
          <w:tcPr>
            <w:tcW w:w="36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060" w:bottom="1380" w:left="1200" w:right="1180"/>
        </w:sectPr>
      </w:pPr>
    </w:p>
    <w:p>
      <w:pPr>
        <w:pStyle w:val="BodyText"/>
        <w:spacing w:line="274" w:lineRule="exact" w:before="36"/>
        <w:ind w:left="218" w:right="0"/>
        <w:jc w:val="left"/>
      </w:pPr>
      <w:r>
        <w:rPr>
          <w:spacing w:val="-2"/>
        </w:rPr>
        <w:t>前十名有限售条件股东持股数量及限售条件</w:t>
      </w:r>
    </w:p>
    <w:p>
      <w:pPr>
        <w:pStyle w:val="BodyText"/>
        <w:spacing w:line="274" w:lineRule="exact"/>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18" w:right="0"/>
        <w:jc w:val="left"/>
      </w:pPr>
      <w:r>
        <w:rPr/>
        <w:t>单位：股</w:t>
      </w:r>
    </w:p>
    <w:p>
      <w:pPr>
        <w:spacing w:after="0" w:line="240" w:lineRule="auto"/>
        <w:jc w:val="left"/>
        <w:sectPr>
          <w:type w:val="continuous"/>
          <w:pgSz w:w="11910" w:h="16840"/>
          <w:pgMar w:top="1060" w:bottom="1380" w:left="1200" w:right="1180"/>
          <w:cols w:num="2" w:equalWidth="0">
            <w:col w:w="4214" w:space="4020"/>
            <w:col w:w="129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70"/>
        <w:gridCol w:w="2701"/>
        <w:gridCol w:w="1418"/>
        <w:gridCol w:w="1844"/>
        <w:gridCol w:w="1589"/>
        <w:gridCol w:w="1068"/>
      </w:tblGrid>
      <w:tr>
        <w:trPr>
          <w:trHeight w:val="283"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7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18" w:type="dxa"/>
            <w:vMerge w:val="restart"/>
            <w:tcBorders>
              <w:top w:val="single" w:sz="4" w:space="0" w:color="000000"/>
              <w:left w:val="single" w:sz="4" w:space="0" w:color="000000"/>
              <w:right w:val="single" w:sz="4" w:space="0" w:color="000000"/>
            </w:tcBorders>
          </w:tcPr>
          <w:p>
            <w:pPr>
              <w:pStyle w:val="TableParagraph"/>
              <w:spacing w:line="245"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7"/>
              <w:ind w:left="491" w:right="175" w:hanging="315"/>
              <w:jc w:val="left"/>
              <w:rPr>
                <w:rFonts w:ascii="宋体" w:hAnsi="宋体" w:cs="宋体" w:eastAsia="宋体" w:hint="default"/>
                <w:sz w:val="21"/>
                <w:szCs w:val="21"/>
              </w:rPr>
            </w:pPr>
            <w:r>
              <w:rPr>
                <w:rFonts w:ascii="宋体" w:hAnsi="宋体" w:cs="宋体" w:eastAsia="宋体" w:hint="default"/>
                <w:sz w:val="21"/>
                <w:szCs w:val="21"/>
              </w:rPr>
              <w:t>售条件股份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数量</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5" w:hRule="exact"/>
        </w:trPr>
        <w:tc>
          <w:tcPr>
            <w:tcW w:w="670" w:type="dxa"/>
            <w:vMerge/>
            <w:tcBorders>
              <w:left w:val="single" w:sz="4" w:space="0" w:color="000000"/>
              <w:bottom w:val="single" w:sz="4" w:space="0" w:color="000000"/>
              <w:right w:val="single" w:sz="4" w:space="0" w:color="000000"/>
            </w:tcBorders>
          </w:tcPr>
          <w:p>
            <w:pPr/>
          </w:p>
        </w:tc>
        <w:tc>
          <w:tcPr>
            <w:tcW w:w="270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0"/>
              <w:jc w:val="right"/>
              <w:rPr>
                <w:rFonts w:ascii="宋体" w:hAnsi="宋体" w:cs="宋体" w:eastAsia="宋体" w:hint="default"/>
                <w:sz w:val="21"/>
                <w:szCs w:val="21"/>
              </w:rPr>
            </w:pPr>
            <w:r>
              <w:rPr>
                <w:rFonts w:ascii="宋体" w:hAnsi="宋体" w:cs="宋体" w:eastAsia="宋体" w:hint="default"/>
                <w:spacing w:val="-1"/>
                <w:sz w:val="21"/>
                <w:szCs w:val="21"/>
              </w:rPr>
              <w:t>可上市交易时间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068" w:type="dxa"/>
            <w:vMerge/>
            <w:tcBorders>
              <w:left w:val="single" w:sz="4" w:space="0" w:color="000000"/>
              <w:bottom w:val="single" w:sz="4" w:space="0" w:color="000000"/>
              <w:right w:val="single" w:sz="4" w:space="0" w:color="000000"/>
            </w:tcBorders>
          </w:tcPr>
          <w:p>
            <w:pPr/>
          </w:p>
        </w:tc>
      </w:tr>
      <w:tr>
        <w:trPr>
          <w:trHeight w:val="710"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w w:val="100"/>
                <w:sz w:val="21"/>
              </w:rPr>
              <w:t>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浙江省金融控股有限公司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1,157,521,889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46"/>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上市之日</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起锁定</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tc>
      </w:tr>
      <w:tr>
        <w:trPr>
          <w:trHeight w:val="710"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w w:val="100"/>
                <w:sz w:val="21"/>
              </w:rPr>
              <w:t>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271"/>
              <w:jc w:val="left"/>
              <w:rPr>
                <w:rFonts w:ascii="宋体" w:hAnsi="宋体" w:cs="宋体" w:eastAsia="宋体" w:hint="default"/>
                <w:sz w:val="21"/>
                <w:szCs w:val="21"/>
              </w:rPr>
            </w:pPr>
            <w:r>
              <w:rPr>
                <w:rFonts w:ascii="宋体" w:hAnsi="宋体" w:cs="宋体" w:eastAsia="宋体" w:hint="default"/>
                <w:spacing w:val="-2"/>
                <w:sz w:val="21"/>
                <w:szCs w:val="21"/>
              </w:rPr>
              <w:t>全国社会保障基金理事会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转持一户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24,785,465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46"/>
              <w:jc w:val="right"/>
              <w:rPr>
                <w:rFonts w:ascii="宋体" w:hAnsi="宋体" w:cs="宋体" w:eastAsia="宋体" w:hint="default"/>
                <w:sz w:val="18"/>
                <w:szCs w:val="18"/>
              </w:rPr>
            </w:pPr>
            <w:r>
              <w:rPr>
                <w:rFonts w:ascii="宋体"/>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上市之日</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起锁定</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w:t>
            </w:r>
          </w:p>
        </w:tc>
      </w:tr>
      <w:tr>
        <w:trPr>
          <w:trHeight w:val="554" w:hRule="exact"/>
        </w:trPr>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9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5"/>
        <w:spacing w:line="240" w:lineRule="auto" w:before="36"/>
        <w:ind w:left="218" w:right="0"/>
        <w:jc w:val="left"/>
        <w:rPr>
          <w:b w:val="0"/>
          <w:bCs w:val="0"/>
        </w:rPr>
      </w:pPr>
      <w:r>
        <w:rPr>
          <w:rFonts w:ascii="宋体" w:hAnsi="宋体" w:cs="宋体" w:eastAsia="宋体" w:hint="default"/>
        </w:rPr>
        <w:t>(</w:t>
      </w:r>
      <w:r>
        <w:rPr/>
        <w:t>三</w:t>
      </w:r>
      <w:r>
        <w:rPr>
          <w:rFonts w:ascii="宋体" w:hAnsi="宋体" w:cs="宋体" w:eastAsia="宋体"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11"/>
        </w:rPr>
        <w:t> </w:t>
      </w:r>
      <w:r>
        <w:rPr/>
        <w:t>名股东</w:t>
      </w:r>
      <w:r>
        <w:rPr>
          <w:b w:val="0"/>
          <w:bCs w:val="0"/>
        </w:rPr>
      </w:r>
    </w:p>
    <w:p>
      <w:pPr>
        <w:pStyle w:val="BodyText"/>
        <w:spacing w:line="240" w:lineRule="auto" w:before="32"/>
        <w:ind w:left="218" w:right="0"/>
        <w:jc w:val="left"/>
      </w:pPr>
      <w:r>
        <w:rPr/>
        <w:t>□适用 √不适用</w:t>
      </w:r>
    </w:p>
    <w:p>
      <w:pPr>
        <w:pStyle w:val="Heading5"/>
        <w:tabs>
          <w:tab w:pos="1058" w:val="left" w:leader="none"/>
        </w:tabs>
        <w:spacing w:line="290" w:lineRule="auto" w:before="56"/>
        <w:ind w:left="218" w:right="6324"/>
        <w:jc w:val="left"/>
        <w:rPr>
          <w:b w:val="0"/>
          <w:bCs w:val="0"/>
        </w:rPr>
      </w:pPr>
      <w:r>
        <w:rPr/>
        <w:t>四、</w:t>
      </w:r>
      <w:r>
        <w:rPr>
          <w:spacing w:val="-79"/>
        </w:rPr>
        <w:t> </w:t>
      </w:r>
      <w:r>
        <w:rPr/>
        <w:t>控股股东及实际控制人情况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控股股东情况</w:t>
      </w:r>
      <w:r>
        <w:rPr>
          <w:b w:val="0"/>
          <w:bCs w:val="0"/>
        </w:rPr>
      </w:r>
    </w:p>
    <w:p>
      <w:pPr>
        <w:pStyle w:val="Heading5"/>
        <w:tabs>
          <w:tab w:pos="638" w:val="left" w:leader="none"/>
        </w:tabs>
        <w:spacing w:line="240" w:lineRule="auto" w:before="12"/>
        <w:ind w:left="218" w:right="0"/>
        <w:jc w:val="left"/>
        <w:rPr>
          <w:b w:val="0"/>
          <w:bCs w:val="0"/>
        </w:rPr>
      </w:pPr>
      <w:r>
        <w:rPr>
          <w:rFonts w:ascii="宋体" w:hAnsi="宋体" w:cs="宋体" w:eastAsia="宋体" w:hint="default"/>
          <w:w w:val="95"/>
        </w:rPr>
        <w:t>1</w:t>
        <w:tab/>
      </w:r>
      <w:r>
        <w:rPr/>
        <w:t>法人</w:t>
      </w:r>
      <w:r>
        <w:rPr>
          <w:b w:val="0"/>
          <w:bCs w:val="0"/>
        </w:rPr>
      </w:r>
    </w:p>
    <w:p>
      <w:pPr>
        <w:pStyle w:val="BodyText"/>
        <w:spacing w:line="240" w:lineRule="auto" w:before="58"/>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43"/>
        <w:gridCol w:w="6107"/>
      </w:tblGrid>
      <w:tr>
        <w:trPr>
          <w:trHeight w:val="43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浙江省金融控股有限公司</w:t>
            </w:r>
          </w:p>
        </w:tc>
      </w:tr>
      <w:tr>
        <w:trPr>
          <w:trHeight w:val="43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章启诚</w:t>
            </w:r>
          </w:p>
        </w:tc>
      </w:tr>
      <w:tr>
        <w:trPr>
          <w:trHeight w:val="4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42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金融类股权投资、政府性股权投资基金管理与资产管理业务（依</w:t>
            </w:r>
          </w:p>
        </w:tc>
      </w:tr>
    </w:tbl>
    <w:p>
      <w:pPr>
        <w:spacing w:after="0" w:line="244" w:lineRule="exact"/>
        <w:jc w:val="center"/>
        <w:rPr>
          <w:rFonts w:ascii="宋体" w:hAnsi="宋体" w:cs="宋体" w:eastAsia="宋体" w:hint="default"/>
          <w:sz w:val="21"/>
          <w:szCs w:val="21"/>
        </w:rPr>
        <w:sectPr>
          <w:type w:val="continuous"/>
          <w:pgSz w:w="11910" w:h="16840"/>
          <w:pgMar w:top="1060" w:bottom="1380" w:left="120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943"/>
        <w:gridCol w:w="6107"/>
      </w:tblGrid>
      <w:tr>
        <w:trPr>
          <w:trHeight w:val="420"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法须经批准的项目，经相关部门批准后方可开展经营活动）。</w:t>
            </w:r>
          </w:p>
        </w:tc>
      </w:tr>
      <w:tr>
        <w:trPr>
          <w:trHeight w:val="246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100"/>
              <w:jc w:val="left"/>
              <w:rPr>
                <w:rFonts w:ascii="宋体" w:hAnsi="宋体" w:cs="宋体" w:eastAsia="宋体" w:hint="default"/>
                <w:sz w:val="21"/>
                <w:szCs w:val="21"/>
              </w:rPr>
            </w:pPr>
            <w:r>
              <w:rPr>
                <w:rFonts w:ascii="宋体" w:hAnsi="宋体" w:cs="宋体" w:eastAsia="宋体" w:hint="default"/>
                <w:spacing w:val="14"/>
                <w:sz w:val="21"/>
                <w:szCs w:val="21"/>
              </w:rPr>
              <w:t>报告期内控股和参股的其他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境内外上市公司的股权情况</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浙商银行股份有限公司</w:t>
            </w:r>
            <w:r>
              <w:rPr>
                <w:rFonts w:ascii="宋体" w:hAnsi="宋体" w:cs="宋体" w:eastAsia="宋体" w:hint="default"/>
                <w:sz w:val="21"/>
                <w:szCs w:val="21"/>
              </w:rPr>
              <w:t>(H</w:t>
            </w:r>
            <w:r>
              <w:rPr>
                <w:rFonts w:ascii="宋体" w:hAnsi="宋体" w:cs="宋体" w:eastAsia="宋体" w:hint="default"/>
                <w:spacing w:val="7"/>
                <w:sz w:val="21"/>
                <w:szCs w:val="21"/>
              </w:rPr>
              <w:t> </w:t>
            </w:r>
            <w:r>
              <w:rPr>
                <w:rFonts w:ascii="宋体" w:hAnsi="宋体" w:cs="宋体" w:eastAsia="宋体" w:hint="default"/>
                <w:sz w:val="21"/>
                <w:szCs w:val="21"/>
              </w:rPr>
              <w:t>股，</w:t>
            </w:r>
            <w:r>
              <w:rPr>
                <w:rFonts w:ascii="宋体" w:hAnsi="宋体" w:cs="宋体" w:eastAsia="宋体" w:hint="default"/>
                <w:sz w:val="21"/>
                <w:szCs w:val="21"/>
              </w:rPr>
              <w:t>14.19%)</w:t>
            </w:r>
            <w:r>
              <w:rPr>
                <w:rFonts w:ascii="宋体" w:hAnsi="宋体" w:cs="宋体" w:eastAsia="宋体" w:hint="default"/>
                <w:sz w:val="21"/>
                <w:szCs w:val="21"/>
              </w:rPr>
              <w:t>、浙江中国小商品城集团</w:t>
            </w:r>
          </w:p>
          <w:p>
            <w:pPr>
              <w:pStyle w:val="TableParagraph"/>
              <w:spacing w:line="357" w:lineRule="auto" w:before="133"/>
              <w:ind w:left="103" w:right="-8"/>
              <w:jc w:val="left"/>
              <w:rPr>
                <w:rFonts w:ascii="宋体" w:hAnsi="宋体" w:cs="宋体" w:eastAsia="宋体" w:hint="default"/>
                <w:sz w:val="21"/>
                <w:szCs w:val="21"/>
              </w:rPr>
            </w:pPr>
            <w:r>
              <w:rPr>
                <w:rFonts w:ascii="宋体" w:hAnsi="宋体" w:cs="宋体" w:eastAsia="宋体" w:hint="default"/>
                <w:spacing w:val="-5"/>
                <w:sz w:val="21"/>
                <w:szCs w:val="21"/>
              </w:rPr>
              <w:t>股份有限公司（浙江财开，</w:t>
            </w:r>
            <w:r>
              <w:rPr>
                <w:rFonts w:ascii="宋体" w:hAnsi="宋体" w:cs="宋体" w:eastAsia="宋体" w:hint="default"/>
                <w:spacing w:val="-5"/>
                <w:sz w:val="21"/>
                <w:szCs w:val="21"/>
              </w:rPr>
              <w:t>2.71%</w:t>
            </w:r>
            <w:r>
              <w:rPr>
                <w:rFonts w:ascii="宋体" w:hAnsi="宋体" w:cs="宋体" w:eastAsia="宋体" w:hint="default"/>
                <w:spacing w:val="-5"/>
                <w:sz w:val="21"/>
                <w:szCs w:val="21"/>
              </w:rPr>
              <w:t>）、浙江中国轻纺城集团股份有</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限公司（浙江财开，</w:t>
            </w:r>
            <w:r>
              <w:rPr>
                <w:rFonts w:ascii="宋体" w:hAnsi="宋体" w:cs="宋体" w:eastAsia="宋体" w:hint="default"/>
                <w:spacing w:val="-5"/>
                <w:sz w:val="21"/>
                <w:szCs w:val="21"/>
              </w:rPr>
              <w:t>1.67%</w:t>
            </w:r>
            <w:r>
              <w:rPr>
                <w:rFonts w:ascii="宋体" w:hAnsi="宋体" w:cs="宋体" w:eastAsia="宋体" w:hint="default"/>
                <w:spacing w:val="-5"/>
                <w:sz w:val="21"/>
                <w:szCs w:val="21"/>
              </w:rPr>
              <w:t>）、物产中大集团股份有限公司（浙江</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8"/>
                <w:sz w:val="21"/>
                <w:szCs w:val="21"/>
              </w:rPr>
              <w:t>财开，</w:t>
            </w:r>
            <w:r>
              <w:rPr>
                <w:rFonts w:ascii="宋体" w:hAnsi="宋体" w:cs="宋体" w:eastAsia="宋体" w:hint="default"/>
                <w:spacing w:val="-8"/>
                <w:sz w:val="21"/>
                <w:szCs w:val="21"/>
              </w:rPr>
              <w:t>0.97%</w:t>
            </w:r>
            <w:r>
              <w:rPr>
                <w:rFonts w:ascii="宋体" w:hAnsi="宋体" w:cs="宋体" w:eastAsia="宋体" w:hint="default"/>
                <w:spacing w:val="-8"/>
                <w:sz w:val="21"/>
                <w:szCs w:val="21"/>
              </w:rPr>
              <w:t>）、哈药集团人民同泰医药股份有限公司（浙江财开，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0.94%</w:t>
            </w:r>
            <w:r>
              <w:rPr>
                <w:rFonts w:ascii="宋体" w:hAnsi="宋体" w:cs="宋体" w:eastAsia="宋体" w:hint="default"/>
                <w:sz w:val="21"/>
                <w:szCs w:val="21"/>
              </w:rPr>
              <w:t>）、浦发银行股份有限公司（浙江财开，</w:t>
            </w:r>
            <w:r>
              <w:rPr>
                <w:rFonts w:ascii="宋体" w:hAnsi="宋体" w:cs="宋体" w:eastAsia="宋体" w:hint="default"/>
                <w:sz w:val="21"/>
                <w:szCs w:val="21"/>
              </w:rPr>
              <w:t>0.08%</w:t>
            </w:r>
            <w:r>
              <w:rPr>
                <w:rFonts w:ascii="宋体" w:hAnsi="宋体" w:cs="宋体" w:eastAsia="宋体" w:hint="default"/>
                <w:sz w:val="21"/>
                <w:szCs w:val="21"/>
              </w:rPr>
              <w:t>）交通银行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股份有限公司（</w:t>
            </w:r>
            <w:r>
              <w:rPr>
                <w:rFonts w:ascii="宋体" w:hAnsi="宋体" w:cs="宋体" w:eastAsia="宋体" w:hint="default"/>
                <w:sz w:val="21"/>
                <w:szCs w:val="21"/>
              </w:rPr>
              <w:t>0.07%</w:t>
            </w:r>
            <w:r>
              <w:rPr>
                <w:rFonts w:ascii="宋体" w:hAnsi="宋体" w:cs="宋体" w:eastAsia="宋体" w:hint="default"/>
                <w:sz w:val="21"/>
                <w:szCs w:val="21"/>
              </w:rPr>
              <w:t>）</w:t>
            </w:r>
          </w:p>
        </w:tc>
      </w:tr>
      <w:tr>
        <w:trPr>
          <w:trHeight w:val="42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章启诚先生于</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月到任浙江省金融控股有限公司董事长。</w:t>
            </w:r>
          </w:p>
        </w:tc>
      </w:tr>
    </w:tbl>
    <w:p>
      <w:pPr>
        <w:spacing w:line="240" w:lineRule="auto" w:before="12"/>
        <w:rPr>
          <w:rFonts w:ascii="宋体" w:hAnsi="宋体" w:cs="宋体" w:eastAsia="宋体" w:hint="default"/>
          <w:sz w:val="22"/>
          <w:szCs w:val="22"/>
        </w:rPr>
      </w:pPr>
    </w:p>
    <w:p>
      <w:pPr>
        <w:pStyle w:val="Heading5"/>
        <w:tabs>
          <w:tab w:pos="638" w:val="left" w:leader="none"/>
        </w:tabs>
        <w:spacing w:line="240" w:lineRule="auto" w:before="36"/>
        <w:ind w:left="21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18" w:right="0"/>
        <w:jc w:val="left"/>
      </w:pPr>
      <w:r>
        <w:rPr/>
        <w:t>□适用 √不适用</w:t>
      </w:r>
    </w:p>
    <w:p>
      <w:pPr>
        <w:pStyle w:val="Heading5"/>
        <w:tabs>
          <w:tab w:pos="638" w:val="left" w:leader="none"/>
        </w:tabs>
        <w:spacing w:line="240" w:lineRule="auto" w:before="56"/>
        <w:ind w:left="21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8"/>
        <w:ind w:left="218" w:right="0"/>
        <w:jc w:val="left"/>
      </w:pPr>
      <w:r>
        <w:rPr/>
        <w:t>□适用 √不适用</w:t>
      </w:r>
    </w:p>
    <w:p>
      <w:pPr>
        <w:spacing w:line="240" w:lineRule="auto" w:before="3"/>
        <w:rPr>
          <w:rFonts w:ascii="宋体" w:hAnsi="宋体" w:cs="宋体" w:eastAsia="宋体" w:hint="default"/>
          <w:sz w:val="25"/>
          <w:szCs w:val="25"/>
        </w:rPr>
      </w:pPr>
    </w:p>
    <w:p>
      <w:pPr>
        <w:pStyle w:val="Heading5"/>
        <w:tabs>
          <w:tab w:pos="638" w:val="left" w:leader="none"/>
        </w:tabs>
        <w:spacing w:line="240" w:lineRule="auto"/>
        <w:ind w:left="218"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6"/>
        <w:ind w:left="218" w:right="0"/>
        <w:jc w:val="left"/>
      </w:pPr>
      <w:r>
        <w:rPr/>
        <w:t>□适用 √不适用</w:t>
      </w:r>
    </w:p>
    <w:p>
      <w:pPr>
        <w:spacing w:line="240" w:lineRule="auto" w:before="3"/>
        <w:rPr>
          <w:rFonts w:ascii="宋体" w:hAnsi="宋体" w:cs="宋体" w:eastAsia="宋体" w:hint="default"/>
          <w:sz w:val="25"/>
          <w:szCs w:val="25"/>
        </w:rPr>
      </w:pPr>
    </w:p>
    <w:p>
      <w:pPr>
        <w:pStyle w:val="Heading5"/>
        <w:tabs>
          <w:tab w:pos="638" w:val="left" w:leader="none"/>
        </w:tabs>
        <w:spacing w:line="240" w:lineRule="auto"/>
        <w:ind w:left="218"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9"/>
        <w:ind w:left="218" w:right="0"/>
        <w:jc w:val="left"/>
      </w:pPr>
      <w:r>
        <w:rPr/>
        <w:t>√适用 □不适用</w:t>
      </w:r>
    </w:p>
    <w:p>
      <w:pPr>
        <w:spacing w:line="240" w:lineRule="auto" w:before="3"/>
        <w:rPr>
          <w:rFonts w:ascii="宋体" w:hAnsi="宋体" w:cs="宋体" w:eastAsia="宋体" w:hint="default"/>
          <w:sz w:val="2"/>
          <w:szCs w:val="2"/>
        </w:rPr>
      </w:pPr>
    </w:p>
    <w:p>
      <w:pPr>
        <w:spacing w:line="2520" w:lineRule="exact"/>
        <w:ind w:left="2053"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431073" cy="16002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9" cstate="print"/>
                    <a:stretch>
                      <a:fillRect/>
                    </a:stretch>
                  </pic:blipFill>
                  <pic:spPr>
                    <a:xfrm>
                      <a:off x="0" y="0"/>
                      <a:ext cx="3431073" cy="1600200"/>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1"/>
        <w:rPr>
          <w:rFonts w:ascii="宋体" w:hAnsi="宋体" w:cs="宋体" w:eastAsia="宋体" w:hint="default"/>
          <w:sz w:val="24"/>
          <w:szCs w:val="24"/>
        </w:rPr>
      </w:pPr>
    </w:p>
    <w:p>
      <w:pPr>
        <w:pStyle w:val="Heading5"/>
        <w:tabs>
          <w:tab w:pos="643" w:val="left" w:leader="none"/>
          <w:tab w:pos="1058" w:val="left" w:leader="none"/>
        </w:tabs>
        <w:spacing w:line="290" w:lineRule="auto"/>
        <w:ind w:left="218" w:right="698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tab/>
      </w:r>
      <w:r>
        <w:rPr/>
        <w:t>实际控制人情况</w:t>
      </w:r>
      <w:r>
        <w:rPr>
          <w:spacing w:val="-104"/>
        </w:rPr>
        <w:t> </w:t>
      </w:r>
      <w:r>
        <w:rPr>
          <w:rFonts w:ascii="宋体" w:hAnsi="宋体" w:cs="宋体" w:eastAsia="宋体" w:hint="default"/>
          <w:w w:val="95"/>
        </w:rPr>
        <w:t>1</w:t>
        <w:tab/>
      </w:r>
      <w:r>
        <w:rPr/>
        <w:t>法人</w:t>
      </w:r>
      <w:r>
        <w:rPr>
          <w:b w:val="0"/>
          <w:bCs w:val="0"/>
        </w:rPr>
      </w:r>
    </w:p>
    <w:p>
      <w:pPr>
        <w:pStyle w:val="BodyText"/>
        <w:spacing w:line="240" w:lineRule="auto" w:before="14"/>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95"/>
        <w:gridCol w:w="5795"/>
      </w:tblGrid>
      <w:tr>
        <w:trPr>
          <w:trHeight w:val="283" w:hRule="exact"/>
        </w:trPr>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浙江省财政厅</w:t>
            </w:r>
          </w:p>
        </w:tc>
      </w:tr>
      <w:tr>
        <w:trPr>
          <w:trHeight w:val="283" w:hRule="exact"/>
        </w:trPr>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徐宇宁</w:t>
            </w:r>
          </w:p>
        </w:tc>
      </w:tr>
      <w:tr>
        <w:trPr>
          <w:trHeight w:val="281" w:hRule="exact"/>
        </w:trPr>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828" w:hRule="exact"/>
        </w:trPr>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浙江省财政厅是浙江省人民政府综合管理财政收支、财政政</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5"/>
                <w:sz w:val="21"/>
                <w:szCs w:val="21"/>
              </w:rPr>
              <w:t>策，实施财政监督，参与国民经济宏观调控的职能部门，是机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关法人，住所地杭州市西湖区环城西路</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tc>
      </w:tr>
      <w:tr>
        <w:trPr>
          <w:trHeight w:val="554" w:hRule="exact"/>
        </w:trPr>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center"/>
        <w:rPr>
          <w:rFonts w:ascii="宋体" w:hAnsi="宋体" w:cs="宋体" w:eastAsia="宋体" w:hint="default"/>
          <w:sz w:val="21"/>
          <w:szCs w:val="21"/>
        </w:rPr>
        <w:sectPr>
          <w:pgSz w:w="11910" w:h="16840"/>
          <w:pgMar w:header="880" w:footer="1195" w:top="1060" w:bottom="1380" w:left="1200" w:right="1180"/>
        </w:sectPr>
      </w:pPr>
    </w:p>
    <w:p>
      <w:pPr>
        <w:spacing w:line="240" w:lineRule="auto" w:before="8"/>
        <w:rPr>
          <w:rFonts w:ascii="宋体" w:hAnsi="宋体" w:cs="宋体" w:eastAsia="宋体" w:hint="default"/>
          <w:sz w:val="28"/>
          <w:szCs w:val="28"/>
        </w:rPr>
      </w:pPr>
    </w:p>
    <w:p>
      <w:pPr>
        <w:pStyle w:val="Heading5"/>
        <w:tabs>
          <w:tab w:pos="563" w:val="left" w:leader="none"/>
        </w:tabs>
        <w:spacing w:line="240" w:lineRule="auto" w:before="36"/>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0"/>
        <w:jc w:val="left"/>
      </w:pPr>
      <w:r>
        <w:rPr/>
        <w:t>□适用 √不适用</w:t>
      </w:r>
    </w:p>
    <w:p>
      <w:pPr>
        <w:pStyle w:val="Heading5"/>
        <w:tabs>
          <w:tab w:pos="563" w:val="left" w:leader="none"/>
        </w:tabs>
        <w:spacing w:line="240" w:lineRule="auto" w:before="56"/>
        <w:ind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25"/>
          <w:szCs w:val="25"/>
        </w:rPr>
      </w:pPr>
    </w:p>
    <w:p>
      <w:pPr>
        <w:pStyle w:val="Heading5"/>
        <w:tabs>
          <w:tab w:pos="563" w:val="left" w:leader="none"/>
        </w:tabs>
        <w:spacing w:line="240" w:lineRule="auto"/>
        <w:ind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tabs>
          <w:tab w:pos="563" w:val="left" w:leader="none"/>
        </w:tabs>
        <w:spacing w:line="240" w:lineRule="auto"/>
        <w:ind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8"/>
        <w:ind w:right="0"/>
        <w:jc w:val="left"/>
      </w:pPr>
      <w:r>
        <w:rPr/>
        <w:t>√适用 □不适用</w:t>
      </w:r>
    </w:p>
    <w:p>
      <w:pPr>
        <w:spacing w:line="240" w:lineRule="auto" w:before="4"/>
        <w:rPr>
          <w:rFonts w:ascii="宋体" w:hAnsi="宋体" w:cs="宋体" w:eastAsia="宋体" w:hint="default"/>
          <w:sz w:val="2"/>
          <w:szCs w:val="2"/>
        </w:rPr>
      </w:pPr>
    </w:p>
    <w:p>
      <w:pPr>
        <w:spacing w:line="4080" w:lineRule="exact"/>
        <w:ind w:left="3018"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2096054" cy="25908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0" cstate="print"/>
                    <a:stretch>
                      <a:fillRect/>
                    </a:stretch>
                  </pic:blipFill>
                  <pic:spPr>
                    <a:xfrm>
                      <a:off x="0" y="0"/>
                      <a:ext cx="2096054"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563" w:val="left" w:leader="none"/>
        </w:tabs>
        <w:spacing w:line="240" w:lineRule="auto" w:before="142"/>
        <w:ind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6"/>
        <w:ind w:right="0"/>
        <w:jc w:val="left"/>
      </w:pPr>
      <w:r>
        <w:rPr/>
        <w:t>□适用 √不适用</w:t>
      </w:r>
    </w:p>
    <w:p>
      <w:pPr>
        <w:spacing w:line="240" w:lineRule="auto" w:before="3"/>
        <w:rPr>
          <w:rFonts w:ascii="宋体" w:hAnsi="宋体" w:cs="宋体" w:eastAsia="宋体" w:hint="default"/>
          <w:sz w:val="25"/>
          <w:szCs w:val="25"/>
        </w:rPr>
      </w:pPr>
    </w:p>
    <w:p>
      <w:pPr>
        <w:pStyle w:val="Heading5"/>
        <w:tabs>
          <w:tab w:pos="978"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控股股东及实际控制人其他情况介绍</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right="0"/>
        <w:jc w:val="left"/>
      </w:pPr>
      <w:r>
        <w:rPr/>
        <w:t>□适用 √不适用</w:t>
      </w:r>
    </w:p>
    <w:p>
      <w:pPr>
        <w:pStyle w:val="Heading5"/>
        <w:spacing w:line="240" w:lineRule="auto" w:before="58"/>
        <w:ind w:right="0"/>
        <w:jc w:val="left"/>
        <w:rPr>
          <w:b w:val="0"/>
          <w:bCs w:val="0"/>
        </w:rPr>
      </w:pPr>
      <w:r>
        <w:rPr/>
        <w:t>六、</w:t>
      </w:r>
      <w:r>
        <w:rPr>
          <w:spacing w:val="-77"/>
        </w:rPr>
        <w:t> </w:t>
      </w:r>
      <w:r>
        <w:rPr/>
        <w:t>股份限制减持情况说明</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tabs>
          <w:tab w:pos="4320" w:val="left" w:leader="none"/>
        </w:tabs>
        <w:spacing w:line="240" w:lineRule="auto"/>
        <w:ind w:left="3060" w:right="0"/>
        <w:jc w:val="left"/>
        <w:rPr>
          <w:b w:val="0"/>
          <w:bCs w:val="0"/>
        </w:rPr>
      </w:pPr>
      <w:bookmarkStart w:name="_TOC_250006"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t>□适用 √不适用</w:t>
      </w:r>
    </w:p>
    <w:p>
      <w:pPr>
        <w:spacing w:after="0" w:line="240" w:lineRule="auto"/>
        <w:jc w:val="left"/>
        <w:sectPr>
          <w:pgSz w:w="11910" w:h="16840"/>
          <w:pgMar w:header="880" w:footer="1195" w:top="1060" w:bottom="138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5397" w:val="left" w:leader="none"/>
        </w:tabs>
        <w:spacing w:line="240" w:lineRule="auto" w:before="162"/>
        <w:ind w:left="4137" w:right="0"/>
        <w:jc w:val="left"/>
        <w:rPr>
          <w:b w:val="0"/>
          <w:bCs w:val="0"/>
        </w:rPr>
      </w:pPr>
      <w:bookmarkStart w:name="_TOC_250005"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1"/>
          <w:footerReference w:type="default" r:id="rId32"/>
          <w:pgSz w:w="16840" w:h="11910" w:orient="landscape"/>
          <w:pgMar w:header="880" w:footer="1195" w:top="1120" w:bottom="1380" w:left="1220" w:right="1280"/>
          <w:pgNumType w:start="6"/>
        </w:sectPr>
      </w:pPr>
    </w:p>
    <w:p>
      <w:pPr>
        <w:pStyle w:val="Heading5"/>
        <w:spacing w:line="240" w:lineRule="auto" w:before="36"/>
        <w:ind w:left="220" w:right="0"/>
        <w:jc w:val="left"/>
        <w:rPr>
          <w:b w:val="0"/>
          <w:bCs w:val="0"/>
        </w:rPr>
      </w:pPr>
      <w:r>
        <w:rPr/>
        <w:t>一、持股变动情况及报酬情况</w:t>
      </w:r>
      <w:r>
        <w:rPr>
          <w:b w:val="0"/>
          <w:bCs w:val="0"/>
        </w:rPr>
      </w:r>
    </w:p>
    <w:p>
      <w:pPr>
        <w:pStyle w:val="Heading5"/>
        <w:tabs>
          <w:tab w:pos="1060" w:val="left" w:leader="none"/>
        </w:tabs>
        <w:spacing w:line="240" w:lineRule="auto" w:before="56"/>
        <w:ind w:left="220"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spacing w:val="-1"/>
        </w:rPr>
        <w:t>现任及报告期内离任董事、监事和高级管理人员持股变动及报酬情况</w:t>
      </w:r>
      <w:r>
        <w:rPr>
          <w:b w:val="0"/>
          <w:bCs w:val="0"/>
          <w:spacing w:val="-1"/>
        </w:rPr>
      </w:r>
    </w:p>
    <w:p>
      <w:pPr>
        <w:pStyle w:val="BodyText"/>
        <w:spacing w:line="240" w:lineRule="auto" w:before="58"/>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060" w:bottom="1380" w:left="1220" w:right="1280"/>
          <w:cols w:num="2" w:equalWidth="0">
            <w:col w:w="7388" w:space="5646"/>
            <w:col w:w="130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60"/>
        <w:gridCol w:w="1699"/>
        <w:gridCol w:w="710"/>
        <w:gridCol w:w="577"/>
        <w:gridCol w:w="1550"/>
        <w:gridCol w:w="1700"/>
        <w:gridCol w:w="852"/>
        <w:gridCol w:w="850"/>
        <w:gridCol w:w="1147"/>
        <w:gridCol w:w="980"/>
        <w:gridCol w:w="1843"/>
        <w:gridCol w:w="1229"/>
      </w:tblGrid>
      <w:tr>
        <w:trPr>
          <w:trHeight w:val="97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78" w:right="17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208" w:right="103"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208" w:right="101"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3"/>
              <w:ind w:left="148" w:right="144"/>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68" w:right="167"/>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报告期内从公司</w:t>
            </w:r>
          </w:p>
          <w:p>
            <w:pPr>
              <w:pStyle w:val="TableParagraph"/>
              <w:spacing w:line="240" w:lineRule="auto"/>
              <w:ind w:left="285" w:right="179" w:hanging="106"/>
              <w:jc w:val="left"/>
              <w:rPr>
                <w:rFonts w:ascii="宋体" w:hAnsi="宋体" w:cs="宋体" w:eastAsia="宋体" w:hint="default"/>
                <w:sz w:val="21"/>
                <w:szCs w:val="21"/>
              </w:rPr>
            </w:pP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陆建强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9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龚方乐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阮琪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何向东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钱水土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沈建林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舒明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124.23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王康兵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李媛</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叶长春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122.83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75.87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黄敏伟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06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60"/>
        <w:gridCol w:w="1699"/>
        <w:gridCol w:w="710"/>
        <w:gridCol w:w="577"/>
        <w:gridCol w:w="1550"/>
        <w:gridCol w:w="1700"/>
        <w:gridCol w:w="852"/>
        <w:gridCol w:w="850"/>
        <w:gridCol w:w="1147"/>
        <w:gridCol w:w="980"/>
        <w:gridCol w:w="1843"/>
        <w:gridCol w:w="1229"/>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裴根财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53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钱斌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0"/>
              <w:jc w:val="right"/>
              <w:rPr>
                <w:rFonts w:ascii="宋体" w:hAnsi="宋体" w:cs="宋体" w:eastAsia="宋体" w:hint="default"/>
                <w:sz w:val="21"/>
                <w:szCs w:val="21"/>
              </w:rPr>
            </w:pPr>
            <w:r>
              <w:rPr>
                <w:rFonts w:ascii="宋体"/>
                <w:sz w:val="21"/>
              </w:rPr>
              <w:t>52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申建新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46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47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97.28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王跃军</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财务总监（财务</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负责人）、计划</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财务部总经理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49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夏理芬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席风险官</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吴林惠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运营总监、机构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管理部总经理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45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94.99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官勇华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合规总监、合规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43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沈继宁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61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陈海晓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61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汪一兵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53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徐阳英</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sz w:val="21"/>
              </w:rPr>
              <w:t>42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w w:val="100"/>
                <w:sz w:val="21"/>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陆建强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1965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月出生，哲学硕士，中国国籍，无境外永久居留权。曾任浙江省企业档案管理中心副主任，浙江省工商局办公室副主任，浙江</w:t>
            </w:r>
          </w:p>
          <w:p>
            <w:pPr>
              <w:pStyle w:val="TableParagraph"/>
              <w:spacing w:line="237" w:lineRule="auto" w:before="2"/>
              <w:ind w:left="103" w:right="104"/>
              <w:jc w:val="both"/>
              <w:rPr>
                <w:rFonts w:ascii="宋体" w:hAnsi="宋体" w:cs="宋体" w:eastAsia="宋体" w:hint="default"/>
                <w:sz w:val="21"/>
                <w:szCs w:val="21"/>
              </w:rPr>
            </w:pPr>
            <w:r>
              <w:rPr>
                <w:rFonts w:ascii="宋体" w:hAnsi="宋体" w:cs="宋体" w:eastAsia="宋体" w:hint="default"/>
                <w:sz w:val="21"/>
                <w:szCs w:val="21"/>
              </w:rPr>
              <w:t>省工商局工商信息管理办公室主任，浙江省工商局办公室主任，浙江省工商行政管理局党委委员、办公室主任，浙江省政协机关党组成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员、办公厅副主任，浙江省政府办公厅党组成员、办公厅副主任，浙江省人民政府副秘书长、办公厅党组成员。现任财通证券股份有限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公司党委书记、董事长。兼任浙江省政协第十一届、十二届委员会委员。</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龚方乐</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1960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月出生，研究生学历，高级经济师，中国国籍，无境外永久居留权。曾任中国人民银行绍兴市分行副行长，中国人民银行浙江</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z w:val="21"/>
                <w:szCs w:val="21"/>
              </w:rPr>
              <w:t>省分行金融管理处处长，中国人民银行浙江省分行办公室主任、副行长，中国人民银行杭州中心支行党委书记、行长兼国家外汇管理局</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浙江省分局局长，浙江商业银行筹建协调工作小组副组长，浙商银行股份有限公司副董事长、行长、党委书记。</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月至今担任财</w:t>
            </w:r>
            <w:r>
              <w:rPr>
                <w:rFonts w:ascii="宋体" w:hAnsi="宋体" w:cs="宋体" w:eastAsia="宋体" w:hint="default"/>
                <w:w w:val="100"/>
                <w:sz w:val="21"/>
                <w:szCs w:val="21"/>
              </w:rPr>
              <w:t> </w:t>
            </w:r>
            <w:r>
              <w:rPr>
                <w:rFonts w:ascii="宋体" w:hAnsi="宋体" w:cs="宋体" w:eastAsia="宋体" w:hint="default"/>
                <w:sz w:val="21"/>
                <w:szCs w:val="21"/>
              </w:rPr>
              <w:t>通证券党委委员、董事。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阮琪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月出生，工商管理硕士，高级会计师，中国国籍，无境外永久居留权。曾任浙江省杭州市财政税务局综合计划处副处长，杭州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市财政局综合计划处处长、社会保障处处长。</w:t>
            </w: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pacing w:val="-3"/>
                <w:sz w:val="21"/>
                <w:szCs w:val="21"/>
              </w:rPr>
              <w:t>月加入公司，历任总经理助理、副总经理，现任财通证券董事、总经理。兼任永</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安期货董事长、深圳证券交易所理事会薪酬财务委员会副主任委员、浙江证券业协会副会长、浙商总会新动能委员会副主席。</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1963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pacing w:val="-3"/>
                <w:sz w:val="21"/>
                <w:szCs w:val="21"/>
              </w:rPr>
              <w:t>月出生，经济学硕士，高级经济师，中国国籍，无境外永久居留权。曾任浙江财经学院讲师、培训部主任，曾任浙江财政证券</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发行部经理、研究发展部经理、营销咨询中心主任。</w:t>
            </w:r>
            <w:r>
              <w:rPr>
                <w:rFonts w:ascii="宋体" w:hAnsi="宋体" w:cs="宋体" w:eastAsia="宋体" w:hint="default"/>
                <w:sz w:val="21"/>
                <w:szCs w:val="21"/>
              </w:rPr>
              <w:t>2003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月加入公司，曾担任财通证券副总经理、工会主席。现任财通证券党委副</w:t>
            </w:r>
            <w:r>
              <w:rPr>
                <w:rFonts w:ascii="宋体" w:hAnsi="宋体" w:cs="宋体" w:eastAsia="宋体" w:hint="default"/>
                <w:w w:val="100"/>
                <w:sz w:val="21"/>
                <w:szCs w:val="21"/>
              </w:rPr>
              <w:t> </w:t>
            </w:r>
            <w:r>
              <w:rPr>
                <w:rFonts w:ascii="宋体" w:hAnsi="宋体" w:cs="宋体" w:eastAsia="宋体" w:hint="default"/>
                <w:sz w:val="21"/>
                <w:szCs w:val="21"/>
              </w:rPr>
              <w:t>书记、董事、工会主席，兼任浙江省财贸工会委员会委员。</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黄志明，男，</w:t>
            </w:r>
            <w:r>
              <w:rPr>
                <w:rFonts w:ascii="宋体" w:hAnsi="宋体" w:cs="宋体" w:eastAsia="宋体" w:hint="default"/>
                <w:sz w:val="21"/>
                <w:szCs w:val="21"/>
              </w:rPr>
              <w:t>1976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月出生，中央党校研究生，中国国籍，无境外永久居留权，曾任浙江省财务开发公司总经办主任、浙江省农都农</w:t>
            </w:r>
          </w:p>
          <w:p>
            <w:pPr>
              <w:pStyle w:val="TableParagraph"/>
              <w:spacing w:line="237" w:lineRule="auto" w:before="2"/>
              <w:ind w:left="103" w:right="104"/>
              <w:jc w:val="both"/>
              <w:rPr>
                <w:rFonts w:ascii="宋体" w:hAnsi="宋体" w:cs="宋体" w:eastAsia="宋体" w:hint="default"/>
                <w:sz w:val="21"/>
                <w:szCs w:val="21"/>
              </w:rPr>
            </w:pPr>
            <w:r>
              <w:rPr>
                <w:rFonts w:ascii="宋体" w:hAnsi="宋体" w:cs="宋体" w:eastAsia="宋体" w:hint="default"/>
                <w:sz w:val="21"/>
                <w:szCs w:val="21"/>
              </w:rPr>
              <w:t>产品有限公司监事长、东方星空创业投资有限公司监事、物产中大集团股份有限公司监事、浙江省产业基金有限公司监事长、浙江省担</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保集团有限公司执行监事、浙江省金融控股有限公司党委委员、职工董事、办公室主任、风险合规部总经理。现任浙江省金融控股有限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公司党委委员、职工董事、金融管理部总经理。兼任永安期货股份有限公司董事、浙商银行股份有限公司董事、杭州金溪山庄董事长、</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浙江华财实业发展有限责任公司董事。</w:t>
            </w:r>
          </w:p>
        </w:tc>
      </w:tr>
      <w:tr>
        <w:trPr>
          <w:trHeight w:val="218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何向东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1966 </w:t>
            </w:r>
            <w:r>
              <w:rPr>
                <w:rFonts w:ascii="宋体" w:hAnsi="宋体" w:cs="宋体" w:eastAsia="宋体" w:hint="default"/>
                <w:sz w:val="21"/>
                <w:szCs w:val="21"/>
              </w:rPr>
              <w:t>年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pacing w:val="-3"/>
                <w:sz w:val="21"/>
                <w:szCs w:val="21"/>
              </w:rPr>
              <w:t>月出生，大学本科，中国国籍，无境外永久居留权。曾任中国建设银行杭州宝石支行副行长，杭州分行部门负责人，杭州之江</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支行行长，浙江省分行办公室主任，浙江省分行行长助理，现任天堂硅谷资产管理集团有限公司董事长。</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月至今担任财通证券</w:t>
            </w:r>
            <w:r>
              <w:rPr>
                <w:rFonts w:ascii="宋体" w:hAnsi="宋体" w:cs="宋体" w:eastAsia="宋体" w:hint="default"/>
                <w:w w:val="100"/>
                <w:sz w:val="21"/>
                <w:szCs w:val="21"/>
              </w:rPr>
              <w:t> </w:t>
            </w:r>
            <w:r>
              <w:rPr>
                <w:rFonts w:ascii="宋体" w:hAnsi="宋体" w:cs="宋体" w:eastAsia="宋体" w:hint="default"/>
                <w:sz w:val="21"/>
                <w:szCs w:val="21"/>
              </w:rPr>
              <w:t>董事。兼任浙江天堂硅谷互联网金融服务有限公司董事、宁波天堂硅谷股权投资管理有限公司董事长、浙江天堂硅谷恒通创业投资有限</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公司执行董事兼总经理、浙江天堂硅谷朝阳创业投资有限公司执行董事、浙江天堂硅谷鲲鹏创业投资有限公司执行董事、浙江天堂硅谷</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鲲诚创业投资有限公司执行董事、浙江天堂硅谷恒裕创业投资有限公司执行董事、物产中大集团股份有限公司董事、杭州长鸿创业投资</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有限公司执行董事兼总经理、玖溢投资管理</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有限公司董事长、宁波天堂硅谷资产管理有限公司执行董事兼经理、宁波梅山保税港</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区天堂硅谷利丰投资管理有限公司执行董事兼经理、宁夏天堂硅谷股权投资管理有限公司执行董事兼总经理、浙江省建设投资集团股份</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有限公司独立董事、浙江玉皇山南投资管理有限公司董事。</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月出生，工商管理硕士，高级经济师，中国国籍，无境外永久居留权。曾任王坛爱华服装厂厂长，绍兴县华联制衣厂厂长，浙</w:t>
            </w:r>
          </w:p>
          <w:p>
            <w:pPr>
              <w:pStyle w:val="TableParagraph"/>
              <w:spacing w:line="237" w:lineRule="auto"/>
              <w:ind w:left="103" w:right="-10"/>
              <w:jc w:val="left"/>
              <w:rPr>
                <w:rFonts w:ascii="宋体" w:hAnsi="宋体" w:cs="宋体" w:eastAsia="宋体" w:hint="default"/>
                <w:sz w:val="21"/>
                <w:szCs w:val="21"/>
              </w:rPr>
            </w:pPr>
            <w:r>
              <w:rPr>
                <w:rFonts w:ascii="宋体" w:hAnsi="宋体" w:cs="宋体" w:eastAsia="宋体" w:hint="default"/>
                <w:sz w:val="21"/>
                <w:szCs w:val="21"/>
              </w:rPr>
              <w:t>江华联纺织品服装有限公司董事长，现任浙江华联集团有限公司执行董事。兼任绍兴华联纺织品服装有限公司董事长、绍兴市柯桥区新</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世界置业有限公司总经理、绍兴柯桥华联小额贷款股份有限公司董事长、浙江今朝智能装备有限公司执行董事、绍兴市柯桥区华联金融</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服务外包有限公司执行董事、浙江龙华世纪生物科技有限公司董事、浙江越商股权投资有限公司董事、绍兴新世界服饰有限公司董事长、</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浙江梦享健康管理有限公司执行董事兼经理、浙江福欣德机械有限公司执行董事兼经理、绍兴眼科医院有限公司董事、绍兴市柯桥区丹</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家家鸡专业合作社理事、浙江绍兴瑞丰农村商业银行股份有限公司监事。</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月至今担任财通证券董事。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钱水土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月出生，管理学博士，浙江工商大学教授，博士生导师，中国国籍，无境外永久居留权。曾任杭州商学院会计系讲师、金融系</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教授，浙江工商大学金融学院教授、副院长。现任浙江工商大学金融学院教授、院长、博士生导师。</w:t>
            </w:r>
            <w:r>
              <w:rPr>
                <w:rFonts w:ascii="宋体" w:hAnsi="宋体" w:cs="宋体" w:eastAsia="宋体" w:hint="default"/>
                <w:sz w:val="21"/>
                <w:szCs w:val="21"/>
              </w:rPr>
              <w:t>2014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月至今担任财通证券独立</w:t>
            </w:r>
            <w:r>
              <w:rPr>
                <w:rFonts w:ascii="宋体" w:hAnsi="宋体" w:cs="宋体" w:eastAsia="宋体" w:hint="default"/>
                <w:w w:val="100"/>
                <w:sz w:val="21"/>
                <w:szCs w:val="21"/>
              </w:rPr>
              <w:t> </w:t>
            </w:r>
            <w:r>
              <w:rPr>
                <w:rFonts w:ascii="宋体" w:hAnsi="宋体" w:cs="宋体" w:eastAsia="宋体" w:hint="default"/>
                <w:sz w:val="21"/>
                <w:szCs w:val="21"/>
              </w:rPr>
              <w:t>董事。兼任宁波东海银行股份有限公司董事、杭州东方嘉富资产管理有限公司董事、浙江民泰商业银行股份有限公司独立董事。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汪炜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月出生，经济学博士，浙江大学教授，博士生导师，中国国籍，无境外永久居留权。曾任浙江大学经济学院副院长，浙江大学</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民营经济研究中心副主任，浙江大学金融研究院执行院长，现任浙江大学经济学院教授，浙江省金融研究院院长，浙江省金融业发展促</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进会常务副会长兼秘书长。</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月至今担任财通证券独立董事。兼任永安期货股份有限公司独立董事、安徽江南化工股份有限公司</w:t>
            </w:r>
            <w:r>
              <w:rPr>
                <w:rFonts w:ascii="宋体" w:hAnsi="宋体" w:cs="宋体" w:eastAsia="宋体" w:hint="default"/>
                <w:w w:val="100"/>
                <w:sz w:val="21"/>
                <w:szCs w:val="21"/>
              </w:rPr>
              <w:t> </w:t>
            </w:r>
            <w:r>
              <w:rPr>
                <w:rFonts w:ascii="宋体" w:hAnsi="宋体" w:cs="宋体" w:eastAsia="宋体" w:hint="default"/>
                <w:sz w:val="21"/>
                <w:szCs w:val="21"/>
              </w:rPr>
              <w:t>独立董事、镇海石化工程股份有限公司独立董事、中国电子投资控股有限公司董事、杭州新安江千岛湖流域产业投资基金管理有限公司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董事、浙江玉皇山南投资管理有限公司董事、浙江中新力合科技金融服务股份有限公司董事、万向信托股份公司董事、温州银行股份有</w:t>
            </w:r>
          </w:p>
        </w:tc>
      </w:tr>
    </w:tbl>
    <w:p>
      <w:pPr>
        <w:spacing w:after="0" w:line="237" w:lineRule="auto"/>
        <w:jc w:val="both"/>
        <w:rPr>
          <w:rFonts w:ascii="宋体" w:hAnsi="宋体" w:cs="宋体" w:eastAsia="宋体" w:hint="default"/>
          <w:sz w:val="21"/>
          <w:szCs w:val="21"/>
        </w:rPr>
        <w:sectPr>
          <w:footerReference w:type="default" r:id="rId33"/>
          <w:pgSz w:w="16840" w:h="11910" w:orient="landscape"/>
          <w:pgMar w:footer="1195" w:header="880" w:top="1120" w:bottom="1380" w:left="1220" w:right="130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限公司监事、杭州港湾资产管理有限公司监事。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沈建林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1968 </w:t>
            </w:r>
            <w:r>
              <w:rPr>
                <w:rFonts w:ascii="宋体" w:hAnsi="宋体" w:cs="宋体" w:eastAsia="宋体" w:hint="default"/>
                <w:sz w:val="21"/>
                <w:szCs w:val="21"/>
              </w:rPr>
              <w:t>年 </w:t>
            </w:r>
            <w:r>
              <w:rPr>
                <w:rFonts w:ascii="宋体" w:hAnsi="宋体" w:cs="宋体" w:eastAsia="宋体" w:hint="default"/>
                <w:sz w:val="21"/>
                <w:szCs w:val="21"/>
              </w:rPr>
              <w:t>11</w:t>
            </w:r>
            <w:r>
              <w:rPr>
                <w:rFonts w:ascii="宋体" w:hAnsi="宋体" w:cs="宋体" w:eastAsia="宋体" w:hint="default"/>
                <w:spacing w:val="-67"/>
                <w:sz w:val="21"/>
                <w:szCs w:val="21"/>
              </w:rPr>
              <w:t> </w:t>
            </w:r>
            <w:r>
              <w:rPr>
                <w:rFonts w:ascii="宋体" w:hAnsi="宋体" w:cs="宋体" w:eastAsia="宋体" w:hint="default"/>
                <w:spacing w:val="-3"/>
                <w:sz w:val="21"/>
                <w:szCs w:val="21"/>
              </w:rPr>
              <w:t>月出生，大学本科，高级会计师、注册会计师、注册资产评估师，中国国籍，无境外永久居留权。曾任杭州会计师事务所部门</w:t>
            </w:r>
          </w:p>
          <w:p>
            <w:pPr>
              <w:pStyle w:val="TableParagraph"/>
              <w:spacing w:line="237" w:lineRule="auto"/>
              <w:ind w:left="103" w:right="-8"/>
              <w:jc w:val="both"/>
              <w:rPr>
                <w:rFonts w:ascii="宋体" w:hAnsi="宋体" w:cs="宋体" w:eastAsia="宋体" w:hint="default"/>
                <w:sz w:val="21"/>
                <w:szCs w:val="21"/>
              </w:rPr>
            </w:pPr>
            <w:r>
              <w:rPr>
                <w:rFonts w:ascii="宋体" w:hAnsi="宋体" w:cs="宋体" w:eastAsia="宋体" w:hint="default"/>
                <w:sz w:val="21"/>
                <w:szCs w:val="21"/>
              </w:rPr>
              <w:t>经理，浙江东方会计师事务所董事、副总经理，现任立信会计师事务所（特殊普通合伙）管理合伙人，浙江分所所长。</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月至今</w:t>
            </w:r>
            <w:r>
              <w:rPr>
                <w:rFonts w:ascii="宋体" w:hAnsi="宋体" w:cs="宋体" w:eastAsia="宋体" w:hint="default"/>
                <w:w w:val="100"/>
                <w:sz w:val="21"/>
                <w:szCs w:val="21"/>
              </w:rPr>
              <w:t> </w:t>
            </w:r>
            <w:r>
              <w:rPr>
                <w:rFonts w:ascii="宋体" w:hAnsi="宋体" w:cs="宋体" w:eastAsia="宋体" w:hint="default"/>
                <w:sz w:val="21"/>
                <w:szCs w:val="21"/>
              </w:rPr>
              <w:t>担任财通证券独立董事。兼任物产中大集团股份有限公司独立董事、浙江省注册会计师协会副会长、杭州长信财务咨询有限公司执行董</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事兼总经理、浙江大学校外硕士生导师、杭州电子科技大学校外硕士生导师、浙江工商大学校外硕士生导师、山东工商大学硕士生导师。</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舒明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1971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月出生，生物医学工程学博士，美国国籍，特许金融分析师（</w:t>
            </w:r>
            <w:r>
              <w:rPr>
                <w:rFonts w:ascii="宋体" w:hAnsi="宋体" w:cs="宋体" w:eastAsia="宋体" w:hint="default"/>
                <w:sz w:val="21"/>
                <w:szCs w:val="21"/>
              </w:rPr>
              <w:t>CFA</w:t>
            </w:r>
            <w:r>
              <w:rPr>
                <w:rFonts w:ascii="宋体" w:hAnsi="宋体" w:cs="宋体" w:eastAsia="宋体" w:hint="default"/>
                <w:sz w:val="21"/>
                <w:szCs w:val="21"/>
              </w:rPr>
              <w:t>）。曾任</w:t>
            </w:r>
            <w:r>
              <w:rPr>
                <w:rFonts w:ascii="宋体" w:hAnsi="宋体" w:cs="宋体" w:eastAsia="宋体" w:hint="default"/>
                <w:spacing w:val="-56"/>
                <w:sz w:val="21"/>
                <w:szCs w:val="21"/>
              </w:rPr>
              <w:t> </w:t>
            </w:r>
            <w:r>
              <w:rPr>
                <w:rFonts w:ascii="宋体" w:hAnsi="宋体" w:cs="宋体" w:eastAsia="宋体" w:hint="default"/>
                <w:sz w:val="21"/>
                <w:szCs w:val="21"/>
              </w:rPr>
              <w:t>AMARANTH</w:t>
            </w:r>
            <w:r>
              <w:rPr>
                <w:rFonts w:ascii="宋体" w:hAnsi="宋体" w:cs="宋体" w:eastAsia="宋体" w:hint="default"/>
                <w:spacing w:val="-55"/>
                <w:sz w:val="21"/>
                <w:szCs w:val="21"/>
              </w:rPr>
              <w:t> </w:t>
            </w:r>
            <w:r>
              <w:rPr>
                <w:rFonts w:ascii="宋体" w:hAnsi="宋体" w:cs="宋体" w:eastAsia="宋体" w:hint="default"/>
                <w:sz w:val="21"/>
                <w:szCs w:val="21"/>
              </w:rPr>
              <w:t>GROUP</w:t>
            </w:r>
            <w:r>
              <w:rPr>
                <w:rFonts w:ascii="宋体" w:hAnsi="宋体" w:cs="宋体" w:eastAsia="宋体" w:hint="default"/>
                <w:spacing w:val="-58"/>
                <w:sz w:val="21"/>
                <w:szCs w:val="21"/>
              </w:rPr>
              <w:t> </w:t>
            </w:r>
            <w:r>
              <w:rPr>
                <w:rFonts w:ascii="宋体" w:hAnsi="宋体" w:cs="宋体" w:eastAsia="宋体" w:hint="default"/>
                <w:sz w:val="21"/>
                <w:szCs w:val="21"/>
              </w:rPr>
              <w:t>投资经理助理，高盛集团投资经理，</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亨德森全球投资亚洲区首席运营官及合伙人，阿里巴巴集团副总裁、蚂蚁金融服务集团首席战略官、顺丰恒通支付有限公司金融服务事</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业群首席执行官、集团副总裁、集团投资并购部负责人。现任西藏领沨创业投资合伙企业（有限合伙）合伙人。</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月至今担任财</w:t>
            </w:r>
            <w:r>
              <w:rPr>
                <w:rFonts w:ascii="宋体" w:hAnsi="宋体" w:cs="宋体" w:eastAsia="宋体" w:hint="default"/>
                <w:w w:val="100"/>
                <w:sz w:val="21"/>
                <w:szCs w:val="21"/>
              </w:rPr>
              <w:t> </w:t>
            </w:r>
            <w:r>
              <w:rPr>
                <w:rFonts w:ascii="宋体" w:hAnsi="宋体" w:cs="宋体" w:eastAsia="宋体" w:hint="default"/>
                <w:sz w:val="21"/>
                <w:szCs w:val="21"/>
              </w:rPr>
              <w:t>通证券独立董事。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pacing w:val="-4"/>
                <w:sz w:val="21"/>
                <w:szCs w:val="21"/>
              </w:rPr>
              <w:t>月出生，硕士研究生，经济师，中国国籍，无境外永久居留权。曾任职于天和证券经纪有限公司，</w:t>
            </w:r>
            <w:r>
              <w:rPr>
                <w:rFonts w:ascii="宋体" w:hAnsi="宋体" w:cs="宋体" w:eastAsia="宋体" w:hint="default"/>
                <w:spacing w:val="-4"/>
                <w:sz w:val="21"/>
                <w:szCs w:val="21"/>
              </w:rPr>
              <w:t>2006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月加入财通证券，</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曾任财通证券风险管理部法务主管，合规部总经理助理、法律事务部经理、副总经理，并曾在杭州市富阳区（市）挂职任副区（市）长，</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现任财通证券职工董事、董事会办公室主任兼总经理办公室副主任。兼任浙江证券业协会人民调解委员会主任委员、浙江省浙商资产管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理有限公司董事。</w:t>
            </w:r>
          </w:p>
        </w:tc>
      </w:tr>
      <w:tr>
        <w:trPr>
          <w:trHeight w:val="137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杨勇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月出生，本科学历，中国国籍，无境外永久居留权，曾任浙江广厦股份有限公司财务总监、广厦控股集团有限公司财务总监、</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万达集团股份有限公司项目财务总监、上海润城企业集团有限公司财务总监。现任杭州邮政科技实业有限公司执行董事兼总经理。</w:t>
            </w:r>
            <w:r>
              <w:rPr>
                <w:rFonts w:ascii="宋体" w:hAnsi="宋体" w:cs="宋体" w:eastAsia="宋体" w:hint="default"/>
                <w:sz w:val="21"/>
                <w:szCs w:val="21"/>
              </w:rPr>
              <w:t>2018</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17"/>
                <w:sz w:val="21"/>
                <w:szCs w:val="21"/>
              </w:rPr>
              <w:t> </w:t>
            </w:r>
            <w:r>
              <w:rPr>
                <w:rFonts w:ascii="宋体" w:hAnsi="宋体" w:cs="宋体" w:eastAsia="宋体" w:hint="default"/>
                <w:sz w:val="21"/>
                <w:szCs w:val="21"/>
              </w:rPr>
              <w:t>月至今担任财通证券监事。兼任杭州广聚物业管理有限公司执行董事兼总经理、杭州乐土科技实业有限公司执行董事兼总经理、浙</w:t>
            </w:r>
            <w:r>
              <w:rPr>
                <w:rFonts w:ascii="宋体" w:hAnsi="宋体" w:cs="宋体" w:eastAsia="宋体" w:hint="default"/>
                <w:w w:val="100"/>
                <w:sz w:val="21"/>
                <w:szCs w:val="21"/>
              </w:rPr>
              <w:t> </w:t>
            </w:r>
            <w:r>
              <w:rPr>
                <w:rFonts w:ascii="宋体" w:hAnsi="宋体" w:cs="宋体" w:eastAsia="宋体" w:hint="default"/>
                <w:sz w:val="21"/>
                <w:szCs w:val="21"/>
              </w:rPr>
              <w:t>江广厦物业管理有限公司监事、浦江蓝城置业有限公司董事、惠州市蓝城川龙岛工程建设有限公司董事、浙江中兴荣泰置业有限公司监</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事、杭州维盈泽凯实业有限公司监事。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蒋洪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月出生，本科学历，助理国际商务师，中国国籍，无境外永久居留权。曾任台州市财政（地税）局办公室主任和行政审批处处</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pacing w:val="-3"/>
                <w:sz w:val="21"/>
                <w:szCs w:val="21"/>
              </w:rPr>
              <w:t>长，现任台州市金融投资有限责任公司董事长、总经理。</w:t>
            </w:r>
            <w:r>
              <w:rPr>
                <w:rFonts w:ascii="宋体" w:hAnsi="宋体" w:cs="宋体" w:eastAsia="宋体" w:hint="default"/>
                <w:spacing w:val="-3"/>
                <w:sz w:val="21"/>
                <w:szCs w:val="21"/>
              </w:rPr>
              <w:t>2016</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11</w:t>
            </w:r>
            <w:r>
              <w:rPr>
                <w:rFonts w:ascii="宋体" w:hAnsi="宋体" w:cs="宋体" w:eastAsia="宋体" w:hint="default"/>
                <w:spacing w:val="-25"/>
                <w:sz w:val="21"/>
                <w:szCs w:val="21"/>
              </w:rPr>
              <w:t> </w:t>
            </w:r>
            <w:r>
              <w:rPr>
                <w:rFonts w:ascii="宋体" w:hAnsi="宋体" w:cs="宋体" w:eastAsia="宋体" w:hint="default"/>
                <w:spacing w:val="-3"/>
                <w:sz w:val="21"/>
                <w:szCs w:val="21"/>
              </w:rPr>
              <w:t>月至今担任财通证券监事。兼任浙商证券股份有限公司董事、台州银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行股份有限公司董事。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王康兵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1977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月出生，工商管理硕士，会计师，中国国籍，无境外永久居留权。曾任浙江苏泊尔股份有限公司财务部财务经理，现任苏泊尔</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集团有限公司财务总监。</w:t>
            </w:r>
            <w:r>
              <w:rPr>
                <w:rFonts w:ascii="宋体" w:hAnsi="宋体" w:cs="宋体" w:eastAsia="宋体" w:hint="default"/>
                <w:spacing w:val="-3"/>
                <w:sz w:val="21"/>
                <w:szCs w:val="21"/>
              </w:rPr>
              <w:t>2013</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10</w:t>
            </w:r>
            <w:r>
              <w:rPr>
                <w:rFonts w:ascii="宋体" w:hAnsi="宋体" w:cs="宋体" w:eastAsia="宋体" w:hint="default"/>
                <w:spacing w:val="-27"/>
                <w:sz w:val="21"/>
                <w:szCs w:val="21"/>
              </w:rPr>
              <w:t> </w:t>
            </w:r>
            <w:r>
              <w:rPr>
                <w:rFonts w:ascii="宋体" w:hAnsi="宋体" w:cs="宋体" w:eastAsia="宋体" w:hint="default"/>
                <w:spacing w:val="-3"/>
                <w:sz w:val="21"/>
                <w:szCs w:val="21"/>
              </w:rPr>
              <w:t>月至今担任财通证券监事。兼任浙江玉环永兴村镇银行有限责任公司董事、杭州苏泊尔物业管理有限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公司执行董事、杭州苏泊尔智能家居有限公司执行董事、浙江苏泊尔卫浴有限公司监事、浙商财产保险股份有限公司监事、浙江苏泊尔</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药品销售有限公司监事、杭州苏泊尔南洋药业有限公司监事、浙江苏泊尔卫浴有限公司监事、沈阳苏泊尔房地产开发有限公司监事。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1977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月出生，会计专业硕士，高级会计师，中国国籍，无境外永久居留权。曾任浙江天健会计师事务所部门经理助理、浙江省交通</w:t>
            </w:r>
          </w:p>
          <w:p>
            <w:pPr>
              <w:pStyle w:val="TableParagraph"/>
              <w:spacing w:line="240" w:lineRule="auto"/>
              <w:ind w:left="103" w:right="-8"/>
              <w:jc w:val="left"/>
              <w:rPr>
                <w:rFonts w:ascii="宋体" w:hAnsi="宋体" w:cs="宋体" w:eastAsia="宋体" w:hint="default"/>
                <w:sz w:val="21"/>
                <w:szCs w:val="21"/>
              </w:rPr>
            </w:pPr>
            <w:r>
              <w:rPr>
                <w:rFonts w:ascii="宋体" w:hAnsi="宋体" w:cs="宋体" w:eastAsia="宋体" w:hint="default"/>
                <w:spacing w:val="-5"/>
                <w:sz w:val="21"/>
                <w:szCs w:val="21"/>
              </w:rPr>
              <w:t>投资集团有限公司财务管理部高级主管，现任浙江省交通投资集团有限公司财务管理中心副总经理。</w:t>
            </w:r>
            <w:r>
              <w:rPr>
                <w:rFonts w:ascii="宋体" w:hAnsi="宋体" w:cs="宋体" w:eastAsia="宋体" w:hint="default"/>
                <w:spacing w:val="-5"/>
                <w:sz w:val="21"/>
                <w:szCs w:val="21"/>
              </w:rPr>
              <w:t>2016</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月至今担任财通证券监事。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兼浙江丝路产业基金有限公司监事、浙江高速物流有限公司监事会主席、浙江交通资源投资有限公司监事会主席。</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叶长春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1965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月出生，大学本科，经济师，中国国籍，无境外永久居留权。曾任浙江省财政厅人事教育处干部，浙江财政证券公司人事综合</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部经理助理，浙江财通物业发展有限公司副总经理。</w:t>
            </w:r>
            <w:r>
              <w:rPr>
                <w:rFonts w:ascii="宋体" w:hAnsi="宋体" w:cs="宋体" w:eastAsia="宋体" w:hint="default"/>
                <w:sz w:val="21"/>
                <w:szCs w:val="21"/>
              </w:rPr>
              <w:t>2003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月加入公司，曾任人力资源部副总经理、纪检监察室副主任、党委组织部</w:t>
            </w:r>
            <w:r>
              <w:rPr>
                <w:rFonts w:ascii="宋体" w:hAnsi="宋体" w:cs="宋体" w:eastAsia="宋体" w:hint="default"/>
                <w:w w:val="100"/>
                <w:sz w:val="21"/>
                <w:szCs w:val="21"/>
              </w:rPr>
              <w:t> </w:t>
            </w:r>
            <w:r>
              <w:rPr>
                <w:rFonts w:ascii="宋体" w:hAnsi="宋体" w:cs="宋体" w:eastAsia="宋体" w:hint="default"/>
                <w:sz w:val="21"/>
                <w:szCs w:val="21"/>
              </w:rPr>
              <w:t>副部长，现任财通证券职工监事（代行监事会主席职责）、纪委副书记、纪检监察室主任。</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胡翠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月出生，大学本科，会计师，中国国籍，无境外永久居留权。曾任职于浙江财政证券公司，</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月加入财通证券，曾在计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划财务部、合规部、风险管理部任职，曾担任风险管理部风险控制部副经理、经理，现任财通证券职工监事、风险管理部副总经理。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黄敏伟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1959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月出生，大学本科，高级会计师，注册会计师，中国国籍，无境外永久居留权。曾任浙江省财政厅工交企业财务处副处长、会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计管理处处长、经济建设处处长、外债金融处处长。</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月加入公司，曾任总经理助理，现任财通证券党委委员、副总经理。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裴根财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月出生，经济学硕士，中国国籍，无境外永久居留权。曾任浙江证券营业总部总经理助理、上海昆山路证券营业部总经理，方</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正证券机构管理部、营销中心总经理，华西证券杭州学院路证券营业部总经理。</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月加入公司，现任财通证券总经理助理。兼任</w:t>
            </w:r>
            <w:r>
              <w:rPr>
                <w:rFonts w:ascii="宋体" w:hAnsi="宋体" w:cs="宋体" w:eastAsia="宋体" w:hint="default"/>
                <w:w w:val="100"/>
                <w:sz w:val="21"/>
                <w:szCs w:val="21"/>
              </w:rPr>
              <w:t> </w:t>
            </w:r>
            <w:r>
              <w:rPr>
                <w:rFonts w:ascii="宋体" w:hAnsi="宋体" w:cs="宋体" w:eastAsia="宋体" w:hint="default"/>
                <w:sz w:val="21"/>
                <w:szCs w:val="21"/>
              </w:rPr>
              <w:t>财通证券资管董事、中国证券业协会经纪业务委员会委员、浙江证券业协会经纪业务委员会副主任。</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钱斌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月出生，研究生学历，经济师，中国国籍，无境外永久居留权。曾任海南中亚信托投资公司证券总部总经理，东方证券经纪业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务总部副总经理，爱建证券有限责任公司副总裁。</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月加入公司，现任财通证券总经理助理。兼任财通香港董事长、总经理。</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申建新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月出生，工商管理硕士，高级经济师，中国国籍，无境外永久居留权。曾任浙江财政证券公司湖墅路营业部副总经理、光复路</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营业部负责人、电脑中心副经理、西大街营业部总经理、市场管理总部经理。</w:t>
            </w:r>
            <w:r>
              <w:rPr>
                <w:rFonts w:ascii="宋体" w:hAnsi="宋体" w:cs="宋体" w:eastAsia="宋体" w:hint="default"/>
                <w:sz w:val="21"/>
                <w:szCs w:val="21"/>
              </w:rPr>
              <w:t>2003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月加入公司，曾任营销咨询服务中心主任、风险</w:t>
            </w:r>
            <w:r>
              <w:rPr>
                <w:rFonts w:ascii="宋体" w:hAnsi="宋体" w:cs="宋体" w:eastAsia="宋体" w:hint="default"/>
                <w:w w:val="100"/>
                <w:sz w:val="21"/>
                <w:szCs w:val="21"/>
              </w:rPr>
              <w:t> </w:t>
            </w:r>
            <w:r>
              <w:rPr>
                <w:rFonts w:ascii="宋体" w:hAnsi="宋体" w:cs="宋体" w:eastAsia="宋体" w:hint="default"/>
                <w:sz w:val="21"/>
                <w:szCs w:val="21"/>
              </w:rPr>
              <w:t>管理部总经理兼合规部总经理，现任财通证券董事会秘书、总经理办公室主任。兼任永安期货董事，浙江股权服务集团有限公司董事、</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浙江省国有资产管理协会常务理事、中国证券业协会投行委员会委员、杭州市金融人才协会常务理事。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月出生，经济学硕士，经济师，中国国籍，无境外永久居留权。曾任浙江财政证券市场部副经理、体育场路营业部副总经理。</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月加入公司，曾任财通经纪文二路营业部总经理、体育场路营业部总经理、经纪业务管理部总经理，财通证券基金筹建部负责</w:t>
            </w:r>
            <w:r>
              <w:rPr>
                <w:rFonts w:ascii="宋体" w:hAnsi="宋体" w:cs="宋体" w:eastAsia="宋体" w:hint="default"/>
                <w:w w:val="100"/>
                <w:sz w:val="21"/>
                <w:szCs w:val="21"/>
              </w:rPr>
              <w:t> </w:t>
            </w:r>
            <w:r>
              <w:rPr>
                <w:rFonts w:ascii="宋体" w:hAnsi="宋体" w:cs="宋体" w:eastAsia="宋体" w:hint="default"/>
                <w:sz w:val="21"/>
                <w:szCs w:val="21"/>
              </w:rPr>
              <w:t>人，财通基金副总经理、总经理。现任财通证券总经理助理、财通创新董事长。</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王跃军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1970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月出生，工商管理硕士，高级会计师，中国国籍，无境外永久居留权。曾任浙江财政证券计划财务部副总经理，</w:t>
            </w:r>
            <w:r>
              <w:rPr>
                <w:rFonts w:ascii="宋体" w:hAnsi="宋体" w:cs="宋体" w:eastAsia="宋体" w:hint="default"/>
                <w:sz w:val="21"/>
                <w:szCs w:val="21"/>
              </w:rPr>
              <w:t>2003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pacing w:val="-3"/>
                <w:sz w:val="21"/>
                <w:szCs w:val="21"/>
              </w:rPr>
              <w:t>月加</w:t>
            </w:r>
            <w:r>
              <w:rPr>
                <w:rFonts w:ascii="宋体" w:hAnsi="宋体" w:cs="宋体" w:eastAsia="宋体" w:hint="default"/>
                <w:sz w:val="21"/>
                <w:szCs w:val="21"/>
              </w:rPr>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入公司，曾任财通证券富阳证券营业部总经理，杭州湖墅南路证券营业部总经理，杭州清泰街证券营业部总经理，现任财通证券财务总</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监（财务负责人）、计划财务部总经理。兼任财通资本董事、财通创新董事、财通香港监事、浙江省知识界人士联谊会常务理事、浙江</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省金融学会常务理事。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夏理芬</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0"/>
              <w:jc w:val="left"/>
              <w:rPr>
                <w:rFonts w:ascii="宋体" w:hAnsi="宋体" w:cs="宋体" w:eastAsia="宋体" w:hint="default"/>
                <w:sz w:val="21"/>
                <w:szCs w:val="21"/>
              </w:rPr>
            </w:pPr>
            <w:r>
              <w:rPr>
                <w:rFonts w:ascii="宋体" w:hAnsi="宋体" w:cs="宋体" w:eastAsia="宋体" w:hint="default"/>
                <w:sz w:val="21"/>
                <w:szCs w:val="21"/>
              </w:rPr>
              <w:t>1968 </w:t>
            </w:r>
            <w:r>
              <w:rPr>
                <w:rFonts w:ascii="宋体" w:hAnsi="宋体" w:cs="宋体" w:eastAsia="宋体" w:hint="default"/>
                <w:sz w:val="21"/>
                <w:szCs w:val="21"/>
              </w:rPr>
              <w:t>年 </w:t>
            </w:r>
            <w:r>
              <w:rPr>
                <w:rFonts w:ascii="宋体" w:hAnsi="宋体" w:cs="宋体" w:eastAsia="宋体" w:hint="default"/>
                <w:sz w:val="21"/>
                <w:szCs w:val="21"/>
              </w:rPr>
              <w:t>7</w:t>
            </w:r>
            <w:r>
              <w:rPr>
                <w:rFonts w:ascii="宋体" w:hAnsi="宋体" w:cs="宋体" w:eastAsia="宋体" w:hint="default"/>
                <w:spacing w:val="-65"/>
                <w:sz w:val="21"/>
                <w:szCs w:val="21"/>
              </w:rPr>
              <w:t> </w:t>
            </w:r>
            <w:r>
              <w:rPr>
                <w:rFonts w:ascii="宋体" w:hAnsi="宋体" w:cs="宋体" w:eastAsia="宋体" w:hint="default"/>
                <w:spacing w:val="-3"/>
                <w:sz w:val="21"/>
                <w:szCs w:val="21"/>
              </w:rPr>
              <w:t>月出生，工商管理硕士，高级经济师，中国国籍，无境外永久居留权。曾任浙江省国际信托投资公司义乌证券交易营业部经理、</w:t>
            </w:r>
          </w:p>
          <w:p>
            <w:pPr>
              <w:pStyle w:val="TableParagraph"/>
              <w:spacing w:line="237" w:lineRule="auto"/>
              <w:ind w:left="103" w:right="-10"/>
              <w:jc w:val="left"/>
              <w:rPr>
                <w:rFonts w:ascii="宋体" w:hAnsi="宋体" w:cs="宋体" w:eastAsia="宋体" w:hint="default"/>
                <w:sz w:val="21"/>
                <w:szCs w:val="21"/>
              </w:rPr>
            </w:pPr>
            <w:r>
              <w:rPr>
                <w:rFonts w:ascii="宋体" w:hAnsi="宋体" w:cs="宋体" w:eastAsia="宋体" w:hint="default"/>
                <w:sz w:val="21"/>
                <w:szCs w:val="21"/>
              </w:rPr>
              <w:t>西湖证券营业部总经理，金通证券股份有限公司总裁办公室主任、运营管理部总经理，中信金通证券有限责任公司运营管理部总经理、</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总经理助理、合规总监，中信证券（浙江）公司合规总监、执行总经理兼江西分公司总经理，中信证券股份有限公司江西分公司总经理。</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月加入公司，现任财通证券总经理助理兼首席风险官。兼任财通（香港）董事、</w:t>
            </w:r>
            <w:r>
              <w:rPr>
                <w:rFonts w:ascii="宋体" w:hAnsi="宋体" w:cs="宋体" w:eastAsia="宋体" w:hint="default"/>
                <w:color w:val="333333"/>
                <w:sz w:val="21"/>
                <w:szCs w:val="21"/>
              </w:rPr>
              <w:t>财通基金董事长、</w:t>
            </w:r>
            <w:r>
              <w:rPr>
                <w:rFonts w:ascii="宋体" w:hAnsi="宋体" w:cs="宋体" w:eastAsia="宋体" w:hint="default"/>
                <w:sz w:val="21"/>
                <w:szCs w:val="21"/>
              </w:rPr>
              <w:t>浙江证券业协会合规风控专</w:t>
            </w:r>
            <w:r>
              <w:rPr>
                <w:rFonts w:ascii="宋体" w:hAnsi="宋体" w:cs="宋体" w:eastAsia="宋体" w:hint="default"/>
                <w:w w:val="100"/>
                <w:sz w:val="21"/>
                <w:szCs w:val="21"/>
              </w:rPr>
              <w:t> </w:t>
            </w:r>
            <w:r>
              <w:rPr>
                <w:rFonts w:ascii="宋体" w:hAnsi="宋体" w:cs="宋体" w:eastAsia="宋体" w:hint="default"/>
                <w:sz w:val="21"/>
                <w:szCs w:val="21"/>
              </w:rPr>
              <w:t>业委员会主任委员、中国证券业协会风险管理委员会委员、浙江中信金通教育基金会理事兼秘书长。</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吴林惠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月出生，大学本科，经济师，中国国籍，无境外永久居留权。曾任浙江财政证券公司市场管理部经理助理。</w:t>
            </w:r>
            <w:r>
              <w:rPr>
                <w:rFonts w:ascii="宋体" w:hAnsi="宋体" w:cs="宋体" w:eastAsia="宋体" w:hint="default"/>
                <w:sz w:val="21"/>
                <w:szCs w:val="21"/>
              </w:rPr>
              <w:t>2003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月加入公</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司，曾任经纪业务管理部副总经理、经纪业务总部副总经理、营销服务中心副总经理、机构运营部总经理。现任财通证券运营总监、机</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构管理部总经理。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官勇华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月出生，大学本科，经济学和法学双学士，经济师，中国国籍，无境外永久居留权。曾在浙江财政证券公司任职。</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加入财通证券，曾任合规部经理助理、风险管理部总经理助理、合规部总经理助理、合规部副总经理、合规部副总经理（主持工作）。</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现任财通证券合规总监兼合规部总经理，兼任财通资本董事、财通创新董事、中国证券业协会合规管理专业委员会委员、浙江证券业协</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302" w:lineRule="exact"/>
        <w:ind w:left="1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05pt;height:15.15pt;mso-position-horizontal-relative:char;mso-position-vertical-relative:line" coordorigin="0,0" coordsize="14100,303">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6;height:2" coordorigin="1395,10" coordsize="12696,2">
              <v:shape style="position:absolute;left:1395;top:10;width:12696;height:2" coordorigin="1395,10" coordsize="12696,0" path="m1395,10l14090,10e" filled="false" stroked="true" strokeweight=".48pt" strokecolor="#000000">
                <v:path arrowok="t"/>
              </v:shape>
            </v:group>
            <v:group style="position:absolute;left:5;top:5;width:2;height:293" coordorigin="5,5" coordsize="2,293">
              <v:shape style="position:absolute;left:5;top:5;width:2;height:293" coordorigin="5,5" coordsize="0,293" path="m5,5l5,298e" filled="false" stroked="true" strokeweight=".48pt" strokecolor="#000000">
                <v:path arrowok="t"/>
              </v:shape>
            </v:group>
            <v:group style="position:absolute;left:10;top:293;width:1376;height:2" coordorigin="10,293" coordsize="1376,2">
              <v:shape style="position:absolute;left:10;top:293;width:1376;height:2" coordorigin="10,293" coordsize="1376,0" path="m10,293l1385,293e" filled="false" stroked="true" strokeweight=".48pt" strokecolor="#000000">
                <v:path arrowok="t"/>
              </v:shape>
            </v:group>
            <v:group style="position:absolute;left:1390;top:5;width:2;height:293" coordorigin="1390,5" coordsize="2,293">
              <v:shape style="position:absolute;left:1390;top:5;width:2;height:293" coordorigin="1390,5" coordsize="0,293" path="m1390,5l1390,298e" filled="false" stroked="true" strokeweight=".48pt" strokecolor="#000000">
                <v:path arrowok="t"/>
              </v:shape>
            </v:group>
            <v:group style="position:absolute;left:1395;top:293;width:12696;height:2" coordorigin="1395,293" coordsize="12696,2">
              <v:shape style="position:absolute;left:1395;top:293;width:12696;height:2" coordorigin="1395,293" coordsize="12696,0" path="m1395,293l14090,293e" filled="false" stroked="true" strokeweight=".48pt" strokecolor="#000000">
                <v:path arrowok="t"/>
              </v:shape>
            </v:group>
            <v:group style="position:absolute;left:14095;top:5;width:2;height:293" coordorigin="14095,5" coordsize="2,293">
              <v:shape style="position:absolute;left:14095;top:5;width:2;height:293" coordorigin="14095,5" coordsize="0,293" path="m14095,5l14095,298e" filled="false" stroked="true" strokeweight=".47998pt" strokecolor="#000000">
                <v:path arrowok="t"/>
              </v:shape>
              <v:shape style="position:absolute;left:1390;top:10;width:12706;height:284" type="#_x0000_t202" filled="false" stroked="false">
                <v:textbox inset="0,0,0,0">
                  <w:txbxContent>
                    <w:p>
                      <w:pPr>
                        <w:spacing w:line="246"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会合规风控专业委员会副主任委员。</w:t>
                      </w:r>
                    </w:p>
                  </w:txbxContent>
                </v:textbox>
                <w10:wrap type="none"/>
              </v:shape>
            </v:group>
          </v:group>
        </w:pict>
      </w:r>
      <w:r>
        <w:rPr>
          <w:rFonts w:ascii="Times New Roman" w:hAnsi="Times New Roman" w:cs="Times New Roman" w:eastAsia="Times New Roman" w:hint="default"/>
          <w:position w:val="-5"/>
          <w:sz w:val="20"/>
          <w:szCs w:val="20"/>
        </w:rPr>
      </w:r>
    </w:p>
    <w:p>
      <w:pPr>
        <w:spacing w:line="201" w:lineRule="exact" w:before="0"/>
        <w:ind w:left="491" w:right="0" w:firstLine="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月，公司高管刘未先生卸任财通基金董事长，由公司高管夏理芬先生接任财通基金董事长。</w:t>
      </w:r>
    </w:p>
    <w:p>
      <w:pPr>
        <w:spacing w:line="240" w:lineRule="auto" w:before="4"/>
        <w:rPr>
          <w:rFonts w:ascii="宋体" w:hAnsi="宋体" w:cs="宋体" w:eastAsia="宋体" w:hint="default"/>
          <w:sz w:val="23"/>
          <w:szCs w:val="23"/>
        </w:rPr>
      </w:pPr>
    </w:p>
    <w:p>
      <w:pPr>
        <w:pStyle w:val="BodyText"/>
        <w:spacing w:line="273" w:lineRule="exact"/>
        <w:ind w:left="220" w:right="0"/>
        <w:jc w:val="left"/>
      </w:pPr>
      <w:r>
        <w:rPr/>
        <w:t>其它情况说明</w:t>
      </w:r>
    </w:p>
    <w:p>
      <w:pPr>
        <w:pStyle w:val="BodyText"/>
        <w:spacing w:line="273" w:lineRule="exact"/>
        <w:ind w:left="220" w:right="0"/>
        <w:jc w:val="left"/>
      </w:pPr>
      <w:r>
        <w:rPr/>
        <w:t>□适用 √不适用</w:t>
      </w:r>
    </w:p>
    <w:p>
      <w:pPr>
        <w:spacing w:line="240" w:lineRule="auto" w:before="3"/>
        <w:rPr>
          <w:rFonts w:ascii="宋体" w:hAnsi="宋体" w:cs="宋体" w:eastAsia="宋体" w:hint="default"/>
          <w:sz w:val="25"/>
          <w:szCs w:val="25"/>
        </w:rPr>
      </w:pPr>
    </w:p>
    <w:p>
      <w:pPr>
        <w:pStyle w:val="Heading5"/>
        <w:tabs>
          <w:tab w:pos="1060" w:val="left" w:leader="none"/>
        </w:tabs>
        <w:spacing w:line="240" w:lineRule="auto"/>
        <w:ind w:left="22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董事、高级管理人员报告期内被授予的股权激励情况</w:t>
      </w:r>
      <w:r>
        <w:rPr>
          <w:b w:val="0"/>
          <w:bCs w:val="0"/>
        </w:rPr>
      </w:r>
    </w:p>
    <w:p>
      <w:pPr>
        <w:pStyle w:val="Heading5"/>
        <w:spacing w:line="290" w:lineRule="auto" w:before="57"/>
        <w:ind w:left="220" w:right="7892"/>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17"/>
        </w:rPr>
        <w:t> </w:t>
      </w:r>
      <w:r>
        <w:rPr/>
        <w:t>在股东单位任职情况</w:t>
      </w:r>
      <w:r>
        <w:rPr>
          <w:b w:val="0"/>
          <w:bCs w:val="0"/>
        </w:rPr>
      </w:r>
    </w:p>
    <w:p>
      <w:pPr>
        <w:pStyle w:val="BodyText"/>
        <w:spacing w:line="269" w:lineRule="exact"/>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3685"/>
        <w:gridCol w:w="3120"/>
        <w:gridCol w:w="2693"/>
        <w:gridCol w:w="178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浙江金融控股有限公司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浙江金融控股有限公司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浙江金融控股有限公司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金融管理部总经理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浙江华联集团有限公司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杭州邮政科技实业有限公司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执行董事、总经理、法定代表人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蒋洪</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台州市金融投资有限责任公司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董事长、总经理、法定代表人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王康兵</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苏泊尔集团有限公司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浙江省交通投资集团有限公司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财务管理中心副总经理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220" w:right="0"/>
        <w:jc w:val="left"/>
        <w:rPr>
          <w:b w:val="0"/>
          <w:bCs w:val="0"/>
        </w:rPr>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17"/>
        </w:rPr>
        <w:t> </w:t>
      </w:r>
      <w:r>
        <w:rPr/>
        <w:t>在其他单位任职情况</w:t>
      </w:r>
      <w:r>
        <w:rPr>
          <w:b w:val="0"/>
          <w:bCs w:val="0"/>
        </w:rPr>
      </w:r>
    </w:p>
    <w:p>
      <w:pPr>
        <w:pStyle w:val="BodyText"/>
        <w:spacing w:line="240" w:lineRule="auto" w:before="44"/>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3687"/>
        <w:gridCol w:w="1982"/>
        <w:gridCol w:w="1932"/>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7"/>
              <w:ind w:left="514" w:right="0"/>
              <w:jc w:val="left"/>
              <w:rPr>
                <w:rFonts w:ascii="宋体" w:hAnsi="宋体" w:cs="宋体" w:eastAsia="宋体" w:hint="default"/>
                <w:sz w:val="21"/>
                <w:szCs w:val="21"/>
              </w:rPr>
            </w:pPr>
            <w:r>
              <w:rPr>
                <w:rFonts w:ascii="宋体" w:hAnsi="宋体" w:cs="宋体" w:eastAsia="宋体" w:hint="default"/>
                <w:sz w:val="21"/>
                <w:szCs w:val="21"/>
              </w:rPr>
              <w:t>陆建强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浙江省政协第十一届、十二届委员会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浙商总会金融服务委员会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阮</w:t>
            </w:r>
            <w:r>
              <w:rPr>
                <w:rFonts w:ascii="宋体" w:hAnsi="宋体" w:cs="宋体" w:eastAsia="宋体" w:hint="default"/>
                <w:spacing w:val="2"/>
                <w:sz w:val="21"/>
                <w:szCs w:val="21"/>
              </w:rPr>
              <w:t> </w:t>
            </w:r>
            <w:r>
              <w:rPr>
                <w:rFonts w:ascii="宋体" w:hAnsi="宋体" w:cs="宋体" w:eastAsia="宋体" w:hint="default"/>
                <w:sz w:val="21"/>
                <w:szCs w:val="21"/>
              </w:rPr>
              <w:t>琪</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深圳证券交易所理事会薪酬财务委员会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3687"/>
        <w:gridCol w:w="1982"/>
        <w:gridCol w:w="1932"/>
      </w:tblGrid>
      <w:tr>
        <w:trPr>
          <w:trHeight w:val="281" w:hRule="exact"/>
        </w:trPr>
        <w:tc>
          <w:tcPr>
            <w:tcW w:w="1668"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浙江证券业协会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浙商总会新动能委员会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副主席</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浙江省财贸工会委员会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514"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杭州金溪山庄</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浙江华财实业发展有限责任公司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514" w:right="0"/>
              <w:jc w:val="left"/>
              <w:rPr>
                <w:rFonts w:ascii="宋体" w:hAnsi="宋体" w:cs="宋体" w:eastAsia="宋体" w:hint="default"/>
                <w:sz w:val="21"/>
                <w:szCs w:val="21"/>
              </w:rPr>
            </w:pPr>
            <w:r>
              <w:rPr>
                <w:rFonts w:ascii="宋体" w:hAnsi="宋体" w:cs="宋体" w:eastAsia="宋体" w:hint="default"/>
                <w:sz w:val="21"/>
                <w:szCs w:val="21"/>
              </w:rPr>
              <w:t>何向东</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天堂硅谷资产管理集团有限公司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浙江天堂硅谷互联网金融服务有限公司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宁波天堂硅谷股权投资管理有限公司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浙江天堂硅谷恒通创业投资有限公司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浙江天堂硅谷朝阳创业投资有限公司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浙江天堂硅谷鲲鹏创业投资有限公司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浙江天堂硅谷鲲诚创业投资有限公司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浙江天堂硅谷恒裕创业投资有限公司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物产中大集团股份有限公司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杭州长鸿创业投资有限公司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玖溢投资管理</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宁波天堂硅谷资产管理有限公司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宁波梅山保税港区天堂硅谷利丰投资管理有限公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宁夏天堂硅谷股权投资管理有限公司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浙江省建设投资集团股份有限公司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浙江玉皇山南投资管理有限公司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14"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绍兴华联纺织品服装有限公司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绍兴市柯桥区新世界置业有限公司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绍兴柯桥华联小额贷款股份有限公司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浙江今朝智能装备有限公司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绍兴市柯桥区华联金融服务外包有限公司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浙江龙华世纪生物科技有限公司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3687"/>
        <w:gridCol w:w="1982"/>
        <w:gridCol w:w="1932"/>
      </w:tblGrid>
      <w:tr>
        <w:trPr>
          <w:trHeight w:val="281" w:hRule="exact"/>
        </w:trPr>
        <w:tc>
          <w:tcPr>
            <w:tcW w:w="1668"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浙江越商股权投资有限公司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绍兴新世界服饰有限公司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浙江梦享健康管理有限公司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浙江福欣德机械有限公司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绍兴眼科医院有限公司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绍兴市柯桥区丹家家鸡专业合作社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浙江绍兴瑞丰农村商业银行股份有限公司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514" w:right="0"/>
              <w:jc w:val="left"/>
              <w:rPr>
                <w:rFonts w:ascii="宋体" w:hAnsi="宋体" w:cs="宋体" w:eastAsia="宋体" w:hint="default"/>
                <w:sz w:val="21"/>
                <w:szCs w:val="21"/>
              </w:rPr>
            </w:pPr>
            <w:r>
              <w:rPr>
                <w:rFonts w:ascii="宋体" w:hAnsi="宋体" w:cs="宋体" w:eastAsia="宋体" w:hint="default"/>
                <w:sz w:val="21"/>
                <w:szCs w:val="21"/>
              </w:rPr>
              <w:t>钱水土</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浙江工商大学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金融学院教授、院长、博士生导师</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宁波东海银行股份有限公司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杭州东方嘉富资产管理有限公司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浙江民泰商业银行股份有限公司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汪炜</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浙江大学经济学院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浙江大学金融研究院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浙江省金融业发展促进会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常务副会长、秘书长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杭州联合农村商业银行</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安徽江南化工股份有限公司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镇海石化工程股份有限公司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中国电子投资控股有限公司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杭州新安江千岛湖流域产业投资基金管理有限公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浙江玉皇山南投资管理有限公司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浙江中新力合科技金融服务股份有限公司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万向信托股份公司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杭州港湾资产管理有限公司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514" w:right="0"/>
              <w:jc w:val="left"/>
              <w:rPr>
                <w:rFonts w:ascii="宋体" w:hAnsi="宋体" w:cs="宋体" w:eastAsia="宋体" w:hint="default"/>
                <w:sz w:val="21"/>
                <w:szCs w:val="21"/>
              </w:rPr>
            </w:pPr>
            <w:r>
              <w:rPr>
                <w:rFonts w:ascii="宋体" w:hAnsi="宋体" w:cs="宋体" w:eastAsia="宋体" w:hint="default"/>
                <w:sz w:val="21"/>
                <w:szCs w:val="21"/>
              </w:rPr>
              <w:t>沈建林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管理合伙人，浙江分所所长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物产中大集团股份有限公司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浙江省注册会计师协会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杭州长信财务咨询有限公司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3687"/>
        <w:gridCol w:w="1982"/>
        <w:gridCol w:w="1932"/>
      </w:tblGrid>
      <w:tr>
        <w:trPr>
          <w:trHeight w:val="281" w:hRule="exact"/>
        </w:trPr>
        <w:tc>
          <w:tcPr>
            <w:tcW w:w="1668"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校外硕士生导师</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杭州电子科技大学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校外硕士生导师</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浙江工商大学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校外硕士生导师</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山东工商大学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校外硕士生导师</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舒明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西藏领沨创业投资合伙企业（有限合伙）</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7"/>
              <w:ind w:left="514"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浙江证券业协会人民调解委员会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浙江省浙商资产管理有限公司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杨勇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杭州广聚物业管理有限公司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杭州乐土科技实业有限公司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浦江蓝城置业有限公司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惠州市蓝城川龙岛工程建设有限公司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浙江广厦物业管理有限公司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浙江中兴荣泰置业有限公司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杭州维盈泽凯实业有限公司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台州市金融投资有限责任公司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蒋洪</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台州银行股份有限公司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514" w:right="0"/>
              <w:jc w:val="left"/>
              <w:rPr>
                <w:rFonts w:ascii="宋体" w:hAnsi="宋体" w:cs="宋体" w:eastAsia="宋体" w:hint="default"/>
                <w:sz w:val="21"/>
                <w:szCs w:val="21"/>
              </w:rPr>
            </w:pPr>
            <w:r>
              <w:rPr>
                <w:rFonts w:ascii="宋体" w:hAnsi="宋体" w:cs="宋体" w:eastAsia="宋体" w:hint="default"/>
                <w:sz w:val="21"/>
                <w:szCs w:val="21"/>
              </w:rPr>
              <w:t>王康兵</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浙江玉环永兴村镇银行有限责任公司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杭州苏泊尔物业管理有限公司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杭州苏泊尔智能家居有限公司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浙江苏泊尔卫浴有限公司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浙商财产保险股份有限公司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浙江苏泊尔药品销售有限公司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杭州苏泊尔南洋药业有限公司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浙江苏泊尔卫浴有限公司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沈阳苏泊尔房地产开发有限公司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李媛</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浙江高速物流有限公司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浙江交通资源投资有限公司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浙江丝路产业基金有限公司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裴根财</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财通证券资产管理有限公司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4820"/>
        <w:gridCol w:w="3687"/>
        <w:gridCol w:w="1982"/>
        <w:gridCol w:w="1932"/>
      </w:tblGrid>
      <w:tr>
        <w:trPr>
          <w:trHeight w:val="281" w:hRule="exact"/>
        </w:trPr>
        <w:tc>
          <w:tcPr>
            <w:tcW w:w="1668"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中国证券业协会经纪业务委员会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浙江证券业协会经纪业务委员会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钱斌</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财通证券（香港）有限公司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14" w:right="0"/>
              <w:jc w:val="left"/>
              <w:rPr>
                <w:rFonts w:ascii="宋体" w:hAnsi="宋体" w:cs="宋体" w:eastAsia="宋体" w:hint="default"/>
                <w:sz w:val="21"/>
                <w:szCs w:val="21"/>
              </w:rPr>
            </w:pPr>
            <w:r>
              <w:rPr>
                <w:rFonts w:ascii="宋体" w:hAnsi="宋体" w:cs="宋体" w:eastAsia="宋体" w:hint="default"/>
                <w:sz w:val="21"/>
                <w:szCs w:val="21"/>
              </w:rPr>
              <w:t>申建新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浙江股权服务集团有限公司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浙江省国有资产管理协会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常务理事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中国证券业协会投行委员会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杭州市金融人才协会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常务理事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刘未</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14" w:right="0"/>
              <w:jc w:val="left"/>
              <w:rPr>
                <w:rFonts w:ascii="宋体" w:hAnsi="宋体" w:cs="宋体" w:eastAsia="宋体" w:hint="default"/>
                <w:sz w:val="21"/>
                <w:szCs w:val="21"/>
              </w:rPr>
            </w:pPr>
            <w:r>
              <w:rPr>
                <w:rFonts w:ascii="宋体" w:hAnsi="宋体" w:cs="宋体" w:eastAsia="宋体" w:hint="default"/>
                <w:sz w:val="21"/>
                <w:szCs w:val="21"/>
              </w:rPr>
              <w:t>王跃军</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浙江财通资本投资有限公司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财通证券（香港）有限公司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浙江省知识界人士联谊会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常务理事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浙江省金融学会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常务理事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14" w:right="0"/>
              <w:jc w:val="left"/>
              <w:rPr>
                <w:rFonts w:ascii="宋体" w:hAnsi="宋体" w:cs="宋体" w:eastAsia="宋体" w:hint="default"/>
                <w:sz w:val="21"/>
                <w:szCs w:val="21"/>
              </w:rPr>
            </w:pPr>
            <w:r>
              <w:rPr>
                <w:rFonts w:ascii="宋体" w:hAnsi="宋体" w:cs="宋体" w:eastAsia="宋体" w:hint="default"/>
                <w:sz w:val="21"/>
                <w:szCs w:val="21"/>
              </w:rPr>
              <w:t>夏理芬</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财通证券（香港）有限公司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财通基金管理有限公司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浙江证券业协会合规风控专业委员会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中国证券业协会风险管理委员会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浙江中信金通教育基金会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理事、秘书长</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514" w:right="0"/>
              <w:jc w:val="left"/>
              <w:rPr>
                <w:rFonts w:ascii="宋体" w:hAnsi="宋体" w:cs="宋体" w:eastAsia="宋体" w:hint="default"/>
                <w:sz w:val="21"/>
                <w:szCs w:val="21"/>
              </w:rPr>
            </w:pPr>
            <w:r>
              <w:rPr>
                <w:rFonts w:ascii="宋体" w:hAnsi="宋体" w:cs="宋体" w:eastAsia="宋体" w:hint="default"/>
                <w:sz w:val="21"/>
                <w:szCs w:val="21"/>
              </w:rPr>
              <w:t>官勇华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浙江财通资本投资有限公司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财通创新投资有限公司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中国证券业协会合规管理专业委员会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浙江证券业协会合规风控专业委员会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副主任委员</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6"/>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位</w:t>
            </w:r>
            <w:r>
              <w:rPr>
                <w:rFonts w:ascii="宋体" w:hAnsi="宋体" w:cs="宋体" w:eastAsia="宋体" w:hint="default"/>
                <w:spacing w:val="-69"/>
                <w:sz w:val="21"/>
                <w:szCs w:val="21"/>
              </w:rPr>
              <w:t> </w:t>
            </w:r>
            <w:r>
              <w:rPr>
                <w:rFonts w:ascii="宋体" w:hAnsi="宋体" w:cs="宋体" w:eastAsia="宋体" w:hint="default"/>
                <w:sz w:val="21"/>
                <w:szCs w:val="21"/>
              </w:rPr>
              <w:t>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4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月，公司高管刘未先生卸任财通基金董事长，由公司高管夏理芬先生接任财通基金董事长。</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5"/>
        <w:spacing w:line="240" w:lineRule="auto" w:before="36"/>
        <w:ind w:left="220" w:right="0"/>
        <w:jc w:val="left"/>
        <w:rPr>
          <w:b w:val="0"/>
          <w:bCs w:val="0"/>
        </w:rPr>
      </w:pPr>
      <w:r>
        <w:rPr/>
        <w:t>三、董事、监事、高级管理人员报酬情况</w:t>
      </w:r>
      <w:r>
        <w:rPr>
          <w:b w:val="0"/>
          <w:bCs w:val="0"/>
        </w:rPr>
      </w:r>
    </w:p>
    <w:p>
      <w:pPr>
        <w:pStyle w:val="BodyText"/>
        <w:spacing w:line="240" w:lineRule="auto" w:before="56"/>
        <w:ind w:left="22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董事、监事报酬由股东大会决定；高级管理人员报酬由董事会薪酬与提名委员会审议后，再提交董事会</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审议决定。</w:t>
            </w:r>
          </w:p>
        </w:tc>
      </w:tr>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董事、监事的报酬按股东大会审议通过的薪酬方案执行。其中，外部董事、监事不在公司领取报酬；公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司独立董事报酬在参考同行业上市公司的平均水平后确定；公司内部董事、监事和高级管理人员的报酬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由公司薪酬考核体系决定。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报告期内，全体董事、监事和高级管理人员（含退、离人员）实际获得的报酬合计</w:t>
            </w:r>
            <w:r>
              <w:rPr>
                <w:rFonts w:ascii="宋体" w:hAnsi="宋体" w:cs="宋体" w:eastAsia="宋体" w:hint="default"/>
                <w:spacing w:val="-55"/>
                <w:sz w:val="21"/>
                <w:szCs w:val="21"/>
              </w:rPr>
              <w:t> </w:t>
            </w:r>
            <w:r>
              <w:rPr>
                <w:rFonts w:ascii="宋体" w:hAnsi="宋体" w:cs="宋体" w:eastAsia="宋体" w:hint="default"/>
                <w:sz w:val="21"/>
                <w:szCs w:val="21"/>
              </w:rPr>
              <w:t>1502.71</w:t>
            </w:r>
            <w:r>
              <w:rPr>
                <w:rFonts w:ascii="宋体" w:hAnsi="宋体" w:cs="宋体" w:eastAsia="宋体" w:hint="default"/>
                <w:spacing w:val="-57"/>
                <w:sz w:val="21"/>
                <w:szCs w:val="21"/>
              </w:rPr>
              <w:t> </w:t>
            </w:r>
            <w:r>
              <w:rPr>
                <w:rFonts w:ascii="宋体" w:hAnsi="宋体" w:cs="宋体" w:eastAsia="宋体" w:hint="default"/>
                <w:sz w:val="21"/>
                <w:szCs w:val="21"/>
              </w:rPr>
              <w:t>万元。</w:t>
            </w:r>
          </w:p>
        </w:tc>
      </w:tr>
    </w:tbl>
    <w:p>
      <w:pPr>
        <w:spacing w:line="240" w:lineRule="auto" w:before="1"/>
        <w:rPr>
          <w:rFonts w:ascii="宋体" w:hAnsi="宋体" w:cs="宋体" w:eastAsia="宋体" w:hint="default"/>
          <w:sz w:val="23"/>
          <w:szCs w:val="23"/>
        </w:rPr>
      </w:pPr>
    </w:p>
    <w:p>
      <w:pPr>
        <w:pStyle w:val="Heading5"/>
        <w:spacing w:line="240" w:lineRule="auto" w:before="36"/>
        <w:ind w:left="220" w:right="0"/>
        <w:jc w:val="left"/>
        <w:rPr>
          <w:b w:val="0"/>
          <w:bCs w:val="0"/>
        </w:rPr>
      </w:pPr>
      <w:r>
        <w:rPr/>
        <w:t>四、公司董事、监事、高级管理人员变动情况</w:t>
      </w:r>
      <w:r>
        <w:rPr>
          <w:b w:val="0"/>
          <w:bCs w:val="0"/>
        </w:rPr>
      </w:r>
    </w:p>
    <w:p>
      <w:pPr>
        <w:pStyle w:val="BodyText"/>
        <w:spacing w:line="240" w:lineRule="auto" w:before="58"/>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52"/>
        <w:gridCol w:w="2552"/>
        <w:gridCol w:w="1702"/>
        <w:gridCol w:w="7885"/>
      </w:tblGrid>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陆建强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年度股东大会选举为董事，经第二届董事会第十三次会议选举为董事长。</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沈继宁</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黄志明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第二届董事会第十二次会议审议通过，并提交</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年度股东大会选举产生。</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汪一兵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申请辞职。</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陈海晓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监事会主席、职工监事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杨勇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第二届监事会第六次会议审议通过，并提交</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年度股东大会选举产生。</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徐阳英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申请辞职。</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夏理芬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7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第二届董事会第十六次会议聘任夏理芬为总经理助理。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before="36"/>
        <w:ind w:left="220" w:right="0"/>
        <w:jc w:val="left"/>
        <w:rPr>
          <w:b w:val="0"/>
          <w:bCs w:val="0"/>
        </w:rPr>
      </w:pPr>
      <w:r>
        <w:rPr/>
        <w:t>五、近三年受证券监管机构处罚的情况说明</w:t>
      </w:r>
      <w:r>
        <w:rPr>
          <w:b w:val="0"/>
          <w:bCs w:val="0"/>
        </w:rPr>
      </w:r>
    </w:p>
    <w:p>
      <w:pPr>
        <w:pStyle w:val="BodyText"/>
        <w:spacing w:line="240" w:lineRule="auto" w:before="57"/>
        <w:ind w:left="220" w:right="0"/>
        <w:jc w:val="left"/>
      </w:pPr>
      <w:r>
        <w:rPr/>
        <w:t>□适用 √不适用</w:t>
      </w:r>
    </w:p>
    <w:p>
      <w:pPr>
        <w:spacing w:after="0" w:line="240" w:lineRule="auto"/>
        <w:jc w:val="left"/>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5"/>
        <w:spacing w:line="290" w:lineRule="auto" w:before="36"/>
        <w:ind w:left="220" w:right="5011"/>
        <w:jc w:val="left"/>
        <w:rPr>
          <w:b w:val="0"/>
          <w:bCs w:val="0"/>
        </w:rPr>
      </w:pPr>
      <w:r>
        <w:rPr>
          <w:spacing w:val="-1"/>
        </w:rPr>
        <w:t>六、母公司和主要子公司的员工情况</w:t>
      </w:r>
      <w:r>
        <w:rPr>
          <w:spacing w:val="-90"/>
        </w:rPr>
        <w:t> </w:t>
      </w:r>
      <w:r>
        <w:rPr>
          <w:spacing w:val="-90"/>
        </w:rPr>
      </w:r>
      <w:r>
        <w:rPr>
          <w:rFonts w:ascii="宋体" w:hAnsi="宋体" w:cs="宋体" w:eastAsia="宋体" w:hint="default"/>
        </w:rPr>
        <w:t>(</w:t>
      </w:r>
      <w:r>
        <w:rPr/>
        <w:t>一</w:t>
      </w:r>
      <w:r>
        <w:rPr>
          <w:rFonts w:ascii="宋体" w:hAnsi="宋体" w:cs="宋体" w:eastAsia="宋体" w:hint="default"/>
        </w:rPr>
        <w:t>)</w:t>
      </w:r>
      <w:r>
        <w:rPr/>
        <w:t>员工情况</w:t>
      </w:r>
      <w:r>
        <w:rPr>
          <w:b w:val="0"/>
          <w:bCs w:val="0"/>
        </w:rPr>
      </w:r>
    </w:p>
    <w:p>
      <w:pPr>
        <w:spacing w:line="240" w:lineRule="auto" w:before="7"/>
        <w:rPr>
          <w:rFonts w:ascii="宋体" w:hAnsi="宋体" w:cs="宋体" w:eastAsia="宋体" w:hint="default"/>
          <w:b/>
          <w:bCs/>
          <w:sz w:val="27"/>
          <w:szCs w:val="27"/>
        </w:rPr>
      </w:pPr>
    </w:p>
    <w:tbl>
      <w:tblPr>
        <w:tblW w:w="0" w:type="auto"/>
        <w:jc w:val="left"/>
        <w:tblInd w:w="107" w:type="dxa"/>
        <w:tblLayout w:type="fixed"/>
        <w:tblCellMar>
          <w:top w:w="0" w:type="dxa"/>
          <w:left w:w="0" w:type="dxa"/>
          <w:bottom w:w="0" w:type="dxa"/>
          <w:right w:w="0" w:type="dxa"/>
        </w:tblCellMar>
        <w:tblLook w:val="01E0"/>
      </w:tblPr>
      <w:tblGrid>
        <w:gridCol w:w="4645"/>
        <w:gridCol w:w="569"/>
        <w:gridCol w:w="3826"/>
      </w:tblGrid>
      <w:tr>
        <w:trPr>
          <w:trHeight w:val="281" w:hRule="exact"/>
        </w:trPr>
        <w:tc>
          <w:tcPr>
            <w:tcW w:w="5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2,745</w:t>
            </w:r>
          </w:p>
        </w:tc>
      </w:tr>
      <w:tr>
        <w:trPr>
          <w:trHeight w:val="283" w:hRule="exact"/>
        </w:trPr>
        <w:tc>
          <w:tcPr>
            <w:tcW w:w="5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316</w:t>
            </w:r>
          </w:p>
        </w:tc>
      </w:tr>
      <w:tr>
        <w:trPr>
          <w:trHeight w:val="281" w:hRule="exact"/>
        </w:trPr>
        <w:tc>
          <w:tcPr>
            <w:tcW w:w="5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3,061</w:t>
            </w:r>
          </w:p>
        </w:tc>
      </w:tr>
      <w:tr>
        <w:trPr>
          <w:trHeight w:val="283" w:hRule="exact"/>
        </w:trPr>
        <w:tc>
          <w:tcPr>
            <w:tcW w:w="5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r>
      <w:tr>
        <w:trPr>
          <w:trHeight w:val="283" w:hRule="exact"/>
        </w:trPr>
        <w:tc>
          <w:tcPr>
            <w:tcW w:w="9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经纪业务人员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1,599</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投行业务人员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投资业务人员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信用业务人员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资管业务人员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187</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合规管理及风控人员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174</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其他业务及行政人员</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03"/>
              <w:jc w:val="right"/>
              <w:rPr>
                <w:rFonts w:ascii="宋体" w:hAnsi="宋体" w:cs="宋体" w:eastAsia="宋体" w:hint="default"/>
                <w:sz w:val="21"/>
                <w:szCs w:val="21"/>
              </w:rPr>
            </w:pPr>
            <w:r>
              <w:rPr>
                <w:rFonts w:ascii="宋体" w:hAnsi="宋体" w:cs="宋体" w:eastAsia="宋体" w:hint="default"/>
                <w:sz w:val="21"/>
                <w:szCs w:val="21"/>
              </w:rPr>
              <w:t>合计</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3,061</w:t>
            </w:r>
          </w:p>
        </w:tc>
      </w:tr>
      <w:tr>
        <w:trPr>
          <w:trHeight w:val="284" w:hRule="exact"/>
        </w:trPr>
        <w:tc>
          <w:tcPr>
            <w:tcW w:w="9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758</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1,963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大学大专</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03"/>
              <w:jc w:val="right"/>
              <w:rPr>
                <w:rFonts w:ascii="宋体" w:hAnsi="宋体" w:cs="宋体" w:eastAsia="宋体" w:hint="default"/>
                <w:sz w:val="21"/>
                <w:szCs w:val="21"/>
              </w:rPr>
            </w:pPr>
            <w:r>
              <w:rPr>
                <w:rFonts w:ascii="宋体" w:hAnsi="宋体" w:cs="宋体" w:eastAsia="宋体" w:hint="default"/>
                <w:sz w:val="21"/>
                <w:szCs w:val="21"/>
              </w:rPr>
              <w:t>合计</w:t>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3,061</w:t>
            </w:r>
          </w:p>
        </w:tc>
      </w:tr>
    </w:tbl>
    <w:p>
      <w:pPr>
        <w:spacing w:line="240" w:lineRule="auto" w:before="10"/>
        <w:rPr>
          <w:rFonts w:ascii="宋体" w:hAnsi="宋体" w:cs="宋体" w:eastAsia="宋体" w:hint="default"/>
          <w:b/>
          <w:bCs/>
          <w:sz w:val="23"/>
          <w:szCs w:val="23"/>
        </w:rPr>
      </w:pPr>
    </w:p>
    <w:p>
      <w:pPr>
        <w:spacing w:line="4846" w:lineRule="exact"/>
        <w:ind w:left="25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696333" cy="3077527"/>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6" cstate="print"/>
                    <a:stretch>
                      <a:fillRect/>
                    </a:stretch>
                  </pic:blipFill>
                  <pic:spPr>
                    <a:xfrm>
                      <a:off x="0" y="0"/>
                      <a:ext cx="5696333" cy="3077527"/>
                    </a:xfrm>
                    <a:prstGeom prst="rect">
                      <a:avLst/>
                    </a:prstGeom>
                  </pic:spPr>
                </pic:pic>
              </a:graphicData>
            </a:graphic>
          </wp:inline>
        </w:drawing>
      </w:r>
      <w:r>
        <w:rPr>
          <w:rFonts w:ascii="宋体" w:hAnsi="宋体" w:cs="宋体" w:eastAsia="宋体" w:hint="default"/>
          <w:position w:val="-96"/>
          <w:sz w:val="20"/>
          <w:szCs w:val="20"/>
        </w:rPr>
      </w:r>
    </w:p>
    <w:p>
      <w:pPr>
        <w:spacing w:after="0" w:line="4846" w:lineRule="exact"/>
        <w:rPr>
          <w:rFonts w:ascii="宋体" w:hAnsi="宋体" w:cs="宋体" w:eastAsia="宋体" w:hint="default"/>
          <w:sz w:val="20"/>
          <w:szCs w:val="20"/>
        </w:rPr>
        <w:sectPr>
          <w:headerReference w:type="default" r:id="rId34"/>
          <w:footerReference w:type="default" r:id="rId35"/>
          <w:pgSz w:w="11910" w:h="16840"/>
          <w:pgMar w:header="880" w:footer="1195" w:top="1060" w:bottom="1380" w:left="1340" w:right="1140"/>
          <w:pgNumType w:start="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873" w:lineRule="exact"/>
        <w:ind w:left="17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764951" cy="309438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7" cstate="print"/>
                    <a:stretch>
                      <a:fillRect/>
                    </a:stretch>
                  </pic:blipFill>
                  <pic:spPr>
                    <a:xfrm>
                      <a:off x="0" y="0"/>
                      <a:ext cx="5764951" cy="3094386"/>
                    </a:xfrm>
                    <a:prstGeom prst="rect">
                      <a:avLst/>
                    </a:prstGeom>
                  </pic:spPr>
                </pic:pic>
              </a:graphicData>
            </a:graphic>
          </wp:inline>
        </w:drawing>
      </w:r>
      <w:r>
        <w:rPr>
          <w:rFonts w:ascii="宋体" w:hAnsi="宋体" w:cs="宋体" w:eastAsia="宋体" w:hint="default"/>
          <w:position w:val="-96"/>
          <w:sz w:val="20"/>
          <w:szCs w:val="20"/>
        </w:rPr>
      </w:r>
    </w:p>
    <w:p>
      <w:pPr>
        <w:pStyle w:val="Heading5"/>
        <w:spacing w:line="240" w:lineRule="auto" w:before="23"/>
        <w:ind w:left="140" w:right="0"/>
        <w:jc w:val="both"/>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pStyle w:val="BodyText"/>
        <w:spacing w:line="240" w:lineRule="auto" w:before="56"/>
        <w:ind w:left="560" w:right="0" w:hanging="420"/>
        <w:jc w:val="left"/>
      </w:pPr>
      <w:r>
        <w:rPr/>
        <w:t>√适用</w:t>
      </w:r>
      <w:r>
        <w:rPr>
          <w:spacing w:val="-2"/>
        </w:rPr>
        <w:t> </w:t>
      </w:r>
      <w:r>
        <w:rPr/>
        <w:t>□不适用</w:t>
      </w:r>
      <w:r>
        <w:rPr>
          <w:spacing w:val="-103"/>
        </w:rPr>
        <w:t> </w:t>
      </w:r>
      <w:r>
        <w:rPr>
          <w:spacing w:val="-103"/>
        </w:rPr>
      </w:r>
      <w:r>
        <w:rPr>
          <w:spacing w:val="-2"/>
        </w:rPr>
        <w:t>为了实现公司战略目标，稳步推进十三五规划建设，公司进一步健全和完善人力资源管理制度</w:t>
      </w:r>
    </w:p>
    <w:p>
      <w:pPr>
        <w:pStyle w:val="BodyText"/>
        <w:spacing w:line="357" w:lineRule="auto" w:before="133"/>
        <w:ind w:left="140" w:right="128"/>
        <w:jc w:val="both"/>
      </w:pPr>
      <w:r>
        <w:rPr>
          <w:spacing w:val="-4"/>
        </w:rPr>
        <w:t>和规定，逐步全面实施</w:t>
      </w:r>
      <w:r>
        <w:rPr>
          <w:spacing w:val="-26"/>
        </w:rPr>
        <w:t> </w:t>
      </w:r>
      <w:r>
        <w:rPr>
          <w:rFonts w:ascii="宋体" w:hAnsi="宋体" w:cs="宋体" w:eastAsia="宋体" w:hint="default"/>
        </w:rPr>
        <w:t>MD</w:t>
      </w:r>
      <w:r>
        <w:rPr>
          <w:rFonts w:ascii="宋体" w:hAnsi="宋体" w:cs="宋体" w:eastAsia="宋体" w:hint="default"/>
          <w:spacing w:val="-28"/>
        </w:rPr>
        <w:t> </w:t>
      </w:r>
      <w:r>
        <w:rPr>
          <w:spacing w:val="-3"/>
        </w:rPr>
        <w:t>职级制度，建立以能力和业绩为导向的薪酬激励政策，薪酬水平与公司业</w:t>
      </w:r>
      <w:r>
        <w:rPr>
          <w:spacing w:val="-95"/>
        </w:rPr>
        <w:t> </w:t>
      </w:r>
      <w:r>
        <w:rPr>
          <w:spacing w:val="-95"/>
        </w:rPr>
      </w:r>
      <w:r>
        <w:rPr>
          <w:spacing w:val="-2"/>
        </w:rPr>
        <w:t>务发展保持同步，定期参与市场调研活动，加强绩效考核，建立能上能下、能进能出的升降机制，</w:t>
      </w:r>
      <w:r>
        <w:rPr>
          <w:spacing w:val="-25"/>
        </w:rPr>
        <w:t> </w:t>
      </w:r>
      <w:r>
        <w:rPr>
          <w:spacing w:val="-25"/>
        </w:rPr>
      </w:r>
      <w:r>
        <w:rPr>
          <w:spacing w:val="-2"/>
        </w:rPr>
        <w:t>注重人工效能建设，强化人才引进机制，打造具有市场竞争力、注重内部公平性和激励有效性的薪</w:t>
      </w:r>
      <w:r>
        <w:rPr>
          <w:spacing w:val="-25"/>
        </w:rPr>
        <w:t> </w:t>
      </w:r>
      <w:r>
        <w:rPr>
          <w:spacing w:val="-25"/>
        </w:rPr>
      </w:r>
      <w:r>
        <w:rPr/>
        <w:t>酬体系，并适度向业务部门及市场稀缺人才倾斜，助力公司业务发展。</w:t>
      </w:r>
    </w:p>
    <w:p>
      <w:pPr>
        <w:pStyle w:val="BodyText"/>
        <w:spacing w:line="355" w:lineRule="auto" w:before="32"/>
        <w:ind w:left="140" w:right="166" w:firstLine="420"/>
        <w:jc w:val="both"/>
      </w:pPr>
      <w:r>
        <w:rPr>
          <w:spacing w:val="-2"/>
        </w:rPr>
        <w:t>员工年度总薪酬由固定工资、绩效奖金、福利津贴等项目组成，公司依法为员工足额缴纳国家</w:t>
      </w:r>
      <w:r>
        <w:rPr>
          <w:w w:val="100"/>
        </w:rPr>
        <w:t> </w:t>
      </w:r>
      <w:r>
        <w:rPr>
          <w:spacing w:val="-2"/>
        </w:rPr>
        <w:t>规定的“五险一金”外，还为员工提供了较为完善的补充福利项目，包括企业年金、补充医保、意</w:t>
      </w:r>
      <w:r>
        <w:rPr>
          <w:spacing w:val="-25"/>
        </w:rPr>
        <w:t> </w:t>
      </w:r>
      <w:r>
        <w:rPr>
          <w:spacing w:val="-25"/>
        </w:rPr>
      </w:r>
      <w:r>
        <w:rPr/>
        <w:t>外保险等。</w:t>
      </w:r>
    </w:p>
    <w:p>
      <w:pPr>
        <w:spacing w:line="240" w:lineRule="auto" w:before="13"/>
        <w:rPr>
          <w:rFonts w:ascii="宋体" w:hAnsi="宋体" w:cs="宋体" w:eastAsia="宋体" w:hint="default"/>
          <w:sz w:val="27"/>
          <w:szCs w:val="27"/>
        </w:rPr>
      </w:pPr>
    </w:p>
    <w:p>
      <w:pPr>
        <w:pStyle w:val="Heading5"/>
        <w:spacing w:line="240" w:lineRule="auto"/>
        <w:ind w:left="140" w:right="0"/>
        <w:jc w:val="both"/>
        <w:rPr>
          <w:b w:val="0"/>
          <w:bCs w:val="0"/>
        </w:rPr>
      </w:pPr>
      <w:r>
        <w:rPr>
          <w:rFonts w:ascii="宋体" w:hAnsi="宋体" w:cs="宋体" w:eastAsia="宋体" w:hint="default"/>
        </w:rPr>
        <w:t>(</w:t>
      </w:r>
      <w:r>
        <w:rPr/>
        <w:t>三</w:t>
      </w:r>
      <w:r>
        <w:rPr>
          <w:rFonts w:ascii="宋体" w:hAnsi="宋体" w:cs="宋体" w:eastAsia="宋体" w:hint="default"/>
        </w:rPr>
        <w:t>)</w:t>
      </w:r>
      <w:r>
        <w:rPr/>
        <w:t>培训计划</w:t>
      </w:r>
      <w:r>
        <w:rPr>
          <w:b w:val="0"/>
          <w:bCs w:val="0"/>
        </w:rPr>
      </w:r>
    </w:p>
    <w:p>
      <w:pPr>
        <w:pStyle w:val="BodyText"/>
        <w:spacing w:line="240" w:lineRule="auto" w:before="57"/>
        <w:ind w:left="560" w:right="0" w:hanging="420"/>
        <w:jc w:val="left"/>
      </w:pPr>
      <w:r>
        <w:rPr/>
        <w:t>√适用</w:t>
      </w:r>
      <w:r>
        <w:rPr>
          <w:spacing w:val="-2"/>
        </w:rPr>
        <w:t> </w:t>
      </w:r>
      <w:r>
        <w:rPr/>
        <w:t>□不适用</w:t>
      </w:r>
      <w:r>
        <w:rPr>
          <w:spacing w:val="-103"/>
        </w:rPr>
        <w:t> </w:t>
      </w:r>
      <w:r>
        <w:rPr>
          <w:spacing w:val="-103"/>
        </w:rPr>
      </w:r>
      <w:r>
        <w:rPr>
          <w:spacing w:val="-2"/>
        </w:rPr>
        <w:t>根据公司战略和业务发展需要，制定了分层分级培训管理模式。针对年轻骨干和基层管理人员</w:t>
      </w:r>
    </w:p>
    <w:p>
      <w:pPr>
        <w:pStyle w:val="BodyText"/>
        <w:spacing w:line="357" w:lineRule="auto" w:before="133"/>
        <w:ind w:left="140" w:right="166"/>
        <w:jc w:val="both"/>
      </w:pPr>
      <w:r>
        <w:rPr>
          <w:spacing w:val="-2"/>
        </w:rPr>
        <w:t>培养，打造“聚才系列”项目，强化业务技能、企业文化和综合素养的培养。针对中层管理人员，</w:t>
      </w:r>
      <w:r>
        <w:rPr>
          <w:spacing w:val="-25"/>
        </w:rPr>
        <w:t> </w:t>
      </w:r>
      <w:r>
        <w:rPr>
          <w:spacing w:val="-25"/>
        </w:rPr>
      </w:r>
      <w:r>
        <w:rPr>
          <w:spacing w:val="-2"/>
        </w:rPr>
        <w:t>坚持政治理论学习和业务学习“两手抓”、“两手硬”。开展多样化政治教育活动，组织全体中层</w:t>
      </w:r>
      <w:r>
        <w:rPr>
          <w:spacing w:val="-25"/>
        </w:rPr>
        <w:t> </w:t>
      </w:r>
      <w:r>
        <w:rPr>
          <w:spacing w:val="-25"/>
        </w:rPr>
      </w:r>
      <w:r>
        <w:rPr>
          <w:spacing w:val="-2"/>
        </w:rPr>
        <w:t>以上人员学习贯彻习近平新时代中国特色社会主义思想和党的十九大精神，组织赴井冈山实践学习</w:t>
      </w:r>
      <w:r>
        <w:rPr>
          <w:spacing w:val="-25"/>
        </w:rPr>
        <w:t> </w:t>
      </w:r>
      <w:r>
        <w:rPr>
          <w:spacing w:val="-25"/>
        </w:rPr>
      </w:r>
      <w:r>
        <w:rPr>
          <w:spacing w:val="-2"/>
        </w:rPr>
        <w:t>等，持续提升干部员工政治站位。针对反腐倡廉建设、业务前沿知识等内容积极开展中层干部集中</w:t>
      </w:r>
      <w:r>
        <w:rPr>
          <w:spacing w:val="-25"/>
        </w:rPr>
        <w:t> </w:t>
      </w:r>
      <w:r>
        <w:rPr>
          <w:spacing w:val="-25"/>
        </w:rPr>
      </w:r>
      <w:r>
        <w:rPr>
          <w:spacing w:val="-2"/>
        </w:rPr>
        <w:t>培训，充分利用主管部门提供的学习机会，积极选送中层管理人员参加外部学习。针对全体员工的</w:t>
      </w:r>
      <w:r>
        <w:rPr>
          <w:spacing w:val="-25"/>
        </w:rPr>
        <w:t> </w:t>
      </w:r>
      <w:r>
        <w:rPr>
          <w:spacing w:val="-25"/>
        </w:rPr>
      </w:r>
      <w:r>
        <w:rPr>
          <w:spacing w:val="-2"/>
        </w:rPr>
        <w:t>反洗钱、合规风控管理、日常业务技能、通用能力提升等培训需要，开展各类内部培训和外派培训</w:t>
      </w:r>
      <w:r>
        <w:rPr>
          <w:spacing w:val="-25"/>
        </w:rPr>
        <w:t> </w:t>
      </w:r>
      <w:r>
        <w:rPr>
          <w:spacing w:val="-25"/>
        </w:rPr>
      </w:r>
      <w:r>
        <w:rPr>
          <w:spacing w:val="-2"/>
        </w:rPr>
        <w:t>学习，充分利用网络学习手段，开展“财通讲坛”等多样化学习方式。为强化培训与员工职业发展</w:t>
      </w:r>
      <w:r>
        <w:rPr>
          <w:spacing w:val="-25"/>
        </w:rPr>
        <w:t> </w:t>
      </w:r>
      <w:r>
        <w:rPr>
          <w:spacing w:val="-25"/>
        </w:rPr>
      </w:r>
      <w:r>
        <w:rPr/>
        <w:t>的互相促进，制定了员工培训与职业发展想结合，员工继续教育等制度，强化培训效用。</w:t>
      </w:r>
    </w:p>
    <w:p>
      <w:pPr>
        <w:spacing w:after="0" w:line="357" w:lineRule="auto"/>
        <w:jc w:val="both"/>
        <w:sectPr>
          <w:pgSz w:w="11910" w:h="16840"/>
          <w:pgMar w:header="880" w:footer="1195" w:top="1120" w:bottom="1380" w:left="14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left="220" w:right="0"/>
        <w:jc w:val="left"/>
        <w:rPr>
          <w:b w:val="0"/>
          <w:bCs w:val="0"/>
        </w:rPr>
      </w:pPr>
      <w:r>
        <w:rPr>
          <w:rFonts w:ascii="宋体" w:hAnsi="宋体" w:cs="宋体" w:eastAsia="宋体" w:hint="default"/>
        </w:rPr>
        <w:t>(</w:t>
      </w:r>
      <w:r>
        <w:rPr/>
        <w:t>四</w:t>
      </w:r>
      <w:r>
        <w:rPr>
          <w:rFonts w:ascii="宋体" w:hAnsi="宋体" w:cs="宋体" w:eastAsia="宋体" w:hint="default"/>
        </w:rPr>
        <w:t>)</w:t>
      </w:r>
      <w:r>
        <w:rPr/>
        <w:t>劳务外包情况</w:t>
      </w:r>
      <w:r>
        <w:rPr>
          <w:b w:val="0"/>
          <w:bCs w:val="0"/>
        </w:rPr>
      </w:r>
    </w:p>
    <w:p>
      <w:pPr>
        <w:pStyle w:val="BodyText"/>
        <w:spacing w:line="240" w:lineRule="auto" w:before="56"/>
        <w:ind w:left="22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45"/>
        <w:gridCol w:w="4643"/>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17.3</w:t>
            </w:r>
            <w:r>
              <w:rPr>
                <w:rFonts w:ascii="宋体" w:hAnsi="宋体" w:cs="宋体" w:eastAsia="宋体" w:hint="default"/>
                <w:spacing w:val="-52"/>
                <w:sz w:val="21"/>
                <w:szCs w:val="21"/>
              </w:rPr>
              <w:t> </w:t>
            </w:r>
            <w:r>
              <w:rPr>
                <w:rFonts w:ascii="宋体" w:hAnsi="宋体" w:cs="宋体" w:eastAsia="宋体" w:hint="default"/>
                <w:sz w:val="21"/>
                <w:szCs w:val="21"/>
              </w:rPr>
              <w:t>万工时</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1217.55</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
        <w:rPr>
          <w:rFonts w:ascii="宋体" w:hAnsi="宋体" w:cs="宋体" w:eastAsia="宋体" w:hint="default"/>
          <w:sz w:val="23"/>
          <w:szCs w:val="23"/>
        </w:rPr>
      </w:pPr>
    </w:p>
    <w:p>
      <w:pPr>
        <w:pStyle w:val="Heading5"/>
        <w:spacing w:line="240" w:lineRule="auto" w:before="36"/>
        <w:ind w:left="220" w:right="0"/>
        <w:jc w:val="both"/>
        <w:rPr>
          <w:b w:val="0"/>
          <w:bCs w:val="0"/>
        </w:rPr>
      </w:pPr>
      <w:r>
        <w:rPr/>
        <w:t>七、其他</w:t>
      </w:r>
      <w:r>
        <w:rPr>
          <w:b w:val="0"/>
          <w:bCs w:val="0"/>
        </w:rPr>
      </w:r>
    </w:p>
    <w:p>
      <w:pPr>
        <w:pStyle w:val="BodyText"/>
        <w:spacing w:line="240" w:lineRule="auto" w:before="56"/>
        <w:ind w:left="640" w:right="4228" w:hanging="420"/>
        <w:jc w:val="left"/>
      </w:pPr>
      <w:r>
        <w:rPr/>
        <w:t>√适用</w:t>
      </w:r>
      <w:r>
        <w:rPr>
          <w:spacing w:val="-2"/>
        </w:rPr>
        <w:t> </w:t>
      </w:r>
      <w:r>
        <w:rPr/>
        <w:t>□不适用</w:t>
      </w:r>
      <w:r>
        <w:rPr>
          <w:spacing w:val="-103"/>
        </w:rPr>
        <w:t> </w:t>
      </w:r>
      <w:r>
        <w:rPr>
          <w:spacing w:val="-103"/>
        </w:rPr>
      </w:r>
      <w:r>
        <w:rPr>
          <w:spacing w:val="-2"/>
        </w:rPr>
        <w:t>委托证券经纪人从事客户招揽、客户服务相关情况</w:t>
      </w:r>
    </w:p>
    <w:p>
      <w:pPr>
        <w:pStyle w:val="BodyText"/>
        <w:spacing w:line="240" w:lineRule="auto" w:before="133"/>
        <w:ind w:left="640" w:right="0"/>
        <w:jc w:val="left"/>
      </w:pPr>
      <w:r>
        <w:rPr/>
        <w:t>截止至</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9"/>
        </w:rPr>
        <w:t> </w:t>
      </w:r>
      <w:r>
        <w:rPr>
          <w:spacing w:val="-7"/>
        </w:rPr>
        <w:t>日，公司下属共</w:t>
      </w:r>
      <w:r>
        <w:rPr>
          <w:spacing w:val="-47"/>
        </w:rPr>
        <w:t> </w:t>
      </w:r>
      <w:r>
        <w:rPr>
          <w:rFonts w:ascii="宋体" w:hAnsi="宋体" w:cs="宋体" w:eastAsia="宋体" w:hint="default"/>
        </w:rPr>
        <w:t>139</w:t>
      </w:r>
      <w:r>
        <w:rPr>
          <w:rFonts w:ascii="宋体" w:hAnsi="宋体" w:cs="宋体" w:eastAsia="宋体" w:hint="default"/>
          <w:spacing w:val="-49"/>
        </w:rPr>
        <w:t> </w:t>
      </w:r>
      <w:r>
        <w:rPr>
          <w:spacing w:val="-3"/>
        </w:rPr>
        <w:t>家分支机构实施证券经纪人制度，证券经纪人总数</w:t>
      </w:r>
    </w:p>
    <w:p>
      <w:pPr>
        <w:pStyle w:val="BodyText"/>
        <w:spacing w:line="240" w:lineRule="auto" w:before="133"/>
        <w:ind w:left="220" w:right="0"/>
        <w:jc w:val="both"/>
      </w:pPr>
      <w:r>
        <w:rPr/>
        <w:t>达到</w:t>
      </w:r>
      <w:r>
        <w:rPr>
          <w:spacing w:val="-52"/>
        </w:rPr>
        <w:t> </w:t>
      </w:r>
      <w:r>
        <w:rPr>
          <w:rFonts w:ascii="宋体" w:hAnsi="宋体" w:cs="宋体" w:eastAsia="宋体" w:hint="default"/>
        </w:rPr>
        <w:t>797</w:t>
      </w:r>
      <w:r>
        <w:rPr>
          <w:rFonts w:ascii="宋体" w:hAnsi="宋体" w:cs="宋体" w:eastAsia="宋体" w:hint="default"/>
          <w:spacing w:val="-52"/>
        </w:rPr>
        <w:t> </w:t>
      </w:r>
      <w:r>
        <w:rPr>
          <w:spacing w:val="-3"/>
        </w:rPr>
        <w:t>人。</w:t>
      </w:r>
      <w:r>
        <w:rPr/>
      </w:r>
    </w:p>
    <w:p>
      <w:pPr>
        <w:pStyle w:val="BodyText"/>
        <w:spacing w:line="355" w:lineRule="auto" w:before="135"/>
        <w:ind w:left="220" w:right="228" w:firstLine="420"/>
        <w:jc w:val="both"/>
      </w:pPr>
      <w:r>
        <w:rPr>
          <w:spacing w:val="-6"/>
        </w:rPr>
        <w:t>公司严格按照《证券经纪人管理暂行规定》以及《财通证券股份有限公司证券经纪人管理办法》</w:t>
      </w:r>
      <w:r>
        <w:rPr>
          <w:w w:val="100"/>
        </w:rPr>
        <w:t> </w:t>
      </w:r>
      <w:r>
        <w:rPr>
          <w:spacing w:val="-6"/>
        </w:rPr>
        <w:t>对证券经纪人进行管理；公司总部对人员管理、执业行为规范、执业资格管理、后续教育培训管理、</w:t>
      </w:r>
      <w:r>
        <w:rPr>
          <w:spacing w:val="-20"/>
        </w:rPr>
        <w:t> </w:t>
      </w:r>
      <w:r>
        <w:rPr>
          <w:spacing w:val="-20"/>
        </w:rPr>
      </w:r>
      <w:r>
        <w:rPr>
          <w:spacing w:val="-2"/>
        </w:rPr>
        <w:t>合规与风险管理、代理费管理、风险赔偿金管理等进行统一管理；分公司与营业部则在公司授权范</w:t>
      </w:r>
      <w:r>
        <w:rPr>
          <w:spacing w:val="-25"/>
        </w:rPr>
        <w:t> </w:t>
      </w:r>
      <w:r>
        <w:rPr>
          <w:spacing w:val="-25"/>
        </w:rPr>
      </w:r>
      <w:r>
        <w:rPr>
          <w:spacing w:val="-2"/>
        </w:rPr>
        <w:t>围内，负责具体的人员选用、续签及委托合同解除、经纪关系客户管理、提成设置、组织业务及合</w:t>
      </w:r>
      <w:r>
        <w:rPr>
          <w:spacing w:val="-25"/>
        </w:rPr>
        <w:t> </w:t>
      </w:r>
      <w:r>
        <w:rPr>
          <w:spacing w:val="-25"/>
        </w:rPr>
      </w:r>
      <w:r>
        <w:rPr/>
        <w:t>规培训、风险控制、日常考评、经纪人档案等管理事项。</w:t>
      </w:r>
    </w:p>
    <w:p>
      <w:pPr>
        <w:pStyle w:val="BodyText"/>
        <w:spacing w:line="240" w:lineRule="auto" w:before="34"/>
        <w:ind w:left="640" w:right="0"/>
        <w:jc w:val="left"/>
      </w:pPr>
      <w:r>
        <w:rPr>
          <w:rFonts w:ascii="宋体" w:hAnsi="宋体" w:cs="宋体" w:eastAsia="宋体" w:hint="default"/>
        </w:rPr>
        <w:t>2018</w:t>
      </w:r>
      <w:r>
        <w:rPr>
          <w:rFonts w:ascii="宋体" w:hAnsi="宋体" w:cs="宋体" w:eastAsia="宋体" w:hint="default"/>
          <w:spacing w:val="-57"/>
        </w:rPr>
        <w:t> </w:t>
      </w:r>
      <w:r>
        <w:rPr/>
        <w:t>年公司证券经纪人制度运行平稳，整体状况良好。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40"/>
        <w:ind w:right="15"/>
        <w:jc w:val="center"/>
        <w:rPr>
          <w:b w:val="0"/>
          <w:bCs w:val="0"/>
        </w:rPr>
      </w:pPr>
      <w:bookmarkStart w:name="_TOC_250004"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5"/>
        <w:spacing w:line="240" w:lineRule="auto"/>
        <w:ind w:left="220" w:right="0"/>
        <w:jc w:val="both"/>
        <w:rPr>
          <w:b w:val="0"/>
          <w:bCs w:val="0"/>
        </w:rPr>
      </w:pPr>
      <w:r>
        <w:rPr/>
        <w:t>一、公司治理相关情况说明</w:t>
      </w:r>
      <w:r>
        <w:rPr>
          <w:b w:val="0"/>
          <w:bCs w:val="0"/>
        </w:rPr>
      </w:r>
    </w:p>
    <w:p>
      <w:pPr>
        <w:pStyle w:val="BodyText"/>
        <w:spacing w:line="240" w:lineRule="auto" w:before="56"/>
        <w:ind w:left="220" w:right="0"/>
        <w:jc w:val="both"/>
      </w:pPr>
      <w:r>
        <w:rPr/>
        <w:t>√适用 □不适用</w:t>
      </w:r>
    </w:p>
    <w:p>
      <w:pPr>
        <w:pStyle w:val="BodyText"/>
        <w:spacing w:line="240" w:lineRule="auto" w:before="118"/>
        <w:ind w:left="700" w:right="0"/>
        <w:jc w:val="left"/>
      </w:pPr>
      <w:r>
        <w:rPr/>
        <w:t>（一）公司治理基本情况</w:t>
      </w:r>
    </w:p>
    <w:p>
      <w:pPr>
        <w:spacing w:line="240" w:lineRule="auto" w:before="1"/>
        <w:rPr>
          <w:rFonts w:ascii="宋体" w:hAnsi="宋体" w:cs="宋体" w:eastAsia="宋体" w:hint="default"/>
          <w:sz w:val="18"/>
          <w:szCs w:val="18"/>
        </w:rPr>
      </w:pPr>
    </w:p>
    <w:p>
      <w:pPr>
        <w:pStyle w:val="BodyText"/>
        <w:spacing w:line="355" w:lineRule="auto"/>
        <w:ind w:left="220" w:right="266" w:firstLine="420"/>
        <w:jc w:val="both"/>
      </w:pPr>
      <w:r>
        <w:rPr/>
        <w:t>作为</w:t>
      </w:r>
      <w:r>
        <w:rPr>
          <w:spacing w:val="-54"/>
        </w:rPr>
        <w:t> </w:t>
      </w:r>
      <w:r>
        <w:rPr>
          <w:rFonts w:ascii="宋体" w:hAnsi="宋体" w:cs="宋体" w:eastAsia="宋体" w:hint="default"/>
        </w:rPr>
        <w:t>A</w:t>
      </w:r>
      <w:r>
        <w:rPr>
          <w:rFonts w:ascii="宋体" w:hAnsi="宋体" w:cs="宋体" w:eastAsia="宋体" w:hint="default"/>
          <w:spacing w:val="-56"/>
        </w:rPr>
        <w:t> </w:t>
      </w:r>
      <w:r>
        <w:rPr/>
        <w:t>股上市的一家公众证券类公司，公司按照上市证券公司的法律、法规及规范性文件的要</w:t>
      </w:r>
      <w:r>
        <w:rPr>
          <w:w w:val="100"/>
        </w:rPr>
        <w:t> </w:t>
      </w:r>
      <w:r>
        <w:rPr>
          <w:spacing w:val="-2"/>
        </w:rPr>
        <w:t>求，从严治理、规范运作，不断致力于维护和提升公司良好的信誉和市场形象。公司严格依照我国</w:t>
      </w:r>
    </w:p>
    <w:p>
      <w:pPr>
        <w:pStyle w:val="BodyText"/>
        <w:spacing w:line="357" w:lineRule="auto" w:before="34"/>
        <w:ind w:left="220" w:right="227"/>
        <w:jc w:val="both"/>
      </w:pPr>
      <w:r>
        <w:rPr>
          <w:spacing w:val="-2"/>
        </w:rPr>
        <w:t>《公司法》、《证券法》、《证券公司监督管理条例》、《证券公司治理准则》、《上市公司治理</w:t>
      </w:r>
      <w:r>
        <w:rPr>
          <w:spacing w:val="-25"/>
        </w:rPr>
        <w:t> </w:t>
      </w:r>
      <w:r>
        <w:rPr>
          <w:spacing w:val="-25"/>
        </w:rPr>
      </w:r>
      <w:r>
        <w:rPr>
          <w:spacing w:val="-2"/>
        </w:rPr>
        <w:t>准则》等相关法律法规以及公司内部《公司章程》的规定，按照建立现代企业制度的目标，健全和</w:t>
      </w:r>
      <w:r>
        <w:rPr>
          <w:spacing w:val="-25"/>
        </w:rPr>
        <w:t> </w:t>
      </w:r>
      <w:r>
        <w:rPr>
          <w:spacing w:val="-25"/>
        </w:rPr>
      </w:r>
      <w:r>
        <w:rPr>
          <w:spacing w:val="-6"/>
        </w:rPr>
        <w:t>完善公司法人治理结构、合规风控制度和内控管理体系，形成了“三会一层”（股东大会、董事会、</w:t>
      </w:r>
      <w:r>
        <w:rPr>
          <w:spacing w:val="-19"/>
        </w:rPr>
        <w:t> </w:t>
      </w:r>
      <w:r>
        <w:rPr>
          <w:spacing w:val="-19"/>
        </w:rPr>
      </w:r>
      <w:r>
        <w:rPr>
          <w:spacing w:val="-2"/>
        </w:rPr>
        <w:t>监事会和经营管理层）相互分离、相互制衡的公司治理结构，各司其职、各尽其责，确保了公司的</w:t>
      </w:r>
      <w:r>
        <w:rPr>
          <w:spacing w:val="-24"/>
        </w:rPr>
        <w:t> </w:t>
      </w:r>
      <w:r>
        <w:rPr>
          <w:spacing w:val="-24"/>
        </w:rPr>
      </w:r>
      <w:r>
        <w:rPr>
          <w:spacing w:val="-6"/>
        </w:rPr>
        <w:t>稳健经营、规范运作和可持续发展。公司股东大会、董事会、监事会的召集、召开及表决程序规范、</w:t>
      </w:r>
      <w:r>
        <w:rPr>
          <w:spacing w:val="-21"/>
        </w:rPr>
        <w:t> </w:t>
      </w:r>
      <w:r>
        <w:rPr>
          <w:spacing w:val="-21"/>
        </w:rPr>
      </w:r>
      <w:r>
        <w:rPr>
          <w:spacing w:val="-10"/>
        </w:rPr>
        <w:t>合法、有效，信息披露真实、准确、完整、及时、公平。 </w:t>
      </w:r>
      <w:r>
        <w:rPr>
          <w:spacing w:val="-4"/>
        </w:rPr>
        <w:t>报告期内，根据相关法律法规及监管要求，</w:t>
      </w:r>
      <w:r>
        <w:rPr>
          <w:spacing w:val="-55"/>
        </w:rPr>
        <w:t> </w:t>
      </w:r>
      <w:r>
        <w:rPr>
          <w:spacing w:val="-55"/>
        </w:rPr>
      </w:r>
      <w:r>
        <w:rPr>
          <w:spacing w:val="-2"/>
        </w:rPr>
        <w:t>特别是新《上市公司治理准则》颁布后，公司进一步修订并完善了公司《公司章程》以及其他内部</w:t>
      </w:r>
      <w:r>
        <w:rPr>
          <w:spacing w:val="-25"/>
        </w:rPr>
        <w:t> </w:t>
      </w:r>
      <w:r>
        <w:rPr>
          <w:spacing w:val="-25"/>
        </w:rPr>
      </w:r>
      <w:r>
        <w:rPr>
          <w:spacing w:val="-2"/>
        </w:rPr>
        <w:t>规章制度，并获得公司董事会和股东大会审核批准。通过建立新制度并不断修订、完善原有制度，</w:t>
      </w:r>
      <w:r>
        <w:rPr>
          <w:spacing w:val="-26"/>
        </w:rPr>
        <w:t> </w:t>
      </w:r>
      <w:r>
        <w:rPr>
          <w:spacing w:val="-26"/>
        </w:rPr>
      </w:r>
      <w:r>
        <w:rPr/>
        <w:t>使公司治理结构不断规范，公司治理水平不断提高，有效保障投资者利益。</w:t>
      </w:r>
    </w:p>
    <w:p>
      <w:pPr>
        <w:spacing w:line="240" w:lineRule="auto" w:before="11"/>
        <w:rPr>
          <w:rFonts w:ascii="宋体" w:hAnsi="宋体" w:cs="宋体" w:eastAsia="宋体" w:hint="default"/>
          <w:sz w:val="20"/>
          <w:szCs w:val="20"/>
        </w:rPr>
      </w:pPr>
    </w:p>
    <w:p>
      <w:pPr>
        <w:pStyle w:val="BodyText"/>
        <w:spacing w:line="240" w:lineRule="auto"/>
        <w:ind w:left="534" w:right="0"/>
        <w:jc w:val="left"/>
      </w:pPr>
      <w:r>
        <w:rPr/>
        <w:t>（二）内幕信息知情人登记管理制度的建立和实施情况</w:t>
      </w:r>
    </w:p>
    <w:p>
      <w:pPr>
        <w:spacing w:after="0" w:line="240" w:lineRule="auto"/>
        <w:jc w:val="left"/>
        <w:sectPr>
          <w:pgSz w:w="11910" w:h="16840"/>
          <w:pgMar w:header="880" w:footer="1195" w:top="1120" w:bottom="1380" w:left="1340" w:right="1040"/>
        </w:sectPr>
      </w:pPr>
    </w:p>
    <w:p>
      <w:pPr>
        <w:spacing w:line="240" w:lineRule="auto" w:before="4"/>
        <w:rPr>
          <w:rFonts w:ascii="宋体" w:hAnsi="宋体" w:cs="宋体" w:eastAsia="宋体" w:hint="default"/>
          <w:sz w:val="25"/>
          <w:szCs w:val="25"/>
        </w:rPr>
      </w:pPr>
    </w:p>
    <w:p>
      <w:pPr>
        <w:pStyle w:val="BodyText"/>
        <w:spacing w:line="357" w:lineRule="auto" w:before="36"/>
        <w:ind w:left="220" w:right="266" w:firstLine="420"/>
        <w:jc w:val="both"/>
      </w:pPr>
      <w:r>
        <w:rPr>
          <w:spacing w:val="-2"/>
        </w:rPr>
        <w:t>报告期内，公司严格执行《内幕信息知情人登记备案管理办法》，按制度要求做好重大事项内</w:t>
      </w:r>
      <w:r>
        <w:rPr>
          <w:w w:val="100"/>
        </w:rPr>
        <w:t> </w:t>
      </w:r>
      <w:r>
        <w:rPr>
          <w:spacing w:val="-2"/>
        </w:rPr>
        <w:t>幕消息的报告、传递和控制，加强内幕信息的保密工作，认真履行了内幕信息知情人的登记和报备</w:t>
      </w:r>
      <w:r>
        <w:rPr>
          <w:spacing w:val="-28"/>
        </w:rPr>
        <w:t> </w:t>
      </w:r>
      <w:r>
        <w:rPr>
          <w:spacing w:val="-28"/>
        </w:rPr>
      </w:r>
      <w:r>
        <w:rPr/>
        <w:t>工作，有效防范内幕信息知情人进行内幕交易，认真做好公司信息披露工作。</w:t>
      </w:r>
    </w:p>
    <w:p>
      <w:pPr>
        <w:spacing w:line="240" w:lineRule="auto" w:before="3"/>
        <w:rPr>
          <w:rFonts w:ascii="宋体" w:hAnsi="宋体" w:cs="宋体" w:eastAsia="宋体" w:hint="default"/>
          <w:sz w:val="23"/>
          <w:szCs w:val="23"/>
        </w:rPr>
      </w:pPr>
    </w:p>
    <w:p>
      <w:pPr>
        <w:pStyle w:val="BodyText"/>
        <w:spacing w:line="273" w:lineRule="exact"/>
        <w:ind w:left="220" w:right="0"/>
        <w:jc w:val="left"/>
      </w:pPr>
      <w:r>
        <w:rPr/>
        <w:t>公司治理与中国证监会相关规定的要求是否存在重大差异；如有重大差异，应当说明原因</w:t>
      </w:r>
    </w:p>
    <w:p>
      <w:pPr>
        <w:spacing w:line="528" w:lineRule="auto" w:before="0"/>
        <w:ind w:left="220" w:right="7178" w:firstLine="0"/>
        <w:jc w:val="left"/>
        <w:rPr>
          <w:rFonts w:ascii="宋体" w:hAnsi="宋体" w:cs="宋体" w:eastAsia="宋体" w:hint="default"/>
          <w:sz w:val="21"/>
          <w:szCs w:val="21"/>
        </w:rPr>
      </w:pPr>
      <w:r>
        <w:rPr/>
        <w:pict>
          <v:shape style="position:absolute;margin-left:72.384003pt;margin-top:48.503689pt;width:465.1pt;height:70.1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2"/>
                    <w:gridCol w:w="2222"/>
                    <w:gridCol w:w="2470"/>
                    <w:gridCol w:w="2223"/>
                  </w:tblGrid>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hyperlink r:id="rId12">
                          <w:r>
                            <w:rPr>
                              <w:rFonts w:ascii="宋体"/>
                              <w:sz w:val="21"/>
                            </w:rPr>
                            <w:t>http://www.sse.com.cn</w:t>
                          </w:r>
                        </w:hyperlink>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年第一次临时股东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hyperlink r:id="rId12">
                          <w:r>
                            <w:rPr>
                              <w:rFonts w:ascii="宋体"/>
                              <w:sz w:val="21"/>
                            </w:rPr>
                            <w:t>http://www.sse.com.cn</w:t>
                          </w:r>
                        </w:hyperlink>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40" w:lineRule="auto" w:before="36"/>
        <w:ind w:left="220" w:right="0"/>
        <w:jc w:val="left"/>
      </w:pPr>
      <w:r>
        <w:rPr/>
        <w:t>股东大会情况说明</w:t>
      </w:r>
    </w:p>
    <w:p>
      <w:pPr>
        <w:pStyle w:val="BodyText"/>
        <w:spacing w:line="273" w:lineRule="exact" w:before="135"/>
        <w:ind w:left="220" w:right="0"/>
        <w:jc w:val="left"/>
      </w:pPr>
      <w:r>
        <w:rPr/>
        <w:t>√适用 □不适用</w:t>
      </w:r>
    </w:p>
    <w:p>
      <w:pPr>
        <w:pStyle w:val="BodyText"/>
        <w:spacing w:line="273" w:lineRule="exact"/>
        <w:ind w:left="640" w:right="0"/>
        <w:jc w:val="left"/>
      </w:pPr>
      <w:r>
        <w:rPr/>
        <w:t>报告期内，公司共召开了二次股东大会，股东大会共审议通过了</w:t>
      </w:r>
      <w:r>
        <w:rPr>
          <w:spacing w:val="-56"/>
        </w:rPr>
        <w:t> </w:t>
      </w:r>
      <w:r>
        <w:rPr>
          <w:rFonts w:ascii="宋体" w:hAnsi="宋体" w:cs="宋体" w:eastAsia="宋体" w:hint="default"/>
        </w:rPr>
        <w:t>21</w:t>
      </w:r>
      <w:r>
        <w:rPr>
          <w:rFonts w:ascii="宋体" w:hAnsi="宋体" w:cs="宋体" w:eastAsia="宋体" w:hint="default"/>
          <w:spacing w:val="-56"/>
        </w:rPr>
        <w:t> </w:t>
      </w:r>
      <w:r>
        <w:rPr/>
        <w:t>个议案，具体情况如下：</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54"/>
        <w:gridCol w:w="1966"/>
        <w:gridCol w:w="5430"/>
      </w:tblGrid>
      <w:tr>
        <w:trPr>
          <w:trHeight w:val="2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会议议题</w:t>
            </w:r>
          </w:p>
        </w:tc>
      </w:tr>
      <w:tr>
        <w:trPr>
          <w:trHeight w:val="283"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11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年度财务决算报告的议案；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年度利润分配方案的议案；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关于核准</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年度证券投资额度的议案；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关于境内外债务融资工具的一般性授权的议案；</w:t>
            </w:r>
          </w:p>
        </w:tc>
      </w:tr>
      <w:tr>
        <w:trPr>
          <w:trHeight w:val="284"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关于符合公开发行可转换公司债券条件的议案；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关于公开发行可转换公司债券方案的议案；</w:t>
            </w:r>
          </w:p>
        </w:tc>
      </w:tr>
      <w:tr>
        <w:trPr>
          <w:trHeight w:val="554"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7.</w:t>
            </w:r>
            <w:r>
              <w:rPr>
                <w:rFonts w:ascii="宋体" w:hAnsi="宋体" w:cs="宋体" w:eastAsia="宋体" w:hint="default"/>
                <w:spacing w:val="4"/>
                <w:sz w:val="21"/>
                <w:szCs w:val="21"/>
              </w:rPr>
              <w:t>关于公开发行可转换公司债券募集资金运用可行性报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告的议案；</w:t>
            </w:r>
          </w:p>
        </w:tc>
      </w:tr>
      <w:tr>
        <w:trPr>
          <w:trHeight w:val="554"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8.</w:t>
            </w:r>
            <w:r>
              <w:rPr>
                <w:rFonts w:ascii="宋体" w:hAnsi="宋体" w:cs="宋体" w:eastAsia="宋体" w:hint="default"/>
                <w:spacing w:val="4"/>
                <w:sz w:val="21"/>
                <w:szCs w:val="21"/>
              </w:rPr>
              <w:t>关于公开发行可转换公司债券摊薄即期回报及填补措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施的议案；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关于公开发行可转换公司债券预案的议案；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关于前次募集资金使用情况报告的议案；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关于可转换公司债券持有人会议规则的议案；</w:t>
            </w:r>
          </w:p>
        </w:tc>
      </w:tr>
      <w:tr>
        <w:trPr>
          <w:trHeight w:val="554"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关于提请股东大会授权董事会办理本次公开发行可转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换公司债券相关事宜的议案；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关于审议</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年年度报告的议案；</w:t>
            </w:r>
          </w:p>
        </w:tc>
      </w:tr>
      <w:tr>
        <w:trPr>
          <w:trHeight w:val="284"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关于确认</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年关联交易的议案；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关于预计</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年日常关联交易的议案；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关于变更董事的议案；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关于审议</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年度董事会工作报告的议案；</w:t>
            </w:r>
          </w:p>
        </w:tc>
      </w:tr>
      <w:tr>
        <w:trPr>
          <w:trHeight w:val="281"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关于审议</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年度监事会工作报告的议案；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关于变更监事的议案；</w:t>
            </w:r>
          </w:p>
        </w:tc>
      </w:tr>
      <w:tr>
        <w:trPr>
          <w:trHeight w:val="283" w:hRule="exact"/>
        </w:trPr>
        <w:tc>
          <w:tcPr>
            <w:tcW w:w="165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关于补选董事的议案。</w:t>
            </w:r>
          </w:p>
        </w:tc>
      </w:tr>
      <w:tr>
        <w:trPr>
          <w:trHeight w:val="281"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6" w:right="108" w:hanging="447"/>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年第一次临时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关于聘任</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年度财务报告及内控审计机构的议案；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关于修订公司《章程》的议案；</w:t>
            </w:r>
          </w:p>
        </w:tc>
      </w:tr>
      <w:tr>
        <w:trPr>
          <w:trHeight w:val="283" w:hRule="exact"/>
        </w:trPr>
        <w:tc>
          <w:tcPr>
            <w:tcW w:w="1654" w:type="dxa"/>
            <w:vMerge/>
            <w:tcBorders>
              <w:left w:val="single" w:sz="4" w:space="0" w:color="000000"/>
              <w:right w:val="single" w:sz="4" w:space="0" w:color="000000"/>
            </w:tcBorders>
          </w:tcPr>
          <w:p>
            <w:pPr/>
          </w:p>
        </w:tc>
        <w:tc>
          <w:tcPr>
            <w:tcW w:w="1966" w:type="dxa"/>
            <w:vMerge/>
            <w:tcBorders>
              <w:left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关于修订《股东大会议事规则》的议案；</w:t>
            </w:r>
          </w:p>
        </w:tc>
      </w:tr>
      <w:tr>
        <w:trPr>
          <w:trHeight w:val="281" w:hRule="exact"/>
        </w:trPr>
        <w:tc>
          <w:tcPr>
            <w:tcW w:w="1654"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关于制定《投资者关系管理制度》的议案。</w:t>
            </w:r>
          </w:p>
        </w:tc>
      </w:tr>
    </w:tbl>
    <w:p>
      <w:pPr>
        <w:spacing w:after="0" w:line="241" w:lineRule="exact"/>
        <w:jc w:val="left"/>
        <w:rPr>
          <w:rFonts w:ascii="宋体" w:hAnsi="宋体" w:cs="宋体" w:eastAsia="宋体" w:hint="default"/>
          <w:sz w:val="21"/>
          <w:szCs w:val="21"/>
        </w:rPr>
        <w:sectPr>
          <w:pgSz w:w="11910" w:h="16840"/>
          <w:pgMar w:header="880" w:footer="1195" w:top="1120" w:bottom="1380" w:left="1340" w:right="1040"/>
        </w:sectPr>
      </w:pPr>
    </w:p>
    <w:p>
      <w:pPr>
        <w:spacing w:line="240" w:lineRule="auto" w:before="4"/>
        <w:rPr>
          <w:rFonts w:ascii="宋体" w:hAnsi="宋体" w:cs="宋体" w:eastAsia="宋体" w:hint="default"/>
          <w:sz w:val="25"/>
          <w:szCs w:val="25"/>
        </w:rPr>
      </w:pPr>
    </w:p>
    <w:p>
      <w:pPr>
        <w:spacing w:line="448" w:lineRule="auto" w:before="36"/>
        <w:ind w:left="746" w:right="0" w:hanging="526"/>
        <w:jc w:val="left"/>
        <w:rPr>
          <w:rFonts w:ascii="宋体" w:hAnsi="宋体" w:cs="宋体" w:eastAsia="宋体" w:hint="default"/>
          <w:sz w:val="21"/>
          <w:szCs w:val="21"/>
        </w:rPr>
      </w:pPr>
      <w:r>
        <w:rPr>
          <w:rFonts w:ascii="宋体" w:hAnsi="宋体" w:cs="宋体" w:eastAsia="宋体" w:hint="default"/>
          <w:b/>
          <w:bCs/>
          <w:sz w:val="21"/>
          <w:szCs w:val="21"/>
        </w:rPr>
        <w:t>三、董事履行职责情况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3"/>
          <w:sz w:val="21"/>
          <w:szCs w:val="21"/>
        </w:rPr>
        <w:t>公司董事及董事会按照《公司法》、《公司章程》的规定行使其职权，以保障公司及股东的最</w:t>
      </w:r>
    </w:p>
    <w:p>
      <w:pPr>
        <w:pStyle w:val="BodyText"/>
        <w:spacing w:line="225" w:lineRule="exact"/>
        <w:ind w:left="220" w:right="0"/>
        <w:jc w:val="left"/>
      </w:pPr>
      <w:r>
        <w:rPr/>
        <w:t>大利益为原则，向股东大会报告工作，执行股东大会的决议，对股东大会负责。</w:t>
      </w:r>
    </w:p>
    <w:p>
      <w:pPr>
        <w:pStyle w:val="BodyText"/>
        <w:spacing w:line="357" w:lineRule="auto" w:before="133"/>
        <w:ind w:left="220" w:right="228" w:firstLine="525"/>
        <w:jc w:val="both"/>
      </w:pPr>
      <w:r>
        <w:rPr>
          <w:spacing w:val="-3"/>
        </w:rPr>
        <w:t>报告期内，公司各个董事的简历情况详见本报告第八节“董事、监事、高级管理人员和员工情</w:t>
      </w:r>
      <w:r>
        <w:rPr>
          <w:w w:val="100"/>
        </w:rPr>
        <w:t> </w:t>
      </w:r>
      <w:r>
        <w:rPr>
          <w:spacing w:val="-2"/>
        </w:rPr>
        <w:t>况”。董事会结构科学、合理，各个董事均具备与公司业务运营及发展有关的专业知识、丰富经验</w:t>
      </w:r>
      <w:r>
        <w:rPr>
          <w:spacing w:val="-28"/>
        </w:rPr>
        <w:t> </w:t>
      </w:r>
      <w:r>
        <w:rPr>
          <w:spacing w:val="-28"/>
        </w:rPr>
      </w:r>
      <w:r>
        <w:rPr/>
        <w:t>及才能。所有董事深知其对公司有忠实、勤勉之义务和责任。</w:t>
      </w:r>
    </w:p>
    <w:p>
      <w:pPr>
        <w:spacing w:line="240" w:lineRule="auto" w:before="9"/>
        <w:rPr>
          <w:rFonts w:ascii="宋体" w:hAnsi="宋体" w:cs="宋体" w:eastAsia="宋体" w:hint="default"/>
          <w:sz w:val="20"/>
          <w:szCs w:val="20"/>
        </w:rPr>
      </w:pPr>
    </w:p>
    <w:p>
      <w:pPr>
        <w:pStyle w:val="Heading5"/>
        <w:spacing w:line="240" w:lineRule="auto"/>
        <w:ind w:left="220" w:right="0"/>
        <w:jc w:val="left"/>
        <w:rPr>
          <w:b w:val="0"/>
          <w:bCs w:val="0"/>
        </w:rPr>
      </w:pP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1006"/>
        <w:gridCol w:w="869"/>
        <w:gridCol w:w="1126"/>
        <w:gridCol w:w="876"/>
        <w:gridCol w:w="994"/>
        <w:gridCol w:w="929"/>
        <w:gridCol w:w="869"/>
        <w:gridCol w:w="1325"/>
        <w:gridCol w:w="1294"/>
      </w:tblGrid>
      <w:tr>
        <w:trPr>
          <w:trHeight w:val="572" w:hRule="exact"/>
        </w:trPr>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87" w:right="283"/>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12" w:right="110"/>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61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326" w:right="113" w:hanging="212"/>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p>
        </w:tc>
      </w:tr>
      <w:tr>
        <w:trPr>
          <w:trHeight w:val="828" w:hRule="exact"/>
        </w:trPr>
        <w:tc>
          <w:tcPr>
            <w:tcW w:w="1006"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48" w:right="132"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11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75" w:right="173"/>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139"/>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21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40" w:right="130"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陆建强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龚方乐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阮</w:t>
            </w:r>
            <w:r>
              <w:rPr>
                <w:rFonts w:ascii="宋体" w:hAnsi="宋体" w:cs="宋体" w:eastAsia="宋体" w:hint="default"/>
                <w:spacing w:val="2"/>
                <w:sz w:val="21"/>
                <w:szCs w:val="21"/>
              </w:rPr>
              <w:t> </w:t>
            </w:r>
            <w:r>
              <w:rPr>
                <w:rFonts w:ascii="宋体" w:hAnsi="宋体" w:cs="宋体" w:eastAsia="宋体" w:hint="default"/>
                <w:sz w:val="21"/>
                <w:szCs w:val="21"/>
              </w:rPr>
              <w:t>琪</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胡国华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黄志明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汪一兵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何向东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4"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徐爱华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钱水土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w:t>
            </w:r>
            <w:r>
              <w:rPr>
                <w:rFonts w:ascii="宋体" w:hAnsi="宋体" w:cs="宋体" w:eastAsia="宋体" w:hint="default"/>
                <w:spacing w:val="2"/>
                <w:sz w:val="21"/>
                <w:szCs w:val="21"/>
              </w:rPr>
              <w:t> </w:t>
            </w:r>
            <w:r>
              <w:rPr>
                <w:rFonts w:ascii="宋体" w:hAnsi="宋体" w:cs="宋体" w:eastAsia="宋体" w:hint="default"/>
                <w:sz w:val="21"/>
                <w:szCs w:val="21"/>
              </w:rPr>
              <w:t>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沈建林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w:t>
            </w:r>
            <w:r>
              <w:rPr>
                <w:rFonts w:ascii="宋体" w:hAnsi="宋体" w:cs="宋体" w:eastAsia="宋体" w:hint="default"/>
                <w:spacing w:val="2"/>
                <w:sz w:val="21"/>
                <w:szCs w:val="21"/>
              </w:rPr>
              <w:t> </w:t>
            </w:r>
            <w:r>
              <w:rPr>
                <w:rFonts w:ascii="宋体" w:hAnsi="宋体" w:cs="宋体" w:eastAsia="宋体" w:hint="default"/>
                <w:sz w:val="21"/>
                <w:szCs w:val="21"/>
              </w:rPr>
              <w:t>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方铁道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w w:val="100"/>
                <w:sz w:val="21"/>
              </w:rPr>
              <w:t>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bl>
    <w:p>
      <w:pPr>
        <w:pStyle w:val="BodyText"/>
        <w:spacing w:line="241" w:lineRule="exact"/>
        <w:ind w:left="220" w:right="0"/>
        <w:jc w:val="left"/>
      </w:pPr>
      <w:r>
        <w:rPr/>
        <w:t>注：报告期内，董事汪一兵任职情况因工作原因被调动。</w:t>
      </w:r>
    </w:p>
    <w:p>
      <w:pPr>
        <w:pStyle w:val="BodyText"/>
        <w:spacing w:line="240" w:lineRule="auto" w:before="135"/>
        <w:ind w:left="220" w:right="0"/>
        <w:jc w:val="left"/>
      </w:pPr>
      <w:r>
        <w:rPr/>
        <w:t>连续两次未亲自出席董事会会议的说明</w:t>
      </w:r>
    </w:p>
    <w:p>
      <w:pPr>
        <w:pStyle w:val="BodyText"/>
        <w:spacing w:line="240" w:lineRule="auto" w:before="133"/>
        <w:ind w:left="220"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bl>
    <w:p>
      <w:pPr>
        <w:spacing w:line="240" w:lineRule="auto" w:before="12"/>
        <w:rPr>
          <w:rFonts w:ascii="宋体" w:hAnsi="宋体" w:cs="宋体" w:eastAsia="宋体" w:hint="default"/>
          <w:sz w:val="19"/>
          <w:szCs w:val="19"/>
        </w:rPr>
      </w:pPr>
    </w:p>
    <w:p>
      <w:pPr>
        <w:pStyle w:val="Heading5"/>
        <w:spacing w:line="240" w:lineRule="auto" w:before="36"/>
        <w:ind w:left="220" w:right="0"/>
        <w:jc w:val="left"/>
        <w:rPr>
          <w:b w:val="0"/>
          <w:bCs w:val="0"/>
        </w:rPr>
      </w:pPr>
      <w:r>
        <w:rPr>
          <w:rFonts w:ascii="宋体" w:hAnsi="宋体" w:cs="宋体" w:eastAsia="宋体" w:hint="default"/>
        </w:rPr>
        <w:t>(</w:t>
      </w:r>
      <w:r>
        <w:rPr/>
        <w:t>二</w:t>
      </w:r>
      <w:r>
        <w:rPr>
          <w:rFonts w:ascii="宋体" w:hAnsi="宋体" w:cs="宋体" w:eastAsia="宋体" w:hint="default"/>
        </w:rPr>
        <w:t>)</w:t>
      </w:r>
      <w:r>
        <w:rPr/>
        <w:t>独立董事对公司有关事项提出异议的情况</w:t>
      </w:r>
      <w:r>
        <w:rPr>
          <w:b w:val="0"/>
          <w:bCs w:val="0"/>
        </w:rPr>
      </w:r>
    </w:p>
    <w:p>
      <w:pPr>
        <w:pStyle w:val="BodyText"/>
        <w:spacing w:line="272" w:lineRule="exact" w:before="86"/>
        <w:ind w:left="640" w:right="0" w:hanging="420"/>
        <w:jc w:val="left"/>
      </w:pPr>
      <w:r>
        <w:rPr/>
        <w:t>□适用</w:t>
      </w:r>
      <w:r>
        <w:rPr>
          <w:spacing w:val="-2"/>
        </w:rPr>
        <w:t> </w:t>
      </w:r>
      <w:r>
        <w:rPr/>
        <w:t>√不适用</w:t>
      </w:r>
      <w:r>
        <w:rPr>
          <w:spacing w:val="-103"/>
        </w:rPr>
        <w:t> </w:t>
      </w:r>
      <w:r>
        <w:rPr>
          <w:spacing w:val="-103"/>
        </w:rPr>
      </w:r>
      <w:r>
        <w:rPr>
          <w:spacing w:val="-2"/>
        </w:rPr>
        <w:t>报告期内，独立董事履行职责时不存在异议事项。独立董事出席股东大会、董事会及专门委员</w:t>
      </w:r>
    </w:p>
    <w:p>
      <w:pPr>
        <w:pStyle w:val="BodyText"/>
        <w:spacing w:line="357" w:lineRule="auto" w:before="108"/>
        <w:ind w:left="220" w:right="0"/>
        <w:jc w:val="left"/>
      </w:pPr>
      <w:r>
        <w:rPr>
          <w:spacing w:val="-4"/>
        </w:rPr>
        <w:t>会的情况见本节“董事参加董事会和股东大会的情况”。公司独立董事对</w:t>
      </w:r>
      <w:r>
        <w:rPr>
          <w:spacing w:val="-31"/>
        </w:rPr>
        <w:t> </w:t>
      </w:r>
      <w:r>
        <w:rPr>
          <w:rFonts w:ascii="宋体" w:hAnsi="宋体" w:cs="宋体" w:eastAsia="宋体" w:hint="default"/>
        </w:rPr>
        <w:t>2018</w:t>
      </w:r>
      <w:r>
        <w:rPr>
          <w:rFonts w:ascii="宋体" w:hAnsi="宋体" w:cs="宋体" w:eastAsia="宋体" w:hint="default"/>
          <w:spacing w:val="-31"/>
        </w:rPr>
        <w:t> </w:t>
      </w:r>
      <w:r>
        <w:rPr/>
        <w:t>年度履职情况进行了</w:t>
      </w:r>
      <w:r>
        <w:rPr>
          <w:spacing w:val="-96"/>
        </w:rPr>
        <w:t> </w:t>
      </w:r>
      <w:r>
        <w:rPr>
          <w:spacing w:val="-96"/>
        </w:rPr>
      </w:r>
      <w:r>
        <w:rPr/>
        <w:t>总结，详见公司</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日刊登在上海证券交易所网站</w:t>
      </w:r>
      <w:r>
        <w:rPr>
          <w:spacing w:val="-53"/>
        </w:rPr>
        <w:t> </w:t>
      </w:r>
      <w:hyperlink r:id="rId12">
        <w:r>
          <w:rPr>
            <w:rFonts w:ascii="宋体" w:hAnsi="宋体" w:cs="宋体" w:eastAsia="宋体" w:hint="default"/>
          </w:rPr>
          <w:t>www.sse.com.cn</w:t>
        </w:r>
      </w:hyperlink>
      <w:r>
        <w:rPr>
          <w:rFonts w:ascii="宋体" w:hAnsi="宋体" w:cs="宋体" w:eastAsia="宋体" w:hint="default"/>
          <w:spacing w:val="-55"/>
        </w:rPr>
        <w:t> </w:t>
      </w:r>
      <w:r>
        <w:rPr/>
        <w:t>的《</w:t>
      </w:r>
      <w:r>
        <w:rPr>
          <w:rFonts w:ascii="宋体" w:hAnsi="宋体" w:cs="宋体" w:eastAsia="宋体" w:hint="default"/>
        </w:rPr>
        <w:t>2018</w:t>
      </w:r>
      <w:r>
        <w:rPr>
          <w:rFonts w:ascii="宋体" w:hAnsi="宋体" w:cs="宋体" w:eastAsia="宋体" w:hint="default"/>
          <w:spacing w:val="-55"/>
        </w:rPr>
        <w:t> </w:t>
      </w:r>
      <w:r>
        <w:rPr/>
        <w:t>年度独立</w:t>
      </w:r>
      <w:r>
        <w:rPr>
          <w:w w:val="100"/>
        </w:rPr>
        <w:t> </w:t>
      </w:r>
      <w:r>
        <w:rPr/>
        <w:t>董事述职报告》。</w:t>
      </w:r>
    </w:p>
    <w:p>
      <w:pPr>
        <w:spacing w:after="0" w:line="357" w:lineRule="auto"/>
        <w:jc w:val="left"/>
        <w:sectPr>
          <w:pgSz w:w="11910" w:h="16840"/>
          <w:pgMar w:header="880" w:footer="1195" w:top="1120" w:bottom="1380" w:left="1340" w:right="1040"/>
        </w:sectPr>
      </w:pPr>
    </w:p>
    <w:p>
      <w:pPr>
        <w:spacing w:line="240" w:lineRule="auto" w:before="4"/>
        <w:rPr>
          <w:rFonts w:ascii="宋体" w:hAnsi="宋体" w:cs="宋体" w:eastAsia="宋体" w:hint="default"/>
          <w:sz w:val="25"/>
          <w:szCs w:val="25"/>
        </w:rPr>
      </w:pPr>
    </w:p>
    <w:p>
      <w:pPr>
        <w:pStyle w:val="Heading5"/>
        <w:spacing w:line="240" w:lineRule="auto" w:before="36"/>
        <w:ind w:left="220" w:right="0"/>
        <w:jc w:val="left"/>
        <w:rPr>
          <w:b w:val="0"/>
          <w:bCs w:val="0"/>
        </w:rPr>
      </w:pPr>
      <w:r>
        <w:rPr>
          <w:rFonts w:ascii="宋体" w:hAnsi="宋体" w:cs="宋体" w:eastAsia="宋体" w:hint="default"/>
        </w:rPr>
        <w:t>(</w:t>
      </w:r>
      <w:r>
        <w:rPr/>
        <w:t>三</w:t>
      </w:r>
      <w:r>
        <w:rPr>
          <w:rFonts w:ascii="宋体" w:hAnsi="宋体" w:cs="宋体" w:eastAsia="宋体" w:hint="default"/>
        </w:rPr>
        <w:t>)</w:t>
      </w:r>
      <w:r>
        <w:rPr/>
        <w:t>其他</w:t>
      </w:r>
      <w:r>
        <w:rPr>
          <w:b w:val="0"/>
          <w:bCs w:val="0"/>
        </w:rPr>
      </w:r>
    </w:p>
    <w:p>
      <w:pPr>
        <w:pStyle w:val="BodyText"/>
        <w:spacing w:line="446" w:lineRule="auto" w:before="58"/>
        <w:ind w:left="640" w:right="5989"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2"/>
        </w:rPr>
        <w:t>1</w:t>
      </w:r>
      <w:r>
        <w:rPr>
          <w:spacing w:val="-2"/>
        </w:rPr>
        <w:t>、董事会会议情况</w:t>
      </w:r>
    </w:p>
    <w:p>
      <w:pPr>
        <w:pStyle w:val="BodyText"/>
        <w:spacing w:line="240" w:lineRule="auto" w:before="58"/>
        <w:ind w:left="626" w:right="0"/>
        <w:jc w:val="left"/>
      </w:pPr>
      <w:r>
        <w:rPr>
          <w:rFonts w:ascii="宋体" w:hAnsi="宋体" w:cs="宋体" w:eastAsia="宋体" w:hint="default"/>
        </w:rPr>
        <w:t>2018</w:t>
      </w:r>
      <w:r>
        <w:rPr>
          <w:rFonts w:ascii="宋体" w:hAnsi="宋体" w:cs="宋体" w:eastAsia="宋体" w:hint="default"/>
          <w:spacing w:val="-56"/>
        </w:rPr>
        <w:t> </w:t>
      </w:r>
      <w:r>
        <w:rPr/>
        <w:t>年度，公司董事会共召开了</w:t>
      </w:r>
      <w:r>
        <w:rPr>
          <w:spacing w:val="-54"/>
        </w:rPr>
        <w:t> </w:t>
      </w:r>
      <w:r>
        <w:rPr>
          <w:rFonts w:ascii="宋体" w:hAnsi="宋体" w:cs="宋体" w:eastAsia="宋体" w:hint="default"/>
        </w:rPr>
        <w:t>6</w:t>
      </w:r>
      <w:r>
        <w:rPr>
          <w:rFonts w:ascii="宋体" w:hAnsi="宋体" w:cs="宋体" w:eastAsia="宋体" w:hint="default"/>
          <w:spacing w:val="-54"/>
        </w:rPr>
        <w:t> </w:t>
      </w:r>
      <w:r>
        <w:rPr/>
        <w:t>次会议，共审议通过了</w:t>
      </w:r>
      <w:r>
        <w:rPr>
          <w:spacing w:val="-54"/>
        </w:rPr>
        <w:t> </w:t>
      </w:r>
      <w:r>
        <w:rPr>
          <w:rFonts w:ascii="宋体" w:hAnsi="宋体" w:cs="宋体" w:eastAsia="宋体" w:hint="default"/>
        </w:rPr>
        <w:t>54</w:t>
      </w:r>
      <w:r>
        <w:rPr>
          <w:rFonts w:ascii="宋体" w:hAnsi="宋体" w:cs="宋体" w:eastAsia="宋体" w:hint="default"/>
          <w:spacing w:val="-56"/>
        </w:rPr>
        <w:t> </w:t>
      </w:r>
      <w:r>
        <w:rPr/>
        <w:t>个议案，具体情况如下：</w:t>
      </w:r>
    </w:p>
    <w:p>
      <w:pPr>
        <w:spacing w:line="240" w:lineRule="auto" w:before="9"/>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951"/>
        <w:gridCol w:w="1702"/>
        <w:gridCol w:w="5396"/>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会议议题</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72" w:lineRule="exact"/>
              <w:ind w:left="319" w:right="106" w:hanging="209"/>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十二次会议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年度合规报告的议案；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年度合规管理有效性评估报告的议案；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年度内部控制评价报告的议案；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年度风险评估报告的议案；</w:t>
            </w:r>
          </w:p>
        </w:tc>
      </w:tr>
      <w:tr>
        <w:trPr>
          <w:trHeight w:val="555"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关于审议</w:t>
            </w:r>
            <w:r>
              <w:rPr>
                <w:rFonts w:ascii="宋体" w:hAnsi="宋体" w:cs="宋体" w:eastAsia="宋体" w:hint="default"/>
                <w:spacing w:val="-72"/>
                <w:sz w:val="21"/>
                <w:szCs w:val="21"/>
              </w:rPr>
              <w:t> </w:t>
            </w:r>
            <w:r>
              <w:rPr>
                <w:rFonts w:ascii="宋体" w:hAnsi="宋体" w:cs="宋体" w:eastAsia="宋体" w:hint="default"/>
                <w:sz w:val="21"/>
                <w:szCs w:val="21"/>
              </w:rPr>
              <w:t>2017</w:t>
            </w:r>
            <w:r>
              <w:rPr>
                <w:rFonts w:ascii="宋体" w:hAnsi="宋体" w:cs="宋体" w:eastAsia="宋体" w:hint="default"/>
                <w:spacing w:val="-1"/>
                <w:sz w:val="21"/>
                <w:szCs w:val="21"/>
              </w:rPr>
              <w:t> </w:t>
            </w:r>
            <w:r>
              <w:rPr>
                <w:rFonts w:ascii="宋体" w:hAnsi="宋体" w:cs="宋体" w:eastAsia="宋体" w:hint="default"/>
                <w:sz w:val="21"/>
                <w:szCs w:val="21"/>
              </w:rPr>
              <w:t>年下半年公司净资本等风险控制指标情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关于审议</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年风险管理政策的议案；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年度财务决算报告的议案；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年经营管理计划的议案；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年度利润分配方案的议案；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关于会计政策变更的议案；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关于会计估计变更的议案；</w:t>
            </w:r>
          </w:p>
        </w:tc>
      </w:tr>
      <w:tr>
        <w:trPr>
          <w:trHeight w:val="55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年度募集资金存放与使用情况专项报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关于核准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年度证券投资额度的议案；</w:t>
            </w:r>
          </w:p>
        </w:tc>
      </w:tr>
      <w:tr>
        <w:trPr>
          <w:trHeight w:val="28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关于境内外债务融资工具的一般性授权的议案；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关于向全资子公司提供借款的议案；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关于符合公开发行可转换公司债券条件的议案；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关于公开发行可转换公司债券方案的议案；</w:t>
            </w:r>
          </w:p>
        </w:tc>
      </w:tr>
      <w:tr>
        <w:trPr>
          <w:trHeight w:val="55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关于公开发行可转换公司债券募集资金运用可行性报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告的议案；</w:t>
            </w:r>
          </w:p>
        </w:tc>
      </w:tr>
      <w:tr>
        <w:trPr>
          <w:trHeight w:val="55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关于公开发行可转换公司债券摊薄即期回报及填补措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施的议案；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关于公开发行可转换公司债券预案的议案；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关于前次募集资金使用情况报告的议案；</w:t>
            </w:r>
          </w:p>
        </w:tc>
      </w:tr>
      <w:tr>
        <w:trPr>
          <w:trHeight w:val="557"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关于提请股东大会授权董事会办理本次公开发行可转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换公司债券相关事宜的议案；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年年度报告的议案；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年第一季度报告的议案；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关于确认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年关联交易的议案；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z w:val="21"/>
                <w:szCs w:val="21"/>
              </w:rPr>
              <w:t>关于预计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年日常关联交易的议案；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z w:val="21"/>
                <w:szCs w:val="21"/>
              </w:rPr>
              <w:t>关于变更董事的议案；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z w:val="21"/>
                <w:szCs w:val="21"/>
              </w:rPr>
              <w:t>关于推举董事代为履行董事长职责的议案；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年度高级管理人员绩效考核的议案；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关于修订《工资总额预算管理办法》的议案；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年度社会责任报告的议案；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32.</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年度总经理工作报告的议案；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年度董事会工作报告的议案；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z w:val="21"/>
                <w:szCs w:val="21"/>
              </w:rPr>
              <w:t>关于召开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年度股东大会的议案；</w:t>
            </w:r>
          </w:p>
        </w:tc>
      </w:tr>
      <w:tr>
        <w:trPr>
          <w:trHeight w:val="284"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z w:val="21"/>
                <w:szCs w:val="21"/>
              </w:rPr>
              <w:t>关于可转换公司债券持有人会议规则的议案。</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第二届董事会第</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关于选举第二届董事会董事长的议案；</w:t>
            </w:r>
          </w:p>
        </w:tc>
      </w:tr>
    </w:tbl>
    <w:p>
      <w:pPr>
        <w:spacing w:after="0" w:line="241" w:lineRule="exact"/>
        <w:jc w:val="left"/>
        <w:rPr>
          <w:rFonts w:ascii="宋体" w:hAnsi="宋体" w:cs="宋体" w:eastAsia="宋体" w:hint="default"/>
          <w:sz w:val="21"/>
          <w:szCs w:val="21"/>
        </w:rPr>
        <w:sectPr>
          <w:pgSz w:w="11910" w:h="16840"/>
          <w:pgMar w:header="880" w:footer="1195" w:top="1120" w:bottom="1380" w:left="134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951"/>
        <w:gridCol w:w="1702"/>
        <w:gridCol w:w="5396"/>
      </w:tblGrid>
      <w:tr>
        <w:trPr>
          <w:trHeight w:val="284" w:hRule="exact"/>
        </w:trPr>
        <w:tc>
          <w:tcPr>
            <w:tcW w:w="1951"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4" w:lineRule="exact"/>
              <w:ind w:left="319" w:right="0"/>
              <w:jc w:val="left"/>
              <w:rPr>
                <w:rFonts w:ascii="宋体" w:hAnsi="宋体" w:cs="宋体" w:eastAsia="宋体" w:hint="default"/>
                <w:sz w:val="21"/>
                <w:szCs w:val="21"/>
              </w:rPr>
            </w:pPr>
            <w:r>
              <w:rPr>
                <w:rFonts w:ascii="宋体" w:hAnsi="宋体" w:cs="宋体" w:eastAsia="宋体" w:hint="default"/>
                <w:sz w:val="21"/>
                <w:szCs w:val="21"/>
              </w:rPr>
              <w:t>十三次会议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关于调整董事会专门委员会委员的议案；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关于增资浙江财通创新投资有限公司的议案；</w:t>
            </w:r>
          </w:p>
        </w:tc>
      </w:tr>
      <w:tr>
        <w:trPr>
          <w:trHeight w:val="554"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关于浙江财通创新投资有限公司增资浙江省浙商资产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管理有限公司的议案。</w:t>
            </w:r>
          </w:p>
        </w:tc>
      </w:tr>
      <w:tr>
        <w:trPr>
          <w:trHeight w:val="554"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19" w:right="106" w:hanging="209"/>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十四次会议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关于聘请公开发行可转换公司债券项目中介机构的议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案；</w:t>
            </w:r>
          </w:p>
        </w:tc>
      </w:tr>
      <w:tr>
        <w:trPr>
          <w:trHeight w:val="55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关于授权董事长办理本次公开发行可转换公司债券相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关事宜的议案；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关于浙江财通创新投资有限公司签订增资协议的议案</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第二届董事会第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十五次会议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年半年度报告的议案。</w:t>
            </w:r>
          </w:p>
        </w:tc>
      </w:tr>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72" w:lineRule="exact" w:before="140"/>
              <w:ind w:left="319" w:right="106" w:hanging="209"/>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十六次会议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年第三季度报告的议案；</w:t>
            </w:r>
          </w:p>
        </w:tc>
      </w:tr>
      <w:tr>
        <w:trPr>
          <w:trHeight w:val="28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关于为财通证券（香港）有限公司提供担保的议案；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关于聘任高级管理人员的议案。</w:t>
            </w:r>
          </w:p>
        </w:tc>
      </w:tr>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72" w:lineRule="exact"/>
              <w:ind w:left="319" w:right="106" w:hanging="209"/>
              <w:jc w:val="left"/>
              <w:rPr>
                <w:rFonts w:ascii="宋体" w:hAnsi="宋体" w:cs="宋体" w:eastAsia="宋体" w:hint="default"/>
                <w:sz w:val="21"/>
                <w:szCs w:val="21"/>
              </w:rPr>
            </w:pPr>
            <w:r>
              <w:rPr>
                <w:rFonts w:ascii="宋体" w:hAnsi="宋体" w:cs="宋体" w:eastAsia="宋体" w:hint="default"/>
                <w:sz w:val="21"/>
                <w:szCs w:val="21"/>
              </w:rPr>
              <w:t>第二届董事会第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十七次会议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关于聘任 </w:t>
            </w:r>
            <w:r>
              <w:rPr>
                <w:rFonts w:ascii="宋体" w:hAnsi="宋体" w:cs="宋体" w:eastAsia="宋体" w:hint="default"/>
                <w:sz w:val="21"/>
                <w:szCs w:val="21"/>
              </w:rPr>
              <w:t>2018</w:t>
            </w:r>
            <w:r>
              <w:rPr>
                <w:rFonts w:ascii="宋体" w:hAnsi="宋体" w:cs="宋体" w:eastAsia="宋体" w:hint="default"/>
                <w:spacing w:val="-4"/>
                <w:sz w:val="21"/>
                <w:szCs w:val="21"/>
              </w:rPr>
              <w:t> </w:t>
            </w:r>
            <w:r>
              <w:rPr>
                <w:rFonts w:ascii="宋体" w:hAnsi="宋体" w:cs="宋体" w:eastAsia="宋体" w:hint="default"/>
                <w:sz w:val="21"/>
                <w:szCs w:val="21"/>
              </w:rPr>
              <w:t>年度财务报告及内控审计机构的议案；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关于修订公司《章程》的议案；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关于修订《股东大会议事规则》的议案；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关于制定《投资者关系管理制度》的议案；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关于修订《审计委员会工作细则》的议案；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关于修订《薪酬与提名委员会工作细则》的议案；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关于制定《信息披露暂缓与豁免管理制度》的议案；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关于召开 </w:t>
            </w:r>
            <w:r>
              <w:rPr>
                <w:rFonts w:ascii="宋体" w:hAnsi="宋体" w:cs="宋体" w:eastAsia="宋体" w:hint="default"/>
                <w:sz w:val="21"/>
                <w:szCs w:val="21"/>
              </w:rPr>
              <w:t>2018</w:t>
            </w:r>
            <w:r>
              <w:rPr>
                <w:rFonts w:ascii="宋体" w:hAnsi="宋体" w:cs="宋体" w:eastAsia="宋体" w:hint="default"/>
                <w:spacing w:val="-1"/>
                <w:sz w:val="21"/>
                <w:szCs w:val="21"/>
              </w:rPr>
              <w:t> </w:t>
            </w:r>
            <w:r>
              <w:rPr>
                <w:rFonts w:ascii="宋体" w:hAnsi="宋体" w:cs="宋体" w:eastAsia="宋体" w:hint="default"/>
                <w:sz w:val="21"/>
                <w:szCs w:val="21"/>
              </w:rPr>
              <w:t>年第一次临时股东大会的议案。</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72" w:lineRule="exact" w:before="64"/>
        <w:ind w:left="645" w:right="0" w:hanging="425"/>
        <w:jc w:val="left"/>
        <w:rPr>
          <w:b w:val="0"/>
          <w:bCs w:val="0"/>
        </w:rPr>
      </w:pPr>
      <w:r>
        <w:rPr>
          <w:spacing w:val="-1"/>
        </w:rPr>
        <w:t>四、董事会下设专门委员会在报告期内履行职责时所提出的重要意见和建议，存在异议事项的，应</w:t>
      </w:r>
      <w:r>
        <w:rPr>
          <w:spacing w:val="-63"/>
        </w:rPr>
        <w:t> </w:t>
      </w:r>
      <w:r>
        <w:rPr>
          <w:spacing w:val="-63"/>
        </w:rPr>
      </w:r>
      <w:r>
        <w:rPr/>
        <w:t>当披露具体情况</w:t>
      </w:r>
      <w:r>
        <w:rPr>
          <w:b w:val="0"/>
          <w:bCs w:val="0"/>
        </w:rPr>
      </w:r>
    </w:p>
    <w:p>
      <w:pPr>
        <w:pStyle w:val="BodyText"/>
        <w:spacing w:line="240" w:lineRule="auto" w:before="34"/>
        <w:ind w:left="220" w:right="0"/>
        <w:jc w:val="left"/>
      </w:pPr>
      <w:r>
        <w:rPr/>
        <w:t>√适用 □不适用</w:t>
      </w:r>
    </w:p>
    <w:p>
      <w:pPr>
        <w:spacing w:line="240" w:lineRule="auto" w:before="1"/>
        <w:rPr>
          <w:rFonts w:ascii="宋体" w:hAnsi="宋体" w:cs="宋体" w:eastAsia="宋体" w:hint="default"/>
          <w:sz w:val="18"/>
          <w:szCs w:val="18"/>
        </w:rPr>
      </w:pPr>
    </w:p>
    <w:p>
      <w:pPr>
        <w:pStyle w:val="BodyText"/>
        <w:spacing w:line="357" w:lineRule="auto"/>
        <w:ind w:left="640" w:right="0"/>
        <w:jc w:val="left"/>
      </w:pPr>
      <w:r>
        <w:rPr/>
        <w:t>（一）董事会专门委员会构成</w:t>
      </w:r>
      <w:r>
        <w:rPr>
          <w:w w:val="100"/>
        </w:rPr>
        <w:t> </w:t>
      </w:r>
      <w:r>
        <w:rPr>
          <w:spacing w:val="-2"/>
        </w:rPr>
        <w:t>公司董事会下设薪酬与提名委员会、战略委员会、风险控制委员会、审计委员会等四个专门委</w:t>
      </w:r>
    </w:p>
    <w:p>
      <w:pPr>
        <w:pStyle w:val="BodyText"/>
        <w:spacing w:line="240" w:lineRule="auto" w:before="30"/>
        <w:ind w:left="220" w:right="0"/>
        <w:jc w:val="left"/>
      </w:pPr>
      <w:r>
        <w:rPr/>
        <w:t>员会。具体名单如下表：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943"/>
        <w:gridCol w:w="6203"/>
      </w:tblGrid>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w:t>
              <w:tab/>
              <w:t>员</w:t>
            </w:r>
          </w:p>
        </w:tc>
      </w:tr>
      <w:tr>
        <w:trPr>
          <w:trHeight w:val="42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薪酬与提名委员会</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钱水土（主任委员）、龚方乐、舒明</w:t>
            </w:r>
          </w:p>
        </w:tc>
      </w:tr>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战略委员会</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汪炜（主任委员）、陆建强、何向东、徐爱华</w:t>
            </w:r>
          </w:p>
        </w:tc>
      </w:tr>
      <w:tr>
        <w:trPr>
          <w:trHeight w:val="42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风险控制委员会</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舒明（主任委员）、阮琪、方铁道</w:t>
            </w:r>
          </w:p>
        </w:tc>
      </w:tr>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沈建林（主任委员）、黄志明、钱水土、胡国华</w:t>
            </w:r>
          </w:p>
        </w:tc>
      </w:tr>
    </w:tbl>
    <w:p>
      <w:pPr>
        <w:spacing w:line="240" w:lineRule="auto" w:before="13"/>
        <w:rPr>
          <w:rFonts w:ascii="宋体" w:hAnsi="宋体" w:cs="宋体" w:eastAsia="宋体" w:hint="default"/>
          <w:sz w:val="12"/>
          <w:szCs w:val="12"/>
        </w:rPr>
      </w:pPr>
    </w:p>
    <w:p>
      <w:pPr>
        <w:pStyle w:val="BodyText"/>
        <w:spacing w:line="355" w:lineRule="auto" w:before="36"/>
        <w:ind w:left="746" w:right="0" w:hanging="106"/>
        <w:jc w:val="left"/>
      </w:pPr>
      <w:r>
        <w:rPr/>
        <w:t>（二）董事会专门委员会职责及召开会议情况</w:t>
      </w:r>
      <w:r>
        <w:rPr>
          <w:w w:val="100"/>
        </w:rPr>
        <w:t> </w:t>
      </w:r>
      <w:r>
        <w:rPr>
          <w:rFonts w:ascii="宋体" w:hAnsi="宋体" w:cs="宋体" w:eastAsia="宋体" w:hint="default"/>
          <w:spacing w:val="-3"/>
        </w:rPr>
        <w:t>1.</w:t>
      </w:r>
      <w:r>
        <w:rPr>
          <w:spacing w:val="-3"/>
        </w:rPr>
        <w:t>战略委员会的主要职责是：了解并掌握公司经营的全面情况；了解、分析、掌握国内外行业</w:t>
      </w:r>
    </w:p>
    <w:p>
      <w:pPr>
        <w:pStyle w:val="BodyText"/>
        <w:spacing w:line="357" w:lineRule="auto" w:before="34"/>
        <w:ind w:left="220" w:right="108"/>
        <w:jc w:val="both"/>
      </w:pPr>
      <w:r>
        <w:rPr>
          <w:spacing w:val="-2"/>
        </w:rPr>
        <w:t>现状及国家相关政策；研究公司近期、中期、长期发展战略或其它相关问题并提出建议；对公司重</w:t>
      </w:r>
      <w:r>
        <w:rPr>
          <w:spacing w:val="-25"/>
        </w:rPr>
        <w:t> </w:t>
      </w:r>
      <w:r>
        <w:rPr>
          <w:spacing w:val="-25"/>
        </w:rPr>
      </w:r>
      <w:r>
        <w:rPr>
          <w:spacing w:val="-6"/>
        </w:rPr>
        <w:t>大投资、重大资本运作、重大改革创新等重大决策提供咨询建议；审议通过发展战略专项研究报告；</w:t>
      </w:r>
      <w:r>
        <w:rPr>
          <w:spacing w:val="-19"/>
        </w:rPr>
        <w:t> </w:t>
      </w:r>
      <w:r>
        <w:rPr>
          <w:spacing w:val="-19"/>
        </w:rPr>
      </w:r>
      <w:r>
        <w:rPr/>
        <w:t>董事会赋予的其他职责。</w:t>
      </w:r>
    </w:p>
    <w:p>
      <w:pPr>
        <w:spacing w:after="0" w:line="357" w:lineRule="auto"/>
        <w:jc w:val="both"/>
        <w:sectPr>
          <w:pgSz w:w="11910" w:h="16840"/>
          <w:pgMar w:header="880" w:footer="1195" w:top="1120" w:bottom="1380" w:left="1340" w:right="1160"/>
        </w:sectPr>
      </w:pPr>
    </w:p>
    <w:p>
      <w:pPr>
        <w:spacing w:line="240" w:lineRule="auto" w:before="4"/>
        <w:rPr>
          <w:rFonts w:ascii="宋体" w:hAnsi="宋体" w:cs="宋体" w:eastAsia="宋体" w:hint="default"/>
          <w:sz w:val="25"/>
          <w:szCs w:val="25"/>
        </w:rPr>
      </w:pPr>
    </w:p>
    <w:p>
      <w:pPr>
        <w:pStyle w:val="BodyText"/>
        <w:spacing w:line="357" w:lineRule="auto" w:before="36"/>
        <w:ind w:left="666" w:right="0"/>
        <w:jc w:val="left"/>
      </w:pPr>
      <w:r>
        <w:rPr/>
        <w:t>报告期内，战略委员会召开会议</w:t>
      </w:r>
      <w:r>
        <w:rPr>
          <w:rFonts w:ascii="宋体" w:hAnsi="宋体" w:cs="宋体" w:eastAsia="宋体" w:hint="default"/>
        </w:rPr>
        <w:t>1</w:t>
      </w:r>
      <w:r>
        <w:rPr/>
        <w:t>次，具体如下：</w:t>
      </w:r>
      <w:r>
        <w:rPr>
          <w:w w:val="100"/>
        </w:rPr>
        <w:t> </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日，公司第二届董事会战略委员会第一次会议审议通过了《关于符合公开发行可</w:t>
      </w:r>
    </w:p>
    <w:p>
      <w:pPr>
        <w:pStyle w:val="BodyText"/>
        <w:spacing w:line="357" w:lineRule="auto" w:before="30"/>
        <w:ind w:left="140" w:right="146"/>
        <w:jc w:val="both"/>
      </w:pPr>
      <w:r>
        <w:rPr>
          <w:spacing w:val="-2"/>
        </w:rPr>
        <w:t>转换公司债券条件的议案》、《关于公开发行可转换公司债券方案的议案》、《关于公开发行可转</w:t>
      </w:r>
      <w:r>
        <w:rPr>
          <w:spacing w:val="-25"/>
        </w:rPr>
        <w:t> </w:t>
      </w:r>
      <w:r>
        <w:rPr>
          <w:spacing w:val="-25"/>
        </w:rPr>
      </w:r>
      <w:r>
        <w:rPr>
          <w:spacing w:val="-2"/>
        </w:rPr>
        <w:t>换公司债券募集资金运用可行性报告的议案》、《关于公开发行可转换公司债券摊薄即期回报及填</w:t>
      </w:r>
      <w:r>
        <w:rPr>
          <w:spacing w:val="-25"/>
        </w:rPr>
        <w:t> </w:t>
      </w:r>
      <w:r>
        <w:rPr>
          <w:spacing w:val="-25"/>
        </w:rPr>
      </w:r>
      <w:r>
        <w:rPr>
          <w:spacing w:val="-2"/>
        </w:rPr>
        <w:t>补措施的议案》、《关于公开发行可转换公司债券预案的议案》、《关于前次募集资金使用情况报</w:t>
      </w:r>
      <w:r>
        <w:rPr>
          <w:spacing w:val="-25"/>
        </w:rPr>
        <w:t> </w:t>
      </w:r>
      <w:r>
        <w:rPr>
          <w:spacing w:val="-25"/>
        </w:rPr>
      </w:r>
      <w:r>
        <w:rPr>
          <w:spacing w:val="-2"/>
        </w:rPr>
        <w:t>告的议案》、《关于可转换公司债券持有人议事规则的议案》、《关于提请股东大会授权董事会办</w:t>
      </w:r>
      <w:r>
        <w:rPr>
          <w:spacing w:val="-25"/>
        </w:rPr>
        <w:t> </w:t>
      </w:r>
      <w:r>
        <w:rPr>
          <w:spacing w:val="-25"/>
        </w:rPr>
      </w:r>
      <w:r>
        <w:rPr/>
        <w:t>理本次公开发行可转换公司债券相关事宜的议案》等议案。</w:t>
      </w:r>
    </w:p>
    <w:p>
      <w:pPr>
        <w:spacing w:line="240" w:lineRule="auto" w:before="9"/>
        <w:rPr>
          <w:rFonts w:ascii="宋体" w:hAnsi="宋体" w:cs="宋体" w:eastAsia="宋体" w:hint="default"/>
          <w:sz w:val="20"/>
          <w:szCs w:val="20"/>
        </w:rPr>
      </w:pPr>
    </w:p>
    <w:p>
      <w:pPr>
        <w:pStyle w:val="BodyText"/>
        <w:spacing w:line="357" w:lineRule="auto"/>
        <w:ind w:left="140" w:right="109" w:firstLine="420"/>
        <w:jc w:val="both"/>
      </w:pPr>
      <w:r>
        <w:rPr>
          <w:rFonts w:ascii="宋体" w:hAnsi="宋体" w:cs="宋体" w:eastAsia="宋体" w:hint="default"/>
          <w:spacing w:val="-1"/>
        </w:rPr>
        <w:t>2.</w:t>
      </w:r>
      <w:r>
        <w:rPr>
          <w:spacing w:val="-1"/>
        </w:rPr>
        <w:t>风险控制委员会的主要职责是：对合规管理和风险管理的总体目标、基本政策进行审议并提</w:t>
      </w:r>
      <w:r>
        <w:rPr>
          <w:w w:val="100"/>
        </w:rPr>
        <w:t> </w:t>
      </w:r>
      <w:r>
        <w:rPr>
          <w:spacing w:val="-1"/>
        </w:rPr>
        <w:t>出意见；对合规管理和风险管理的机构设置及其职责进行审议并提出意见；对需董事会审议的重大</w:t>
      </w:r>
      <w:r>
        <w:rPr>
          <w:spacing w:val="-21"/>
        </w:rPr>
        <w:t> </w:t>
      </w:r>
      <w:r>
        <w:rPr>
          <w:spacing w:val="-21"/>
        </w:rPr>
      </w:r>
      <w:r>
        <w:rPr>
          <w:spacing w:val="-1"/>
        </w:rPr>
        <w:t>决策的风险和重大风险的解决方案进行评估并提出意见；对需董事会审议的合规报告和风险评估报</w:t>
      </w:r>
      <w:r>
        <w:rPr>
          <w:spacing w:val="-20"/>
        </w:rPr>
        <w:t> </w:t>
      </w:r>
      <w:r>
        <w:rPr>
          <w:spacing w:val="-20"/>
        </w:rPr>
      </w:r>
      <w:r>
        <w:rPr>
          <w:spacing w:val="-1"/>
        </w:rPr>
        <w:t>告进行审议并提出意见；对检查中发现的违法、违规情况提出处理意见，报董事会批准；审议公司</w:t>
      </w:r>
      <w:r>
        <w:rPr>
          <w:spacing w:val="-20"/>
        </w:rPr>
        <w:t> </w:t>
      </w:r>
      <w:r>
        <w:rPr>
          <w:spacing w:val="-20"/>
        </w:rPr>
      </w:r>
      <w:r>
        <w:rPr>
          <w:spacing w:val="-6"/>
          <w:w w:val="100"/>
        </w:rPr>
        <w:t>全面风险管理的基本制度；建立与合规总监和首席风险官的直接沟通机制；董事会授予的其他职权。</w:t>
      </w:r>
    </w:p>
    <w:p>
      <w:pPr>
        <w:pStyle w:val="BodyText"/>
        <w:spacing w:line="355" w:lineRule="auto" w:before="30"/>
        <w:ind w:left="666" w:right="0"/>
        <w:jc w:val="left"/>
      </w:pPr>
      <w:r>
        <w:rPr/>
        <w:t>报告期内，风险控制委员会召开会议</w:t>
      </w:r>
      <w:r>
        <w:rPr>
          <w:rFonts w:ascii="宋体" w:hAnsi="宋体" w:cs="宋体" w:eastAsia="宋体" w:hint="default"/>
        </w:rPr>
        <w:t>1</w:t>
      </w:r>
      <w:r>
        <w:rPr/>
        <w:t>次，具体如下：</w:t>
      </w:r>
      <w:r>
        <w:rPr>
          <w:w w:val="100"/>
        </w:rPr>
        <w:t> </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日，第二届董事会风险控制委员会第六次会议审议通过了《关于审议</w:t>
      </w:r>
      <w:r>
        <w:rPr>
          <w:rFonts w:ascii="宋体" w:hAnsi="宋体" w:cs="宋体" w:eastAsia="宋体" w:hint="default"/>
          <w:spacing w:val="-2"/>
        </w:rPr>
        <w:t>2017</w:t>
      </w:r>
      <w:r>
        <w:rPr>
          <w:spacing w:val="-2"/>
        </w:rPr>
        <w:t>年度合</w:t>
      </w:r>
    </w:p>
    <w:p>
      <w:pPr>
        <w:pStyle w:val="BodyText"/>
        <w:spacing w:line="357" w:lineRule="auto" w:before="32"/>
        <w:ind w:left="0" w:right="146"/>
        <w:jc w:val="right"/>
      </w:pPr>
      <w:r>
        <w:rPr>
          <w:spacing w:val="-2"/>
        </w:rPr>
        <w:t>规管理有效性评估报告的议案》、《关于审议</w:t>
      </w:r>
      <w:r>
        <w:rPr>
          <w:rFonts w:ascii="宋体" w:hAnsi="宋体" w:cs="宋体" w:eastAsia="宋体" w:hint="default"/>
          <w:spacing w:val="-2"/>
        </w:rPr>
        <w:t>2017</w:t>
      </w:r>
      <w:r>
        <w:rPr>
          <w:spacing w:val="-2"/>
        </w:rPr>
        <w:t>年度合规报告的议案》、《关于审议</w:t>
      </w:r>
      <w:r>
        <w:rPr>
          <w:rFonts w:ascii="宋体" w:hAnsi="宋体" w:cs="宋体" w:eastAsia="宋体" w:hint="default"/>
          <w:spacing w:val="-2"/>
        </w:rPr>
        <w:t>2017</w:t>
      </w:r>
      <w:r>
        <w:rPr>
          <w:spacing w:val="-2"/>
        </w:rPr>
        <w:t>年度内</w:t>
      </w:r>
      <w:r>
        <w:rPr>
          <w:spacing w:val="-34"/>
        </w:rPr>
        <w:t> </w:t>
      </w:r>
      <w:r>
        <w:rPr>
          <w:spacing w:val="-34"/>
        </w:rPr>
      </w:r>
      <w:r>
        <w:rPr>
          <w:spacing w:val="-2"/>
        </w:rPr>
        <w:t>部控制评价报告的议案》、《关于审议</w:t>
      </w:r>
      <w:r>
        <w:rPr>
          <w:rFonts w:ascii="宋体" w:hAnsi="宋体" w:cs="宋体" w:eastAsia="宋体" w:hint="default"/>
          <w:spacing w:val="-2"/>
        </w:rPr>
        <w:t>2017</w:t>
      </w:r>
      <w:r>
        <w:rPr>
          <w:spacing w:val="-2"/>
        </w:rPr>
        <w:t>年度风险评估报告的议案》、《关于审议</w:t>
      </w:r>
      <w:r>
        <w:rPr>
          <w:rFonts w:ascii="宋体" w:hAnsi="宋体" w:cs="宋体" w:eastAsia="宋体" w:hint="default"/>
          <w:spacing w:val="-2"/>
        </w:rPr>
        <w:t>2017</w:t>
      </w:r>
      <w:r>
        <w:rPr>
          <w:spacing w:val="-2"/>
        </w:rPr>
        <w:t>年下半年</w:t>
      </w:r>
      <w:r>
        <w:rPr>
          <w:spacing w:val="-40"/>
        </w:rPr>
        <w:t> </w:t>
      </w:r>
      <w:r>
        <w:rPr>
          <w:spacing w:val="-40"/>
        </w:rPr>
      </w:r>
      <w:r>
        <w:rPr>
          <w:spacing w:val="-2"/>
        </w:rPr>
        <w:t>公司净资本等风险控制指标情况报告的议案》、《关于审议</w:t>
      </w:r>
      <w:r>
        <w:rPr>
          <w:rFonts w:ascii="宋体" w:hAnsi="宋体" w:cs="宋体" w:eastAsia="宋体" w:hint="default"/>
          <w:spacing w:val="-2"/>
        </w:rPr>
        <w:t>2018</w:t>
      </w:r>
      <w:r>
        <w:rPr>
          <w:spacing w:val="-2"/>
        </w:rPr>
        <w:t>年风险管理政策的议案》等议案。</w:t>
      </w:r>
      <w:r>
        <w:rPr>
          <w:spacing w:val="-42"/>
        </w:rPr>
        <w:t> </w:t>
      </w:r>
      <w:r>
        <w:rPr>
          <w:spacing w:val="-42"/>
        </w:rPr>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日，公司第二届董事会风险控制委员会第七次会议审议通过了《关于增资浙江财</w:t>
      </w:r>
      <w:r>
        <w:rPr>
          <w:w w:val="100"/>
        </w:rPr>
        <w:t> </w:t>
      </w:r>
      <w:r>
        <w:rPr>
          <w:spacing w:val="-2"/>
        </w:rPr>
        <w:t>通创新投资有限公司的议案》、《关于浙江财通创新投资有限公司增资浙江省浙商资产管理有限公</w:t>
      </w:r>
    </w:p>
    <w:p>
      <w:pPr>
        <w:pStyle w:val="BodyText"/>
        <w:spacing w:line="240" w:lineRule="auto" w:before="30"/>
        <w:ind w:left="140" w:right="0"/>
        <w:jc w:val="both"/>
      </w:pPr>
      <w:r>
        <w:rPr/>
        <w:t>司的议案》等议案。</w:t>
      </w:r>
    </w:p>
    <w:p>
      <w:pPr>
        <w:spacing w:line="240" w:lineRule="auto" w:before="9"/>
        <w:rPr>
          <w:rFonts w:ascii="宋体" w:hAnsi="宋体" w:cs="宋体" w:eastAsia="宋体" w:hint="default"/>
          <w:sz w:val="28"/>
          <w:szCs w:val="28"/>
        </w:rPr>
      </w:pPr>
    </w:p>
    <w:p>
      <w:pPr>
        <w:pStyle w:val="BodyText"/>
        <w:spacing w:line="357" w:lineRule="auto"/>
        <w:ind w:left="140" w:right="109" w:firstLine="420"/>
        <w:jc w:val="both"/>
      </w:pPr>
      <w:r>
        <w:rPr>
          <w:rFonts w:ascii="宋体" w:hAnsi="宋体" w:cs="宋体" w:eastAsia="宋体" w:hint="default"/>
          <w:spacing w:val="-1"/>
        </w:rPr>
        <w:t>3.</w:t>
      </w:r>
      <w:r>
        <w:rPr>
          <w:spacing w:val="-1"/>
        </w:rPr>
        <w:t>审计委员会主要职责是：监督年度审计工作，就审计后的财务报告信息的真实性、准确性和</w:t>
      </w:r>
      <w:r>
        <w:rPr>
          <w:w w:val="100"/>
        </w:rPr>
        <w:t> </w:t>
      </w:r>
      <w:r>
        <w:rPr>
          <w:spacing w:val="-1"/>
        </w:rPr>
        <w:t>完整性作出判断，提交董事会审议；监督并评估外部审计机构工作，提议聘请或者更换外部审计机</w:t>
      </w:r>
      <w:r>
        <w:rPr>
          <w:spacing w:val="-20"/>
        </w:rPr>
        <w:t> </w:t>
      </w:r>
      <w:r>
        <w:rPr>
          <w:spacing w:val="-20"/>
        </w:rPr>
      </w:r>
      <w:r>
        <w:rPr>
          <w:spacing w:val="-1"/>
        </w:rPr>
        <w:t>构；监督及评估内部审计工作，负责内部审计与外部审计之间的协调；审核公司有关审计的基本制</w:t>
      </w:r>
      <w:r>
        <w:rPr>
          <w:spacing w:val="-20"/>
        </w:rPr>
        <w:t> </w:t>
      </w:r>
      <w:r>
        <w:rPr>
          <w:spacing w:val="-20"/>
        </w:rPr>
      </w:r>
      <w:r>
        <w:rPr>
          <w:spacing w:val="-1"/>
        </w:rPr>
        <w:t>度草案，报董事会批准，并检查、监督公司审计制度的实施；审核公司的财务信息及其披露；监督</w:t>
      </w:r>
      <w:r>
        <w:rPr>
          <w:spacing w:val="-20"/>
        </w:rPr>
        <w:t> </w:t>
      </w:r>
      <w:r>
        <w:rPr>
          <w:spacing w:val="-20"/>
        </w:rPr>
      </w:r>
      <w:r>
        <w:rPr/>
        <w:t>及评估公司的内部控制；负责法律法规、公司章程和董事会授权的其他事项。</w:t>
      </w:r>
    </w:p>
    <w:p>
      <w:pPr>
        <w:pStyle w:val="BodyText"/>
        <w:spacing w:line="355" w:lineRule="auto" w:before="30"/>
        <w:ind w:left="560" w:right="0"/>
        <w:jc w:val="left"/>
      </w:pPr>
      <w:r>
        <w:rPr/>
        <w:t>报告期内，审计委员会召开会议</w:t>
      </w:r>
      <w:r>
        <w:rPr>
          <w:rFonts w:ascii="宋体" w:hAnsi="宋体" w:cs="宋体" w:eastAsia="宋体" w:hint="default"/>
        </w:rPr>
        <w:t>5</w:t>
      </w:r>
      <w:r>
        <w:rPr/>
        <w:t>次，具体如下：</w:t>
      </w:r>
      <w:r>
        <w:rPr>
          <w:w w:val="100"/>
        </w:rPr>
        <w:t> </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日，公司第二届董事会审计委员会第六次会议审议通过了《关于审议</w:t>
      </w:r>
      <w:r>
        <w:rPr>
          <w:rFonts w:ascii="宋体" w:hAnsi="宋体" w:cs="宋体" w:eastAsia="宋体" w:hint="default"/>
          <w:spacing w:val="-3"/>
        </w:rPr>
        <w:t>2017</w:t>
      </w:r>
      <w:r>
        <w:rPr>
          <w:spacing w:val="-3"/>
        </w:rPr>
        <w:t>年度内部</w:t>
      </w:r>
    </w:p>
    <w:p>
      <w:pPr>
        <w:pStyle w:val="BodyText"/>
        <w:spacing w:line="357" w:lineRule="auto" w:before="32"/>
        <w:ind w:left="140" w:right="146"/>
        <w:jc w:val="both"/>
      </w:pPr>
      <w:r>
        <w:rPr>
          <w:spacing w:val="-2"/>
        </w:rPr>
        <w:t>控制评价报告的议案》、《</w:t>
      </w:r>
      <w:r>
        <w:rPr>
          <w:rFonts w:ascii="宋体" w:hAnsi="宋体" w:cs="宋体" w:eastAsia="宋体" w:hint="default"/>
          <w:spacing w:val="-2"/>
        </w:rPr>
        <w:t>2017</w:t>
      </w:r>
      <w:r>
        <w:rPr>
          <w:spacing w:val="-2"/>
        </w:rPr>
        <w:t>年度内部审计工作报告》、《</w:t>
      </w:r>
      <w:r>
        <w:rPr>
          <w:rFonts w:ascii="宋体" w:hAnsi="宋体" w:cs="宋体" w:eastAsia="宋体" w:hint="default"/>
          <w:spacing w:val="-2"/>
        </w:rPr>
        <w:t>2017</w:t>
      </w:r>
      <w:r>
        <w:rPr>
          <w:spacing w:val="-2"/>
        </w:rPr>
        <w:t>年年度审计报告》、《关于审议</w:t>
      </w:r>
      <w:r>
        <w:rPr>
          <w:spacing w:val="-17"/>
        </w:rPr>
        <w:t> </w:t>
      </w:r>
      <w:r>
        <w:rPr>
          <w:spacing w:val="-17"/>
        </w:rPr>
      </w:r>
      <w:r>
        <w:rPr>
          <w:rFonts w:ascii="宋体" w:hAnsi="宋体" w:cs="宋体" w:eastAsia="宋体" w:hint="default"/>
          <w:spacing w:val="-2"/>
        </w:rPr>
        <w:t>2017</w:t>
      </w:r>
      <w:r>
        <w:rPr>
          <w:spacing w:val="-2"/>
        </w:rPr>
        <w:t>年度财务决算报告的议案》、《关于审议</w:t>
      </w:r>
      <w:r>
        <w:rPr>
          <w:rFonts w:ascii="宋体" w:hAnsi="宋体" w:cs="宋体" w:eastAsia="宋体" w:hint="default"/>
          <w:spacing w:val="-2"/>
        </w:rPr>
        <w:t>2017</w:t>
      </w:r>
      <w:r>
        <w:rPr>
          <w:spacing w:val="-2"/>
        </w:rPr>
        <w:t>年度利润分配方案的议案》、《关于会计政策变</w:t>
      </w:r>
      <w:r>
        <w:rPr>
          <w:spacing w:val="-17"/>
        </w:rPr>
        <w:t> </w:t>
      </w:r>
      <w:r>
        <w:rPr>
          <w:spacing w:val="-17"/>
        </w:rPr>
      </w:r>
      <w:r>
        <w:rPr>
          <w:spacing w:val="-2"/>
        </w:rPr>
        <w:t>更的议案》、《关于会计估计变更的议案》、《关于审议</w:t>
      </w:r>
      <w:r>
        <w:rPr>
          <w:rFonts w:ascii="宋体" w:hAnsi="宋体" w:cs="宋体" w:eastAsia="宋体" w:hint="default"/>
          <w:spacing w:val="-2"/>
        </w:rPr>
        <w:t>2017</w:t>
      </w:r>
      <w:r>
        <w:rPr>
          <w:spacing w:val="-2"/>
        </w:rPr>
        <w:t>年度募集资金存放与使用情况专项报</w:t>
      </w:r>
      <w:r>
        <w:rPr>
          <w:spacing w:val="-21"/>
        </w:rPr>
        <w:t> </w:t>
      </w:r>
      <w:r>
        <w:rPr>
          <w:spacing w:val="-21"/>
        </w:rPr>
      </w:r>
      <w:r>
        <w:rPr>
          <w:spacing w:val="-2"/>
        </w:rPr>
        <w:t>告的议案》、《关于审议</w:t>
      </w:r>
      <w:r>
        <w:rPr>
          <w:rFonts w:ascii="宋体" w:hAnsi="宋体" w:cs="宋体" w:eastAsia="宋体" w:hint="default"/>
          <w:spacing w:val="-2"/>
        </w:rPr>
        <w:t>2017</w:t>
      </w:r>
      <w:r>
        <w:rPr>
          <w:spacing w:val="-2"/>
        </w:rPr>
        <w:t>年度报告的议案》、《关于确认</w:t>
      </w:r>
      <w:r>
        <w:rPr>
          <w:rFonts w:ascii="宋体" w:hAnsi="宋体" w:cs="宋体" w:eastAsia="宋体" w:hint="default"/>
          <w:spacing w:val="-2"/>
        </w:rPr>
        <w:t>2017</w:t>
      </w:r>
      <w:r>
        <w:rPr>
          <w:spacing w:val="-2"/>
        </w:rPr>
        <w:t>年关联交易的议案》、《关于预</w:t>
      </w:r>
      <w:r>
        <w:rPr>
          <w:spacing w:val="-23"/>
        </w:rPr>
        <w:t> </w:t>
      </w:r>
      <w:r>
        <w:rPr>
          <w:spacing w:val="-23"/>
        </w:rPr>
      </w:r>
      <w:r>
        <w:rPr>
          <w:spacing w:val="-2"/>
        </w:rPr>
        <w:t>计</w:t>
      </w:r>
      <w:r>
        <w:rPr>
          <w:rFonts w:ascii="宋体" w:hAnsi="宋体" w:cs="宋体" w:eastAsia="宋体" w:hint="default"/>
          <w:spacing w:val="-2"/>
        </w:rPr>
        <w:t>2018</w:t>
      </w:r>
      <w:r>
        <w:rPr>
          <w:spacing w:val="-2"/>
        </w:rPr>
        <w:t>年日常关联交易的议案》、《关于审议</w:t>
      </w:r>
      <w:r>
        <w:rPr>
          <w:rFonts w:ascii="宋体" w:hAnsi="宋体" w:cs="宋体" w:eastAsia="宋体" w:hint="default"/>
          <w:spacing w:val="-2"/>
        </w:rPr>
        <w:t>2018</w:t>
      </w:r>
      <w:r>
        <w:rPr>
          <w:spacing w:val="-2"/>
        </w:rPr>
        <w:t>年第一季度报告的议案》、《关于审议</w:t>
      </w:r>
      <w:r>
        <w:rPr>
          <w:rFonts w:ascii="宋体" w:hAnsi="宋体" w:cs="宋体" w:eastAsia="宋体" w:hint="default"/>
          <w:spacing w:val="-2"/>
        </w:rPr>
        <w:t>2017</w:t>
      </w:r>
      <w:r>
        <w:rPr>
          <w:spacing w:val="-2"/>
        </w:rPr>
        <w:t>年度</w:t>
      </w:r>
      <w:r>
        <w:rPr>
          <w:spacing w:val="-17"/>
        </w:rPr>
        <w:t> </w:t>
      </w:r>
      <w:r>
        <w:rPr/>
        <w:t>社会责任报告的议案》等议案。</w:t>
      </w:r>
    </w:p>
    <w:p>
      <w:pPr>
        <w:spacing w:after="0" w:line="357" w:lineRule="auto"/>
        <w:jc w:val="both"/>
        <w:sectPr>
          <w:pgSz w:w="11910" w:h="16840"/>
          <w:pgMar w:header="880" w:footer="1195" w:top="1120" w:bottom="1380" w:left="1420" w:right="1160"/>
        </w:sectPr>
      </w:pPr>
    </w:p>
    <w:p>
      <w:pPr>
        <w:spacing w:line="240" w:lineRule="auto" w:before="4"/>
        <w:rPr>
          <w:rFonts w:ascii="宋体" w:hAnsi="宋体" w:cs="宋体" w:eastAsia="宋体" w:hint="default"/>
          <w:sz w:val="25"/>
          <w:szCs w:val="25"/>
        </w:rPr>
      </w:pPr>
    </w:p>
    <w:p>
      <w:pPr>
        <w:pStyle w:val="BodyText"/>
        <w:spacing w:line="357" w:lineRule="auto" w:before="36"/>
        <w:ind w:left="140" w:right="0" w:firstLine="420"/>
        <w:jc w:val="left"/>
      </w:pP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23</w:t>
      </w:r>
      <w:r>
        <w:rPr>
          <w:spacing w:val="-3"/>
        </w:rPr>
        <w:t>日，公司第二届董事会审计委员会第七次会议审议通过了《</w:t>
      </w:r>
      <w:r>
        <w:rPr>
          <w:rFonts w:ascii="宋体" w:hAnsi="宋体" w:cs="宋体" w:eastAsia="宋体" w:hint="default"/>
          <w:spacing w:val="-3"/>
        </w:rPr>
        <w:t>2018</w:t>
      </w:r>
      <w:r>
        <w:rPr>
          <w:spacing w:val="-3"/>
        </w:rPr>
        <w:t>年半年度报告全文</w:t>
      </w:r>
      <w:r>
        <w:rPr>
          <w:w w:val="100"/>
        </w:rPr>
        <w:t> </w:t>
      </w:r>
      <w:r>
        <w:rPr/>
        <w:t>及摘要》、《关于规范关联交易事项的自查报告及整改方案》等议案。</w:t>
      </w:r>
    </w:p>
    <w:p>
      <w:pPr>
        <w:pStyle w:val="BodyText"/>
        <w:spacing w:line="355" w:lineRule="auto" w:before="30"/>
        <w:ind w:left="140" w:right="0" w:firstLine="420"/>
        <w:jc w:val="left"/>
      </w:pP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日，公司第二届董事会审计委员会第八次会议审议通过了《关于审议</w:t>
      </w:r>
      <w:r>
        <w:rPr>
          <w:rFonts w:ascii="宋体" w:hAnsi="宋体" w:cs="宋体" w:eastAsia="宋体" w:hint="default"/>
          <w:spacing w:val="-2"/>
        </w:rPr>
        <w:t>2018</w:t>
      </w:r>
      <w:r>
        <w:rPr>
          <w:spacing w:val="-2"/>
        </w:rPr>
        <w:t>年第三</w:t>
      </w:r>
      <w:r>
        <w:rPr>
          <w:w w:val="100"/>
        </w:rPr>
        <w:t> </w:t>
      </w:r>
      <w:r>
        <w:rPr/>
        <w:t>季度报告的议案》。</w:t>
      </w:r>
    </w:p>
    <w:p>
      <w:pPr>
        <w:pStyle w:val="BodyText"/>
        <w:spacing w:line="355" w:lineRule="auto" w:before="32"/>
        <w:ind w:left="140" w:right="0" w:firstLine="420"/>
        <w:jc w:val="left"/>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日，公司第二届董事会审计委员会第九次会议审议通过了《关于聘任</w:t>
      </w:r>
      <w:r>
        <w:rPr>
          <w:rFonts w:ascii="宋体" w:hAnsi="宋体" w:cs="宋体" w:eastAsia="宋体" w:hint="default"/>
          <w:spacing w:val="-2"/>
        </w:rPr>
        <w:t>2018</w:t>
      </w:r>
      <w:r>
        <w:rPr>
          <w:spacing w:val="-2"/>
        </w:rPr>
        <w:t>年度财</w:t>
      </w:r>
      <w:r>
        <w:rPr>
          <w:w w:val="100"/>
        </w:rPr>
        <w:t> </w:t>
      </w:r>
      <w:r>
        <w:rPr/>
        <w:t>务报告及内控审计机构的议案》、《关于修订</w:t>
      </w:r>
      <w:r>
        <w:rPr>
          <w:rFonts w:ascii="宋体" w:hAnsi="宋体" w:cs="宋体" w:eastAsia="宋体" w:hint="default"/>
        </w:rPr>
        <w:t>&lt;</w:t>
      </w:r>
      <w:r>
        <w:rPr/>
        <w:t>审计委员会工作细则</w:t>
      </w:r>
      <w:r>
        <w:rPr>
          <w:rFonts w:ascii="宋体" w:hAnsi="宋体" w:cs="宋体" w:eastAsia="宋体" w:hint="default"/>
        </w:rPr>
        <w:t>&gt;</w:t>
      </w:r>
      <w:r>
        <w:rPr/>
        <w:t>的议案》等议案。</w:t>
      </w:r>
    </w:p>
    <w:p>
      <w:pPr>
        <w:pStyle w:val="BodyText"/>
        <w:spacing w:line="240" w:lineRule="auto" w:before="34"/>
        <w:ind w:left="560" w:right="0"/>
        <w:jc w:val="left"/>
      </w:pPr>
      <w:r>
        <w:rPr>
          <w:rFonts w:ascii="宋体" w:hAnsi="宋体" w:cs="宋体" w:eastAsia="宋体" w:hint="default"/>
          <w:w w:val="100"/>
        </w:rPr>
        <w:t>201</w:t>
      </w:r>
      <w:r>
        <w:rPr>
          <w:rFonts w:ascii="宋体" w:hAnsi="宋体" w:cs="宋体" w:eastAsia="宋体" w:hint="default"/>
          <w:spacing w:val="-1"/>
          <w:w w:val="100"/>
        </w:rPr>
        <w:t>8</w:t>
      </w:r>
      <w:r>
        <w:rPr>
          <w:spacing w:val="-3"/>
          <w:w w:val="100"/>
        </w:rPr>
        <w:t>年</w:t>
      </w:r>
      <w:r>
        <w:rPr>
          <w:rFonts w:ascii="宋体" w:hAnsi="宋体" w:cs="宋体" w:eastAsia="宋体" w:hint="default"/>
          <w:w w:val="100"/>
        </w:rPr>
        <w:t>12</w:t>
      </w:r>
      <w:r>
        <w:rPr>
          <w:spacing w:val="-3"/>
          <w:w w:val="100"/>
        </w:rPr>
        <w:t>月</w:t>
      </w:r>
      <w:r>
        <w:rPr>
          <w:rFonts w:ascii="宋体" w:hAnsi="宋体" w:cs="宋体" w:eastAsia="宋体" w:hint="default"/>
          <w:w w:val="100"/>
        </w:rPr>
        <w:t>27</w:t>
      </w:r>
      <w:r>
        <w:rPr>
          <w:spacing w:val="-3"/>
          <w:w w:val="100"/>
        </w:rPr>
        <w:t>日</w:t>
      </w:r>
      <w:r>
        <w:rPr>
          <w:spacing w:val="-94"/>
          <w:w w:val="100"/>
        </w:rPr>
        <w:t>，</w:t>
      </w:r>
      <w:r>
        <w:rPr>
          <w:w w:val="100"/>
        </w:rPr>
        <w:t>公</w:t>
      </w:r>
      <w:r>
        <w:rPr>
          <w:spacing w:val="-3"/>
          <w:w w:val="100"/>
        </w:rPr>
        <w:t>司</w:t>
      </w:r>
      <w:r>
        <w:rPr>
          <w:w w:val="100"/>
        </w:rPr>
        <w:t>第</w:t>
      </w:r>
      <w:r>
        <w:rPr>
          <w:spacing w:val="-3"/>
          <w:w w:val="100"/>
        </w:rPr>
        <w:t>二</w:t>
      </w:r>
      <w:r>
        <w:rPr>
          <w:w w:val="100"/>
        </w:rPr>
        <w:t>届董</w:t>
      </w:r>
      <w:r>
        <w:rPr>
          <w:spacing w:val="-3"/>
          <w:w w:val="100"/>
        </w:rPr>
        <w:t>事</w:t>
      </w:r>
      <w:r>
        <w:rPr>
          <w:w w:val="100"/>
        </w:rPr>
        <w:t>会</w:t>
      </w:r>
      <w:r>
        <w:rPr>
          <w:spacing w:val="-3"/>
          <w:w w:val="100"/>
        </w:rPr>
        <w:t>审</w:t>
      </w:r>
      <w:r>
        <w:rPr>
          <w:w w:val="100"/>
        </w:rPr>
        <w:t>计</w:t>
      </w:r>
      <w:r>
        <w:rPr>
          <w:spacing w:val="-3"/>
          <w:w w:val="100"/>
        </w:rPr>
        <w:t>委</w:t>
      </w:r>
      <w:r>
        <w:rPr>
          <w:w w:val="100"/>
        </w:rPr>
        <w:t>员</w:t>
      </w:r>
      <w:r>
        <w:rPr>
          <w:spacing w:val="-3"/>
          <w:w w:val="100"/>
        </w:rPr>
        <w:t>会</w:t>
      </w:r>
      <w:r>
        <w:rPr>
          <w:w w:val="100"/>
        </w:rPr>
        <w:t>第</w:t>
      </w:r>
      <w:r>
        <w:rPr>
          <w:spacing w:val="-3"/>
          <w:w w:val="100"/>
        </w:rPr>
        <w:t>十</w:t>
      </w:r>
      <w:r>
        <w:rPr>
          <w:w w:val="100"/>
        </w:rPr>
        <w:t>次会</w:t>
      </w:r>
      <w:r>
        <w:rPr>
          <w:spacing w:val="-3"/>
          <w:w w:val="100"/>
        </w:rPr>
        <w:t>议</w:t>
      </w:r>
      <w:r>
        <w:rPr>
          <w:w w:val="100"/>
        </w:rPr>
        <w:t>审</w:t>
      </w:r>
      <w:r>
        <w:rPr>
          <w:spacing w:val="-3"/>
          <w:w w:val="100"/>
        </w:rPr>
        <w:t>议</w:t>
      </w:r>
      <w:r>
        <w:rPr>
          <w:w w:val="100"/>
        </w:rPr>
        <w:t>通</w:t>
      </w:r>
      <w:r>
        <w:rPr>
          <w:spacing w:val="-3"/>
          <w:w w:val="100"/>
        </w:rPr>
        <w:t>过</w:t>
      </w:r>
      <w:r>
        <w:rPr>
          <w:spacing w:val="-94"/>
          <w:w w:val="100"/>
        </w:rPr>
        <w:t>了</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spacing w:val="-3"/>
          <w:w w:val="100"/>
        </w:rPr>
        <w:t>年</w:t>
      </w:r>
      <w:r>
        <w:rPr>
          <w:w w:val="100"/>
        </w:rPr>
        <w:t>年度</w:t>
      </w:r>
      <w:r>
        <w:rPr>
          <w:spacing w:val="-3"/>
          <w:w w:val="100"/>
        </w:rPr>
        <w:t>审</w:t>
      </w:r>
      <w:r>
        <w:rPr>
          <w:w w:val="100"/>
        </w:rPr>
        <w:t>计</w:t>
      </w:r>
      <w:r>
        <w:rPr>
          <w:spacing w:val="-3"/>
          <w:w w:val="100"/>
        </w:rPr>
        <w:t>计划</w:t>
      </w:r>
      <w:r>
        <w:rPr>
          <w:spacing w:val="-92"/>
          <w:w w:val="100"/>
        </w:rPr>
        <w:t>》</w:t>
      </w:r>
      <w:r>
        <w:rPr>
          <w:w w:val="100"/>
        </w:rPr>
        <w:t>、</w:t>
      </w:r>
    </w:p>
    <w:p>
      <w:pPr>
        <w:pStyle w:val="BodyText"/>
        <w:spacing w:line="357" w:lineRule="auto" w:before="133"/>
        <w:ind w:left="560" w:right="0" w:hanging="420"/>
        <w:jc w:val="left"/>
      </w:pPr>
      <w:r>
        <w:rPr/>
        <w:t>《</w:t>
      </w:r>
      <w:r>
        <w:rPr>
          <w:rFonts w:ascii="宋体" w:hAnsi="宋体" w:cs="宋体" w:eastAsia="宋体" w:hint="default"/>
        </w:rPr>
        <w:t>2018</w:t>
      </w:r>
      <w:r>
        <w:rPr/>
        <w:t>年内部审计工作报告》、《</w:t>
      </w:r>
      <w:r>
        <w:rPr>
          <w:rFonts w:ascii="宋体" w:hAnsi="宋体" w:cs="宋体" w:eastAsia="宋体" w:hint="default"/>
        </w:rPr>
        <w:t>2019</w:t>
      </w:r>
      <w:r>
        <w:rPr/>
        <w:t>年内部审计工作计划》等报告。</w:t>
      </w:r>
      <w:r>
        <w:rPr>
          <w:w w:val="100"/>
        </w:rPr>
        <w:t> </w:t>
      </w:r>
      <w:r>
        <w:rPr>
          <w:rFonts w:ascii="宋体" w:hAnsi="宋体" w:cs="宋体" w:eastAsia="宋体" w:hint="default"/>
          <w:spacing w:val="-1"/>
        </w:rPr>
        <w:t>4.</w:t>
      </w:r>
      <w:r>
        <w:rPr>
          <w:spacing w:val="-1"/>
        </w:rPr>
        <w:t>薪酬与提名委员会的主要职责是：对董事、高级管理人员的选任标准和程序进行审议并提出</w:t>
      </w:r>
    </w:p>
    <w:p>
      <w:pPr>
        <w:pStyle w:val="BodyText"/>
        <w:spacing w:line="357" w:lineRule="auto" w:before="30"/>
        <w:ind w:left="140" w:right="209"/>
        <w:jc w:val="both"/>
      </w:pPr>
      <w:r>
        <w:rPr>
          <w:spacing w:val="-1"/>
        </w:rPr>
        <w:t>意见，搜寻合格的董事和高级管理人员人选，对董事和高级管理人员人选的资格条件进行审查并提</w:t>
      </w:r>
      <w:r>
        <w:rPr>
          <w:spacing w:val="-20"/>
        </w:rPr>
        <w:t> </w:t>
      </w:r>
      <w:r>
        <w:rPr>
          <w:spacing w:val="-20"/>
        </w:rPr>
      </w:r>
      <w:r>
        <w:rPr>
          <w:spacing w:val="-1"/>
        </w:rPr>
        <w:t>出建议；对董事和高级管理人员的考核与薪酬管理制度进行审议并提出意见；对董事、高级管理人</w:t>
      </w:r>
      <w:r>
        <w:rPr>
          <w:spacing w:val="-20"/>
        </w:rPr>
        <w:t> </w:t>
      </w:r>
      <w:r>
        <w:rPr>
          <w:spacing w:val="-20"/>
        </w:rPr>
      </w:r>
      <w:r>
        <w:rPr>
          <w:spacing w:val="-1"/>
        </w:rPr>
        <w:t>员进行考核并提出建议；董事会授予的其他职权。公司董事会根据薪酬与提名委员会对董事的考核</w:t>
      </w:r>
      <w:r>
        <w:rPr>
          <w:spacing w:val="-20"/>
        </w:rPr>
        <w:t> </w:t>
      </w:r>
      <w:r>
        <w:rPr>
          <w:spacing w:val="-20"/>
        </w:rPr>
      </w:r>
      <w:r>
        <w:rPr>
          <w:spacing w:val="-1"/>
        </w:rPr>
        <w:t>结果提出董事薪酬方案，报股东大会决定；公司高级管理人员的薪酬方案由董事会根据薪酬与提名</w:t>
      </w:r>
      <w:r>
        <w:rPr>
          <w:spacing w:val="-20"/>
        </w:rPr>
        <w:t> </w:t>
      </w:r>
      <w:r>
        <w:rPr>
          <w:spacing w:val="-20"/>
        </w:rPr>
      </w:r>
      <w:r>
        <w:rPr/>
        <w:t>委员会对高级管理人员的年度绩效考核结果决定，并按相关法律、法规的规定支付。</w:t>
      </w:r>
    </w:p>
    <w:p>
      <w:pPr>
        <w:pStyle w:val="BodyText"/>
        <w:spacing w:line="357" w:lineRule="auto" w:before="30"/>
        <w:ind w:left="560" w:right="0"/>
        <w:jc w:val="left"/>
      </w:pPr>
      <w:r>
        <w:rPr/>
        <w:t>报告期内，薪酬与提名委员会召开会议</w:t>
      </w:r>
      <w:r>
        <w:rPr>
          <w:rFonts w:ascii="宋体" w:hAnsi="宋体" w:cs="宋体" w:eastAsia="宋体" w:hint="default"/>
        </w:rPr>
        <w:t>5</w:t>
      </w:r>
      <w:r>
        <w:rPr/>
        <w:t>次，具体如下：</w:t>
      </w:r>
      <w:r>
        <w:rPr>
          <w:w w:val="100"/>
        </w:rPr>
        <w:t> </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26</w:t>
      </w:r>
      <w:r>
        <w:rPr>
          <w:spacing w:val="-3"/>
        </w:rPr>
        <w:t>日，第二届董事会薪酬与提名委员会第三次会议以现场方式召开。会议由薪酬与提</w:t>
      </w:r>
    </w:p>
    <w:p>
      <w:pPr>
        <w:pStyle w:val="BodyText"/>
        <w:spacing w:line="355" w:lineRule="auto" w:before="30"/>
        <w:ind w:left="140" w:right="210"/>
        <w:jc w:val="both"/>
      </w:pPr>
      <w:r>
        <w:rPr>
          <w:spacing w:val="-2"/>
        </w:rPr>
        <w:t>名委员会主任委员钱水土召集并主持，会议应到委员</w:t>
      </w:r>
      <w:r>
        <w:rPr>
          <w:rFonts w:ascii="宋体" w:hAnsi="宋体" w:cs="宋体" w:eastAsia="宋体" w:hint="default"/>
          <w:spacing w:val="-2"/>
        </w:rPr>
        <w:t>3</w:t>
      </w:r>
      <w:r>
        <w:rPr>
          <w:spacing w:val="-2"/>
        </w:rPr>
        <w:t>人，实到</w:t>
      </w:r>
      <w:r>
        <w:rPr>
          <w:rFonts w:ascii="宋体" w:hAnsi="宋体" w:cs="宋体" w:eastAsia="宋体" w:hint="default"/>
          <w:spacing w:val="-2"/>
        </w:rPr>
        <w:t>3</w:t>
      </w:r>
      <w:r>
        <w:rPr>
          <w:spacing w:val="-2"/>
        </w:rPr>
        <w:t>人。本次会议审议了《关于变更公</w:t>
      </w:r>
      <w:r>
        <w:rPr>
          <w:spacing w:val="-24"/>
        </w:rPr>
        <w:t> </w:t>
      </w:r>
      <w:r>
        <w:rPr>
          <w:spacing w:val="-24"/>
        </w:rPr>
      </w:r>
      <w:r>
        <w:rPr>
          <w:spacing w:val="-3"/>
        </w:rPr>
        <w:t>司董事的议案》、《关于</w:t>
      </w:r>
      <w:r>
        <w:rPr>
          <w:rFonts w:ascii="宋体" w:hAnsi="宋体" w:cs="宋体" w:eastAsia="宋体" w:hint="default"/>
          <w:spacing w:val="-3"/>
        </w:rPr>
        <w:t>2017</w:t>
      </w:r>
      <w:r>
        <w:rPr>
          <w:spacing w:val="-3"/>
        </w:rPr>
        <w:t>年度高级管理人员薪酬与绩效考核的议案》等</w:t>
      </w:r>
      <w:r>
        <w:rPr>
          <w:rFonts w:ascii="宋体" w:hAnsi="宋体" w:cs="宋体" w:eastAsia="宋体" w:hint="default"/>
          <w:spacing w:val="-3"/>
        </w:rPr>
        <w:t>2</w:t>
      </w:r>
      <w:r>
        <w:rPr>
          <w:spacing w:val="-3"/>
        </w:rPr>
        <w:t>项议案，并同意将该议</w:t>
      </w:r>
      <w:r>
        <w:rPr>
          <w:spacing w:val="-47"/>
        </w:rPr>
        <w:t> </w:t>
      </w:r>
      <w:r>
        <w:rPr>
          <w:spacing w:val="-47"/>
        </w:rPr>
      </w:r>
      <w:r>
        <w:rPr/>
        <w:t>案提交第二届董事会第十二次会议审议。</w:t>
      </w:r>
    </w:p>
    <w:p>
      <w:pPr>
        <w:pStyle w:val="BodyText"/>
        <w:spacing w:line="357" w:lineRule="auto" w:before="32"/>
        <w:ind w:left="140" w:right="208" w:firstLine="420"/>
        <w:jc w:val="right"/>
      </w:pPr>
      <w:r>
        <w:rPr>
          <w:spacing w:val="-2"/>
        </w:rPr>
        <w:t>根据浙江省委省政府相关文件，控股股东浙江省金融控股有限公司在公司发布</w:t>
      </w:r>
      <w:r>
        <w:rPr>
          <w:rFonts w:ascii="宋体" w:hAnsi="宋体" w:cs="宋体" w:eastAsia="宋体" w:hint="default"/>
          <w:spacing w:val="-2"/>
        </w:rPr>
        <w:t>2017</w:t>
      </w:r>
      <w:r>
        <w:rPr>
          <w:spacing w:val="-2"/>
        </w:rPr>
        <w:t>年年度股东</w:t>
      </w:r>
      <w:r>
        <w:rPr>
          <w:w w:val="100"/>
        </w:rPr>
        <w:t> </w:t>
      </w:r>
      <w:r>
        <w:rPr>
          <w:spacing w:val="-3"/>
        </w:rPr>
        <w:t>大会通知之后临时提议补选陆建强为公司董事，并向公司董事会提出临时提案。</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17</w:t>
      </w:r>
      <w:r>
        <w:rPr>
          <w:spacing w:val="-3"/>
        </w:rPr>
        <w:t>日，第</w:t>
      </w:r>
      <w:r>
        <w:rPr>
          <w:spacing w:val="-59"/>
        </w:rPr>
        <w:t> </w:t>
      </w:r>
      <w:r>
        <w:rPr>
          <w:spacing w:val="-59"/>
        </w:rPr>
      </w:r>
      <w:r>
        <w:rPr>
          <w:spacing w:val="-2"/>
        </w:rPr>
        <w:t>二届董事会薪酬与提名委员会第四次会议于以通讯表决方式召开。会议由薪酬与提名委员会主任委</w:t>
      </w:r>
      <w:r>
        <w:rPr>
          <w:spacing w:val="-82"/>
        </w:rPr>
        <w:t> </w:t>
      </w:r>
      <w:r>
        <w:rPr>
          <w:spacing w:val="-82"/>
        </w:rPr>
      </w:r>
      <w:r>
        <w:rPr>
          <w:spacing w:val="-6"/>
        </w:rPr>
        <w:t>员钱水土召集并主持，会议应到委员</w:t>
      </w:r>
      <w:r>
        <w:rPr>
          <w:rFonts w:ascii="宋体" w:hAnsi="宋体" w:cs="宋体" w:eastAsia="宋体" w:hint="default"/>
          <w:spacing w:val="-6"/>
        </w:rPr>
        <w:t>3</w:t>
      </w:r>
      <w:r>
        <w:rPr>
          <w:spacing w:val="-6"/>
        </w:rPr>
        <w:t>人，实到</w:t>
      </w:r>
      <w:r>
        <w:rPr>
          <w:rFonts w:ascii="宋体" w:hAnsi="宋体" w:cs="宋体" w:eastAsia="宋体" w:hint="default"/>
          <w:spacing w:val="-6"/>
        </w:rPr>
        <w:t>3</w:t>
      </w:r>
      <w:r>
        <w:rPr>
          <w:spacing w:val="-6"/>
        </w:rPr>
        <w:t>人。本次会议审议通过了《关于补选董事的议案》。</w:t>
      </w:r>
      <w:r>
        <w:rPr>
          <w:spacing w:val="-39"/>
        </w:rPr>
        <w:t> </w:t>
      </w:r>
      <w:r>
        <w:rPr>
          <w:spacing w:val="-39"/>
        </w:rPr>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日，第二届董事会薪酬与提名委员会第五次会议以通讯表决方式召开。会议由薪</w:t>
      </w:r>
      <w:r>
        <w:rPr>
          <w:w w:val="100"/>
        </w:rPr>
        <w:t> </w:t>
      </w:r>
      <w:r>
        <w:rPr>
          <w:spacing w:val="-2"/>
        </w:rPr>
        <w:t>酬与提名委员会主任委员钱水土召集并主持，会议应到委员</w:t>
      </w:r>
      <w:r>
        <w:rPr>
          <w:rFonts w:ascii="宋体" w:hAnsi="宋体" w:cs="宋体" w:eastAsia="宋体" w:hint="default"/>
          <w:spacing w:val="-2"/>
        </w:rPr>
        <w:t>3</w:t>
      </w:r>
      <w:r>
        <w:rPr>
          <w:spacing w:val="-2"/>
        </w:rPr>
        <w:t>人，实到</w:t>
      </w:r>
      <w:r>
        <w:rPr>
          <w:rFonts w:ascii="宋体" w:hAnsi="宋体" w:cs="宋体" w:eastAsia="宋体" w:hint="default"/>
          <w:spacing w:val="-2"/>
        </w:rPr>
        <w:t>3</w:t>
      </w:r>
      <w:r>
        <w:rPr>
          <w:spacing w:val="-2"/>
        </w:rPr>
        <w:t>人。本次会议审议了《关于</w:t>
      </w:r>
    </w:p>
    <w:p>
      <w:pPr>
        <w:pStyle w:val="BodyText"/>
        <w:spacing w:line="355" w:lineRule="auto" w:before="30"/>
        <w:ind w:left="560" w:right="0" w:hanging="420"/>
        <w:jc w:val="left"/>
      </w:pPr>
      <w:r>
        <w:rPr/>
        <w:t>聘任高级管理人员的议案》，并同意将该议案提交第二届董事会第十六次会议审议。</w:t>
      </w:r>
      <w:r>
        <w:rPr>
          <w:w w:val="100"/>
        </w:rPr>
        <w:t> </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日，第二届董事会薪酬与提名委员会第六次会议以现场方式召开。会议由薪酬与</w:t>
      </w:r>
    </w:p>
    <w:p>
      <w:pPr>
        <w:pStyle w:val="BodyText"/>
        <w:spacing w:line="355" w:lineRule="auto" w:before="32"/>
        <w:ind w:left="140" w:right="208"/>
        <w:jc w:val="both"/>
      </w:pPr>
      <w:r>
        <w:rPr>
          <w:spacing w:val="-3"/>
        </w:rPr>
        <w:t>提名委员会主任委员钱水土召集并主持，会议应到委员</w:t>
      </w:r>
      <w:r>
        <w:rPr>
          <w:rFonts w:ascii="宋体" w:hAnsi="宋体" w:cs="宋体" w:eastAsia="宋体" w:hint="default"/>
          <w:spacing w:val="-3"/>
        </w:rPr>
        <w:t>3</w:t>
      </w:r>
      <w:r>
        <w:rPr>
          <w:spacing w:val="-3"/>
        </w:rPr>
        <w:t>人，实到</w:t>
      </w:r>
      <w:r>
        <w:rPr>
          <w:rFonts w:ascii="宋体" w:hAnsi="宋体" w:cs="宋体" w:eastAsia="宋体" w:hint="default"/>
          <w:spacing w:val="-3"/>
        </w:rPr>
        <w:t>3</w:t>
      </w:r>
      <w:r>
        <w:rPr>
          <w:spacing w:val="-3"/>
        </w:rPr>
        <w:t>人。本次会议审议了《关于修订</w:t>
      </w:r>
      <w:r>
        <w:rPr>
          <w:rFonts w:ascii="宋体" w:hAnsi="宋体" w:cs="宋体" w:eastAsia="宋体" w:hint="default"/>
          <w:spacing w:val="-3"/>
        </w:rPr>
        <w:t>&lt;</w:t>
      </w:r>
      <w:r>
        <w:rPr>
          <w:rFonts w:ascii="宋体" w:hAnsi="宋体" w:cs="宋体" w:eastAsia="宋体" w:hint="default"/>
          <w:spacing w:val="-43"/>
        </w:rPr>
        <w:t> </w:t>
      </w:r>
      <w:r>
        <w:rPr/>
        <w:t>薪酬与提名委员会工作细则</w:t>
      </w:r>
      <w:r>
        <w:rPr>
          <w:rFonts w:ascii="宋体" w:hAnsi="宋体" w:cs="宋体" w:eastAsia="宋体" w:hint="default"/>
        </w:rPr>
        <w:t>&gt;</w:t>
      </w:r>
      <w:r>
        <w:rPr/>
        <w:t>的议案》，并同意将该议案提交第二届董事会第十七次会议审议。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left="140" w:right="0"/>
        <w:jc w:val="both"/>
        <w:rPr>
          <w:b w:val="0"/>
          <w:bCs w:val="0"/>
        </w:rPr>
      </w:pPr>
      <w:r>
        <w:rPr/>
        <w:t>五、监事会发现公司存在风险的说明</w:t>
      </w:r>
      <w:r>
        <w:rPr>
          <w:b w:val="0"/>
          <w:bCs w:val="0"/>
        </w:rPr>
      </w:r>
    </w:p>
    <w:p>
      <w:pPr>
        <w:pStyle w:val="BodyText"/>
        <w:spacing w:line="240" w:lineRule="auto" w:before="56"/>
        <w:ind w:left="560" w:right="0" w:hanging="420"/>
        <w:jc w:val="left"/>
      </w:pPr>
      <w:r>
        <w:rPr/>
        <w:t>√适用</w:t>
      </w:r>
      <w:r>
        <w:rPr>
          <w:spacing w:val="-2"/>
        </w:rPr>
        <w:t> </w:t>
      </w:r>
      <w:r>
        <w:rPr/>
        <w:t>□不适用</w:t>
      </w:r>
      <w:r>
        <w:rPr>
          <w:spacing w:val="-103"/>
        </w:rPr>
        <w:t> </w:t>
      </w:r>
      <w:r>
        <w:rPr>
          <w:spacing w:val="-103"/>
        </w:rPr>
      </w:r>
      <w:r>
        <w:rPr>
          <w:spacing w:val="-6"/>
        </w:rPr>
        <w:t>监事会作为公司经营活动的监督机构，对股东大会负责。监事会根据《公司法》和公司《章程》</w:t>
      </w:r>
    </w:p>
    <w:p>
      <w:pPr>
        <w:pStyle w:val="BodyText"/>
        <w:spacing w:line="240" w:lineRule="auto" w:before="133"/>
        <w:ind w:left="140" w:right="0"/>
        <w:jc w:val="both"/>
      </w:pPr>
      <w:r>
        <w:rPr>
          <w:w w:val="100"/>
        </w:rPr>
        <w:t>的规</w:t>
      </w:r>
      <w:r>
        <w:rPr>
          <w:spacing w:val="-3"/>
          <w:w w:val="100"/>
        </w:rPr>
        <w:t>定</w:t>
      </w:r>
      <w:r>
        <w:rPr>
          <w:spacing w:val="11"/>
          <w:w w:val="100"/>
        </w:rPr>
        <w:t>，</w:t>
      </w:r>
      <w:r>
        <w:rPr>
          <w:w w:val="100"/>
        </w:rPr>
        <w:t>负</w:t>
      </w:r>
      <w:r>
        <w:rPr>
          <w:spacing w:val="-3"/>
          <w:w w:val="100"/>
        </w:rPr>
        <w:t>责</w:t>
      </w:r>
      <w:r>
        <w:rPr>
          <w:w w:val="100"/>
        </w:rPr>
        <w:t>监</w:t>
      </w:r>
      <w:r>
        <w:rPr>
          <w:spacing w:val="-3"/>
          <w:w w:val="100"/>
        </w:rPr>
        <w:t>督</w:t>
      </w:r>
      <w:r>
        <w:rPr>
          <w:w w:val="100"/>
        </w:rPr>
        <w:t>公</w:t>
      </w:r>
      <w:r>
        <w:rPr>
          <w:spacing w:val="-3"/>
          <w:w w:val="100"/>
        </w:rPr>
        <w:t>司的</w:t>
      </w:r>
      <w:r>
        <w:rPr>
          <w:w w:val="100"/>
        </w:rPr>
        <w:t>财务</w:t>
      </w:r>
      <w:r>
        <w:rPr>
          <w:spacing w:val="-3"/>
          <w:w w:val="100"/>
        </w:rPr>
        <w:t>活</w:t>
      </w:r>
      <w:r>
        <w:rPr>
          <w:w w:val="100"/>
        </w:rPr>
        <w:t>动</w:t>
      </w:r>
      <w:r>
        <w:rPr>
          <w:spacing w:val="-3"/>
          <w:w w:val="100"/>
        </w:rPr>
        <w:t>与</w:t>
      </w:r>
      <w:r>
        <w:rPr>
          <w:w w:val="100"/>
        </w:rPr>
        <w:t>内</w:t>
      </w:r>
      <w:r>
        <w:rPr>
          <w:spacing w:val="-3"/>
          <w:w w:val="100"/>
        </w:rPr>
        <w:t>部</w:t>
      </w:r>
      <w:r>
        <w:rPr>
          <w:w w:val="100"/>
        </w:rPr>
        <w:t>控</w:t>
      </w:r>
      <w:r>
        <w:rPr>
          <w:spacing w:val="-3"/>
          <w:w w:val="100"/>
        </w:rPr>
        <w:t>制</w:t>
      </w:r>
      <w:r>
        <w:rPr>
          <w:spacing w:val="-94"/>
          <w:w w:val="100"/>
        </w:rPr>
        <w:t>，</w:t>
      </w:r>
      <w:r>
        <w:rPr>
          <w:w w:val="100"/>
        </w:rPr>
        <w:t>监</w:t>
      </w:r>
      <w:r>
        <w:rPr>
          <w:spacing w:val="-3"/>
          <w:w w:val="100"/>
        </w:rPr>
        <w:t>督</w:t>
      </w:r>
      <w:r>
        <w:rPr>
          <w:w w:val="100"/>
        </w:rPr>
        <w:t>董事</w:t>
      </w:r>
      <w:r>
        <w:rPr>
          <w:spacing w:val="-3"/>
          <w:w w:val="100"/>
        </w:rPr>
        <w:t>会</w:t>
      </w:r>
      <w:r>
        <w:rPr>
          <w:spacing w:val="-94"/>
          <w:w w:val="100"/>
        </w:rPr>
        <w:t>、</w:t>
      </w:r>
      <w:r>
        <w:rPr>
          <w:w w:val="100"/>
        </w:rPr>
        <w:t>经</w:t>
      </w:r>
      <w:r>
        <w:rPr>
          <w:spacing w:val="-3"/>
          <w:w w:val="100"/>
        </w:rPr>
        <w:t>营</w:t>
      </w:r>
      <w:r>
        <w:rPr>
          <w:w w:val="100"/>
        </w:rPr>
        <w:t>管</w:t>
      </w:r>
      <w:r>
        <w:rPr>
          <w:spacing w:val="-3"/>
          <w:w w:val="100"/>
        </w:rPr>
        <w:t>理</w:t>
      </w:r>
      <w:r>
        <w:rPr>
          <w:w w:val="100"/>
        </w:rPr>
        <w:t>层</w:t>
      </w:r>
      <w:r>
        <w:rPr>
          <w:spacing w:val="-3"/>
          <w:w w:val="100"/>
        </w:rPr>
        <w:t>及</w:t>
      </w:r>
      <w:r>
        <w:rPr>
          <w:w w:val="100"/>
        </w:rPr>
        <w:t>其</w:t>
      </w:r>
      <w:r>
        <w:rPr>
          <w:spacing w:val="-3"/>
          <w:w w:val="100"/>
        </w:rPr>
        <w:t>成</w:t>
      </w:r>
      <w:r>
        <w:rPr>
          <w:w w:val="100"/>
        </w:rPr>
        <w:t>员履</w:t>
      </w:r>
      <w:r>
        <w:rPr>
          <w:spacing w:val="-3"/>
          <w:w w:val="100"/>
        </w:rPr>
        <w:t>职</w:t>
      </w:r>
      <w:r>
        <w:rPr>
          <w:w w:val="100"/>
        </w:rPr>
        <w:t>行</w:t>
      </w:r>
      <w:r>
        <w:rPr>
          <w:spacing w:val="-3"/>
          <w:w w:val="100"/>
        </w:rPr>
        <w:t>为</w:t>
      </w:r>
      <w:r>
        <w:rPr>
          <w:w w:val="100"/>
        </w:rPr>
        <w:t>的</w:t>
      </w:r>
      <w:r>
        <w:rPr>
          <w:spacing w:val="-3"/>
          <w:w w:val="100"/>
        </w:rPr>
        <w:t>合</w:t>
      </w:r>
      <w:r>
        <w:rPr>
          <w:w w:val="100"/>
        </w:rPr>
        <w:t>法、</w:t>
      </w:r>
    </w:p>
    <w:p>
      <w:pPr>
        <w:spacing w:after="0" w:line="240" w:lineRule="auto"/>
        <w:jc w:val="both"/>
        <w:sectPr>
          <w:footerReference w:type="default" r:id="rId38"/>
          <w:pgSz w:w="11910" w:h="16840"/>
          <w:pgMar w:footer="1195" w:header="880" w:top="1120" w:bottom="1380" w:left="1420" w:right="1060"/>
          <w:pgNumType w:start="88"/>
        </w:sectPr>
      </w:pPr>
    </w:p>
    <w:p>
      <w:pPr>
        <w:spacing w:line="240" w:lineRule="auto" w:before="4"/>
        <w:rPr>
          <w:rFonts w:ascii="宋体" w:hAnsi="宋体" w:cs="宋体" w:eastAsia="宋体" w:hint="default"/>
          <w:sz w:val="25"/>
          <w:szCs w:val="25"/>
        </w:rPr>
      </w:pPr>
    </w:p>
    <w:p>
      <w:pPr>
        <w:pStyle w:val="BodyText"/>
        <w:spacing w:line="240" w:lineRule="auto" w:before="36"/>
        <w:ind w:left="220" w:right="0"/>
        <w:jc w:val="left"/>
      </w:pPr>
      <w:r>
        <w:rPr/>
        <w:t>合规性。</w:t>
      </w:r>
    </w:p>
    <w:p>
      <w:pPr>
        <w:pStyle w:val="BodyText"/>
        <w:spacing w:line="355" w:lineRule="auto" w:before="135"/>
        <w:ind w:left="220" w:right="0" w:firstLine="420"/>
        <w:jc w:val="left"/>
      </w:pPr>
      <w:r>
        <w:rPr>
          <w:rFonts w:ascii="宋体" w:hAnsi="宋体" w:cs="宋体" w:eastAsia="宋体" w:hint="default"/>
          <w:spacing w:val="-2"/>
        </w:rPr>
        <w:t>2018</w:t>
      </w:r>
      <w:r>
        <w:rPr>
          <w:spacing w:val="-2"/>
        </w:rPr>
        <w:t>年，监事会严格按照《公司法》、《证券法》等法律法规以及《公司章程》、《监事会议</w:t>
      </w:r>
      <w:r>
        <w:rPr>
          <w:w w:val="100"/>
        </w:rPr>
        <w:t> </w:t>
      </w:r>
      <w:r>
        <w:rPr/>
        <w:t>事规则》等有关规定，认真履职、勤勉尽责。报告期内，监事会共召开会议</w:t>
      </w:r>
      <w:r>
        <w:rPr>
          <w:rFonts w:ascii="宋体" w:hAnsi="宋体" w:cs="宋体" w:eastAsia="宋体" w:hint="default"/>
        </w:rPr>
        <w:t>3</w:t>
      </w:r>
      <w:r>
        <w:rPr/>
        <w:t>次，共审议通过了</w:t>
      </w:r>
      <w:r>
        <w:rPr>
          <w:rFonts w:ascii="宋体" w:hAnsi="宋体" w:cs="宋体" w:eastAsia="宋体" w:hint="default"/>
        </w:rPr>
        <w:t>25</w:t>
      </w:r>
      <w:r>
        <w:rPr>
          <w:rFonts w:ascii="宋体" w:hAnsi="宋体" w:cs="宋体" w:eastAsia="宋体" w:hint="default"/>
          <w:w w:val="100"/>
        </w:rPr>
        <w:t> </w:t>
      </w:r>
      <w:r>
        <w:rPr>
          <w:spacing w:val="-6"/>
        </w:rPr>
        <w:t>个议案。公司监事会对公司合法合规经营情况、财务状况、董事会和管理层履职情况等进行了监督，</w:t>
      </w:r>
      <w:r>
        <w:rPr>
          <w:spacing w:val="-19"/>
        </w:rPr>
        <w:t> </w:t>
      </w:r>
      <w:r>
        <w:rPr>
          <w:spacing w:val="-19"/>
        </w:rPr>
      </w:r>
      <w:r>
        <w:rPr/>
        <w:t>对报告期内的监督事项无异议。</w:t>
      </w:r>
    </w:p>
    <w:p>
      <w:pPr>
        <w:pStyle w:val="BodyText"/>
        <w:spacing w:line="240" w:lineRule="auto" w:before="32"/>
        <w:ind w:left="640" w:right="0"/>
        <w:jc w:val="left"/>
      </w:pPr>
      <w:r>
        <w:rPr>
          <w:rFonts w:ascii="宋体" w:hAnsi="宋体" w:cs="宋体" w:eastAsia="宋体" w:hint="default"/>
        </w:rPr>
        <w:t>(</w:t>
      </w:r>
      <w:r>
        <w:rPr/>
        <w:t>一</w:t>
      </w:r>
      <w:r>
        <w:rPr>
          <w:rFonts w:ascii="宋体" w:hAnsi="宋体" w:cs="宋体" w:eastAsia="宋体" w:hint="default"/>
        </w:rPr>
        <w:t>)</w:t>
      </w:r>
      <w:r>
        <w:rPr/>
        <w:t>监事参加监事会情况</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548"/>
        <w:gridCol w:w="1546"/>
        <w:gridCol w:w="1548"/>
        <w:gridCol w:w="1548"/>
        <w:gridCol w:w="1549"/>
        <w:gridCol w:w="1548"/>
      </w:tblGrid>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监事姓名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应出席监事会</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次数（次）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hAnsi="宋体" w:cs="宋体" w:eastAsia="宋体" w:hint="default"/>
                <w:spacing w:val="-6"/>
                <w:sz w:val="21"/>
                <w:szCs w:val="21"/>
              </w:rPr>
              <w:t>亲自出席（次）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hAnsi="宋体" w:cs="宋体" w:eastAsia="宋体" w:hint="default"/>
                <w:spacing w:val="-6"/>
                <w:sz w:val="21"/>
                <w:szCs w:val="21"/>
              </w:rPr>
              <w:t>委托出席（次）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缺席</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表决情况</w:t>
            </w:r>
          </w:p>
        </w:tc>
      </w:tr>
      <w:tr>
        <w:trPr>
          <w:trHeight w:val="55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叶长春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w w:val="100"/>
                <w:sz w:val="21"/>
              </w:rPr>
              <w:t>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w w:val="100"/>
                <w:sz w:val="21"/>
              </w:rPr>
              <w:t>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w w:val="100"/>
                <w:sz w:val="21"/>
              </w:rPr>
              <w:t>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69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胡翠</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69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李媛</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69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王康兵</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689"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杨勇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69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蒋洪</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69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陈海晓</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徐阳英</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w w:val="100"/>
                <w:sz w:val="21"/>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对所有议题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表示同意</w:t>
            </w:r>
          </w:p>
        </w:tc>
      </w:tr>
    </w:tbl>
    <w:p>
      <w:pPr>
        <w:pStyle w:val="BodyText"/>
        <w:spacing w:line="241" w:lineRule="exact"/>
        <w:ind w:left="220" w:right="0"/>
        <w:jc w:val="left"/>
      </w:pPr>
      <w:r>
        <w:rPr/>
        <w:t>备注</w:t>
      </w:r>
      <w:r>
        <w:rPr>
          <w:rFonts w:ascii="宋体" w:hAnsi="宋体" w:cs="宋体" w:eastAsia="宋体" w:hint="default"/>
        </w:rPr>
        <w:t>:1.</w:t>
      </w:r>
      <w:r>
        <w:rPr/>
        <w:t>报告期内，公司监事陈海晓先生退休，徐阳英女士离任，并新聘杨勇先生为股东代表监事。</w:t>
      </w:r>
    </w:p>
    <w:p>
      <w:pPr>
        <w:pStyle w:val="BodyText"/>
        <w:spacing w:line="355" w:lineRule="auto" w:before="135"/>
        <w:ind w:left="220" w:right="0" w:firstLine="525"/>
        <w:jc w:val="left"/>
      </w:pPr>
      <w:r>
        <w:rPr>
          <w:rFonts w:ascii="宋体" w:hAnsi="宋体" w:cs="宋体" w:eastAsia="宋体" w:hint="default"/>
          <w:spacing w:val="-3"/>
        </w:rPr>
        <w:t>2..2019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10</w:t>
      </w:r>
      <w:r>
        <w:rPr>
          <w:spacing w:val="-3"/>
        </w:rPr>
        <w:t>日，公司股东代表监事王康兵考虑公司发展和个人原因向公司提出辞职，公司</w:t>
      </w:r>
      <w:r>
        <w:rPr>
          <w:w w:val="100"/>
        </w:rPr>
        <w:t> </w:t>
      </w:r>
      <w:r>
        <w:rPr>
          <w:spacing w:val="-3"/>
        </w:rPr>
        <w:t>在第二届监事会第九次会议审议通过了补选叶元祖先生为新的股东代表监事，待提交股东大会审议。</w:t>
      </w:r>
    </w:p>
    <w:p>
      <w:pPr>
        <w:pStyle w:val="BodyText"/>
        <w:spacing w:line="357" w:lineRule="auto" w:before="32"/>
        <w:ind w:left="640" w:right="4228"/>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监事会召开情况</w:t>
      </w:r>
      <w:r>
        <w:rPr>
          <w:w w:val="100"/>
        </w:rPr>
        <w:t> </w:t>
      </w:r>
      <w:r>
        <w:rPr>
          <w:spacing w:val="-2"/>
        </w:rPr>
        <w:t>报告期内</w:t>
      </w:r>
      <w:r>
        <w:rPr>
          <w:rFonts w:ascii="宋体" w:hAnsi="宋体" w:cs="宋体" w:eastAsia="宋体" w:hint="default"/>
          <w:spacing w:val="-2"/>
        </w:rPr>
        <w:t>,</w:t>
      </w:r>
      <w:r>
        <w:rPr>
          <w:spacing w:val="-2"/>
        </w:rPr>
        <w:t>监事会会议召开情况</w:t>
      </w:r>
      <w:r>
        <w:rPr>
          <w:rFonts w:ascii="宋体" w:hAnsi="宋体" w:cs="宋体" w:eastAsia="宋体" w:hint="default"/>
          <w:spacing w:val="-2"/>
        </w:rPr>
        <w:t>:</w:t>
      </w:r>
    </w:p>
    <w:p>
      <w:pPr>
        <w:spacing w:line="240" w:lineRule="auto" w:before="12"/>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951"/>
        <w:gridCol w:w="1702"/>
        <w:gridCol w:w="5396"/>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会议时间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会议议题</w:t>
            </w:r>
          </w:p>
        </w:tc>
      </w:tr>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72" w:lineRule="exact"/>
              <w:ind w:left="425" w:right="107" w:hanging="315"/>
              <w:jc w:val="left"/>
              <w:rPr>
                <w:rFonts w:ascii="宋体" w:hAnsi="宋体" w:cs="宋体" w:eastAsia="宋体" w:hint="default"/>
                <w:sz w:val="21"/>
                <w:szCs w:val="21"/>
              </w:rPr>
            </w:pPr>
            <w:r>
              <w:rPr>
                <w:rFonts w:ascii="宋体" w:hAnsi="宋体" w:cs="宋体" w:eastAsia="宋体" w:hint="default"/>
                <w:sz w:val="21"/>
                <w:szCs w:val="21"/>
              </w:rPr>
              <w:t>第二届监事会第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六次会议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年度监事会工作报告的议案；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年度合规报告的议案；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年度合规管理有效性评估报告的议案；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年度内部控制评价报告的议案；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年度风险评估报告的议案；</w:t>
            </w:r>
          </w:p>
        </w:tc>
      </w:tr>
      <w:tr>
        <w:trPr>
          <w:trHeight w:val="55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关于审议</w:t>
            </w:r>
            <w:r>
              <w:rPr>
                <w:rFonts w:ascii="宋体" w:hAnsi="宋体" w:cs="宋体" w:eastAsia="宋体" w:hint="default"/>
                <w:spacing w:val="-72"/>
                <w:sz w:val="21"/>
                <w:szCs w:val="21"/>
              </w:rPr>
              <w:t> </w:t>
            </w:r>
            <w:r>
              <w:rPr>
                <w:rFonts w:ascii="宋体" w:hAnsi="宋体" w:cs="宋体" w:eastAsia="宋体" w:hint="default"/>
                <w:sz w:val="21"/>
                <w:szCs w:val="21"/>
              </w:rPr>
              <w:t>2017</w:t>
            </w:r>
            <w:r>
              <w:rPr>
                <w:rFonts w:ascii="宋体" w:hAnsi="宋体" w:cs="宋体" w:eastAsia="宋体" w:hint="default"/>
                <w:spacing w:val="-1"/>
                <w:sz w:val="21"/>
                <w:szCs w:val="21"/>
              </w:rPr>
              <w:t> </w:t>
            </w:r>
            <w:r>
              <w:rPr>
                <w:rFonts w:ascii="宋体" w:hAnsi="宋体" w:cs="宋体" w:eastAsia="宋体" w:hint="default"/>
                <w:sz w:val="21"/>
                <w:szCs w:val="21"/>
              </w:rPr>
              <w:t>年下半年公司净资本等风险控制指标情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年风险管理政策的议案；</w:t>
            </w:r>
          </w:p>
        </w:tc>
      </w:tr>
      <w:tr>
        <w:trPr>
          <w:trHeight w:val="28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年度财务决算报告的议案；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年经营管理计划的议案；</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年度利润分配方案的议案；</w:t>
            </w:r>
          </w:p>
        </w:tc>
      </w:tr>
    </w:tbl>
    <w:p>
      <w:pPr>
        <w:spacing w:after="0" w:line="243" w:lineRule="exact"/>
        <w:jc w:val="left"/>
        <w:rPr>
          <w:rFonts w:ascii="宋体" w:hAnsi="宋体" w:cs="宋体" w:eastAsia="宋体" w:hint="default"/>
          <w:sz w:val="21"/>
          <w:szCs w:val="21"/>
        </w:rPr>
        <w:sectPr>
          <w:pgSz w:w="11910" w:h="16840"/>
          <w:pgMar w:header="880" w:footer="1195" w:top="1120" w:bottom="13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951"/>
        <w:gridCol w:w="1702"/>
        <w:gridCol w:w="5396"/>
      </w:tblGrid>
      <w:tr>
        <w:trPr>
          <w:trHeight w:val="284" w:hRule="exact"/>
        </w:trPr>
        <w:tc>
          <w:tcPr>
            <w:tcW w:w="1951"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关于会计政策变更的议案；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关于会计估计变更的议案；</w:t>
            </w:r>
          </w:p>
        </w:tc>
      </w:tr>
      <w:tr>
        <w:trPr>
          <w:trHeight w:val="55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年度募集资金存放与使用情况专项报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关于确认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年关联交易的议案；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关于预计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年日常关联交易的议案；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年度高级管理人员绩效考核的议案；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关于修订《工资总额预算管理办法》的议案；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关于审议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年度社会责任报告的议案；</w:t>
            </w:r>
          </w:p>
        </w:tc>
      </w:tr>
      <w:tr>
        <w:trPr>
          <w:trHeight w:val="281"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年度第一季度报告的议案；</w:t>
            </w:r>
          </w:p>
        </w:tc>
      </w:tr>
      <w:tr>
        <w:trPr>
          <w:trHeight w:val="284"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关于前次募集资金使用情况报告的议案；</w:t>
            </w:r>
          </w:p>
        </w:tc>
      </w:tr>
      <w:tr>
        <w:trPr>
          <w:trHeight w:val="283" w:hRule="exact"/>
        </w:trPr>
        <w:tc>
          <w:tcPr>
            <w:tcW w:w="1951"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关于变更监事的议案；</w:t>
            </w:r>
          </w:p>
        </w:tc>
      </w:tr>
      <w:tr>
        <w:trPr>
          <w:trHeight w:val="281" w:hRule="exact"/>
        </w:trPr>
        <w:tc>
          <w:tcPr>
            <w:tcW w:w="19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关于推举监事代为履行监事会主席职责的议案。</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年半年度报告的议案。</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八次会议</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关于审议</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年第三季度报告的议案；</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72" w:lineRule="exact" w:before="64"/>
        <w:ind w:left="645" w:right="0" w:hanging="425"/>
        <w:jc w:val="left"/>
        <w:rPr>
          <w:b w:val="0"/>
          <w:bCs w:val="0"/>
        </w:rPr>
      </w:pPr>
      <w:r>
        <w:rPr>
          <w:spacing w:val="-1"/>
        </w:rPr>
        <w:t>六、公司就其与控股股东在业务、人员、资产、机构、财务等方面存在的不能保证独立性、不能保</w:t>
      </w:r>
      <w:r>
        <w:rPr>
          <w:spacing w:val="-63"/>
        </w:rPr>
        <w:t> </w:t>
      </w:r>
      <w:r>
        <w:rPr>
          <w:spacing w:val="-63"/>
        </w:rPr>
      </w:r>
      <w:r>
        <w:rPr/>
        <w:t>持自主经营能力的情况说明</w:t>
      </w:r>
      <w:r>
        <w:rPr>
          <w:b w:val="0"/>
          <w:bCs w:val="0"/>
        </w:rPr>
      </w:r>
    </w:p>
    <w:p>
      <w:pPr>
        <w:pStyle w:val="BodyText"/>
        <w:spacing w:line="272" w:lineRule="exact" w:before="61"/>
        <w:ind w:left="640" w:right="0" w:hanging="420"/>
        <w:jc w:val="left"/>
      </w:pPr>
      <w:r>
        <w:rPr/>
        <w:t>□适用</w:t>
      </w:r>
      <w:r>
        <w:rPr>
          <w:spacing w:val="-2"/>
        </w:rPr>
        <w:t> </w:t>
      </w:r>
      <w:r>
        <w:rPr/>
        <w:t>√不适用</w:t>
      </w:r>
      <w:r>
        <w:rPr>
          <w:spacing w:val="-103"/>
        </w:rPr>
        <w:t> </w:t>
      </w:r>
      <w:r>
        <w:rPr>
          <w:spacing w:val="-103"/>
        </w:rPr>
      </w:r>
      <w:r>
        <w:rPr>
          <w:spacing w:val="-2"/>
        </w:rPr>
        <w:t>公司控股股东浙江省金融控股有限公司，经营范围为金融类股权投资，政府性股权投资基金管</w:t>
      </w:r>
    </w:p>
    <w:p>
      <w:pPr>
        <w:pStyle w:val="BodyText"/>
        <w:spacing w:line="355" w:lineRule="auto" w:before="108"/>
        <w:ind w:left="640" w:right="0" w:hanging="420"/>
        <w:jc w:val="left"/>
      </w:pPr>
      <w:r>
        <w:rPr/>
        <w:t>理与资产管理业务。（依法须经批准的项目，经相关部门批准后方可开展经营活动）</w:t>
      </w:r>
      <w:r>
        <w:rPr>
          <w:w w:val="100"/>
        </w:rPr>
        <w:t> </w:t>
      </w:r>
      <w:r>
        <w:rPr>
          <w:spacing w:val="-2"/>
        </w:rPr>
        <w:t>公司与控股股东在业务、人员、资产、机构、财务等方面完全分开，董事会、监事会、经理层</w:t>
      </w:r>
    </w:p>
    <w:p>
      <w:pPr>
        <w:pStyle w:val="BodyText"/>
        <w:spacing w:line="355" w:lineRule="auto" w:before="34"/>
        <w:ind w:left="640" w:right="2546" w:hanging="420"/>
        <w:jc w:val="left"/>
      </w:pPr>
      <w:r>
        <w:rPr>
          <w:spacing w:val="-2"/>
        </w:rPr>
        <w:t>及各职能部门均能独立运作，具有独立完整的业务和自主经营能力。</w:t>
      </w:r>
      <w:r>
        <w:rPr>
          <w:spacing w:val="-48"/>
        </w:rPr>
        <w:t> </w:t>
      </w:r>
      <w:r>
        <w:rPr>
          <w:spacing w:val="-48"/>
        </w:rPr>
      </w:r>
      <w:r>
        <w:rPr>
          <w:rFonts w:ascii="宋体" w:hAnsi="宋体" w:cs="宋体" w:eastAsia="宋体" w:hint="default"/>
        </w:rPr>
        <w:t>(</w:t>
      </w:r>
      <w:r>
        <w:rPr/>
        <w:t>一</w:t>
      </w:r>
      <w:r>
        <w:rPr>
          <w:rFonts w:ascii="宋体" w:hAnsi="宋体" w:cs="宋体" w:eastAsia="宋体" w:hint="default"/>
        </w:rPr>
        <w:t>) </w:t>
      </w:r>
      <w:r>
        <w:rPr/>
        <w:t>业务独立情况</w:t>
      </w:r>
    </w:p>
    <w:p>
      <w:pPr>
        <w:pStyle w:val="BodyText"/>
        <w:spacing w:line="357" w:lineRule="auto" w:before="32"/>
        <w:ind w:left="220" w:right="146" w:firstLine="420"/>
        <w:jc w:val="both"/>
      </w:pPr>
      <w:r>
        <w:rPr>
          <w:spacing w:val="-2"/>
        </w:rPr>
        <w:t>公司按照《公司法》《证券法》和《公司章程》的规定，根据中国证监会核准的经营范围依法</w:t>
      </w:r>
      <w:r>
        <w:rPr>
          <w:w w:val="100"/>
        </w:rPr>
        <w:t> </w:t>
      </w:r>
      <w:r>
        <w:rPr>
          <w:spacing w:val="-2"/>
        </w:rPr>
        <w:t>独立自主地开展业务，公司已取得了经营证券业务所需的相关业务许可，具有独立完整的业务体系</w:t>
      </w:r>
      <w:r>
        <w:rPr>
          <w:spacing w:val="-25"/>
        </w:rPr>
        <w:t> </w:t>
      </w:r>
      <w:r>
        <w:rPr>
          <w:spacing w:val="-25"/>
        </w:rPr>
      </w:r>
      <w:r>
        <w:rPr>
          <w:spacing w:val="-2"/>
        </w:rPr>
        <w:t>和自主经营能力，业务经营不受控股股东及关联方控制和影响，能独立面向市场参与竞争，不存在</w:t>
      </w:r>
      <w:r>
        <w:rPr>
          <w:spacing w:val="-25"/>
        </w:rPr>
        <w:t> </w:t>
      </w:r>
      <w:r>
        <w:rPr>
          <w:spacing w:val="-25"/>
        </w:rPr>
      </w:r>
      <w:r>
        <w:rPr/>
        <w:t>因控股股东及其关联方而违反公司运作程序，干预公司内部管理和经营决策的行为。</w:t>
      </w:r>
    </w:p>
    <w:p>
      <w:pPr>
        <w:pStyle w:val="BodyText"/>
        <w:spacing w:line="355" w:lineRule="auto" w:before="30"/>
        <w:ind w:left="640"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人员独立情况</w:t>
      </w:r>
      <w:r>
        <w:rPr>
          <w:spacing w:val="-103"/>
        </w:rPr>
        <w:t> </w:t>
      </w:r>
      <w:r>
        <w:rPr>
          <w:spacing w:val="-103"/>
        </w:rPr>
      </w:r>
      <w:r>
        <w:rPr>
          <w:spacing w:val="-2"/>
        </w:rPr>
        <w:t>公司单独设有专门的人力资源管理部门，拥有独立完整的劳动、人事及工资管理体系。公司严</w:t>
      </w:r>
    </w:p>
    <w:p>
      <w:pPr>
        <w:pStyle w:val="BodyText"/>
        <w:spacing w:line="357" w:lineRule="auto" w:before="32"/>
        <w:ind w:left="220" w:right="146"/>
        <w:jc w:val="both"/>
      </w:pPr>
      <w:r>
        <w:rPr>
          <w:spacing w:val="-2"/>
        </w:rPr>
        <w:t>格按照上市公司法定程序聘任了董事、监事和高级管理人员，公司高级管理人员未在股东单位及下</w:t>
      </w:r>
      <w:r>
        <w:rPr>
          <w:spacing w:val="-25"/>
        </w:rPr>
        <w:t> </w:t>
      </w:r>
      <w:r>
        <w:rPr>
          <w:spacing w:val="-25"/>
        </w:rPr>
      </w:r>
      <w:r>
        <w:rPr>
          <w:spacing w:val="-2"/>
        </w:rPr>
        <w:t>属企业担任除董事、监事以外的任何职务。公司股东没有超越股东大会、董事会的职权任免公司董</w:t>
      </w:r>
      <w:r>
        <w:rPr>
          <w:spacing w:val="-25"/>
        </w:rPr>
        <w:t> </w:t>
      </w:r>
      <w:r>
        <w:rPr>
          <w:spacing w:val="-25"/>
        </w:rPr>
      </w:r>
      <w:r>
        <w:rPr>
          <w:spacing w:val="-2"/>
        </w:rPr>
        <w:t>事、监事和高级管理人员。董事、监事和高级管理人员的聘任均严格按照《公司法》、《证券法》</w:t>
      </w:r>
      <w:r>
        <w:rPr>
          <w:spacing w:val="-25"/>
        </w:rPr>
        <w:t> </w:t>
      </w:r>
      <w:r>
        <w:rPr>
          <w:spacing w:val="-25"/>
        </w:rPr>
      </w:r>
      <w:r>
        <w:rPr>
          <w:spacing w:val="-2"/>
        </w:rPr>
        <w:t>和《公司章程》的规定，通过合法程序进行。公司建立了完善的劳务用人、人事管理、工资管理和</w:t>
      </w:r>
      <w:r>
        <w:rPr>
          <w:spacing w:val="-26"/>
        </w:rPr>
        <w:t> </w:t>
      </w:r>
      <w:r>
        <w:rPr>
          <w:spacing w:val="-26"/>
        </w:rPr>
      </w:r>
      <w:r>
        <w:rPr>
          <w:spacing w:val="-2"/>
        </w:rPr>
        <w:t>社会保障制度，且全体正式员工均依法与公司签订《劳动合同》，公司拥有独立的劳动用工权力，</w:t>
      </w:r>
      <w:r>
        <w:rPr>
          <w:spacing w:val="-26"/>
        </w:rPr>
        <w:t> </w:t>
      </w:r>
      <w:r>
        <w:rPr>
          <w:spacing w:val="-26"/>
        </w:rPr>
      </w:r>
      <w:r>
        <w:rPr/>
        <w:t>不存在受股东干涉的情况。</w:t>
      </w:r>
    </w:p>
    <w:p>
      <w:pPr>
        <w:pStyle w:val="BodyText"/>
        <w:spacing w:line="240" w:lineRule="auto" w:before="32"/>
        <w:ind w:left="640" w:right="0"/>
        <w:jc w:val="left"/>
      </w:pPr>
      <w:r>
        <w:rPr>
          <w:rFonts w:ascii="宋体" w:hAnsi="宋体" w:cs="宋体" w:eastAsia="宋体" w:hint="default"/>
        </w:rPr>
        <w:t>(</w:t>
      </w:r>
      <w:r>
        <w:rPr/>
        <w:t>三</w:t>
      </w:r>
      <w:r>
        <w:rPr>
          <w:rFonts w:ascii="宋体" w:hAnsi="宋体" w:cs="宋体" w:eastAsia="宋体" w:hint="default"/>
        </w:rPr>
        <w:t>) </w:t>
      </w:r>
      <w:r>
        <w:rPr/>
        <w:t>资产独立情况</w:t>
      </w:r>
    </w:p>
    <w:p>
      <w:pPr>
        <w:spacing w:after="0" w:line="240" w:lineRule="auto"/>
        <w:jc w:val="left"/>
        <w:sectPr>
          <w:footerReference w:type="default" r:id="rId39"/>
          <w:pgSz w:w="11910" w:h="16840"/>
          <w:pgMar w:footer="1195" w:header="880" w:top="1120" w:bottom="1380" w:left="1340" w:right="1160"/>
        </w:sectPr>
      </w:pPr>
    </w:p>
    <w:p>
      <w:pPr>
        <w:spacing w:line="240" w:lineRule="auto" w:before="4"/>
        <w:rPr>
          <w:rFonts w:ascii="宋体" w:hAnsi="宋体" w:cs="宋体" w:eastAsia="宋体" w:hint="default"/>
          <w:sz w:val="25"/>
          <w:szCs w:val="25"/>
        </w:rPr>
      </w:pPr>
    </w:p>
    <w:p>
      <w:pPr>
        <w:pStyle w:val="BodyText"/>
        <w:spacing w:line="357" w:lineRule="auto" w:before="36"/>
        <w:ind w:left="140" w:right="108" w:firstLine="420"/>
        <w:jc w:val="both"/>
      </w:pPr>
      <w:r>
        <w:rPr>
          <w:spacing w:val="-2"/>
        </w:rPr>
        <w:t>公司具有开展证券相关经营业务所必备的独立完整的资产，不存在控股股东及其关联方占用公</w:t>
      </w:r>
      <w:r>
        <w:rPr>
          <w:w w:val="100"/>
        </w:rPr>
        <w:t> </w:t>
      </w:r>
      <w:r>
        <w:rPr>
          <w:spacing w:val="-6"/>
        </w:rPr>
        <w:t>司资产以及损害公司、公司其他股东、公司客户合法权益的情况。公司依法独立经营管理公司资产，</w:t>
      </w:r>
      <w:r>
        <w:rPr>
          <w:spacing w:val="-18"/>
        </w:rPr>
        <w:t> </w:t>
      </w:r>
      <w:r>
        <w:rPr>
          <w:spacing w:val="-18"/>
        </w:rPr>
      </w:r>
      <w:r>
        <w:rPr/>
        <w:t>拥有业务经营所需的特许经营权、房产、经营设备以及商标。</w:t>
      </w:r>
    </w:p>
    <w:p>
      <w:pPr>
        <w:pStyle w:val="BodyText"/>
        <w:spacing w:line="355" w:lineRule="auto" w:before="30"/>
        <w:ind w:left="560" w:right="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机构独立情况</w:t>
      </w:r>
      <w:r>
        <w:rPr>
          <w:spacing w:val="-103"/>
        </w:rPr>
        <w:t> </w:t>
      </w:r>
      <w:r>
        <w:rPr>
          <w:spacing w:val="-103"/>
        </w:rPr>
      </w:r>
      <w:r>
        <w:rPr>
          <w:spacing w:val="-2"/>
        </w:rPr>
        <w:t>公司建立了完善的法人治理结构，设有股东大会、董事会、监事会、经营层以及相关经营管理</w:t>
      </w:r>
    </w:p>
    <w:p>
      <w:pPr>
        <w:pStyle w:val="BodyText"/>
        <w:spacing w:line="357" w:lineRule="auto" w:before="32"/>
        <w:ind w:left="140" w:right="108"/>
        <w:jc w:val="both"/>
      </w:pPr>
      <w:r>
        <w:rPr>
          <w:spacing w:val="-6"/>
        </w:rPr>
        <w:t>部门，“三会一层”运作良好，依法行使各自职权。公司拥有独立完整的证券业务经营、管理体系，</w:t>
      </w:r>
      <w:r>
        <w:rPr>
          <w:spacing w:val="-19"/>
        </w:rPr>
        <w:t> </w:t>
      </w:r>
      <w:r>
        <w:rPr>
          <w:spacing w:val="-19"/>
        </w:rPr>
      </w:r>
      <w:r>
        <w:rPr>
          <w:spacing w:val="-2"/>
        </w:rPr>
        <w:t>独立自主地开展业务经营，组织机构的设置和运行符合中国证监会的有关要求。现有的办公机构和</w:t>
      </w:r>
      <w:r>
        <w:rPr>
          <w:spacing w:val="-25"/>
        </w:rPr>
        <w:t> </w:t>
      </w:r>
      <w:r>
        <w:rPr>
          <w:spacing w:val="-25"/>
        </w:rPr>
      </w:r>
      <w:r>
        <w:rPr>
          <w:spacing w:val="-2"/>
        </w:rPr>
        <w:t>经营场所与股东单位完全分开，不存在机构混同的情况，也不存在控股股东直接干预公司经营活动</w:t>
      </w:r>
      <w:r>
        <w:rPr>
          <w:spacing w:val="-25"/>
        </w:rPr>
        <w:t> </w:t>
      </w:r>
      <w:r>
        <w:rPr>
          <w:spacing w:val="-25"/>
        </w:rPr>
      </w:r>
      <w:r>
        <w:rPr/>
        <w:t>的情形。</w:t>
      </w:r>
    </w:p>
    <w:p>
      <w:pPr>
        <w:pStyle w:val="BodyText"/>
        <w:spacing w:line="357" w:lineRule="auto" w:before="30"/>
        <w:ind w:left="560" w:right="0"/>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财务独立情况</w:t>
      </w:r>
      <w:r>
        <w:rPr>
          <w:spacing w:val="-103"/>
        </w:rPr>
        <w:t> </w:t>
      </w:r>
      <w:r>
        <w:rPr>
          <w:spacing w:val="-103"/>
        </w:rPr>
      </w:r>
      <w:r>
        <w:rPr>
          <w:spacing w:val="-2"/>
        </w:rPr>
        <w:t>公司设立了专门的财务部门，建立了专门的财务核算体系和财务管理制度。公司按照决策程序</w:t>
      </w:r>
    </w:p>
    <w:p>
      <w:pPr>
        <w:pStyle w:val="BodyText"/>
        <w:spacing w:line="355" w:lineRule="auto" w:before="30"/>
        <w:ind w:left="140" w:right="108"/>
        <w:jc w:val="both"/>
      </w:pPr>
      <w:r>
        <w:rPr>
          <w:spacing w:val="-6"/>
          <w:w w:val="100"/>
        </w:rPr>
        <w:t>进行财务决策，不存在控股股东及其关联方干预公司资金使用的情况。公司由董事会任命财务总监，</w:t>
      </w:r>
      <w:r>
        <w:rPr>
          <w:spacing w:val="-74"/>
          <w:w w:val="100"/>
        </w:rPr>
        <w:t> </w:t>
      </w:r>
      <w:r>
        <w:rPr>
          <w:spacing w:val="-74"/>
          <w:w w:val="100"/>
        </w:rPr>
      </w:r>
      <w:r>
        <w:rPr>
          <w:spacing w:val="-2"/>
        </w:rPr>
        <w:t>并配备了专职财务人员，在银行单独开立账户，不存在与股东单位及关联方共用账户的情况。公司</w:t>
      </w:r>
      <w:r>
        <w:rPr>
          <w:spacing w:val="-25"/>
        </w:rPr>
        <w:t> </w:t>
      </w:r>
      <w:r>
        <w:rPr>
          <w:spacing w:val="-25"/>
        </w:rPr>
      </w:r>
      <w:r>
        <w:rPr>
          <w:spacing w:val="-2"/>
        </w:rPr>
        <w:t>作为独立纳税人，依法按财税制度规定缴纳各类税款。每年将有审计机构对控股股东及其关联方对</w:t>
      </w:r>
      <w:r>
        <w:rPr>
          <w:spacing w:val="-25"/>
        </w:rPr>
        <w:t> </w:t>
      </w:r>
      <w:r>
        <w:rPr>
          <w:spacing w:val="-25"/>
        </w:rPr>
      </w:r>
      <w:r>
        <w:rPr/>
        <w:t>上市公司资金占用情况进行专项审计，未出现占用公司资金情况。</w:t>
      </w:r>
    </w:p>
    <w:p>
      <w:pPr>
        <w:spacing w:line="240" w:lineRule="auto" w:before="13"/>
        <w:rPr>
          <w:rFonts w:ascii="宋体" w:hAnsi="宋体" w:cs="宋体" w:eastAsia="宋体" w:hint="default"/>
          <w:sz w:val="20"/>
          <w:szCs w:val="20"/>
        </w:rPr>
      </w:pPr>
    </w:p>
    <w:p>
      <w:pPr>
        <w:pStyle w:val="BodyText"/>
        <w:spacing w:line="273" w:lineRule="exact"/>
        <w:ind w:left="140" w:right="0"/>
        <w:jc w:val="both"/>
      </w:pPr>
      <w:r>
        <w:rPr/>
        <w:t>存在同业竞争的，公司相应的解决措施、工作进度及后续工作计划</w:t>
      </w:r>
    </w:p>
    <w:p>
      <w:pPr>
        <w:pStyle w:val="BodyText"/>
        <w:spacing w:line="240" w:lineRule="auto"/>
        <w:ind w:left="560" w:right="2225" w:hanging="420"/>
        <w:jc w:val="left"/>
      </w:pPr>
      <w:r>
        <w:rPr/>
        <w:t>□适用</w:t>
      </w:r>
      <w:r>
        <w:rPr>
          <w:spacing w:val="-2"/>
        </w:rPr>
        <w:t> </w:t>
      </w:r>
      <w:r>
        <w:rPr/>
        <w:t>√不适用</w:t>
      </w:r>
      <w:r>
        <w:rPr>
          <w:spacing w:val="-103"/>
        </w:rPr>
        <w:t> </w:t>
      </w:r>
      <w:r>
        <w:rPr>
          <w:spacing w:val="-103"/>
        </w:rPr>
      </w:r>
      <w:r>
        <w:rPr>
          <w:spacing w:val="-2"/>
        </w:rPr>
        <w:t>公司与控股股东在主营业务方面不存在实质性的同业竞争情况。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140" w:right="0"/>
        <w:jc w:val="both"/>
        <w:rPr>
          <w:b w:val="0"/>
          <w:bCs w:val="0"/>
        </w:rPr>
      </w:pPr>
      <w:r>
        <w:rPr/>
        <w:t>七、报告期内对高级管理人员的考评机制，以及激励机制的建立、实施情况</w:t>
      </w:r>
      <w:r>
        <w:rPr>
          <w:b w:val="0"/>
          <w:bCs w:val="0"/>
        </w:rPr>
      </w:r>
    </w:p>
    <w:p>
      <w:pPr>
        <w:pStyle w:val="BodyText"/>
        <w:spacing w:line="240" w:lineRule="auto" w:before="56"/>
        <w:ind w:left="560" w:right="0" w:hanging="420"/>
        <w:jc w:val="left"/>
      </w:pPr>
      <w:r>
        <w:rPr/>
        <w:t>√适用</w:t>
      </w:r>
      <w:r>
        <w:rPr>
          <w:spacing w:val="-2"/>
        </w:rPr>
        <w:t> </w:t>
      </w:r>
      <w:r>
        <w:rPr/>
        <w:t>□不适用</w:t>
      </w:r>
      <w:r>
        <w:rPr>
          <w:spacing w:val="-103"/>
        </w:rPr>
        <w:t> </w:t>
      </w:r>
      <w:r>
        <w:rPr>
          <w:spacing w:val="-103"/>
        </w:rPr>
      </w:r>
      <w:r>
        <w:rPr>
          <w:spacing w:val="-2"/>
        </w:rPr>
        <w:t>根据公司高级管理人员薪酬与考核管理的有关规定，以公司年度经营目标实现情况、分管工作</w:t>
      </w:r>
    </w:p>
    <w:p>
      <w:pPr>
        <w:pStyle w:val="BodyText"/>
        <w:spacing w:line="357" w:lineRule="auto" w:before="133"/>
        <w:ind w:left="140" w:right="146"/>
        <w:jc w:val="both"/>
      </w:pPr>
      <w:r>
        <w:rPr>
          <w:spacing w:val="-2"/>
        </w:rPr>
        <w:t>目标完成情况、党建工作、民主测评、合规性专项考核等指标对公司高级管理人员进行绩效考核，</w:t>
      </w:r>
      <w:r>
        <w:rPr>
          <w:spacing w:val="-25"/>
        </w:rPr>
        <w:t> </w:t>
      </w:r>
      <w:r>
        <w:rPr>
          <w:spacing w:val="-25"/>
        </w:rPr>
      </w:r>
      <w:r>
        <w:rPr>
          <w:spacing w:val="-2"/>
        </w:rPr>
        <w:t>依据考核结果实施绩效资金分配。绩效分配中将高级管理人员个人收入与公司整体经营业绩、个人</w:t>
      </w:r>
      <w:r>
        <w:rPr>
          <w:spacing w:val="-25"/>
        </w:rPr>
        <w:t> </w:t>
      </w:r>
      <w:r>
        <w:rPr>
          <w:spacing w:val="-25"/>
        </w:rPr>
      </w:r>
      <w:r>
        <w:rPr/>
        <w:t>分管业务业绩紧密挂钩，激励与约束相结合，发挥正向激励作用。</w:t>
      </w:r>
    </w:p>
    <w:p>
      <w:pPr>
        <w:spacing w:line="240" w:lineRule="auto" w:before="9"/>
        <w:rPr>
          <w:rFonts w:ascii="宋体" w:hAnsi="宋体" w:cs="宋体" w:eastAsia="宋体" w:hint="default"/>
          <w:sz w:val="27"/>
          <w:szCs w:val="27"/>
        </w:rPr>
      </w:pPr>
    </w:p>
    <w:p>
      <w:pPr>
        <w:pStyle w:val="Heading5"/>
        <w:spacing w:line="240" w:lineRule="auto"/>
        <w:ind w:left="140" w:right="0"/>
        <w:jc w:val="both"/>
        <w:rPr>
          <w:b w:val="0"/>
          <w:bCs w:val="0"/>
        </w:rPr>
      </w:pPr>
      <w:r>
        <w:rPr/>
        <w:t>八、是否披露内部控制自我评价报告</w:t>
      </w:r>
      <w:r>
        <w:rPr>
          <w:b w:val="0"/>
          <w:bCs w:val="0"/>
        </w:rPr>
      </w:r>
    </w:p>
    <w:p>
      <w:pPr>
        <w:pStyle w:val="BodyText"/>
        <w:spacing w:line="273" w:lineRule="exact" w:before="58"/>
        <w:ind w:left="140" w:right="0"/>
        <w:jc w:val="both"/>
      </w:pPr>
      <w:r>
        <w:rPr/>
        <w:t>√适用 □不适用</w:t>
      </w:r>
    </w:p>
    <w:p>
      <w:pPr>
        <w:pStyle w:val="BodyText"/>
        <w:spacing w:line="273" w:lineRule="exact"/>
        <w:ind w:left="560" w:right="0"/>
        <w:jc w:val="left"/>
      </w:pPr>
      <w:r>
        <w:rPr/>
        <w:t>公司内部控制自我评价报告的具体内容详见</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日在上海证券交易所网站上披露的</w:t>
      </w:r>
    </w:p>
    <w:p>
      <w:pPr>
        <w:pStyle w:val="BodyText"/>
        <w:spacing w:line="240" w:lineRule="auto" w:before="133"/>
        <w:ind w:left="140" w:right="0"/>
        <w:jc w:val="both"/>
      </w:pPr>
      <w:r>
        <w:rPr/>
        <w:t>《财通证券股份有限公司</w:t>
      </w:r>
      <w:r>
        <w:rPr>
          <w:spacing w:val="-55"/>
        </w:rPr>
        <w:t> </w:t>
      </w:r>
      <w:r>
        <w:rPr>
          <w:rFonts w:ascii="宋体" w:hAnsi="宋体" w:cs="宋体" w:eastAsia="宋体" w:hint="default"/>
        </w:rPr>
        <w:t>2018</w:t>
      </w:r>
      <w:r>
        <w:rPr>
          <w:rFonts w:ascii="宋体" w:hAnsi="宋体" w:cs="宋体" w:eastAsia="宋体" w:hint="default"/>
          <w:spacing w:val="-55"/>
        </w:rPr>
        <w:t> </w:t>
      </w:r>
      <w:r>
        <w:rPr/>
        <w:t>年度内部控制评价报告》。</w:t>
      </w:r>
    </w:p>
    <w:p>
      <w:pPr>
        <w:spacing w:line="240" w:lineRule="auto" w:before="0"/>
        <w:rPr>
          <w:rFonts w:ascii="宋体" w:hAnsi="宋体" w:cs="宋体" w:eastAsia="宋体" w:hint="default"/>
          <w:sz w:val="20"/>
          <w:szCs w:val="20"/>
        </w:rPr>
      </w:pPr>
    </w:p>
    <w:p>
      <w:pPr>
        <w:pStyle w:val="BodyText"/>
        <w:spacing w:line="274" w:lineRule="exact" w:before="145"/>
        <w:ind w:left="140" w:right="0"/>
        <w:jc w:val="both"/>
      </w:pPr>
      <w:r>
        <w:rPr/>
        <w:t>报告期内部控制存在重大缺陷情况的说明</w:t>
      </w:r>
    </w:p>
    <w:p>
      <w:pPr>
        <w:pStyle w:val="BodyText"/>
        <w:spacing w:line="274" w:lineRule="exact"/>
        <w:ind w:left="140" w:right="0"/>
        <w:jc w:val="both"/>
      </w:pPr>
      <w:r>
        <w:rPr/>
        <w:t>□适用 √不适用</w:t>
      </w:r>
    </w:p>
    <w:p>
      <w:pPr>
        <w:spacing w:line="240" w:lineRule="auto" w:before="3"/>
        <w:rPr>
          <w:rFonts w:ascii="宋体" w:hAnsi="宋体" w:cs="宋体" w:eastAsia="宋体" w:hint="default"/>
          <w:sz w:val="25"/>
          <w:szCs w:val="25"/>
        </w:rPr>
      </w:pPr>
    </w:p>
    <w:p>
      <w:pPr>
        <w:pStyle w:val="Heading5"/>
        <w:spacing w:line="240" w:lineRule="auto"/>
        <w:ind w:left="140" w:right="0"/>
        <w:jc w:val="both"/>
        <w:rPr>
          <w:b w:val="0"/>
          <w:bCs w:val="0"/>
        </w:rPr>
      </w:pPr>
      <w:r>
        <w:rPr/>
        <w:t>九、内部控制审计报告的相关情况说明</w:t>
      </w:r>
      <w:r>
        <w:rPr>
          <w:b w:val="0"/>
          <w:bCs w:val="0"/>
        </w:rPr>
      </w:r>
    </w:p>
    <w:p>
      <w:pPr>
        <w:pStyle w:val="BodyText"/>
        <w:spacing w:line="240" w:lineRule="auto" w:before="56"/>
        <w:ind w:left="560" w:right="0" w:hanging="420"/>
        <w:jc w:val="left"/>
      </w:pPr>
      <w:r>
        <w:rPr/>
        <w:t>√适用</w:t>
      </w:r>
      <w:r>
        <w:rPr>
          <w:spacing w:val="-2"/>
        </w:rPr>
        <w:t> </w:t>
      </w:r>
      <w:r>
        <w:rPr/>
        <w:t>□不适用</w:t>
      </w:r>
      <w:r>
        <w:rPr>
          <w:spacing w:val="-103"/>
        </w:rPr>
        <w:t> </w:t>
      </w:r>
      <w:r>
        <w:rPr>
          <w:spacing w:val="-103"/>
        </w:rPr>
      </w:r>
      <w:r>
        <w:rPr>
          <w:spacing w:val="-2"/>
        </w:rPr>
        <w:t>公司聘请天健会计师事务所（特殊普通合伙）对公司内部控制进行了审计，并出具了无保留意</w:t>
      </w:r>
    </w:p>
    <w:p>
      <w:pPr>
        <w:spacing w:after="0" w:line="240" w:lineRule="auto"/>
        <w:jc w:val="left"/>
        <w:sectPr>
          <w:footerReference w:type="default" r:id="rId40"/>
          <w:pgSz w:w="11910" w:h="16840"/>
          <w:pgMar w:footer="1195" w:header="880" w:top="1120" w:bottom="1380" w:left="1420" w:right="1160"/>
          <w:pgNumType w:start="91"/>
        </w:sectPr>
      </w:pPr>
    </w:p>
    <w:p>
      <w:pPr>
        <w:spacing w:line="240" w:lineRule="auto" w:before="4"/>
        <w:rPr>
          <w:rFonts w:ascii="宋体" w:hAnsi="宋体" w:cs="宋体" w:eastAsia="宋体" w:hint="default"/>
          <w:sz w:val="25"/>
          <w:szCs w:val="25"/>
        </w:rPr>
      </w:pPr>
    </w:p>
    <w:p>
      <w:pPr>
        <w:pStyle w:val="BodyText"/>
        <w:spacing w:line="240" w:lineRule="auto" w:before="36"/>
        <w:ind w:left="140" w:right="0"/>
        <w:jc w:val="both"/>
      </w:pPr>
      <w:r>
        <w:rPr/>
        <w:t>见的内部控制审计报告。</w:t>
      </w:r>
    </w:p>
    <w:p>
      <w:pPr>
        <w:pStyle w:val="BodyText"/>
        <w:spacing w:line="240" w:lineRule="auto" w:before="135"/>
        <w:ind w:left="666" w:right="0"/>
        <w:jc w:val="left"/>
      </w:pPr>
      <w:r>
        <w:rPr/>
        <w:t>公司内部控制审计报告的具体内容详见公司于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日在上交所网站</w:t>
      </w:r>
    </w:p>
    <w:p>
      <w:pPr>
        <w:pStyle w:val="BodyText"/>
        <w:spacing w:line="595" w:lineRule="auto" w:before="133"/>
        <w:ind w:left="140" w:right="2225"/>
        <w:jc w:val="left"/>
      </w:pPr>
      <w:r>
        <w:rPr>
          <w:spacing w:val="-1"/>
        </w:rPr>
        <w:t>（</w:t>
      </w:r>
      <w:hyperlink r:id="rId12">
        <w:r>
          <w:rPr>
            <w:rFonts w:ascii="宋体" w:hAnsi="宋体" w:cs="宋体" w:eastAsia="宋体" w:hint="default"/>
            <w:spacing w:val="-1"/>
          </w:rPr>
          <w:t>http://www.sse.com.cn</w:t>
        </w:r>
      </w:hyperlink>
      <w:r>
        <w:rPr>
          <w:spacing w:val="-1"/>
        </w:rPr>
        <w:t>）披露的《内部控制审计报告》。</w:t>
      </w:r>
      <w:r>
        <w:rPr>
          <w:spacing w:val="-73"/>
        </w:rPr>
        <w:t> </w:t>
      </w:r>
      <w:r>
        <w:rPr>
          <w:spacing w:val="-73"/>
        </w:rPr>
      </w:r>
      <w:r>
        <w:rPr/>
        <w:t>是否披露内部控制审计报告：是</w:t>
      </w:r>
    </w:p>
    <w:p>
      <w:pPr>
        <w:pStyle w:val="Heading5"/>
        <w:spacing w:line="240" w:lineRule="auto" w:before="16"/>
        <w:ind w:left="140" w:right="0"/>
        <w:jc w:val="both"/>
        <w:rPr>
          <w:b w:val="0"/>
          <w:bCs w:val="0"/>
        </w:rPr>
      </w:pPr>
      <w:r>
        <w:rPr/>
        <w:t>十、其他</w:t>
      </w:r>
      <w:r>
        <w:rPr>
          <w:b w:val="0"/>
          <w:bCs w:val="0"/>
        </w:rPr>
      </w:r>
    </w:p>
    <w:p>
      <w:pPr>
        <w:pStyle w:val="BodyText"/>
        <w:spacing w:line="273" w:lineRule="exact" w:before="58"/>
        <w:ind w:left="140" w:right="0"/>
        <w:jc w:val="both"/>
      </w:pPr>
      <w:r>
        <w:rPr/>
        <w:t>√适用 □不适用</w:t>
      </w:r>
    </w:p>
    <w:p>
      <w:pPr>
        <w:pStyle w:val="BodyText"/>
        <w:spacing w:line="357" w:lineRule="auto"/>
        <w:ind w:left="560" w:right="570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公司内部控制体系建设情况</w:t>
      </w:r>
      <w:r>
        <w:rPr>
          <w:w w:val="100"/>
        </w:rPr>
        <w:t> </w:t>
      </w:r>
      <w:r>
        <w:rPr>
          <w:rFonts w:ascii="宋体" w:hAnsi="宋体" w:cs="宋体" w:eastAsia="宋体" w:hint="default"/>
        </w:rPr>
        <w:t>1.</w:t>
      </w:r>
      <w:r>
        <w:rPr/>
        <w:t>内部控制责任声明</w:t>
      </w:r>
    </w:p>
    <w:p>
      <w:pPr>
        <w:pStyle w:val="BodyText"/>
        <w:spacing w:line="355" w:lineRule="auto" w:before="31"/>
        <w:ind w:left="140" w:right="146" w:firstLine="420"/>
        <w:jc w:val="both"/>
      </w:pPr>
      <w:r>
        <w:rPr>
          <w:spacing w:val="-2"/>
        </w:rPr>
        <w:t>公司董事会对建立和维护充分的财务报告相关内部控制制度负责。财务报告相关内部控制的目</w:t>
      </w:r>
      <w:r>
        <w:rPr>
          <w:w w:val="100"/>
        </w:rPr>
        <w:t> </w:t>
      </w:r>
      <w:r>
        <w:rPr>
          <w:spacing w:val="-2"/>
        </w:rPr>
        <w:t>标是保证财务报告信息真实完整和可靠、防范重大错报风险。由于内部控制存在固有局限性，因此</w:t>
      </w:r>
      <w:r>
        <w:rPr>
          <w:spacing w:val="-25"/>
        </w:rPr>
        <w:t> </w:t>
      </w:r>
      <w:r>
        <w:rPr>
          <w:spacing w:val="-25"/>
        </w:rPr>
      </w:r>
      <w:r>
        <w:rPr/>
        <w:t>仅能对上述目标提供合理保证。</w:t>
      </w:r>
    </w:p>
    <w:p>
      <w:pPr>
        <w:pStyle w:val="BodyText"/>
        <w:spacing w:line="355" w:lineRule="auto" w:before="34"/>
        <w:ind w:left="140" w:right="146" w:firstLine="420"/>
        <w:jc w:val="both"/>
      </w:pPr>
      <w:r>
        <w:rPr>
          <w:spacing w:val="-2"/>
        </w:rPr>
        <w:t>公司董事会已按照《企业内部控制基本规范》要求对财务报告相关内部控制进行了评价，并认</w:t>
      </w:r>
      <w:r>
        <w:rPr>
          <w:w w:val="100"/>
        </w:rPr>
        <w:t> </w:t>
      </w:r>
      <w:r>
        <w:rPr>
          <w:spacing w:val="-2"/>
        </w:rPr>
        <w:t>为其在</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日有效。公司在内部控制自我评价过程中未发现与非财务报告相关的内部控制</w:t>
      </w:r>
      <w:r>
        <w:rPr>
          <w:spacing w:val="-17"/>
        </w:rPr>
        <w:t> </w:t>
      </w:r>
      <w:r>
        <w:rPr>
          <w:spacing w:val="-17"/>
        </w:rPr>
      </w:r>
      <w:r>
        <w:rPr/>
        <w:t>存在重大缺陷。</w:t>
      </w:r>
    </w:p>
    <w:p>
      <w:pPr>
        <w:pStyle w:val="BodyText"/>
        <w:spacing w:line="355" w:lineRule="auto" w:before="32"/>
        <w:ind w:left="560" w:right="0"/>
        <w:jc w:val="left"/>
      </w:pPr>
      <w:r>
        <w:rPr>
          <w:rFonts w:ascii="宋体" w:hAnsi="宋体" w:cs="宋体" w:eastAsia="宋体" w:hint="default"/>
        </w:rPr>
        <w:t>2.</w:t>
      </w:r>
      <w:r>
        <w:rPr/>
        <w:t>建立财务报告内部控制的依据</w:t>
      </w:r>
      <w:r>
        <w:rPr>
          <w:w w:val="100"/>
        </w:rPr>
        <w:t> </w:t>
      </w:r>
      <w:r>
        <w:rPr>
          <w:spacing w:val="-2"/>
        </w:rPr>
        <w:t>公司依据《企业内部控制基本规范》、《证券公司内部控制指引》、《上海证券交易所上市公</w:t>
      </w:r>
    </w:p>
    <w:p>
      <w:pPr>
        <w:pStyle w:val="BodyText"/>
        <w:spacing w:line="355" w:lineRule="auto" w:before="35"/>
        <w:ind w:left="140" w:right="146"/>
        <w:jc w:val="both"/>
      </w:pPr>
      <w:r>
        <w:rPr>
          <w:spacing w:val="-2"/>
        </w:rPr>
        <w:t>司内部控制指引》等相关规定，按照“全面性、重要性、制衡性、适应性、成本效益”的原则，建</w:t>
      </w:r>
      <w:r>
        <w:rPr>
          <w:spacing w:val="-25"/>
        </w:rPr>
        <w:t> </w:t>
      </w:r>
      <w:r>
        <w:rPr>
          <w:spacing w:val="-25"/>
        </w:rPr>
      </w:r>
      <w:r>
        <w:rPr/>
        <w:t>立了财务报告内部控制机制。</w:t>
      </w:r>
    </w:p>
    <w:p>
      <w:pPr>
        <w:pStyle w:val="BodyText"/>
        <w:spacing w:line="355" w:lineRule="auto" w:before="32"/>
        <w:ind w:left="560" w:right="0"/>
        <w:jc w:val="left"/>
      </w:pPr>
      <w:r>
        <w:rPr>
          <w:rFonts w:ascii="宋体" w:hAnsi="宋体" w:cs="宋体" w:eastAsia="宋体" w:hint="default"/>
        </w:rPr>
        <w:t>3.</w:t>
      </w:r>
      <w:r>
        <w:rPr/>
        <w:t>内部控制制度建设情况</w:t>
      </w:r>
      <w:r>
        <w:rPr>
          <w:w w:val="100"/>
        </w:rPr>
        <w:t> </w:t>
      </w:r>
      <w:r>
        <w:rPr>
          <w:spacing w:val="-2"/>
        </w:rPr>
        <w:t>报告期内，公司依据监管要求、经营环境变化及创新业务发展需要，对证券经纪、自营业务、</w:t>
      </w:r>
    </w:p>
    <w:p>
      <w:pPr>
        <w:pStyle w:val="BodyText"/>
        <w:spacing w:line="357" w:lineRule="auto" w:before="32"/>
        <w:ind w:left="140" w:right="146"/>
        <w:jc w:val="both"/>
      </w:pPr>
      <w:r>
        <w:rPr>
          <w:spacing w:val="-2"/>
        </w:rPr>
        <w:t>信用业务、投资银行、研究咨询、财务管理、风险管理、合规管理、信息系统、子公司等业务的内</w:t>
      </w:r>
      <w:r>
        <w:rPr>
          <w:spacing w:val="-25"/>
        </w:rPr>
        <w:t> </w:t>
      </w:r>
      <w:r>
        <w:rPr>
          <w:spacing w:val="-25"/>
        </w:rPr>
      </w:r>
      <w:r>
        <w:rPr/>
        <w:t>部控制制度进行了新增或修订。</w:t>
      </w:r>
    </w:p>
    <w:p>
      <w:pPr>
        <w:pStyle w:val="BodyText"/>
        <w:spacing w:line="355" w:lineRule="auto" w:before="30"/>
        <w:ind w:left="560" w:right="0" w:firstLine="105"/>
        <w:jc w:val="left"/>
      </w:pPr>
      <w:r>
        <w:rPr/>
        <w:t>（二）、公司合规管理体系建设、执行情况</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spacing w:val="-2"/>
        </w:rPr>
        <w:t>2018</w:t>
      </w:r>
      <w:r>
        <w:rPr>
          <w:spacing w:val="-2"/>
        </w:rPr>
        <w:t>年，监管部门对证券公司合规管理制度作出修订。公司根据监管要求，建立和完善了全方</w:t>
      </w:r>
    </w:p>
    <w:p>
      <w:pPr>
        <w:pStyle w:val="BodyText"/>
        <w:spacing w:line="357" w:lineRule="auto" w:before="33"/>
        <w:ind w:left="140" w:right="108"/>
        <w:jc w:val="both"/>
      </w:pPr>
      <w:r>
        <w:rPr>
          <w:spacing w:val="-2"/>
        </w:rPr>
        <w:t>位、多层次的合规管理组织体系。公司合规管理的领导机构是董事会，监督机构是监事会，专职机</w:t>
      </w:r>
      <w:r>
        <w:rPr>
          <w:spacing w:val="-25"/>
        </w:rPr>
        <w:t> </w:t>
      </w:r>
      <w:r>
        <w:rPr>
          <w:spacing w:val="-25"/>
        </w:rPr>
      </w:r>
      <w:r>
        <w:rPr>
          <w:spacing w:val="-2"/>
        </w:rPr>
        <w:t>构是合规总监、合规部以及各部门合规管理人员。公司在自营、投行、经纪等业务部门及</w:t>
      </w:r>
      <w:r>
        <w:rPr>
          <w:rFonts w:ascii="宋体" w:hAnsi="宋体" w:cs="宋体" w:eastAsia="宋体" w:hint="default"/>
          <w:spacing w:val="-2"/>
        </w:rPr>
        <w:t>15</w:t>
      </w:r>
      <w:r>
        <w:rPr>
          <w:spacing w:val="-2"/>
        </w:rPr>
        <w:t>人以上</w:t>
      </w:r>
      <w:r>
        <w:rPr>
          <w:spacing w:val="-23"/>
        </w:rPr>
        <w:t> </w:t>
      </w:r>
      <w:r>
        <w:rPr>
          <w:spacing w:val="-23"/>
        </w:rPr>
      </w:r>
      <w:r>
        <w:rPr>
          <w:spacing w:val="-6"/>
        </w:rPr>
        <w:t>分支机构、异地总部等设置了专职合规管理人员，在其他部门、分支机构设置了兼职合规管理人员。</w:t>
      </w:r>
      <w:r>
        <w:rPr>
          <w:spacing w:val="-17"/>
        </w:rPr>
        <w:t> </w:t>
      </w:r>
      <w:r>
        <w:rPr>
          <w:spacing w:val="-17"/>
        </w:rPr>
      </w:r>
      <w:r>
        <w:rPr>
          <w:spacing w:val="-2"/>
        </w:rPr>
        <w:t>公司各子公司均设立了合规总监岗位，并配备相应的合规管理人员。公司经营管理层、下属各单位</w:t>
      </w:r>
    </w:p>
    <w:p>
      <w:pPr>
        <w:pStyle w:val="BodyText"/>
        <w:spacing w:line="355" w:lineRule="auto" w:before="30"/>
        <w:ind w:left="560" w:right="0" w:hanging="420"/>
        <w:jc w:val="left"/>
      </w:pPr>
      <w:r>
        <w:rPr/>
        <w:t>（各子公司、各部门、分支机构）对各自职责对应的合规运营承担职责。</w:t>
      </w:r>
      <w:r>
        <w:rPr>
          <w:w w:val="100"/>
        </w:rPr>
        <w:t> </w:t>
      </w:r>
      <w:r>
        <w:rPr>
          <w:spacing w:val="-2"/>
        </w:rPr>
        <w:t>公司重视合规文化，设立的合规管理目标是通过建立健全公司合规管理制度与机制，实现对合</w:t>
      </w:r>
    </w:p>
    <w:p>
      <w:pPr>
        <w:pStyle w:val="BodyText"/>
        <w:spacing w:line="357" w:lineRule="auto" w:before="34"/>
        <w:ind w:left="140" w:right="146"/>
        <w:jc w:val="both"/>
      </w:pPr>
      <w:r>
        <w:rPr>
          <w:spacing w:val="-2"/>
        </w:rPr>
        <w:t>规风险的有效识别与管理，促进公司全面合规管理体系建设，保障公司依法合规经营，维护客户合</w:t>
      </w:r>
      <w:r>
        <w:rPr>
          <w:spacing w:val="-25"/>
        </w:rPr>
        <w:t> </w:t>
      </w:r>
      <w:r>
        <w:rPr>
          <w:spacing w:val="-25"/>
        </w:rPr>
      </w:r>
      <w:r>
        <w:rPr>
          <w:spacing w:val="-2"/>
        </w:rPr>
        <w:t>法权益，维护公司声誉，提升公司核心竞争力，从而实现股东、公司、员工利益的最大化。明确的</w:t>
      </w:r>
      <w:r>
        <w:rPr>
          <w:spacing w:val="-25"/>
        </w:rPr>
        <w:t> </w:t>
      </w:r>
      <w:r>
        <w:rPr>
          <w:spacing w:val="-25"/>
        </w:rPr>
      </w:r>
      <w:r>
        <w:rPr/>
        <w:t>合规理念包括：全员合规，合规从管理层做起，合规创造价值，合规是生存基础。</w:t>
      </w:r>
    </w:p>
    <w:p>
      <w:pPr>
        <w:spacing w:after="0" w:line="357" w:lineRule="auto"/>
        <w:jc w:val="both"/>
        <w:sectPr>
          <w:pgSz w:w="11910" w:h="16840"/>
          <w:pgMar w:header="880" w:footer="1195" w:top="1120" w:bottom="1380" w:left="1420" w:right="1160"/>
        </w:sectPr>
      </w:pPr>
    </w:p>
    <w:p>
      <w:pPr>
        <w:spacing w:line="240" w:lineRule="auto" w:before="4"/>
        <w:rPr>
          <w:rFonts w:ascii="宋体" w:hAnsi="宋体" w:cs="宋体" w:eastAsia="宋体" w:hint="default"/>
          <w:sz w:val="25"/>
          <w:szCs w:val="25"/>
        </w:rPr>
      </w:pPr>
    </w:p>
    <w:p>
      <w:pPr>
        <w:pStyle w:val="BodyText"/>
        <w:spacing w:line="357" w:lineRule="auto" w:before="36"/>
        <w:ind w:left="220" w:right="228" w:firstLine="420"/>
        <w:jc w:val="both"/>
      </w:pPr>
      <w:r>
        <w:rPr>
          <w:spacing w:val="-6"/>
        </w:rPr>
        <w:t>报告期内，公司完善了合规管理制度体系，公司合规管理制度包括：《合规管理基本制度》《分</w:t>
      </w:r>
      <w:r>
        <w:rPr>
          <w:w w:val="100"/>
        </w:rPr>
        <w:t> </w:t>
      </w:r>
      <w:r>
        <w:rPr>
          <w:spacing w:val="-2"/>
        </w:rPr>
        <w:t>支机构合规管理办法》《子公司合规管理办法》《反洗钱和反恐怖融资基本制度》《反洗钱工作管</w:t>
      </w:r>
      <w:r>
        <w:rPr>
          <w:spacing w:val="-25"/>
        </w:rPr>
        <w:t> </w:t>
      </w:r>
      <w:r>
        <w:rPr>
          <w:spacing w:val="-25"/>
        </w:rPr>
      </w:r>
      <w:r>
        <w:rPr>
          <w:spacing w:val="-2"/>
        </w:rPr>
        <w:t>理办法》《信息隔离墙制度》《工作人员执业行为管理办法》《规章制度管理办法》等及各配套工</w:t>
      </w:r>
      <w:r>
        <w:rPr>
          <w:spacing w:val="-25"/>
        </w:rPr>
        <w:t> </w:t>
      </w:r>
      <w:r>
        <w:rPr>
          <w:spacing w:val="-25"/>
        </w:rPr>
      </w:r>
      <w:r>
        <w:rPr>
          <w:spacing w:val="-2"/>
        </w:rPr>
        <w:t>作细则。通过合规管理制度建设，合规管理工作的规范化建设得到进一步加强，合规管理制度体系</w:t>
      </w:r>
      <w:r>
        <w:rPr>
          <w:spacing w:val="-25"/>
        </w:rPr>
        <w:t> </w:t>
      </w:r>
      <w:r>
        <w:rPr>
          <w:spacing w:val="-25"/>
        </w:rPr>
      </w:r>
      <w:r>
        <w:rPr/>
        <w:t>得以进一步完善。</w:t>
      </w:r>
    </w:p>
    <w:p>
      <w:pPr>
        <w:pStyle w:val="BodyText"/>
        <w:spacing w:line="357" w:lineRule="auto" w:before="30"/>
        <w:ind w:left="220" w:right="266" w:firstLine="420"/>
        <w:jc w:val="both"/>
      </w:pPr>
      <w:r>
        <w:rPr>
          <w:spacing w:val="-2"/>
        </w:rPr>
        <w:t>截至报告期末，公司各项合规管理工作顺利推进，合规管理组织体系有效运行，各项合规管理</w:t>
      </w:r>
      <w:r>
        <w:rPr>
          <w:w w:val="100"/>
        </w:rPr>
        <w:t> </w:t>
      </w:r>
      <w:r>
        <w:rPr/>
        <w:t>制度均能得到有效执行，全年未发生重大违法违规事件。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1"/>
        <w:tabs>
          <w:tab w:pos="4260" w:val="left" w:leader="none"/>
        </w:tabs>
        <w:spacing w:line="240" w:lineRule="auto"/>
        <w:ind w:left="3000" w:right="0"/>
        <w:jc w:val="left"/>
        <w:rPr>
          <w:b w:val="0"/>
          <w:bCs w:val="0"/>
        </w:rPr>
      </w:pPr>
      <w:bookmarkStart w:name="_TOC_250003"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340" w:right="1040"/>
        </w:sectPr>
      </w:pPr>
    </w:p>
    <w:p>
      <w:pPr>
        <w:spacing w:line="290" w:lineRule="auto" w:before="36"/>
        <w:ind w:left="220"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29"/>
          <w:szCs w:val="29"/>
        </w:rPr>
      </w:pPr>
    </w:p>
    <w:p>
      <w:pPr>
        <w:pStyle w:val="Heading3"/>
        <w:tabs>
          <w:tab w:pos="1300" w:val="left" w:leader="none"/>
        </w:tabs>
        <w:spacing w:line="240" w:lineRule="auto" w:before="0"/>
        <w:ind w:left="220" w:right="0" w:firstLine="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340" w:right="1040"/>
          <w:cols w:num="2" w:equalWidth="0">
            <w:col w:w="2335" w:space="4335"/>
            <w:col w:w="2860"/>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86"/>
        <w:gridCol w:w="989"/>
        <w:gridCol w:w="985"/>
        <w:gridCol w:w="986"/>
        <w:gridCol w:w="987"/>
        <w:gridCol w:w="1387"/>
        <w:gridCol w:w="876"/>
        <w:gridCol w:w="1277"/>
        <w:gridCol w:w="814"/>
      </w:tblGrid>
      <w:tr>
        <w:trPr>
          <w:trHeight w:val="4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简称</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8"/>
              <w:jc w:val="right"/>
              <w:rPr>
                <w:rFonts w:ascii="宋体" w:hAnsi="宋体" w:cs="宋体" w:eastAsia="宋体" w:hint="default"/>
                <w:sz w:val="18"/>
                <w:szCs w:val="18"/>
              </w:rPr>
            </w:pPr>
            <w:r>
              <w:rPr>
                <w:rFonts w:ascii="宋体" w:hAnsi="宋体" w:cs="宋体" w:eastAsia="宋体" w:hint="default"/>
                <w:sz w:val="18"/>
                <w:szCs w:val="18"/>
              </w:rPr>
              <w:t>代码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8"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8"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债券余额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hAnsi="宋体" w:cs="宋体" w:eastAsia="宋体" w:hint="default"/>
                <w:spacing w:val="-12"/>
                <w:sz w:val="18"/>
                <w:szCs w:val="18"/>
              </w:rPr>
              <w:t>利率（</w:t>
            </w:r>
            <w:r>
              <w:rPr>
                <w:rFonts w:ascii="宋体" w:hAnsi="宋体" w:cs="宋体" w:eastAsia="宋体" w:hint="default"/>
                <w:spacing w:val="-12"/>
                <w:sz w:val="18"/>
                <w:szCs w:val="18"/>
              </w:rPr>
              <w:t>%</w:t>
            </w:r>
            <w:r>
              <w:rPr>
                <w:rFonts w:ascii="宋体" w:hAnsi="宋体" w:cs="宋体" w:eastAsia="宋体" w:hint="default"/>
                <w:spacing w:val="-12"/>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还本付息方</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交易场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所</w:t>
            </w:r>
          </w:p>
        </w:tc>
      </w:tr>
      <w:tr>
        <w:trPr>
          <w:trHeight w:val="1179"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before="2"/>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2014 </w:t>
            </w:r>
            <w:r>
              <w:rPr>
                <w:rFonts w:ascii="宋体" w:hAnsi="宋体" w:cs="宋体" w:eastAsia="宋体" w:hint="default"/>
                <w:sz w:val="18"/>
                <w:szCs w:val="18"/>
              </w:rPr>
              <w:t>年公司债 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财通债</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122372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169,040,000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before="2"/>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6"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2016 </w:t>
            </w:r>
            <w:r>
              <w:rPr>
                <w:rFonts w:ascii="宋体" w:hAnsi="宋体" w:cs="宋体" w:eastAsia="宋体" w:hint="default"/>
                <w:sz w:val="18"/>
                <w:szCs w:val="18"/>
              </w:rPr>
              <w:t>年公司债 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财通债</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136258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2014 </w:t>
            </w:r>
            <w:r>
              <w:rPr>
                <w:rFonts w:ascii="宋体" w:hAnsi="宋体" w:cs="宋体" w:eastAsia="宋体" w:hint="default"/>
                <w:sz w:val="18"/>
                <w:szCs w:val="18"/>
              </w:rPr>
              <w:t>年第一期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01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123322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7"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2014 </w:t>
            </w:r>
            <w:r>
              <w:rPr>
                <w:rFonts w:ascii="宋体" w:hAnsi="宋体" w:cs="宋体" w:eastAsia="宋体" w:hint="default"/>
                <w:sz w:val="18"/>
                <w:szCs w:val="18"/>
              </w:rPr>
              <w:t>年第二期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02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123306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2015 </w:t>
            </w:r>
            <w:r>
              <w:rPr>
                <w:rFonts w:ascii="宋体" w:hAnsi="宋体" w:cs="宋体" w:eastAsia="宋体" w:hint="default"/>
                <w:sz w:val="18"/>
                <w:szCs w:val="18"/>
              </w:rPr>
              <w:t>年第一期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01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123223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6"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2015 </w:t>
            </w:r>
            <w:r>
              <w:rPr>
                <w:rFonts w:ascii="宋体" w:hAnsi="宋体" w:cs="宋体" w:eastAsia="宋体" w:hint="default"/>
                <w:sz w:val="18"/>
                <w:szCs w:val="18"/>
              </w:rPr>
              <w:t>年第二期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02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123081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9"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before="2"/>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2016 </w:t>
            </w:r>
            <w:r>
              <w:rPr>
                <w:rFonts w:ascii="宋体" w:hAnsi="宋体" w:cs="宋体" w:eastAsia="宋体" w:hint="default"/>
                <w:sz w:val="18"/>
                <w:szCs w:val="18"/>
              </w:rPr>
              <w:t>年永续次 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Y1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spacing w:val="-1"/>
                <w:sz w:val="18"/>
              </w:rPr>
              <w:t>135253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before="2"/>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bl>
    <w:p>
      <w:pPr>
        <w:spacing w:after="0" w:line="205" w:lineRule="exact"/>
        <w:jc w:val="left"/>
        <w:rPr>
          <w:rFonts w:ascii="宋体" w:hAnsi="宋体" w:cs="宋体" w:eastAsia="宋体" w:hint="default"/>
          <w:sz w:val="18"/>
          <w:szCs w:val="18"/>
        </w:rPr>
        <w:sectPr>
          <w:type w:val="continuous"/>
          <w:pgSz w:w="11910" w:h="16840"/>
          <w:pgMar w:top="1060" w:bottom="13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986"/>
        <w:gridCol w:w="989"/>
        <w:gridCol w:w="985"/>
        <w:gridCol w:w="986"/>
        <w:gridCol w:w="987"/>
        <w:gridCol w:w="1387"/>
        <w:gridCol w:w="876"/>
        <w:gridCol w:w="1277"/>
        <w:gridCol w:w="814"/>
      </w:tblGrid>
      <w:tr>
        <w:trPr>
          <w:trHeight w:val="4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9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2016 </w:t>
            </w:r>
            <w:r>
              <w:rPr>
                <w:rFonts w:ascii="宋体" w:hAnsi="宋体" w:cs="宋体" w:eastAsia="宋体" w:hint="default"/>
                <w:sz w:val="18"/>
                <w:szCs w:val="18"/>
              </w:rPr>
              <w:t>年第一期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01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135491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6"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2016 </w:t>
            </w:r>
            <w:r>
              <w:rPr>
                <w:rFonts w:ascii="宋体" w:hAnsi="宋体" w:cs="宋体" w:eastAsia="宋体" w:hint="default"/>
                <w:sz w:val="18"/>
                <w:szCs w:val="18"/>
              </w:rPr>
              <w:t>年第二期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02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135558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9"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before="2"/>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2018 </w:t>
            </w:r>
            <w:r>
              <w:rPr>
                <w:rFonts w:ascii="宋体" w:hAnsi="宋体" w:cs="宋体" w:eastAsia="宋体" w:hint="default"/>
                <w:sz w:val="18"/>
                <w:szCs w:val="18"/>
              </w:rPr>
              <w:t>年第一期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C1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150183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before="2"/>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6"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2018 </w:t>
            </w:r>
            <w:r>
              <w:rPr>
                <w:rFonts w:ascii="宋体" w:hAnsi="宋体" w:cs="宋体" w:eastAsia="宋体" w:hint="default"/>
                <w:sz w:val="18"/>
                <w:szCs w:val="18"/>
              </w:rPr>
              <w:t>年第二期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C2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150296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2018 </w:t>
            </w:r>
            <w:r>
              <w:rPr>
                <w:rFonts w:ascii="宋体" w:hAnsi="宋体" w:cs="宋体" w:eastAsia="宋体" w:hint="default"/>
                <w:sz w:val="18"/>
                <w:szCs w:val="18"/>
              </w:rPr>
              <w:t>年第三期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C3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150618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6"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7" w:lineRule="auto" w:before="1"/>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2019 </w:t>
            </w:r>
            <w:r>
              <w:rPr>
                <w:rFonts w:ascii="宋体" w:hAnsi="宋体" w:cs="宋体" w:eastAsia="宋体" w:hint="default"/>
                <w:sz w:val="18"/>
                <w:szCs w:val="18"/>
              </w:rPr>
              <w:t>年第一期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C1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151073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7" w:lineRule="auto" w:before="1"/>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r>
        <w:trPr>
          <w:trHeight w:val="1178" w:hRule="exact"/>
        </w:trPr>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财通证券</w:t>
            </w:r>
          </w:p>
          <w:p>
            <w:pPr>
              <w:pStyle w:val="TableParagraph"/>
              <w:spacing w:line="232" w:lineRule="exact" w:before="24"/>
              <w:ind w:left="103" w:right="105"/>
              <w:jc w:val="both"/>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pacing w:val="-45"/>
                <w:sz w:val="18"/>
                <w:szCs w:val="18"/>
              </w:rPr>
              <w:t> </w:t>
            </w:r>
            <w:r>
              <w:rPr>
                <w:rFonts w:ascii="宋体" w:hAnsi="宋体" w:cs="宋体" w:eastAsia="宋体" w:hint="default"/>
                <w:sz w:val="18"/>
                <w:szCs w:val="18"/>
              </w:rPr>
              <w:t>2019 </w:t>
            </w:r>
            <w:r>
              <w:rPr>
                <w:rFonts w:ascii="宋体" w:hAnsi="宋体" w:cs="宋体" w:eastAsia="宋体" w:hint="default"/>
                <w:sz w:val="18"/>
                <w:szCs w:val="18"/>
              </w:rPr>
              <w:t>年第二期 次级债券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67"/>
                <w:sz w:val="18"/>
                <w:szCs w:val="18"/>
              </w:rPr>
              <w:t> </w:t>
            </w:r>
            <w:r>
              <w:rPr>
                <w:rFonts w:ascii="宋体" w:hAnsi="宋体" w:cs="宋体" w:eastAsia="宋体" w:hint="default"/>
                <w:sz w:val="18"/>
                <w:szCs w:val="18"/>
              </w:rPr>
              <w:t>财通</w:t>
            </w:r>
            <w:r>
              <w:rPr>
                <w:rFonts w:ascii="宋体" w:hAnsi="宋体" w:cs="宋体" w:eastAsia="宋体" w:hint="default"/>
                <w:spacing w:val="-67"/>
                <w:sz w:val="18"/>
                <w:szCs w:val="18"/>
              </w:rPr>
              <w:t> </w:t>
            </w:r>
            <w:r>
              <w:rPr>
                <w:rFonts w:ascii="宋体" w:hAnsi="宋体" w:cs="宋体" w:eastAsia="宋体" w:hint="default"/>
                <w:sz w:val="18"/>
                <w:szCs w:val="18"/>
              </w:rPr>
              <w:t>C3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151137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单利按年计</w:t>
            </w:r>
          </w:p>
          <w:p>
            <w:pPr>
              <w:pStyle w:val="TableParagraph"/>
              <w:spacing w:line="232" w:lineRule="exact" w:before="24"/>
              <w:ind w:left="103" w:right="82"/>
              <w:jc w:val="left"/>
              <w:rPr>
                <w:rFonts w:ascii="宋体" w:hAnsi="宋体" w:cs="宋体" w:eastAsia="宋体" w:hint="default"/>
                <w:sz w:val="18"/>
                <w:szCs w:val="18"/>
              </w:rPr>
            </w:pPr>
            <w:r>
              <w:rPr>
                <w:rFonts w:ascii="宋体" w:hAnsi="宋体" w:cs="宋体" w:eastAsia="宋体" w:hint="default"/>
                <w:sz w:val="18"/>
                <w:szCs w:val="18"/>
              </w:rPr>
              <w:t>息，不计复 </w:t>
            </w:r>
            <w:r>
              <w:rPr>
                <w:rFonts w:ascii="宋体" w:hAnsi="宋体" w:cs="宋体" w:eastAsia="宋体" w:hint="default"/>
                <w:spacing w:val="-3"/>
                <w:sz w:val="18"/>
                <w:szCs w:val="18"/>
              </w:rPr>
              <w:t>利，每年付息</w:t>
            </w:r>
            <w:r>
              <w:rPr>
                <w:rFonts w:ascii="宋体" w:hAnsi="宋体" w:cs="宋体" w:eastAsia="宋体" w:hint="default"/>
                <w:sz w:val="18"/>
                <w:szCs w:val="18"/>
              </w:rPr>
              <w:t> </w:t>
            </w:r>
            <w:r>
              <w:rPr>
                <w:rFonts w:ascii="宋体" w:hAnsi="宋体" w:cs="宋体" w:eastAsia="宋体" w:hint="default"/>
                <w:spacing w:val="-3"/>
                <w:sz w:val="18"/>
                <w:szCs w:val="18"/>
              </w:rPr>
              <w:t>一次，到期一</w:t>
            </w:r>
            <w:r>
              <w:rPr>
                <w:rFonts w:ascii="宋体" w:hAnsi="宋体" w:cs="宋体" w:eastAsia="宋体" w:hint="default"/>
                <w:sz w:val="18"/>
                <w:szCs w:val="18"/>
              </w:rPr>
              <w:t> 次还本付息。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上交所</w:t>
            </w:r>
          </w:p>
        </w:tc>
      </w:tr>
    </w:tbl>
    <w:p>
      <w:pPr>
        <w:spacing w:line="240" w:lineRule="auto" w:before="4"/>
        <w:rPr>
          <w:rFonts w:ascii="宋体" w:hAnsi="宋体" w:cs="宋体" w:eastAsia="宋体" w:hint="default"/>
          <w:sz w:val="18"/>
          <w:szCs w:val="18"/>
        </w:rPr>
      </w:pPr>
    </w:p>
    <w:p>
      <w:pPr>
        <w:pStyle w:val="BodyText"/>
        <w:spacing w:line="274" w:lineRule="exact" w:before="36"/>
        <w:ind w:left="220" w:right="0"/>
        <w:jc w:val="left"/>
      </w:pPr>
      <w:r>
        <w:rPr/>
        <w:t>公司债券付息兑付情况</w:t>
      </w:r>
    </w:p>
    <w:p>
      <w:pPr>
        <w:pStyle w:val="BodyText"/>
        <w:spacing w:line="274" w:lineRule="exact"/>
        <w:ind w:left="220" w:right="0"/>
        <w:jc w:val="left"/>
      </w:pPr>
      <w:r>
        <w:rPr/>
        <w:t>√适用 □不适用</w:t>
      </w:r>
    </w:p>
    <w:p>
      <w:pPr>
        <w:spacing w:line="240" w:lineRule="auto" w:before="5"/>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4525"/>
        <w:gridCol w:w="4525"/>
      </w:tblGrid>
      <w:tr>
        <w:trPr>
          <w:trHeight w:val="42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付息兑付情况</w:t>
            </w:r>
          </w:p>
        </w:tc>
      </w:tr>
      <w:tr>
        <w:trPr>
          <w:trHeight w:val="82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日按期足额兑付当期利息</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和回售款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133,096 </w:t>
            </w:r>
            <w:r>
              <w:rPr>
                <w:rFonts w:ascii="宋体" w:hAnsi="宋体" w:cs="宋体" w:eastAsia="宋体" w:hint="default"/>
                <w:sz w:val="21"/>
                <w:szCs w:val="21"/>
              </w:rPr>
              <w:t>万元。</w:t>
            </w:r>
          </w:p>
        </w:tc>
      </w:tr>
      <w:tr>
        <w:trPr>
          <w:trHeight w:val="42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 </w:t>
            </w:r>
            <w:r>
              <w:rPr>
                <w:rFonts w:ascii="宋体" w:hAnsi="宋体" w:cs="宋体" w:eastAsia="宋体" w:hint="default"/>
                <w:sz w:val="21"/>
                <w:szCs w:val="21"/>
              </w:rPr>
              <w:t>日按期足额兑付利息</w:t>
            </w:r>
          </w:p>
        </w:tc>
      </w:tr>
      <w:tr>
        <w:trPr>
          <w:trHeight w:val="4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年第一期次级债券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日按期足额兑付利息</w:t>
            </w:r>
          </w:p>
        </w:tc>
      </w:tr>
      <w:tr>
        <w:trPr>
          <w:trHeight w:val="4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年第二期次级债券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 </w:t>
            </w:r>
            <w:r>
              <w:rPr>
                <w:rFonts w:ascii="宋体" w:hAnsi="宋体" w:cs="宋体" w:eastAsia="宋体" w:hint="default"/>
                <w:sz w:val="21"/>
                <w:szCs w:val="21"/>
              </w:rPr>
              <w:t>日按期足额兑付利息</w:t>
            </w:r>
          </w:p>
        </w:tc>
      </w:tr>
      <w:tr>
        <w:trPr>
          <w:trHeight w:val="82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财通证券股份有限公司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50"/>
                <w:sz w:val="21"/>
                <w:szCs w:val="21"/>
              </w:rPr>
              <w:t> </w:t>
            </w:r>
            <w:r>
              <w:rPr>
                <w:rFonts w:ascii="宋体" w:hAnsi="宋体" w:cs="宋体" w:eastAsia="宋体" w:hint="default"/>
                <w:spacing w:val="2"/>
                <w:sz w:val="21"/>
                <w:szCs w:val="21"/>
              </w:rPr>
              <w:t>年永续次级债券</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（第一期）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日按期足额兑付利息</w:t>
            </w:r>
          </w:p>
        </w:tc>
      </w:tr>
      <w:tr>
        <w:trPr>
          <w:trHeight w:val="42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年第一期次级债券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日按期足额兑付利息</w:t>
            </w:r>
          </w:p>
        </w:tc>
      </w:tr>
    </w:tbl>
    <w:p>
      <w:pPr>
        <w:spacing w:after="0" w:line="257" w:lineRule="exact"/>
        <w:jc w:val="left"/>
        <w:rPr>
          <w:rFonts w:ascii="宋体" w:hAnsi="宋体" w:cs="宋体" w:eastAsia="宋体" w:hint="default"/>
          <w:sz w:val="21"/>
          <w:szCs w:val="21"/>
        </w:rPr>
        <w:sectPr>
          <w:pgSz w:w="11910" w:h="16840"/>
          <w:pgMar w:header="880" w:footer="1195" w:top="1120" w:bottom="1380" w:left="13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4525"/>
        <w:gridCol w:w="4525"/>
      </w:tblGrid>
      <w:tr>
        <w:trPr>
          <w:trHeight w:val="82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年第二期次级债券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日按期足额兑付当期利息</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和回售款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4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年第一期次级债券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日按期足额兑付利息</w:t>
            </w:r>
          </w:p>
        </w:tc>
      </w:tr>
      <w:tr>
        <w:trPr>
          <w:trHeight w:val="42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财通证券股份有限公司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年第二期次级债券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日按期足额兑付利息</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73" w:lineRule="exact" w:before="36"/>
        <w:ind w:left="220" w:right="0"/>
        <w:jc w:val="both"/>
      </w:pPr>
      <w:r>
        <w:rPr/>
        <w:t>公司债券其他情况的说明</w:t>
      </w:r>
    </w:p>
    <w:p>
      <w:pPr>
        <w:pStyle w:val="BodyText"/>
        <w:spacing w:line="272" w:lineRule="exact"/>
        <w:ind w:left="220" w:right="0"/>
        <w:jc w:val="both"/>
      </w:pPr>
      <w:r>
        <w:rPr/>
        <w:t>√适用 □不适用</w:t>
      </w:r>
    </w:p>
    <w:p>
      <w:pPr>
        <w:pStyle w:val="BodyText"/>
        <w:spacing w:line="301" w:lineRule="exact"/>
        <w:ind w:left="700" w:right="0"/>
        <w:jc w:val="left"/>
      </w:pPr>
      <w:r>
        <w:rPr>
          <w:w w:val="100"/>
        </w:rPr>
        <w:t>（</w:t>
      </w:r>
      <w:r>
        <w:rPr>
          <w:rFonts w:ascii="Calibri" w:hAnsi="Calibri" w:cs="Calibri" w:eastAsia="Calibri" w:hint="default"/>
          <w:w w:val="100"/>
        </w:rPr>
        <w:t>1</w:t>
      </w:r>
      <w:r>
        <w:rPr>
          <w:spacing w:val="-108"/>
          <w:w w:val="100"/>
        </w:rPr>
        <w:t>）</w:t>
      </w:r>
      <w:r>
        <w:rPr>
          <w:spacing w:val="-3"/>
          <w:w w:val="100"/>
        </w:rPr>
        <w:t>“</w:t>
      </w:r>
      <w:r>
        <w:rPr>
          <w:rFonts w:ascii="Calibri" w:hAnsi="Calibri" w:cs="Calibri" w:eastAsia="Calibri" w:hint="default"/>
          <w:spacing w:val="-2"/>
          <w:w w:val="100"/>
        </w:rPr>
        <w:t>1</w:t>
      </w:r>
      <w:r>
        <w:rPr>
          <w:rFonts w:ascii="Calibri" w:hAnsi="Calibri" w:cs="Calibri" w:eastAsia="Calibri" w:hint="default"/>
          <w:w w:val="100"/>
        </w:rPr>
        <w:t>4</w:t>
      </w:r>
      <w:r>
        <w:rPr>
          <w:rFonts w:ascii="Calibri" w:hAnsi="Calibri" w:cs="Calibri" w:eastAsia="Calibri" w:hint="default"/>
        </w:rPr>
        <w:t> </w:t>
      </w:r>
      <w:r>
        <w:rPr>
          <w:rFonts w:ascii="Calibri" w:hAnsi="Calibri" w:cs="Calibri" w:eastAsia="Calibri" w:hint="default"/>
          <w:spacing w:val="-13"/>
        </w:rPr>
        <w:t> </w:t>
      </w:r>
      <w:r>
        <w:rPr>
          <w:spacing w:val="-3"/>
          <w:w w:val="100"/>
        </w:rPr>
        <w:t>财</w:t>
      </w:r>
      <w:r>
        <w:rPr>
          <w:w w:val="100"/>
        </w:rPr>
        <w:t>通</w:t>
      </w:r>
      <w:r>
        <w:rPr>
          <w:spacing w:val="-3"/>
          <w:w w:val="100"/>
        </w:rPr>
        <w:t>债</w:t>
      </w:r>
      <w:r>
        <w:rPr>
          <w:w w:val="100"/>
        </w:rPr>
        <w:t>”</w:t>
      </w:r>
      <w:r>
        <w:rPr>
          <w:spacing w:val="-3"/>
          <w:w w:val="100"/>
        </w:rPr>
        <w:t>由</w:t>
      </w:r>
      <w:r>
        <w:rPr>
          <w:w w:val="100"/>
        </w:rPr>
        <w:t>浙</w:t>
      </w:r>
      <w:r>
        <w:rPr>
          <w:spacing w:val="-3"/>
          <w:w w:val="100"/>
        </w:rPr>
        <w:t>江</w:t>
      </w:r>
      <w:r>
        <w:rPr>
          <w:w w:val="100"/>
        </w:rPr>
        <w:t>省金</w:t>
      </w:r>
      <w:r>
        <w:rPr>
          <w:spacing w:val="-3"/>
          <w:w w:val="100"/>
        </w:rPr>
        <w:t>融</w:t>
      </w:r>
      <w:r>
        <w:rPr>
          <w:w w:val="100"/>
        </w:rPr>
        <w:t>控</w:t>
      </w:r>
      <w:r>
        <w:rPr>
          <w:spacing w:val="-3"/>
          <w:w w:val="100"/>
        </w:rPr>
        <w:t>股</w:t>
      </w:r>
      <w:r>
        <w:rPr>
          <w:w w:val="100"/>
        </w:rPr>
        <w:t>有</w:t>
      </w:r>
      <w:r>
        <w:rPr>
          <w:spacing w:val="-3"/>
          <w:w w:val="100"/>
        </w:rPr>
        <w:t>限</w:t>
      </w:r>
      <w:r>
        <w:rPr>
          <w:w w:val="100"/>
        </w:rPr>
        <w:t>公</w:t>
      </w:r>
      <w:r>
        <w:rPr>
          <w:spacing w:val="-3"/>
          <w:w w:val="100"/>
        </w:rPr>
        <w:t>司</w:t>
      </w:r>
      <w:r>
        <w:rPr>
          <w:w w:val="100"/>
        </w:rPr>
        <w:t>提</w:t>
      </w:r>
      <w:r>
        <w:rPr>
          <w:spacing w:val="-3"/>
          <w:w w:val="100"/>
        </w:rPr>
        <w:t>供</w:t>
      </w:r>
      <w:r>
        <w:rPr>
          <w:w w:val="100"/>
        </w:rPr>
        <w:t>全额</w:t>
      </w:r>
      <w:r>
        <w:rPr>
          <w:spacing w:val="-3"/>
          <w:w w:val="100"/>
        </w:rPr>
        <w:t>无</w:t>
      </w:r>
      <w:r>
        <w:rPr>
          <w:w w:val="100"/>
        </w:rPr>
        <w:t>条</w:t>
      </w:r>
      <w:r>
        <w:rPr>
          <w:spacing w:val="-3"/>
          <w:w w:val="100"/>
        </w:rPr>
        <w:t>件</w:t>
      </w:r>
      <w:r>
        <w:rPr>
          <w:w w:val="100"/>
        </w:rPr>
        <w:t>不</w:t>
      </w:r>
      <w:r>
        <w:rPr>
          <w:spacing w:val="-3"/>
          <w:w w:val="100"/>
        </w:rPr>
        <w:t>可</w:t>
      </w:r>
      <w:r>
        <w:rPr>
          <w:w w:val="100"/>
        </w:rPr>
        <w:t>撤</w:t>
      </w:r>
      <w:r>
        <w:rPr>
          <w:spacing w:val="-3"/>
          <w:w w:val="100"/>
        </w:rPr>
        <w:t>销</w:t>
      </w:r>
      <w:r>
        <w:rPr>
          <w:w w:val="100"/>
        </w:rPr>
        <w:t>连</w:t>
      </w:r>
      <w:r>
        <w:rPr>
          <w:spacing w:val="-3"/>
          <w:w w:val="100"/>
        </w:rPr>
        <w:t>带</w:t>
      </w:r>
      <w:r>
        <w:rPr>
          <w:w w:val="100"/>
        </w:rPr>
        <w:t>责任</w:t>
      </w:r>
      <w:r>
        <w:rPr>
          <w:spacing w:val="-3"/>
          <w:w w:val="100"/>
        </w:rPr>
        <w:t>的</w:t>
      </w:r>
      <w:r>
        <w:rPr>
          <w:w w:val="100"/>
        </w:rPr>
        <w:t>保</w:t>
      </w:r>
      <w:r>
        <w:rPr>
          <w:spacing w:val="-3"/>
          <w:w w:val="100"/>
        </w:rPr>
        <w:t>证</w:t>
      </w:r>
      <w:r>
        <w:rPr>
          <w:w w:val="100"/>
        </w:rPr>
        <w:t>担</w:t>
      </w:r>
      <w:r>
        <w:rPr>
          <w:spacing w:val="-3"/>
          <w:w w:val="100"/>
        </w:rPr>
        <w:t>保</w:t>
      </w:r>
      <w:r>
        <w:rPr>
          <w:w w:val="100"/>
        </w:rPr>
        <w:t>，</w:t>
      </w:r>
    </w:p>
    <w:p>
      <w:pPr>
        <w:pStyle w:val="BodyText"/>
        <w:spacing w:line="340" w:lineRule="auto" w:before="107"/>
        <w:ind w:left="220" w:right="227"/>
        <w:jc w:val="both"/>
      </w:pPr>
      <w:r>
        <w:rPr/>
        <w:t>担保范围包括本金、利息、违约金、损害赔偿金和实现债权的费用，同时附第 </w:t>
      </w:r>
      <w:r>
        <w:rPr>
          <w:rFonts w:ascii="Calibri" w:hAnsi="Calibri" w:cs="Calibri" w:eastAsia="Calibri" w:hint="default"/>
        </w:rPr>
        <w:t>3</w:t>
      </w:r>
      <w:r>
        <w:rPr>
          <w:rFonts w:ascii="Calibri" w:hAnsi="Calibri" w:cs="Calibri" w:eastAsia="Calibri" w:hint="default"/>
          <w:spacing w:val="-17"/>
        </w:rPr>
        <w:t> </w:t>
      </w:r>
      <w:r>
        <w:rPr/>
        <w:t>年末发行人上调票</w:t>
      </w:r>
      <w:r>
        <w:rPr>
          <w:w w:val="100"/>
        </w:rPr>
        <w:t> </w:t>
      </w:r>
      <w:r>
        <w:rPr>
          <w:spacing w:val="-1"/>
        </w:rPr>
        <w:t>面利率选择权及投资者回售选择权条款。报告期内公司未上调票面利率，部分投资者实施了回售选</w:t>
      </w:r>
      <w:r>
        <w:rPr>
          <w:spacing w:val="-20"/>
        </w:rPr>
        <w:t> </w:t>
      </w:r>
      <w:r>
        <w:rPr>
          <w:spacing w:val="-20"/>
        </w:rPr>
      </w:r>
      <w:r>
        <w:rPr/>
        <w:t>择权，最终回售了</w:t>
      </w:r>
      <w:r>
        <w:rPr>
          <w:spacing w:val="-56"/>
        </w:rPr>
        <w:t> </w:t>
      </w:r>
      <w:r>
        <w:rPr>
          <w:rFonts w:ascii="Calibri" w:hAnsi="Calibri" w:cs="Calibri" w:eastAsia="Calibri" w:hint="default"/>
        </w:rPr>
        <w:t>133,096</w:t>
      </w:r>
      <w:r>
        <w:rPr>
          <w:rFonts w:ascii="Calibri" w:hAnsi="Calibri" w:cs="Calibri" w:eastAsia="Calibri" w:hint="default"/>
          <w:spacing w:val="6"/>
        </w:rPr>
        <w:t> </w:t>
      </w:r>
      <w:r>
        <w:rPr/>
        <w:t>万元。</w:t>
      </w:r>
    </w:p>
    <w:p>
      <w:pPr>
        <w:pStyle w:val="BodyText"/>
        <w:spacing w:line="336" w:lineRule="auto" w:before="1"/>
        <w:ind w:left="220" w:right="228" w:firstLine="420"/>
        <w:jc w:val="both"/>
      </w:pPr>
      <w:r>
        <w:rPr>
          <w:spacing w:val="-22"/>
          <w:w w:val="100"/>
        </w:rPr>
        <w:t>（</w:t>
      </w:r>
      <w:r>
        <w:rPr>
          <w:rFonts w:ascii="Calibri" w:hAnsi="Calibri" w:cs="Calibri" w:eastAsia="Calibri" w:hint="default"/>
          <w:spacing w:val="-22"/>
          <w:w w:val="100"/>
        </w:rPr>
        <w:t>2</w:t>
      </w:r>
      <w:r>
        <w:rPr>
          <w:spacing w:val="-22"/>
          <w:w w:val="100"/>
        </w:rPr>
        <w:t>）“</w:t>
      </w:r>
      <w:r>
        <w:rPr>
          <w:rFonts w:ascii="Calibri" w:hAnsi="Calibri" w:cs="Calibri" w:eastAsia="Calibri" w:hint="default"/>
          <w:spacing w:val="-22"/>
          <w:w w:val="100"/>
        </w:rPr>
        <w:t>16</w:t>
      </w:r>
      <w:r>
        <w:rPr>
          <w:rFonts w:ascii="Calibri" w:hAnsi="Calibri" w:cs="Calibri" w:eastAsia="Calibri" w:hint="default"/>
          <w:w w:val="100"/>
        </w:rPr>
        <w:t> </w:t>
      </w:r>
      <w:r>
        <w:rPr>
          <w:spacing w:val="-2"/>
          <w:w w:val="100"/>
        </w:rPr>
        <w:t>财通</w:t>
      </w:r>
      <w:r>
        <w:rPr>
          <w:spacing w:val="-46"/>
          <w:w w:val="100"/>
        </w:rPr>
        <w:t> </w:t>
      </w:r>
      <w:r>
        <w:rPr>
          <w:rFonts w:ascii="Calibri" w:hAnsi="Calibri" w:cs="Calibri" w:eastAsia="Calibri" w:hint="default"/>
          <w:spacing w:val="-3"/>
          <w:w w:val="100"/>
        </w:rPr>
        <w:t>Y1</w:t>
      </w:r>
      <w:r>
        <w:rPr>
          <w:spacing w:val="-3"/>
          <w:w w:val="100"/>
        </w:rPr>
        <w:t>”是公司向机构投资者发行的、清偿顺序在普通债之后的有价证券，该债券依</w:t>
      </w:r>
      <w:r>
        <w:rPr>
          <w:w w:val="100"/>
        </w:rPr>
        <w:t> </w:t>
      </w:r>
      <w:r>
        <w:rPr/>
        <w:t>照发行条款的约定赎回之前长期存续，并在公司依据发行条款的约定赎回时到期。该债券附第 </w:t>
      </w:r>
      <w:r>
        <w:rPr>
          <w:rFonts w:ascii="Calibri" w:hAnsi="Calibri" w:cs="Calibri" w:eastAsia="Calibri" w:hint="default"/>
        </w:rPr>
        <w:t>5</w:t>
      </w:r>
      <w:r>
        <w:rPr>
          <w:rFonts w:ascii="Calibri" w:hAnsi="Calibri" w:cs="Calibri" w:eastAsia="Calibri" w:hint="default"/>
          <w:spacing w:val="-16"/>
        </w:rPr>
        <w:t> </w:t>
      </w:r>
      <w:r>
        <w:rPr/>
        <w:t>个</w:t>
      </w:r>
      <w:r>
        <w:rPr>
          <w:w w:val="100"/>
        </w:rPr>
        <w:t> </w:t>
      </w:r>
      <w:r>
        <w:rPr>
          <w:spacing w:val="-1"/>
        </w:rPr>
        <w:t>和其后每个付息日，公司有权按面值加应付利息（包括所有递延支付的利息及其孳息）一次性全额</w:t>
      </w:r>
      <w:r>
        <w:rPr>
          <w:spacing w:val="-20"/>
        </w:rPr>
        <w:t> </w:t>
      </w:r>
      <w:r>
        <w:rPr>
          <w:spacing w:val="-20"/>
        </w:rPr>
      </w:r>
      <w:r>
        <w:rPr/>
        <w:t>赎回本次债券，报告期内未发生相关条款的执行情况。</w:t>
      </w:r>
    </w:p>
    <w:p>
      <w:pPr>
        <w:pStyle w:val="BodyText"/>
        <w:spacing w:line="326" w:lineRule="auto" w:before="49"/>
        <w:ind w:left="220" w:right="228" w:firstLine="420"/>
        <w:jc w:val="both"/>
      </w:pPr>
      <w:r>
        <w:rPr>
          <w:spacing w:val="-23"/>
          <w:w w:val="100"/>
        </w:rPr>
        <w:t>（</w:t>
      </w:r>
      <w:r>
        <w:rPr>
          <w:rFonts w:ascii="Calibri" w:hAnsi="Calibri" w:cs="Calibri" w:eastAsia="Calibri" w:hint="default"/>
          <w:spacing w:val="-23"/>
          <w:w w:val="100"/>
        </w:rPr>
        <w:t>3</w:t>
      </w:r>
      <w:r>
        <w:rPr>
          <w:spacing w:val="-23"/>
          <w:w w:val="100"/>
        </w:rPr>
        <w:t>）“</w:t>
      </w:r>
      <w:r>
        <w:rPr>
          <w:rFonts w:ascii="Calibri" w:hAnsi="Calibri" w:cs="Calibri" w:eastAsia="Calibri" w:hint="default"/>
          <w:spacing w:val="-23"/>
          <w:w w:val="100"/>
        </w:rPr>
        <w:t>16</w:t>
      </w:r>
      <w:r>
        <w:rPr>
          <w:rFonts w:ascii="Calibri" w:hAnsi="Calibri" w:cs="Calibri" w:eastAsia="Calibri" w:hint="default"/>
          <w:spacing w:val="12"/>
          <w:w w:val="100"/>
        </w:rPr>
        <w:t> </w:t>
      </w:r>
      <w:r>
        <w:rPr>
          <w:spacing w:val="-2"/>
          <w:w w:val="100"/>
        </w:rPr>
        <w:t>财通</w:t>
      </w:r>
      <w:r>
        <w:rPr>
          <w:spacing w:val="-47"/>
          <w:w w:val="100"/>
        </w:rPr>
        <w:t> </w:t>
      </w:r>
      <w:r>
        <w:rPr>
          <w:rFonts w:ascii="Calibri" w:hAnsi="Calibri" w:cs="Calibri" w:eastAsia="Calibri" w:hint="default"/>
          <w:spacing w:val="-7"/>
          <w:w w:val="100"/>
        </w:rPr>
        <w:t>02</w:t>
      </w:r>
      <w:r>
        <w:rPr>
          <w:spacing w:val="-7"/>
          <w:w w:val="100"/>
        </w:rPr>
        <w:t>”附第</w:t>
      </w:r>
      <w:r>
        <w:rPr>
          <w:spacing w:val="-48"/>
          <w:w w:val="100"/>
        </w:rPr>
        <w:t> </w:t>
      </w:r>
      <w:r>
        <w:rPr>
          <w:rFonts w:ascii="Calibri" w:hAnsi="Calibri" w:cs="Calibri" w:eastAsia="Calibri" w:hint="default"/>
          <w:w w:val="100"/>
        </w:rPr>
        <w:t>2</w:t>
      </w:r>
      <w:r>
        <w:rPr>
          <w:rFonts w:ascii="Calibri" w:hAnsi="Calibri" w:cs="Calibri" w:eastAsia="Calibri" w:hint="default"/>
          <w:spacing w:val="9"/>
          <w:w w:val="100"/>
        </w:rPr>
        <w:t> </w:t>
      </w:r>
      <w:r>
        <w:rPr>
          <w:spacing w:val="-3"/>
          <w:w w:val="100"/>
        </w:rPr>
        <w:t>年末发行人上调票面利率选择权及投资者回售选择条款。报告期内公</w:t>
      </w:r>
      <w:r>
        <w:rPr>
          <w:w w:val="100"/>
        </w:rPr>
        <w:t> </w:t>
      </w:r>
      <w:r>
        <w:rPr/>
        <w:t>司上调票面利率至</w:t>
      </w:r>
      <w:r>
        <w:rPr>
          <w:spacing w:val="-56"/>
        </w:rPr>
        <w:t> </w:t>
      </w:r>
      <w:r>
        <w:rPr>
          <w:rFonts w:ascii="Calibri" w:hAnsi="Calibri" w:cs="Calibri" w:eastAsia="Calibri" w:hint="default"/>
        </w:rPr>
        <w:t>5.30%</w:t>
      </w:r>
      <w:r>
        <w:rPr/>
        <w:t>，部分投资者实施了回售选择权，最终回售了</w:t>
      </w:r>
      <w:r>
        <w:rPr>
          <w:spacing w:val="-54"/>
        </w:rPr>
        <w:t> </w:t>
      </w:r>
      <w:r>
        <w:rPr>
          <w:rFonts w:ascii="Calibri" w:hAnsi="Calibri" w:cs="Calibri" w:eastAsia="Calibri" w:hint="default"/>
        </w:rPr>
        <w:t>4</w:t>
      </w:r>
      <w:r>
        <w:rPr>
          <w:rFonts w:ascii="Calibri" w:hAnsi="Calibri" w:cs="Calibri" w:eastAsia="Calibri" w:hint="default"/>
          <w:spacing w:val="2"/>
        </w:rPr>
        <w:t> </w:t>
      </w:r>
      <w:r>
        <w:rPr/>
        <w:t>亿元。</w:t>
      </w:r>
    </w:p>
    <w:p>
      <w:pPr>
        <w:pStyle w:val="BodyText"/>
        <w:spacing w:line="240" w:lineRule="auto" w:before="14"/>
        <w:ind w:left="640" w:right="0"/>
        <w:jc w:val="left"/>
      </w:pPr>
      <w:r>
        <w:rPr>
          <w:spacing w:val="-1"/>
          <w:w w:val="100"/>
        </w:rPr>
        <w:t>（</w:t>
      </w:r>
      <w:r>
        <w:rPr>
          <w:rFonts w:ascii="Arial" w:hAnsi="Arial" w:cs="Arial" w:eastAsia="Arial" w:hint="default"/>
          <w:w w:val="100"/>
        </w:rPr>
        <w:t>4</w:t>
      </w:r>
      <w:r>
        <w:rPr>
          <w:spacing w:val="-3"/>
          <w:w w:val="100"/>
        </w:rPr>
        <w:t>）</w:t>
      </w:r>
      <w:r>
        <w:rPr>
          <w:w w:val="100"/>
        </w:rPr>
        <w:t>截</w:t>
      </w:r>
      <w:r>
        <w:rPr>
          <w:spacing w:val="-3"/>
          <w:w w:val="100"/>
        </w:rPr>
        <w:t>至</w:t>
      </w:r>
      <w:r>
        <w:rPr>
          <w:w w:val="100"/>
        </w:rPr>
        <w:t>本</w:t>
      </w:r>
      <w:r>
        <w:rPr>
          <w:spacing w:val="-3"/>
          <w:w w:val="100"/>
        </w:rPr>
        <w:t>报</w:t>
      </w:r>
      <w:r>
        <w:rPr>
          <w:w w:val="100"/>
        </w:rPr>
        <w:t>告</w:t>
      </w:r>
      <w:r>
        <w:rPr>
          <w:spacing w:val="-3"/>
          <w:w w:val="100"/>
        </w:rPr>
        <w:t>签</w:t>
      </w:r>
      <w:r>
        <w:rPr>
          <w:w w:val="100"/>
        </w:rPr>
        <w:t>署</w:t>
      </w:r>
      <w:r>
        <w:rPr>
          <w:spacing w:val="-3"/>
          <w:w w:val="100"/>
        </w:rPr>
        <w:t>日</w:t>
      </w:r>
      <w:r>
        <w:rPr>
          <w:spacing w:val="-108"/>
          <w:w w:val="100"/>
        </w:rPr>
        <w:t>，</w:t>
      </w:r>
      <w:r>
        <w:rPr>
          <w:w w:val="100"/>
        </w:rPr>
        <w:t>“</w:t>
      </w:r>
      <w:r>
        <w:rPr>
          <w:rFonts w:ascii="Calibri" w:hAnsi="Calibri" w:cs="Calibri" w:eastAsia="Calibri" w:hint="default"/>
          <w:spacing w:val="-2"/>
          <w:w w:val="100"/>
        </w:rPr>
        <w:t>1</w:t>
      </w:r>
      <w:r>
        <w:rPr>
          <w:rFonts w:ascii="Calibri" w:hAnsi="Calibri" w:cs="Calibri" w:eastAsia="Calibri" w:hint="default"/>
          <w:w w:val="100"/>
        </w:rPr>
        <w:t>6</w:t>
      </w:r>
      <w:r>
        <w:rPr>
          <w:rFonts w:ascii="Calibri" w:hAnsi="Calibri" w:cs="Calibri" w:eastAsia="Calibri" w:hint="default"/>
          <w:spacing w:val="6"/>
        </w:rPr>
        <w:t> </w:t>
      </w:r>
      <w:r>
        <w:rPr>
          <w:spacing w:val="-3"/>
          <w:w w:val="100"/>
        </w:rPr>
        <w:t>财</w:t>
      </w:r>
      <w:r>
        <w:rPr>
          <w:w w:val="100"/>
        </w:rPr>
        <w:t>通</w:t>
      </w:r>
      <w:r>
        <w:rPr>
          <w:spacing w:val="-3"/>
          <w:w w:val="100"/>
        </w:rPr>
        <w:t>债</w:t>
      </w:r>
      <w:r>
        <w:rPr>
          <w:w w:val="100"/>
        </w:rPr>
        <w:t>”</w:t>
      </w:r>
      <w:r>
        <w:rPr>
          <w:spacing w:val="-3"/>
          <w:w w:val="100"/>
        </w:rPr>
        <w:t>和“</w:t>
      </w:r>
      <w:r>
        <w:rPr>
          <w:rFonts w:ascii="Calibri" w:hAnsi="Calibri" w:cs="Calibri" w:eastAsia="Calibri" w:hint="default"/>
          <w:w w:val="100"/>
        </w:rPr>
        <w:t>15</w:t>
      </w:r>
      <w:r>
        <w:rPr>
          <w:rFonts w:ascii="Calibri" w:hAnsi="Calibri" w:cs="Calibri" w:eastAsia="Calibri" w:hint="default"/>
          <w:spacing w:val="3"/>
        </w:rPr>
        <w:t> </w:t>
      </w:r>
      <w:r>
        <w:rPr>
          <w:spacing w:val="-3"/>
          <w:w w:val="100"/>
        </w:rPr>
        <w:t>财</w:t>
      </w:r>
      <w:r>
        <w:rPr>
          <w:w w:val="100"/>
        </w:rPr>
        <w:t>通</w:t>
      </w:r>
      <w:r>
        <w:rPr>
          <w:spacing w:val="-52"/>
        </w:rPr>
        <w:t> </w:t>
      </w:r>
      <w:r>
        <w:rPr>
          <w:rFonts w:ascii="Calibri" w:hAnsi="Calibri" w:cs="Calibri" w:eastAsia="Calibri" w:hint="default"/>
          <w:spacing w:val="-2"/>
          <w:w w:val="100"/>
        </w:rPr>
        <w:t>0</w:t>
      </w:r>
      <w:r>
        <w:rPr>
          <w:rFonts w:ascii="Calibri" w:hAnsi="Calibri" w:cs="Calibri" w:eastAsia="Calibri" w:hint="default"/>
          <w:w w:val="100"/>
        </w:rPr>
        <w:t>1</w:t>
      </w:r>
      <w:r>
        <w:rPr>
          <w:spacing w:val="-3"/>
          <w:w w:val="100"/>
        </w:rPr>
        <w:t>”</w:t>
      </w:r>
      <w:r>
        <w:rPr>
          <w:w w:val="100"/>
        </w:rPr>
        <w:t>已</w:t>
      </w:r>
      <w:r>
        <w:rPr>
          <w:spacing w:val="-3"/>
          <w:w w:val="100"/>
        </w:rPr>
        <w:t>完</w:t>
      </w:r>
      <w:r>
        <w:rPr>
          <w:w w:val="100"/>
        </w:rPr>
        <w:t>成</w:t>
      </w:r>
      <w:r>
        <w:rPr>
          <w:spacing w:val="-3"/>
          <w:w w:val="100"/>
        </w:rPr>
        <w:t>兑</w:t>
      </w:r>
      <w:r>
        <w:rPr>
          <w:w w:val="100"/>
        </w:rPr>
        <w:t>付。</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78"/>
        <w:ind w:left="220" w:right="0"/>
        <w:jc w:val="both"/>
        <w:rPr>
          <w:b w:val="0"/>
          <w:bCs w:val="0"/>
        </w:rPr>
      </w:pPr>
      <w:r>
        <w:rPr/>
        <w:t>二、公司债券受托管理联系人、联系方式及资信评级机构联系方式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261"/>
        <w:gridCol w:w="2350"/>
        <w:gridCol w:w="4676"/>
      </w:tblGrid>
      <w:tr>
        <w:trPr>
          <w:trHeight w:val="420"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57" w:lineRule="auto"/>
              <w:ind w:left="945" w:right="108" w:hanging="833"/>
              <w:jc w:val="left"/>
              <w:rPr>
                <w:rFonts w:ascii="宋体" w:hAnsi="宋体" w:cs="宋体" w:eastAsia="宋体" w:hint="default"/>
                <w:sz w:val="18"/>
                <w:szCs w:val="18"/>
              </w:rPr>
            </w:pPr>
            <w:r>
              <w:rPr>
                <w:rFonts w:ascii="宋体" w:hAnsi="宋体" w:cs="宋体" w:eastAsia="宋体" w:hint="default"/>
                <w:sz w:val="18"/>
                <w:szCs w:val="18"/>
              </w:rPr>
              <w:t>债券受托管理人（</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财通 债）</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r>
      <w:tr>
        <w:trPr>
          <w:trHeight w:val="826"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长沙市天心区湘府中路</w:t>
            </w:r>
            <w:r>
              <w:rPr>
                <w:rFonts w:ascii="宋体" w:hAnsi="宋体" w:cs="宋体" w:eastAsia="宋体" w:hint="default"/>
                <w:spacing w:val="-54"/>
                <w:sz w:val="21"/>
                <w:szCs w:val="21"/>
              </w:rPr>
              <w:t> </w:t>
            </w:r>
            <w:r>
              <w:rPr>
                <w:rFonts w:ascii="宋体" w:hAnsi="宋体" w:cs="宋体" w:eastAsia="宋体" w:hint="default"/>
                <w:sz w:val="21"/>
                <w:szCs w:val="21"/>
              </w:rPr>
              <w:t>198</w:t>
            </w:r>
            <w:r>
              <w:rPr>
                <w:rFonts w:ascii="宋体" w:hAnsi="宋体" w:cs="宋体" w:eastAsia="宋体" w:hint="default"/>
                <w:spacing w:val="-54"/>
                <w:sz w:val="21"/>
                <w:szCs w:val="21"/>
              </w:rPr>
              <w:t> </w:t>
            </w:r>
            <w:r>
              <w:rPr>
                <w:rFonts w:ascii="宋体" w:hAnsi="宋体" w:cs="宋体" w:eastAsia="宋体" w:hint="default"/>
                <w:sz w:val="21"/>
                <w:szCs w:val="21"/>
              </w:rPr>
              <w:t>号新南城商务中心</w:t>
            </w:r>
            <w:r>
              <w:rPr>
                <w:rFonts w:ascii="宋体" w:hAnsi="宋体" w:cs="宋体" w:eastAsia="宋体" w:hint="default"/>
                <w:spacing w:val="-56"/>
                <w:sz w:val="21"/>
                <w:szCs w:val="21"/>
              </w:rPr>
              <w:t> </w:t>
            </w:r>
            <w:r>
              <w:rPr>
                <w:rFonts w:ascii="宋体" w:hAnsi="宋体" w:cs="宋体" w:eastAsia="宋体" w:hint="default"/>
                <w:sz w:val="21"/>
                <w:szCs w:val="21"/>
              </w:rPr>
              <w:t>A</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栋</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421"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许月潮</w:t>
            </w:r>
          </w:p>
        </w:tc>
      </w:tr>
      <w:tr>
        <w:trPr>
          <w:trHeight w:val="418" w:hRule="exact"/>
        </w:trPr>
        <w:tc>
          <w:tcPr>
            <w:tcW w:w="2261"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联系电话</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010-56510960</w:t>
            </w:r>
          </w:p>
        </w:tc>
      </w:tr>
      <w:tr>
        <w:trPr>
          <w:trHeight w:val="360" w:hRule="exact"/>
        </w:trPr>
        <w:tc>
          <w:tcPr>
            <w:tcW w:w="2261" w:type="dxa"/>
            <w:vMerge w:val="restart"/>
            <w:tcBorders>
              <w:top w:val="single" w:sz="4" w:space="0" w:color="000000"/>
              <w:left w:val="single" w:sz="4" w:space="0" w:color="000000"/>
              <w:right w:val="single" w:sz="4" w:space="0" w:color="000000"/>
            </w:tcBorders>
          </w:tcPr>
          <w:p>
            <w:pPr>
              <w:pStyle w:val="TableParagraph"/>
              <w:spacing w:line="357" w:lineRule="auto" w:before="157"/>
              <w:ind w:left="112" w:right="108"/>
              <w:jc w:val="center"/>
              <w:rPr>
                <w:rFonts w:ascii="宋体" w:hAnsi="宋体" w:cs="宋体" w:eastAsia="宋体" w:hint="default"/>
                <w:sz w:val="18"/>
                <w:szCs w:val="18"/>
              </w:rPr>
            </w:pPr>
            <w:r>
              <w:rPr>
                <w:rFonts w:ascii="宋体" w:hAnsi="宋体" w:cs="宋体" w:eastAsia="宋体" w:hint="default"/>
                <w:sz w:val="18"/>
                <w:szCs w:val="18"/>
              </w:rPr>
              <w:t>债券受托管理人（</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财通 债、</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财通</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财通 </w:t>
            </w:r>
            <w:r>
              <w:rPr>
                <w:rFonts w:ascii="宋体" w:hAnsi="宋体" w:cs="宋体" w:eastAsia="宋体" w:hint="default"/>
                <w:sz w:val="18"/>
                <w:szCs w:val="18"/>
              </w:rPr>
              <w:t>02</w:t>
            </w:r>
            <w:r>
              <w:rPr>
                <w:rFonts w:ascii="宋体" w:hAnsi="宋体" w:cs="宋体" w:eastAsia="宋体" w:hint="default"/>
                <w:sz w:val="18"/>
                <w:szCs w:val="18"/>
              </w:rPr>
              <w:t>）</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r>
      <w:tr>
        <w:trPr>
          <w:trHeight w:val="360"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360"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许进军</w:t>
            </w:r>
          </w:p>
        </w:tc>
      </w:tr>
      <w:tr>
        <w:trPr>
          <w:trHeight w:val="360" w:hRule="exact"/>
        </w:trPr>
        <w:tc>
          <w:tcPr>
            <w:tcW w:w="2261"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联系电话</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010-66568061</w:t>
            </w:r>
          </w:p>
        </w:tc>
      </w:tr>
      <w:tr>
        <w:trPr>
          <w:trHeight w:val="360"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355" w:lineRule="auto"/>
              <w:ind w:left="945" w:right="108" w:hanging="833"/>
              <w:jc w:val="left"/>
              <w:rPr>
                <w:rFonts w:ascii="宋体" w:hAnsi="宋体" w:cs="宋体" w:eastAsia="宋体" w:hint="default"/>
                <w:sz w:val="18"/>
                <w:szCs w:val="18"/>
              </w:rPr>
            </w:pPr>
            <w:r>
              <w:rPr>
                <w:rFonts w:ascii="宋体" w:hAnsi="宋体" w:cs="宋体" w:eastAsia="宋体" w:hint="default"/>
                <w:sz w:val="18"/>
                <w:szCs w:val="18"/>
              </w:rPr>
              <w:t>债券受托管理人（</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财通 </w:t>
            </w:r>
            <w:r>
              <w:rPr>
                <w:rFonts w:ascii="宋体" w:hAnsi="宋体" w:cs="宋体" w:eastAsia="宋体" w:hint="default"/>
                <w:sz w:val="18"/>
                <w:szCs w:val="18"/>
              </w:rPr>
              <w:t>Y1</w:t>
            </w:r>
            <w:r>
              <w:rPr>
                <w:rFonts w:ascii="宋体" w:hAnsi="宋体" w:cs="宋体" w:eastAsia="宋体" w:hint="default"/>
                <w:sz w:val="18"/>
                <w:szCs w:val="18"/>
              </w:rPr>
              <w:t>）</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r>
      <w:tr>
        <w:trPr>
          <w:trHeight w:val="360"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苏州工业园区星阳街</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号东吴证券大厦</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楼</w:t>
            </w:r>
          </w:p>
        </w:tc>
      </w:tr>
      <w:tr>
        <w:trPr>
          <w:trHeight w:val="360"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叶泽华、张江峰</w:t>
            </w:r>
          </w:p>
        </w:tc>
      </w:tr>
      <w:tr>
        <w:trPr>
          <w:trHeight w:val="360" w:hRule="exact"/>
        </w:trPr>
        <w:tc>
          <w:tcPr>
            <w:tcW w:w="2261"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联系电话</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0512-62938004</w:t>
            </w:r>
          </w:p>
        </w:tc>
      </w:tr>
      <w:tr>
        <w:trPr>
          <w:trHeight w:val="36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债券受托管理人（</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财通</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信达证券股份有限公司</w:t>
            </w:r>
          </w:p>
        </w:tc>
      </w:tr>
    </w:tbl>
    <w:p>
      <w:pPr>
        <w:spacing w:after="0" w:line="205" w:lineRule="exact"/>
        <w:jc w:val="left"/>
        <w:rPr>
          <w:rFonts w:ascii="宋体" w:hAnsi="宋体" w:cs="宋体" w:eastAsia="宋体" w:hint="default"/>
          <w:sz w:val="18"/>
          <w:szCs w:val="18"/>
        </w:rPr>
        <w:sectPr>
          <w:pgSz w:w="11910" w:h="16840"/>
          <w:pgMar w:header="880" w:footer="1195" w:top="1120" w:bottom="1380" w:left="134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2261"/>
        <w:gridCol w:w="2350"/>
        <w:gridCol w:w="4676"/>
      </w:tblGrid>
      <w:tr>
        <w:trPr>
          <w:trHeight w:val="360" w:hRule="exact"/>
        </w:trPr>
        <w:tc>
          <w:tcPr>
            <w:tcW w:w="2261" w:type="dxa"/>
            <w:vMerge w:val="restart"/>
            <w:tcBorders>
              <w:top w:val="single" w:sz="4" w:space="0" w:color="000000"/>
              <w:left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hAnsi="宋体" w:cs="宋体" w:eastAsia="宋体" w:hint="default"/>
                <w:sz w:val="18"/>
                <w:szCs w:val="18"/>
              </w:rPr>
              <w:t>C1</w:t>
            </w: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财通</w:t>
            </w:r>
            <w:r>
              <w:rPr>
                <w:rFonts w:ascii="宋体" w:hAnsi="宋体" w:cs="宋体" w:eastAsia="宋体" w:hint="default"/>
                <w:spacing w:val="-48"/>
                <w:sz w:val="18"/>
                <w:szCs w:val="18"/>
              </w:rPr>
              <w:t> </w:t>
            </w:r>
            <w:r>
              <w:rPr>
                <w:rFonts w:ascii="宋体" w:hAnsi="宋体" w:cs="宋体" w:eastAsia="宋体" w:hint="default"/>
                <w:sz w:val="18"/>
                <w:szCs w:val="18"/>
              </w:rPr>
              <w:t>C2</w:t>
            </w: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财通</w:t>
            </w:r>
          </w:p>
          <w:p>
            <w:pPr>
              <w:pStyle w:val="TableParagraph"/>
              <w:spacing w:line="357" w:lineRule="auto" w:before="112"/>
              <w:ind w:left="945" w:right="155" w:hanging="788"/>
              <w:jc w:val="left"/>
              <w:rPr>
                <w:rFonts w:ascii="宋体" w:hAnsi="宋体" w:cs="宋体" w:eastAsia="宋体" w:hint="default"/>
                <w:sz w:val="18"/>
                <w:szCs w:val="18"/>
              </w:rPr>
            </w:pPr>
            <w:r>
              <w:rPr>
                <w:rFonts w:ascii="宋体" w:hAnsi="宋体" w:cs="宋体" w:eastAsia="宋体" w:hint="default"/>
                <w:sz w:val="18"/>
                <w:szCs w:val="18"/>
              </w:rPr>
              <w:t>C3</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财通</w:t>
            </w:r>
            <w:r>
              <w:rPr>
                <w:rFonts w:ascii="宋体" w:hAnsi="宋体" w:cs="宋体" w:eastAsia="宋体" w:hint="default"/>
                <w:spacing w:val="-48"/>
                <w:sz w:val="18"/>
                <w:szCs w:val="18"/>
              </w:rPr>
              <w:t> </w:t>
            </w:r>
            <w:r>
              <w:rPr>
                <w:rFonts w:ascii="宋体" w:hAnsi="宋体" w:cs="宋体" w:eastAsia="宋体" w:hint="default"/>
                <w:sz w:val="18"/>
                <w:szCs w:val="18"/>
              </w:rPr>
              <w:t>C1</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财通 </w:t>
            </w:r>
            <w:r>
              <w:rPr>
                <w:rFonts w:ascii="宋体" w:hAnsi="宋体" w:cs="宋体" w:eastAsia="宋体" w:hint="default"/>
                <w:sz w:val="18"/>
                <w:szCs w:val="18"/>
              </w:rPr>
              <w:t>C3</w:t>
            </w:r>
            <w:r>
              <w:rPr>
                <w:rFonts w:ascii="宋体" w:hAnsi="宋体" w:cs="宋体" w:eastAsia="宋体" w:hint="default"/>
                <w:sz w:val="18"/>
                <w:szCs w:val="18"/>
              </w:rPr>
              <w:t>）</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号楼</w:t>
            </w:r>
          </w:p>
        </w:tc>
      </w:tr>
      <w:tr>
        <w:trPr>
          <w:trHeight w:val="362" w:hRule="exact"/>
        </w:trPr>
        <w:tc>
          <w:tcPr>
            <w:tcW w:w="2261" w:type="dxa"/>
            <w:vMerge/>
            <w:tcBorders>
              <w:left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崔萍萍</w:t>
            </w:r>
          </w:p>
        </w:tc>
      </w:tr>
      <w:tr>
        <w:trPr>
          <w:trHeight w:val="360" w:hRule="exact"/>
        </w:trPr>
        <w:tc>
          <w:tcPr>
            <w:tcW w:w="2261"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联系电话</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sz w:val="18"/>
              </w:rPr>
              <w:t>010-83326872</w:t>
            </w:r>
          </w:p>
        </w:tc>
      </w:tr>
      <w:tr>
        <w:trPr>
          <w:trHeight w:val="360" w:hRule="exact"/>
        </w:trPr>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资信评级机构</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r>
      <w:tr>
        <w:trPr>
          <w:trHeight w:val="710" w:hRule="exact"/>
        </w:trPr>
        <w:tc>
          <w:tcPr>
            <w:tcW w:w="2261"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上海市青浦区工业园区郏一工业区</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宋体" w:hAnsi="宋体" w:cs="宋体" w:eastAsia="宋体" w:hint="default"/>
                <w:sz w:val="18"/>
                <w:szCs w:val="18"/>
              </w:rPr>
              <w:t>C</w:t>
            </w:r>
            <w:r>
              <w:rPr>
                <w:rFonts w:ascii="宋体" w:hAnsi="宋体" w:cs="宋体" w:eastAsia="宋体" w:hint="default"/>
                <w:spacing w:val="-45"/>
                <w:sz w:val="18"/>
                <w:szCs w:val="18"/>
              </w:rPr>
              <w:t>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宋体" w:hAnsi="宋体" w:cs="宋体" w:eastAsia="宋体" w:hint="default"/>
                <w:sz w:val="18"/>
                <w:szCs w:val="18"/>
              </w:rPr>
              <w:t>113</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室</w:t>
            </w:r>
          </w:p>
        </w:tc>
      </w:tr>
    </w:tbl>
    <w:p>
      <w:pPr>
        <w:spacing w:line="240" w:lineRule="auto" w:before="5"/>
        <w:rPr>
          <w:rFonts w:ascii="宋体" w:hAnsi="宋体" w:cs="宋体" w:eastAsia="宋体" w:hint="default"/>
          <w:b/>
          <w:bCs/>
          <w:sz w:val="15"/>
          <w:szCs w:val="15"/>
        </w:rPr>
      </w:pPr>
    </w:p>
    <w:p>
      <w:pPr>
        <w:pStyle w:val="BodyText"/>
        <w:spacing w:line="274" w:lineRule="exact" w:before="36"/>
        <w:ind w:left="220" w:right="0"/>
        <w:jc w:val="left"/>
      </w:pPr>
      <w:r>
        <w:rPr/>
        <w:t>其他说明：</w:t>
      </w:r>
    </w:p>
    <w:p>
      <w:pPr>
        <w:pStyle w:val="BodyText"/>
        <w:spacing w:line="272" w:lineRule="exact"/>
        <w:ind w:left="220" w:right="0"/>
        <w:jc w:val="left"/>
      </w:pPr>
      <w:r>
        <w:rPr/>
        <w:t>√适用 □不适用</w:t>
      </w:r>
    </w:p>
    <w:p>
      <w:pPr>
        <w:pStyle w:val="BodyText"/>
        <w:spacing w:line="324" w:lineRule="auto"/>
        <w:ind w:left="220" w:right="0"/>
        <w:jc w:val="left"/>
      </w:pPr>
      <w:r>
        <w:rPr>
          <w:spacing w:val="-5"/>
          <w:w w:val="100"/>
        </w:rPr>
        <w:t>（</w:t>
      </w:r>
      <w:r>
        <w:rPr>
          <w:rFonts w:ascii="Calibri" w:hAnsi="Calibri" w:cs="Calibri" w:eastAsia="Calibri" w:hint="default"/>
          <w:spacing w:val="-5"/>
          <w:w w:val="100"/>
        </w:rPr>
        <w:t>1</w:t>
      </w:r>
      <w:r>
        <w:rPr>
          <w:spacing w:val="-5"/>
          <w:w w:val="100"/>
        </w:rPr>
        <w:t>）因“</w:t>
      </w:r>
      <w:r>
        <w:rPr>
          <w:rFonts w:ascii="Calibri" w:hAnsi="Calibri" w:cs="Calibri" w:eastAsia="Calibri" w:hint="default"/>
          <w:spacing w:val="-5"/>
          <w:w w:val="100"/>
        </w:rPr>
        <w:t>14</w:t>
      </w:r>
      <w:r>
        <w:rPr>
          <w:rFonts w:ascii="Calibri" w:hAnsi="Calibri" w:cs="Calibri" w:eastAsia="Calibri" w:hint="default"/>
          <w:spacing w:val="4"/>
          <w:w w:val="100"/>
        </w:rPr>
        <w:t> </w:t>
      </w:r>
      <w:r>
        <w:rPr>
          <w:w w:val="100"/>
        </w:rPr>
        <w:t>财通</w:t>
      </w:r>
      <w:r>
        <w:rPr>
          <w:spacing w:val="-55"/>
          <w:w w:val="100"/>
        </w:rPr>
        <w:t> </w:t>
      </w:r>
      <w:r>
        <w:rPr>
          <w:rFonts w:ascii="Calibri" w:hAnsi="Calibri" w:cs="Calibri" w:eastAsia="Calibri" w:hint="default"/>
          <w:spacing w:val="-33"/>
          <w:w w:val="100"/>
        </w:rPr>
        <w:t>01</w:t>
      </w:r>
      <w:r>
        <w:rPr>
          <w:spacing w:val="-33"/>
          <w:w w:val="100"/>
        </w:rPr>
        <w:t>”、“</w:t>
      </w:r>
      <w:r>
        <w:rPr>
          <w:rFonts w:ascii="Calibri" w:hAnsi="Calibri" w:cs="Calibri" w:eastAsia="Calibri" w:hint="default"/>
          <w:spacing w:val="-33"/>
          <w:w w:val="100"/>
        </w:rPr>
        <w:t>14</w:t>
      </w:r>
      <w:r>
        <w:rPr>
          <w:rFonts w:ascii="Calibri" w:hAnsi="Calibri" w:cs="Calibri" w:eastAsia="Calibri" w:hint="default"/>
          <w:spacing w:val="7"/>
          <w:w w:val="100"/>
        </w:rPr>
        <w:t> </w:t>
      </w:r>
      <w:r>
        <w:rPr>
          <w:spacing w:val="-2"/>
          <w:w w:val="100"/>
        </w:rPr>
        <w:t>财通</w:t>
      </w:r>
      <w:r>
        <w:rPr>
          <w:spacing w:val="-55"/>
          <w:w w:val="100"/>
        </w:rPr>
        <w:t> </w:t>
      </w:r>
      <w:r>
        <w:rPr>
          <w:rFonts w:ascii="Calibri" w:hAnsi="Calibri" w:cs="Calibri" w:eastAsia="Calibri" w:hint="default"/>
          <w:spacing w:val="-33"/>
          <w:w w:val="100"/>
        </w:rPr>
        <w:t>02</w:t>
      </w:r>
      <w:r>
        <w:rPr>
          <w:spacing w:val="-33"/>
          <w:w w:val="100"/>
        </w:rPr>
        <w:t>”、“</w:t>
      </w:r>
      <w:r>
        <w:rPr>
          <w:rFonts w:ascii="Calibri" w:hAnsi="Calibri" w:cs="Calibri" w:eastAsia="Calibri" w:hint="default"/>
          <w:spacing w:val="-33"/>
          <w:w w:val="100"/>
        </w:rPr>
        <w:t>15</w:t>
      </w:r>
      <w:r>
        <w:rPr>
          <w:rFonts w:ascii="Calibri" w:hAnsi="Calibri" w:cs="Calibri" w:eastAsia="Calibri" w:hint="default"/>
          <w:spacing w:val="4"/>
          <w:w w:val="100"/>
        </w:rPr>
        <w:t> </w:t>
      </w:r>
      <w:r>
        <w:rPr>
          <w:w w:val="100"/>
        </w:rPr>
        <w:t>财通</w:t>
      </w:r>
      <w:r>
        <w:rPr>
          <w:spacing w:val="-55"/>
          <w:w w:val="100"/>
        </w:rPr>
        <w:t> </w:t>
      </w:r>
      <w:r>
        <w:rPr>
          <w:rFonts w:ascii="Calibri" w:hAnsi="Calibri" w:cs="Calibri" w:eastAsia="Calibri" w:hint="default"/>
          <w:spacing w:val="-5"/>
          <w:w w:val="100"/>
        </w:rPr>
        <w:t>01</w:t>
      </w:r>
      <w:r>
        <w:rPr>
          <w:spacing w:val="-5"/>
          <w:w w:val="100"/>
        </w:rPr>
        <w:t>”和“</w:t>
      </w:r>
      <w:r>
        <w:rPr>
          <w:rFonts w:ascii="Calibri" w:hAnsi="Calibri" w:cs="Calibri" w:eastAsia="Calibri" w:hint="default"/>
          <w:spacing w:val="-5"/>
          <w:w w:val="100"/>
        </w:rPr>
        <w:t>15</w:t>
      </w:r>
      <w:r>
        <w:rPr>
          <w:rFonts w:ascii="Calibri" w:hAnsi="Calibri" w:cs="Calibri" w:eastAsia="Calibri" w:hint="default"/>
          <w:spacing w:val="4"/>
          <w:w w:val="100"/>
        </w:rPr>
        <w:t> </w:t>
      </w:r>
      <w:r>
        <w:rPr>
          <w:w w:val="100"/>
        </w:rPr>
        <w:t>财通</w:t>
      </w:r>
      <w:r>
        <w:rPr>
          <w:spacing w:val="-55"/>
          <w:w w:val="100"/>
        </w:rPr>
        <w:t> </w:t>
      </w:r>
      <w:r>
        <w:rPr>
          <w:rFonts w:ascii="Calibri" w:hAnsi="Calibri" w:cs="Calibri" w:eastAsia="Calibri" w:hint="default"/>
          <w:spacing w:val="-3"/>
          <w:w w:val="100"/>
        </w:rPr>
        <w:t>02</w:t>
      </w:r>
      <w:r>
        <w:rPr>
          <w:spacing w:val="-3"/>
          <w:w w:val="100"/>
        </w:rPr>
        <w:t>”四只债券发行时，对受托管理</w:t>
      </w:r>
      <w:r>
        <w:rPr>
          <w:w w:val="100"/>
        </w:rPr>
        <w:t> </w:t>
      </w:r>
      <w:r>
        <w:rPr/>
        <w:t>人尚未作出要求，因此上述债券未聘请受托管理人；</w:t>
      </w:r>
    </w:p>
    <w:p>
      <w:pPr>
        <w:pStyle w:val="BodyText"/>
        <w:spacing w:line="324" w:lineRule="auto" w:before="62"/>
        <w:ind w:left="220" w:right="0"/>
        <w:jc w:val="left"/>
      </w:pPr>
      <w:r>
        <w:rPr>
          <w:spacing w:val="-2"/>
          <w:w w:val="100"/>
        </w:rPr>
        <w:t>（</w:t>
      </w:r>
      <w:r>
        <w:rPr>
          <w:rFonts w:ascii="Calibri" w:hAnsi="Calibri" w:cs="Calibri" w:eastAsia="Calibri" w:hint="default"/>
          <w:spacing w:val="-2"/>
          <w:w w:val="100"/>
        </w:rPr>
        <w:t>2</w:t>
      </w:r>
      <w:r>
        <w:rPr>
          <w:spacing w:val="-2"/>
          <w:w w:val="100"/>
        </w:rPr>
        <w:t>）除“</w:t>
      </w:r>
      <w:r>
        <w:rPr>
          <w:rFonts w:ascii="Calibri" w:hAnsi="Calibri" w:cs="Calibri" w:eastAsia="Calibri" w:hint="default"/>
          <w:spacing w:val="-2"/>
          <w:w w:val="100"/>
        </w:rPr>
        <w:t>14</w:t>
      </w:r>
      <w:r>
        <w:rPr>
          <w:rFonts w:ascii="Calibri" w:hAnsi="Calibri" w:cs="Calibri" w:eastAsia="Calibri" w:hint="default"/>
          <w:spacing w:val="12"/>
          <w:w w:val="100"/>
        </w:rPr>
        <w:t> </w:t>
      </w:r>
      <w:r>
        <w:rPr>
          <w:w w:val="100"/>
        </w:rPr>
        <w:t>财通</w:t>
      </w:r>
      <w:r>
        <w:rPr>
          <w:spacing w:val="-50"/>
          <w:w w:val="100"/>
        </w:rPr>
        <w:t> </w:t>
      </w:r>
      <w:r>
        <w:rPr>
          <w:rFonts w:ascii="Calibri" w:hAnsi="Calibri" w:cs="Calibri" w:eastAsia="Calibri" w:hint="default"/>
          <w:spacing w:val="-31"/>
          <w:w w:val="100"/>
        </w:rPr>
        <w:t>02</w:t>
      </w:r>
      <w:r>
        <w:rPr>
          <w:spacing w:val="-31"/>
          <w:w w:val="100"/>
        </w:rPr>
        <w:t>”、“</w:t>
      </w:r>
      <w:r>
        <w:rPr>
          <w:rFonts w:ascii="Calibri" w:hAnsi="Calibri" w:cs="Calibri" w:eastAsia="Calibri" w:hint="default"/>
          <w:spacing w:val="-31"/>
          <w:w w:val="100"/>
        </w:rPr>
        <w:t>15</w:t>
      </w:r>
      <w:r>
        <w:rPr>
          <w:rFonts w:ascii="Calibri" w:hAnsi="Calibri" w:cs="Calibri" w:eastAsia="Calibri" w:hint="default"/>
          <w:spacing w:val="12"/>
          <w:w w:val="100"/>
        </w:rPr>
        <w:t> </w:t>
      </w:r>
      <w:r>
        <w:rPr>
          <w:w w:val="100"/>
        </w:rPr>
        <w:t>财通</w:t>
      </w:r>
      <w:r>
        <w:rPr>
          <w:spacing w:val="-50"/>
          <w:w w:val="100"/>
        </w:rPr>
        <w:t> </w:t>
      </w:r>
      <w:r>
        <w:rPr>
          <w:rFonts w:ascii="Calibri" w:hAnsi="Calibri" w:cs="Calibri" w:eastAsia="Calibri" w:hint="default"/>
          <w:spacing w:val="-2"/>
          <w:w w:val="100"/>
        </w:rPr>
        <w:t>01</w:t>
      </w:r>
      <w:r>
        <w:rPr>
          <w:spacing w:val="-2"/>
          <w:w w:val="100"/>
        </w:rPr>
        <w:t>”和“</w:t>
      </w:r>
      <w:r>
        <w:rPr>
          <w:rFonts w:ascii="Calibri" w:hAnsi="Calibri" w:cs="Calibri" w:eastAsia="Calibri" w:hint="default"/>
          <w:spacing w:val="-2"/>
          <w:w w:val="100"/>
        </w:rPr>
        <w:t>15</w:t>
      </w:r>
      <w:r>
        <w:rPr>
          <w:rFonts w:ascii="Calibri" w:hAnsi="Calibri" w:cs="Calibri" w:eastAsia="Calibri" w:hint="default"/>
          <w:spacing w:val="12"/>
          <w:w w:val="100"/>
        </w:rPr>
        <w:t> </w:t>
      </w:r>
      <w:r>
        <w:rPr>
          <w:w w:val="100"/>
        </w:rPr>
        <w:t>财通</w:t>
      </w:r>
      <w:r>
        <w:rPr>
          <w:spacing w:val="-50"/>
          <w:w w:val="100"/>
        </w:rPr>
        <w:t> </w:t>
      </w:r>
      <w:r>
        <w:rPr>
          <w:rFonts w:ascii="Calibri" w:hAnsi="Calibri" w:cs="Calibri" w:eastAsia="Calibri" w:hint="default"/>
          <w:spacing w:val="-2"/>
          <w:w w:val="100"/>
        </w:rPr>
        <w:t>02</w:t>
      </w:r>
      <w:r>
        <w:rPr>
          <w:spacing w:val="-2"/>
          <w:w w:val="100"/>
        </w:rPr>
        <w:t>”未进行债项评级外，其余已发行债券都由中</w:t>
      </w:r>
      <w:r>
        <w:rPr>
          <w:spacing w:val="-104"/>
          <w:w w:val="100"/>
        </w:rPr>
        <w:t> </w:t>
      </w:r>
      <w:r>
        <w:rPr>
          <w:spacing w:val="-104"/>
          <w:w w:val="100"/>
        </w:rPr>
      </w:r>
      <w:r>
        <w:rPr/>
        <w:t>诚信证券评估有限公司进行了债项评级。</w:t>
      </w:r>
    </w:p>
    <w:p>
      <w:pPr>
        <w:spacing w:line="240" w:lineRule="auto" w:before="0"/>
        <w:rPr>
          <w:rFonts w:ascii="宋体" w:hAnsi="宋体" w:cs="宋体" w:eastAsia="宋体" w:hint="default"/>
          <w:sz w:val="20"/>
          <w:szCs w:val="20"/>
        </w:rPr>
      </w:pPr>
    </w:p>
    <w:p>
      <w:pPr>
        <w:pStyle w:val="Heading5"/>
        <w:spacing w:line="240" w:lineRule="auto" w:before="170"/>
        <w:ind w:left="220" w:right="0"/>
        <w:jc w:val="left"/>
        <w:rPr>
          <w:b w:val="0"/>
          <w:bCs w:val="0"/>
        </w:rPr>
      </w:pPr>
      <w:r>
        <w:rPr/>
        <w:t>三、公司债券募集资金使用情况</w:t>
      </w:r>
      <w:r>
        <w:rPr>
          <w:b w:val="0"/>
          <w:bCs w:val="0"/>
        </w:rPr>
      </w:r>
    </w:p>
    <w:p>
      <w:pPr>
        <w:pStyle w:val="BodyText"/>
        <w:spacing w:line="240" w:lineRule="auto" w:before="56"/>
        <w:ind w:left="220" w:right="0"/>
        <w:jc w:val="left"/>
      </w:pPr>
      <w:r>
        <w:rPr/>
        <w:t>√适用 □不适用</w:t>
      </w:r>
    </w:p>
    <w:p>
      <w:pPr>
        <w:spacing w:line="240" w:lineRule="auto" w:before="8"/>
        <w:rPr>
          <w:rFonts w:ascii="宋体" w:hAnsi="宋体" w:cs="宋体" w:eastAsia="宋体" w:hint="default"/>
          <w:sz w:val="23"/>
          <w:szCs w:val="23"/>
        </w:rPr>
      </w:pPr>
    </w:p>
    <w:tbl>
      <w:tblPr>
        <w:tblW w:w="0" w:type="auto"/>
        <w:jc w:val="left"/>
        <w:tblInd w:w="155" w:type="dxa"/>
        <w:tblLayout w:type="fixed"/>
        <w:tblCellMar>
          <w:top w:w="0" w:type="dxa"/>
          <w:left w:w="0" w:type="dxa"/>
          <w:bottom w:w="0" w:type="dxa"/>
          <w:right w:w="0" w:type="dxa"/>
        </w:tblCellMar>
        <w:tblLook w:val="01E0"/>
      </w:tblPr>
      <w:tblGrid>
        <w:gridCol w:w="1171"/>
        <w:gridCol w:w="1205"/>
        <w:gridCol w:w="1771"/>
        <w:gridCol w:w="1702"/>
        <w:gridCol w:w="1502"/>
        <w:gridCol w:w="1837"/>
      </w:tblGrid>
      <w:tr>
        <w:trPr>
          <w:trHeight w:val="94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债券简称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17" w:right="101" w:hanging="315"/>
              <w:jc w:val="left"/>
              <w:rPr>
                <w:rFonts w:ascii="宋体" w:hAnsi="宋体" w:cs="宋体" w:eastAsia="宋体" w:hint="default"/>
                <w:sz w:val="18"/>
                <w:szCs w:val="18"/>
              </w:rPr>
            </w:pPr>
            <w:r>
              <w:rPr>
                <w:rFonts w:ascii="宋体" w:hAnsi="宋体" w:cs="宋体" w:eastAsia="宋体" w:hint="default"/>
                <w:spacing w:val="-16"/>
                <w:sz w:val="18"/>
                <w:szCs w:val="18"/>
              </w:rPr>
              <w:t>发行规模（亿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698" w:right="161" w:hanging="540"/>
              <w:jc w:val="left"/>
              <w:rPr>
                <w:rFonts w:ascii="宋体" w:hAnsi="宋体" w:cs="宋体" w:eastAsia="宋体" w:hint="default"/>
                <w:sz w:val="18"/>
                <w:szCs w:val="18"/>
              </w:rPr>
            </w:pPr>
            <w:r>
              <w:rPr>
                <w:rFonts w:ascii="宋体" w:hAnsi="宋体" w:cs="宋体" w:eastAsia="宋体" w:hint="default"/>
                <w:sz w:val="18"/>
                <w:szCs w:val="18"/>
              </w:rPr>
              <w:t>募集资金使用情况 说明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4" w:right="125"/>
              <w:jc w:val="left"/>
              <w:rPr>
                <w:rFonts w:ascii="宋体" w:hAnsi="宋体" w:cs="宋体" w:eastAsia="宋体" w:hint="default"/>
                <w:sz w:val="18"/>
                <w:szCs w:val="18"/>
              </w:rPr>
            </w:pPr>
            <w:r>
              <w:rPr>
                <w:rFonts w:ascii="宋体" w:hAnsi="宋体" w:cs="宋体" w:eastAsia="宋体" w:hint="default"/>
                <w:sz w:val="18"/>
                <w:szCs w:val="18"/>
              </w:rPr>
              <w:t>募集资金是否与募 集说明书约定一致</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32" w:lineRule="exact" w:before="16"/>
              <w:ind w:left="160" w:right="156"/>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日未使用 募集资金</w:t>
            </w:r>
          </w:p>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（亿元）</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报告期内是否存在变 更募集资金用途情形</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财通债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15.00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财通债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25.00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财通</w:t>
            </w:r>
            <w:r>
              <w:rPr>
                <w:rFonts w:ascii="Times New Roman" w:hAnsi="Times New Roman" w:cs="Times New Roman" w:eastAsia="Times New Roman" w:hint="default"/>
                <w:sz w:val="18"/>
                <w:szCs w:val="18"/>
              </w:rPr>
              <w:t>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财通</w:t>
            </w:r>
            <w:r>
              <w:rPr>
                <w:rFonts w:ascii="Times New Roman" w:hAnsi="Times New Roman" w:cs="Times New Roman" w:eastAsia="Times New Roman" w:hint="default"/>
                <w:sz w:val="18"/>
                <w:szCs w:val="18"/>
              </w:rPr>
              <w:t>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财通</w:t>
            </w:r>
            <w:r>
              <w:rPr>
                <w:rFonts w:ascii="Times New Roman" w:hAnsi="Times New Roman" w:cs="Times New Roman" w:eastAsia="Times New Roman" w:hint="default"/>
                <w:sz w:val="18"/>
                <w:szCs w:val="18"/>
              </w:rPr>
              <w:t>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财通</w:t>
            </w:r>
            <w:r>
              <w:rPr>
                <w:rFonts w:ascii="Times New Roman" w:hAnsi="Times New Roman" w:cs="Times New Roman" w:eastAsia="Times New Roman" w:hint="default"/>
                <w:sz w:val="18"/>
                <w:szCs w:val="18"/>
              </w:rPr>
              <w:t>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财通</w:t>
            </w:r>
            <w:r>
              <w:rPr>
                <w:rFonts w:ascii="Times New Roman" w:hAnsi="Times New Roman" w:cs="Times New Roman" w:eastAsia="Times New Roman" w:hint="default"/>
                <w:sz w:val="18"/>
                <w:szCs w:val="18"/>
              </w:rPr>
              <w:t>Y1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财通</w:t>
            </w:r>
            <w:r>
              <w:rPr>
                <w:rFonts w:ascii="Times New Roman" w:hAnsi="Times New Roman" w:cs="Times New Roman" w:eastAsia="Times New Roman" w:hint="default"/>
                <w:sz w:val="18"/>
                <w:szCs w:val="18"/>
              </w:rPr>
              <w:t>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财通</w:t>
            </w:r>
            <w:r>
              <w:rPr>
                <w:rFonts w:ascii="Times New Roman" w:hAnsi="Times New Roman" w:cs="Times New Roman" w:eastAsia="Times New Roman" w:hint="default"/>
                <w:sz w:val="18"/>
                <w:szCs w:val="18"/>
              </w:rPr>
              <w:t>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财通</w:t>
            </w:r>
            <w:r>
              <w:rPr>
                <w:rFonts w:ascii="Times New Roman" w:hAnsi="Times New Roman" w:cs="Times New Roman" w:eastAsia="Times New Roman" w:hint="default"/>
                <w:sz w:val="18"/>
                <w:szCs w:val="18"/>
              </w:rPr>
              <w:t>C1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8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财通</w:t>
            </w:r>
            <w:r>
              <w:rPr>
                <w:rFonts w:ascii="Times New Roman" w:hAnsi="Times New Roman" w:cs="Times New Roman" w:eastAsia="Times New Roman" w:hint="default"/>
                <w:sz w:val="18"/>
                <w:szCs w:val="18"/>
              </w:rPr>
              <w:t>C2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全部用于补充公司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营运资金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82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财通</w:t>
            </w:r>
            <w:r>
              <w:rPr>
                <w:rFonts w:ascii="Times New Roman" w:hAnsi="Times New Roman" w:cs="Times New Roman" w:eastAsia="Times New Roman" w:hint="default"/>
                <w:sz w:val="18"/>
                <w:szCs w:val="18"/>
              </w:rPr>
              <w:t>C3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全部用于偿还到</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期或回售的债务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融资工具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pStyle w:val="BodyText"/>
        <w:spacing w:line="268" w:lineRule="exact"/>
        <w:ind w:left="220" w:right="0" w:firstLine="420"/>
        <w:jc w:val="left"/>
      </w:pPr>
      <w:r>
        <w:rPr>
          <w:spacing w:val="-3"/>
        </w:rPr>
        <w:t>公司严格按照相关法律法规及募集说明书披露的用途使用资金。截至</w:t>
      </w:r>
      <w:r>
        <w:rPr>
          <w:spacing w:val="-46"/>
        </w:rPr>
        <w:t> </w:t>
      </w:r>
      <w:r>
        <w:rPr>
          <w:rFonts w:ascii="Calibri" w:hAnsi="Calibri" w:cs="Calibri" w:eastAsia="Calibri" w:hint="default"/>
        </w:rPr>
        <w:t>2018</w:t>
      </w:r>
      <w:r>
        <w:rPr>
          <w:rFonts w:ascii="Calibri" w:hAnsi="Calibri" w:cs="Calibri" w:eastAsia="Calibri" w:hint="default"/>
          <w:spacing w:val="15"/>
        </w:rPr>
        <w:t> </w:t>
      </w:r>
      <w:r>
        <w:rPr/>
        <w:t>年</w:t>
      </w:r>
      <w:r>
        <w:rPr>
          <w:spacing w:val="-45"/>
        </w:rPr>
        <w:t> </w:t>
      </w:r>
      <w:r>
        <w:rPr>
          <w:rFonts w:ascii="Calibri" w:hAnsi="Calibri" w:cs="Calibri" w:eastAsia="Calibri" w:hint="default"/>
        </w:rPr>
        <w:t>12</w:t>
      </w:r>
      <w:r>
        <w:rPr>
          <w:rFonts w:ascii="Calibri" w:hAnsi="Calibri" w:cs="Calibri" w:eastAsia="Calibri" w:hint="default"/>
          <w:spacing w:val="12"/>
        </w:rPr>
        <w:t> </w:t>
      </w:r>
      <w:r>
        <w:rPr/>
        <w:t>月</w:t>
      </w:r>
      <w:r>
        <w:rPr>
          <w:spacing w:val="-46"/>
        </w:rPr>
        <w:t> </w:t>
      </w:r>
      <w:r>
        <w:rPr>
          <w:rFonts w:ascii="Calibri" w:hAnsi="Calibri" w:cs="Calibri" w:eastAsia="Calibri" w:hint="default"/>
        </w:rPr>
        <w:t>31</w:t>
      </w:r>
      <w:r>
        <w:rPr>
          <w:rFonts w:ascii="Calibri" w:hAnsi="Calibri" w:cs="Calibri" w:eastAsia="Calibri" w:hint="default"/>
          <w:spacing w:val="12"/>
        </w:rPr>
        <w:t> </w:t>
      </w:r>
      <w:r>
        <w:rPr>
          <w:spacing w:val="-11"/>
        </w:rPr>
        <w:t>日，上述</w:t>
      </w:r>
    </w:p>
    <w:p>
      <w:pPr>
        <w:pStyle w:val="BodyText"/>
        <w:spacing w:line="240" w:lineRule="auto" w:before="108"/>
        <w:ind w:left="220" w:right="0"/>
        <w:jc w:val="left"/>
      </w:pPr>
      <w:r>
        <w:rPr/>
        <w:t>公司债券募集资金全部用于补充公司营运资金、偿还到期或回售的债务融资工具，与募集说明书承</w:t>
      </w:r>
    </w:p>
    <w:p>
      <w:pPr>
        <w:spacing w:after="0" w:line="240" w:lineRule="auto"/>
        <w:jc w:val="left"/>
        <w:sectPr>
          <w:pgSz w:w="11910" w:h="16840"/>
          <w:pgMar w:header="880" w:footer="1195" w:top="1120" w:bottom="1380" w:left="1340" w:right="1040"/>
        </w:sectPr>
      </w:pPr>
    </w:p>
    <w:p>
      <w:pPr>
        <w:spacing w:line="240" w:lineRule="auto" w:before="4"/>
        <w:rPr>
          <w:rFonts w:ascii="宋体" w:hAnsi="宋体" w:cs="宋体" w:eastAsia="宋体" w:hint="default"/>
          <w:sz w:val="25"/>
          <w:szCs w:val="25"/>
        </w:rPr>
      </w:pPr>
    </w:p>
    <w:p>
      <w:pPr>
        <w:pStyle w:val="BodyText"/>
        <w:spacing w:line="240" w:lineRule="auto" w:before="36"/>
        <w:ind w:left="140" w:right="0"/>
        <w:jc w:val="left"/>
      </w:pPr>
      <w:r>
        <w:rPr/>
        <w:t>诺的用途、使用计划及其他约定一致，符合公司债券募集资金使用的各项规定。</w:t>
      </w:r>
    </w:p>
    <w:p>
      <w:pPr>
        <w:pStyle w:val="BodyText"/>
        <w:spacing w:line="340" w:lineRule="auto" w:before="135"/>
        <w:ind w:left="140" w:right="109" w:firstLine="420"/>
        <w:jc w:val="both"/>
      </w:pPr>
      <w:r>
        <w:rPr/>
        <w:t>公司“</w:t>
      </w:r>
      <w:r>
        <w:rPr>
          <w:rFonts w:ascii="Calibri" w:hAnsi="Calibri" w:cs="Calibri" w:eastAsia="Calibri" w:hint="default"/>
        </w:rPr>
        <w:t>19 </w:t>
      </w:r>
      <w:r>
        <w:rPr/>
        <w:t>财通 </w:t>
      </w:r>
      <w:r>
        <w:rPr>
          <w:rFonts w:ascii="Calibri" w:hAnsi="Calibri" w:cs="Calibri" w:eastAsia="Calibri" w:hint="default"/>
        </w:rPr>
        <w:t>C1</w:t>
      </w:r>
      <w:r>
        <w:rPr/>
        <w:t>”和“</w:t>
      </w:r>
      <w:r>
        <w:rPr>
          <w:rFonts w:ascii="Calibri" w:hAnsi="Calibri" w:cs="Calibri" w:eastAsia="Calibri" w:hint="default"/>
        </w:rPr>
        <w:t>19 </w:t>
      </w:r>
      <w:r>
        <w:rPr/>
        <w:t>财通</w:t>
      </w:r>
      <w:r>
        <w:rPr>
          <w:spacing w:val="-86"/>
        </w:rPr>
        <w:t> </w:t>
      </w:r>
      <w:r>
        <w:rPr>
          <w:rFonts w:ascii="Calibri" w:hAnsi="Calibri" w:cs="Calibri" w:eastAsia="Calibri" w:hint="default"/>
        </w:rPr>
        <w:t>C3</w:t>
      </w:r>
      <w:r>
        <w:rPr/>
        <w:t>”根据募集说明书的约定，募集资金用于到期债务融资工具</w:t>
      </w:r>
      <w:r>
        <w:rPr>
          <w:w w:val="100"/>
        </w:rPr>
        <w:t> </w:t>
      </w:r>
      <w:r>
        <w:rPr>
          <w:spacing w:val="-1"/>
        </w:rPr>
        <w:t>的偿还。截至本报告签署日，与公司债券募集说明书承诺的用途、使用计划和其他约定一致，符合</w:t>
      </w:r>
      <w:r>
        <w:rPr>
          <w:spacing w:val="-20"/>
        </w:rPr>
        <w:t> </w:t>
      </w:r>
      <w:r>
        <w:rPr>
          <w:spacing w:val="-20"/>
        </w:rPr>
      </w:r>
      <w:r>
        <w:rPr/>
        <w:t>公司债券募集资金使用的各项规定。</w:t>
      </w:r>
    </w:p>
    <w:p>
      <w:pPr>
        <w:spacing w:line="240" w:lineRule="auto" w:before="2"/>
        <w:rPr>
          <w:rFonts w:ascii="宋体" w:hAnsi="宋体" w:cs="宋体" w:eastAsia="宋体" w:hint="default"/>
          <w:sz w:val="29"/>
          <w:szCs w:val="29"/>
        </w:rPr>
      </w:pPr>
    </w:p>
    <w:p>
      <w:pPr>
        <w:pStyle w:val="Heading5"/>
        <w:spacing w:line="240" w:lineRule="auto"/>
        <w:ind w:left="140" w:right="0"/>
        <w:jc w:val="left"/>
        <w:rPr>
          <w:b w:val="0"/>
          <w:bCs w:val="0"/>
        </w:rPr>
      </w:pPr>
      <w:r>
        <w:rPr/>
        <w:t>四、公司债券评级情况</w:t>
      </w:r>
      <w:r>
        <w:rPr>
          <w:b w:val="0"/>
          <w:bCs w:val="0"/>
        </w:rPr>
      </w:r>
    </w:p>
    <w:p>
      <w:pPr>
        <w:pStyle w:val="BodyText"/>
        <w:spacing w:line="273" w:lineRule="exact" w:before="58"/>
        <w:ind w:left="140" w:right="0"/>
        <w:jc w:val="left"/>
      </w:pPr>
      <w:r>
        <w:rPr/>
        <w:t>√适用 □不适用</w:t>
      </w:r>
    </w:p>
    <w:p>
      <w:pPr>
        <w:pStyle w:val="BodyText"/>
        <w:spacing w:line="326" w:lineRule="auto"/>
        <w:ind w:left="140" w:right="111" w:firstLine="420"/>
        <w:jc w:val="both"/>
      </w:pPr>
      <w:r>
        <w:rPr>
          <w:spacing w:val="-2"/>
          <w:w w:val="100"/>
        </w:rPr>
        <w:t>报告期内，中诚信证券评估有限公司对公司“</w:t>
      </w:r>
      <w:r>
        <w:rPr>
          <w:rFonts w:ascii="Calibri" w:hAnsi="Calibri" w:cs="Calibri" w:eastAsia="Calibri" w:hint="default"/>
          <w:spacing w:val="-2"/>
          <w:w w:val="100"/>
        </w:rPr>
        <w:t>14</w:t>
      </w:r>
      <w:r>
        <w:rPr>
          <w:rFonts w:ascii="Calibri" w:hAnsi="Calibri" w:cs="Calibri" w:eastAsia="Calibri" w:hint="default"/>
          <w:w w:val="100"/>
        </w:rPr>
        <w:t> </w:t>
      </w:r>
      <w:r>
        <w:rPr>
          <w:spacing w:val="-29"/>
          <w:w w:val="100"/>
        </w:rPr>
        <w:t>财通债”、“</w:t>
      </w:r>
      <w:r>
        <w:rPr>
          <w:rFonts w:ascii="Calibri" w:hAnsi="Calibri" w:cs="Calibri" w:eastAsia="Calibri" w:hint="default"/>
          <w:spacing w:val="-29"/>
          <w:w w:val="100"/>
        </w:rPr>
        <w:t>16</w:t>
      </w:r>
      <w:r>
        <w:rPr>
          <w:rFonts w:ascii="Calibri" w:hAnsi="Calibri" w:cs="Calibri" w:eastAsia="Calibri" w:hint="default"/>
          <w:w w:val="100"/>
        </w:rPr>
        <w:t> </w:t>
      </w:r>
      <w:r>
        <w:rPr>
          <w:spacing w:val="-29"/>
          <w:w w:val="100"/>
        </w:rPr>
        <w:t>财通债”、“</w:t>
      </w:r>
      <w:r>
        <w:rPr>
          <w:rFonts w:ascii="Calibri" w:hAnsi="Calibri" w:cs="Calibri" w:eastAsia="Calibri" w:hint="default"/>
          <w:spacing w:val="-29"/>
          <w:w w:val="100"/>
        </w:rPr>
        <w:t>14</w:t>
      </w:r>
      <w:r>
        <w:rPr>
          <w:rFonts w:ascii="Calibri" w:hAnsi="Calibri" w:cs="Calibri" w:eastAsia="Calibri" w:hint="default"/>
          <w:w w:val="100"/>
        </w:rPr>
        <w:t> </w:t>
      </w:r>
      <w:r>
        <w:rPr>
          <w:w w:val="100"/>
        </w:rPr>
        <w:t>财通 </w:t>
      </w:r>
      <w:r>
        <w:rPr>
          <w:rFonts w:ascii="Calibri" w:hAnsi="Calibri" w:cs="Calibri" w:eastAsia="Calibri" w:hint="default"/>
          <w:spacing w:val="-32"/>
          <w:w w:val="100"/>
        </w:rPr>
        <w:t>01</w:t>
      </w:r>
      <w:r>
        <w:rPr>
          <w:spacing w:val="-32"/>
          <w:w w:val="100"/>
        </w:rPr>
        <w:t>”、“</w:t>
      </w:r>
      <w:r>
        <w:rPr>
          <w:rFonts w:ascii="Calibri" w:hAnsi="Calibri" w:cs="Calibri" w:eastAsia="Calibri" w:hint="default"/>
          <w:spacing w:val="-32"/>
          <w:w w:val="100"/>
        </w:rPr>
        <w:t>16</w:t>
      </w:r>
      <w:r>
        <w:rPr>
          <w:rFonts w:ascii="Calibri" w:hAnsi="Calibri" w:cs="Calibri" w:eastAsia="Calibri" w:hint="default"/>
          <w:spacing w:val="-29"/>
          <w:w w:val="100"/>
        </w:rPr>
        <w:t> </w:t>
      </w:r>
      <w:r>
        <w:rPr>
          <w:w w:val="100"/>
        </w:rPr>
        <w:t>财 通</w:t>
      </w:r>
      <w:r>
        <w:rPr>
          <w:spacing w:val="-42"/>
          <w:w w:val="100"/>
        </w:rPr>
        <w:t> </w:t>
      </w:r>
      <w:r>
        <w:rPr>
          <w:rFonts w:ascii="Calibri" w:hAnsi="Calibri" w:cs="Calibri" w:eastAsia="Calibri" w:hint="default"/>
          <w:spacing w:val="-31"/>
          <w:w w:val="100"/>
        </w:rPr>
        <w:t>Y1</w:t>
      </w:r>
      <w:r>
        <w:rPr>
          <w:spacing w:val="-31"/>
          <w:w w:val="100"/>
        </w:rPr>
        <w:t>”、“</w:t>
      </w:r>
      <w:r>
        <w:rPr>
          <w:rFonts w:ascii="Calibri" w:hAnsi="Calibri" w:cs="Calibri" w:eastAsia="Calibri" w:hint="default"/>
          <w:spacing w:val="-31"/>
          <w:w w:val="100"/>
        </w:rPr>
        <w:t>16</w:t>
      </w:r>
      <w:r>
        <w:rPr>
          <w:rFonts w:ascii="Calibri" w:hAnsi="Calibri" w:cs="Calibri" w:eastAsia="Calibri" w:hint="default"/>
          <w:spacing w:val="14"/>
          <w:w w:val="100"/>
        </w:rPr>
        <w:t> </w:t>
      </w:r>
      <w:r>
        <w:rPr>
          <w:w w:val="100"/>
        </w:rPr>
        <w:t>财通</w:t>
      </w:r>
      <w:r>
        <w:rPr>
          <w:spacing w:val="-42"/>
          <w:w w:val="100"/>
        </w:rPr>
        <w:t> </w:t>
      </w:r>
      <w:r>
        <w:rPr>
          <w:rFonts w:ascii="Calibri" w:hAnsi="Calibri" w:cs="Calibri" w:eastAsia="Calibri" w:hint="default"/>
          <w:spacing w:val="-32"/>
          <w:w w:val="100"/>
        </w:rPr>
        <w:t>01</w:t>
      </w:r>
      <w:r>
        <w:rPr>
          <w:spacing w:val="-32"/>
          <w:w w:val="100"/>
        </w:rPr>
        <w:t>”、“</w:t>
      </w:r>
      <w:r>
        <w:rPr>
          <w:rFonts w:ascii="Calibri" w:hAnsi="Calibri" w:cs="Calibri" w:eastAsia="Calibri" w:hint="default"/>
          <w:spacing w:val="-32"/>
          <w:w w:val="100"/>
        </w:rPr>
        <w:t>16</w:t>
      </w:r>
      <w:r>
        <w:rPr>
          <w:rFonts w:ascii="Calibri" w:hAnsi="Calibri" w:cs="Calibri" w:eastAsia="Calibri" w:hint="default"/>
          <w:spacing w:val="16"/>
          <w:w w:val="100"/>
        </w:rPr>
        <w:t> </w:t>
      </w:r>
      <w:r>
        <w:rPr>
          <w:w w:val="100"/>
        </w:rPr>
        <w:t>财通</w:t>
      </w:r>
      <w:r>
        <w:rPr>
          <w:spacing w:val="-44"/>
          <w:w w:val="100"/>
        </w:rPr>
        <w:t> </w:t>
      </w:r>
      <w:r>
        <w:rPr>
          <w:rFonts w:ascii="Calibri" w:hAnsi="Calibri" w:cs="Calibri" w:eastAsia="Calibri" w:hint="default"/>
          <w:spacing w:val="-31"/>
          <w:w w:val="100"/>
        </w:rPr>
        <w:t>02</w:t>
      </w:r>
      <w:r>
        <w:rPr>
          <w:spacing w:val="-31"/>
          <w:w w:val="100"/>
        </w:rPr>
        <w:t>”、“</w:t>
      </w:r>
      <w:r>
        <w:rPr>
          <w:rFonts w:ascii="Calibri" w:hAnsi="Calibri" w:cs="Calibri" w:eastAsia="Calibri" w:hint="default"/>
          <w:spacing w:val="-31"/>
          <w:w w:val="100"/>
        </w:rPr>
        <w:t>18</w:t>
      </w:r>
      <w:r>
        <w:rPr>
          <w:rFonts w:ascii="Calibri" w:hAnsi="Calibri" w:cs="Calibri" w:eastAsia="Calibri" w:hint="default"/>
          <w:spacing w:val="14"/>
          <w:w w:val="100"/>
        </w:rPr>
        <w:t> </w:t>
      </w:r>
      <w:r>
        <w:rPr>
          <w:w w:val="100"/>
        </w:rPr>
        <w:t>财通</w:t>
      </w:r>
      <w:r>
        <w:rPr>
          <w:spacing w:val="-42"/>
          <w:w w:val="100"/>
        </w:rPr>
        <w:t> </w:t>
      </w:r>
      <w:r>
        <w:rPr>
          <w:rFonts w:ascii="Calibri" w:hAnsi="Calibri" w:cs="Calibri" w:eastAsia="Calibri" w:hint="default"/>
          <w:spacing w:val="-2"/>
          <w:w w:val="100"/>
        </w:rPr>
        <w:t>C1</w:t>
      </w:r>
      <w:r>
        <w:rPr>
          <w:spacing w:val="-2"/>
          <w:w w:val="100"/>
        </w:rPr>
        <w:t>”和“</w:t>
      </w:r>
      <w:r>
        <w:rPr>
          <w:rFonts w:ascii="Calibri" w:hAnsi="Calibri" w:cs="Calibri" w:eastAsia="Calibri" w:hint="default"/>
          <w:spacing w:val="-2"/>
          <w:w w:val="100"/>
        </w:rPr>
        <w:t>18</w:t>
      </w:r>
      <w:r>
        <w:rPr>
          <w:rFonts w:ascii="Calibri" w:hAnsi="Calibri" w:cs="Calibri" w:eastAsia="Calibri" w:hint="default"/>
          <w:spacing w:val="14"/>
          <w:w w:val="100"/>
        </w:rPr>
        <w:t> </w:t>
      </w:r>
      <w:r>
        <w:rPr>
          <w:w w:val="100"/>
        </w:rPr>
        <w:t>财通</w:t>
      </w:r>
      <w:r>
        <w:rPr>
          <w:spacing w:val="-42"/>
          <w:w w:val="100"/>
        </w:rPr>
        <w:t> </w:t>
      </w:r>
      <w:r>
        <w:rPr>
          <w:rFonts w:ascii="Calibri" w:hAnsi="Calibri" w:cs="Calibri" w:eastAsia="Calibri" w:hint="default"/>
          <w:spacing w:val="-2"/>
          <w:w w:val="100"/>
        </w:rPr>
        <w:t>C2</w:t>
      </w:r>
      <w:r>
        <w:rPr>
          <w:spacing w:val="-2"/>
          <w:w w:val="100"/>
        </w:rPr>
        <w:t>”进行了跟踪评级，并于</w:t>
      </w:r>
      <w:r>
        <w:rPr>
          <w:spacing w:val="-44"/>
          <w:w w:val="100"/>
        </w:rPr>
        <w:t> </w:t>
      </w:r>
      <w:r>
        <w:rPr>
          <w:rFonts w:ascii="Calibri" w:hAnsi="Calibri" w:cs="Calibri" w:eastAsia="Calibri" w:hint="default"/>
          <w:spacing w:val="-1"/>
          <w:w w:val="100"/>
        </w:rPr>
        <w:t>2018</w:t>
      </w:r>
      <w:r>
        <w:rPr>
          <w:rFonts w:ascii="Calibri" w:hAnsi="Calibri" w:cs="Calibri" w:eastAsia="Calibri" w:hint="default"/>
          <w:w w:val="100"/>
        </w:rPr>
        <w:t> </w:t>
      </w:r>
      <w:r>
        <w:rPr/>
        <w:t>年</w:t>
      </w:r>
      <w:r>
        <w:rPr>
          <w:spacing w:val="-53"/>
        </w:rPr>
        <w:t> </w:t>
      </w:r>
      <w:r>
        <w:rPr>
          <w:rFonts w:ascii="Calibri" w:hAnsi="Calibri" w:cs="Calibri" w:eastAsia="Calibri" w:hint="default"/>
        </w:rPr>
        <w:t>5</w:t>
      </w:r>
      <w:r>
        <w:rPr>
          <w:rFonts w:ascii="Calibri" w:hAnsi="Calibri" w:cs="Calibri" w:eastAsia="Calibri" w:hint="default"/>
          <w:spacing w:val="3"/>
        </w:rPr>
        <w:t> </w:t>
      </w:r>
      <w:r>
        <w:rPr/>
        <w:t>月</w:t>
      </w:r>
      <w:r>
        <w:rPr>
          <w:spacing w:val="-55"/>
        </w:rPr>
        <w:t> </w:t>
      </w:r>
      <w:r>
        <w:rPr>
          <w:rFonts w:ascii="Calibri" w:hAnsi="Calibri" w:cs="Calibri" w:eastAsia="Calibri" w:hint="default"/>
        </w:rPr>
        <w:t>28</w:t>
      </w:r>
      <w:r>
        <w:rPr>
          <w:rFonts w:ascii="Calibri" w:hAnsi="Calibri" w:cs="Calibri" w:eastAsia="Calibri" w:hint="default"/>
          <w:spacing w:val="3"/>
        </w:rPr>
        <w:t> </w:t>
      </w:r>
      <w:r>
        <w:rPr/>
        <w:t>日和</w:t>
      </w:r>
      <w:r>
        <w:rPr>
          <w:spacing w:val="-53"/>
        </w:rPr>
        <w:t> </w:t>
      </w:r>
      <w:r>
        <w:rPr>
          <w:rFonts w:ascii="Calibri" w:hAnsi="Calibri" w:cs="Calibri" w:eastAsia="Calibri" w:hint="default"/>
        </w:rPr>
        <w:t>6</w:t>
      </w:r>
      <w:r>
        <w:rPr>
          <w:rFonts w:ascii="Calibri" w:hAnsi="Calibri" w:cs="Calibri" w:eastAsia="Calibri" w:hint="default"/>
          <w:spacing w:val="3"/>
        </w:rPr>
        <w:t> </w:t>
      </w:r>
      <w:r>
        <w:rPr/>
        <w:t>月</w:t>
      </w:r>
      <w:r>
        <w:rPr>
          <w:spacing w:val="-55"/>
        </w:rPr>
        <w:t> </w:t>
      </w:r>
      <w:r>
        <w:rPr>
          <w:rFonts w:ascii="Calibri" w:hAnsi="Calibri" w:cs="Calibri" w:eastAsia="Calibri" w:hint="default"/>
        </w:rPr>
        <w:t>15</w:t>
      </w:r>
      <w:r>
        <w:rPr>
          <w:rFonts w:ascii="Calibri" w:hAnsi="Calibri" w:cs="Calibri" w:eastAsia="Calibri" w:hint="default"/>
          <w:spacing w:val="3"/>
        </w:rPr>
        <w:t> </w:t>
      </w:r>
      <w:r>
        <w:rPr/>
        <w:t>日出具了相应报告：</w:t>
      </w:r>
    </w:p>
    <w:p>
      <w:pPr>
        <w:pStyle w:val="BodyText"/>
        <w:spacing w:line="324" w:lineRule="auto" w:before="14"/>
        <w:ind w:left="140" w:right="108" w:firstLine="420"/>
        <w:jc w:val="both"/>
      </w:pPr>
      <w:r>
        <w:rPr>
          <w:rFonts w:ascii="Calibri" w:hAnsi="Calibri" w:cs="Calibri" w:eastAsia="Calibri" w:hint="default"/>
          <w:spacing w:val="-15"/>
          <w:w w:val="100"/>
        </w:rPr>
        <w:t>1</w:t>
      </w:r>
      <w:r>
        <w:rPr>
          <w:spacing w:val="-15"/>
          <w:w w:val="100"/>
        </w:rPr>
        <w:t>、对“</w:t>
      </w:r>
      <w:r>
        <w:rPr>
          <w:rFonts w:ascii="Calibri" w:hAnsi="Calibri" w:cs="Calibri" w:eastAsia="Calibri" w:hint="default"/>
          <w:spacing w:val="-15"/>
          <w:w w:val="100"/>
        </w:rPr>
        <w:t>14</w:t>
      </w:r>
      <w:r>
        <w:rPr>
          <w:rFonts w:ascii="Calibri" w:hAnsi="Calibri" w:cs="Calibri" w:eastAsia="Calibri" w:hint="default"/>
          <w:spacing w:val="7"/>
          <w:w w:val="100"/>
        </w:rPr>
        <w:t> </w:t>
      </w:r>
      <w:r>
        <w:rPr>
          <w:spacing w:val="-6"/>
          <w:w w:val="100"/>
        </w:rPr>
        <w:t>财通债”出具了《财通证券股份有限公司</w:t>
      </w:r>
      <w:r>
        <w:rPr>
          <w:spacing w:val="-53"/>
          <w:w w:val="100"/>
        </w:rPr>
        <w:t> </w:t>
      </w:r>
      <w:r>
        <w:rPr>
          <w:rFonts w:ascii="Calibri" w:hAnsi="Calibri" w:cs="Calibri" w:eastAsia="Calibri" w:hint="default"/>
          <w:spacing w:val="-1"/>
          <w:w w:val="100"/>
        </w:rPr>
        <w:t>2014</w:t>
      </w:r>
      <w:r>
        <w:rPr>
          <w:rFonts w:ascii="Calibri" w:hAnsi="Calibri" w:cs="Calibri" w:eastAsia="Calibri" w:hint="default"/>
          <w:spacing w:val="5"/>
          <w:w w:val="100"/>
        </w:rPr>
        <w:t> </w:t>
      </w:r>
      <w:r>
        <w:rPr>
          <w:spacing w:val="-16"/>
          <w:w w:val="100"/>
        </w:rPr>
        <w:t>年公司债券跟踪评级报告（</w:t>
      </w:r>
      <w:r>
        <w:rPr>
          <w:rFonts w:ascii="Calibri" w:hAnsi="Calibri" w:cs="Calibri" w:eastAsia="Calibri" w:hint="default"/>
          <w:spacing w:val="-16"/>
          <w:w w:val="100"/>
        </w:rPr>
        <w:t>2018</w:t>
      </w:r>
      <w:r>
        <w:rPr>
          <w:spacing w:val="-16"/>
          <w:w w:val="100"/>
        </w:rPr>
        <w:t>）》（信</w:t>
      </w:r>
      <w:r>
        <w:rPr>
          <w:w w:val="100"/>
        </w:rPr>
        <w:t> </w:t>
      </w:r>
      <w:r>
        <w:rPr>
          <w:spacing w:val="-2"/>
          <w:w w:val="100"/>
        </w:rPr>
        <w:t>评委函字</w:t>
      </w:r>
      <w:r>
        <w:rPr>
          <w:rFonts w:ascii="Calibri" w:hAnsi="Calibri" w:cs="Calibri" w:eastAsia="Calibri" w:hint="default"/>
          <w:spacing w:val="-2"/>
          <w:w w:val="100"/>
        </w:rPr>
        <w:t>[2018]</w:t>
      </w:r>
      <w:r>
        <w:rPr>
          <w:spacing w:val="-2"/>
          <w:w w:val="100"/>
        </w:rPr>
        <w:t>跟踪</w:t>
      </w:r>
      <w:r>
        <w:rPr>
          <w:spacing w:val="-43"/>
          <w:w w:val="100"/>
        </w:rPr>
        <w:t> </w:t>
      </w:r>
      <w:r>
        <w:rPr>
          <w:rFonts w:ascii="Calibri" w:hAnsi="Calibri" w:cs="Calibri" w:eastAsia="Calibri" w:hint="default"/>
          <w:spacing w:val="-2"/>
          <w:w w:val="100"/>
        </w:rPr>
        <w:t>342</w:t>
      </w:r>
      <w:r>
        <w:rPr>
          <w:rFonts w:ascii="Calibri" w:hAnsi="Calibri" w:cs="Calibri" w:eastAsia="Calibri" w:hint="default"/>
          <w:spacing w:val="16"/>
          <w:w w:val="100"/>
        </w:rPr>
        <w:t> </w:t>
      </w:r>
      <w:r>
        <w:rPr>
          <w:spacing w:val="-9"/>
          <w:w w:val="100"/>
        </w:rPr>
        <w:t>号），维持公司主体信用等级为</w:t>
      </w:r>
      <w:r>
        <w:rPr>
          <w:spacing w:val="-43"/>
          <w:w w:val="100"/>
        </w:rPr>
        <w:t> </w:t>
      </w:r>
      <w:r>
        <w:rPr>
          <w:rFonts w:ascii="Calibri" w:hAnsi="Calibri" w:cs="Calibri" w:eastAsia="Calibri" w:hint="default"/>
          <w:spacing w:val="-2"/>
          <w:w w:val="100"/>
        </w:rPr>
        <w:t>AAA</w:t>
      </w:r>
      <w:r>
        <w:rPr>
          <w:spacing w:val="-2"/>
          <w:w w:val="100"/>
        </w:rPr>
        <w:t>，评级展望稳定；维持本期债券的信用</w:t>
      </w:r>
      <w:r>
        <w:rPr>
          <w:spacing w:val="-103"/>
          <w:w w:val="100"/>
        </w:rPr>
        <w:t> </w:t>
      </w:r>
      <w:r>
        <w:rPr>
          <w:spacing w:val="-103"/>
          <w:w w:val="100"/>
        </w:rPr>
      </w:r>
      <w:r>
        <w:rPr/>
        <w:t>等级为</w:t>
      </w:r>
      <w:r>
        <w:rPr>
          <w:spacing w:val="-53"/>
        </w:rPr>
        <w:t> </w:t>
      </w:r>
      <w:r>
        <w:rPr>
          <w:rFonts w:ascii="Calibri" w:hAnsi="Calibri" w:cs="Calibri" w:eastAsia="Calibri" w:hint="default"/>
        </w:rPr>
        <w:t>AAA</w:t>
      </w:r>
      <w:r>
        <w:rPr/>
        <w:t>；</w:t>
      </w:r>
    </w:p>
    <w:p>
      <w:pPr>
        <w:pStyle w:val="BodyText"/>
        <w:spacing w:line="324" w:lineRule="auto" w:before="19"/>
        <w:ind w:left="140" w:right="107" w:firstLine="420"/>
        <w:jc w:val="both"/>
      </w:pPr>
      <w:r>
        <w:rPr>
          <w:rFonts w:ascii="Calibri" w:hAnsi="Calibri" w:cs="Calibri" w:eastAsia="Calibri" w:hint="default"/>
          <w:spacing w:val="-15"/>
          <w:w w:val="100"/>
        </w:rPr>
        <w:t>2</w:t>
      </w:r>
      <w:r>
        <w:rPr>
          <w:spacing w:val="-15"/>
          <w:w w:val="100"/>
        </w:rPr>
        <w:t>、对“</w:t>
      </w:r>
      <w:r>
        <w:rPr>
          <w:rFonts w:ascii="Calibri" w:hAnsi="Calibri" w:cs="Calibri" w:eastAsia="Calibri" w:hint="default"/>
          <w:spacing w:val="-15"/>
          <w:w w:val="100"/>
        </w:rPr>
        <w:t>16</w:t>
      </w:r>
      <w:r>
        <w:rPr>
          <w:rFonts w:ascii="Calibri" w:hAnsi="Calibri" w:cs="Calibri" w:eastAsia="Calibri" w:hint="default"/>
          <w:spacing w:val="7"/>
          <w:w w:val="100"/>
        </w:rPr>
        <w:t> </w:t>
      </w:r>
      <w:r>
        <w:rPr>
          <w:spacing w:val="-6"/>
          <w:w w:val="100"/>
        </w:rPr>
        <w:t>财通债”出具了《财通证券股份有限公司</w:t>
      </w:r>
      <w:r>
        <w:rPr>
          <w:spacing w:val="-53"/>
          <w:w w:val="100"/>
        </w:rPr>
        <w:t> </w:t>
      </w:r>
      <w:r>
        <w:rPr>
          <w:rFonts w:ascii="Calibri" w:hAnsi="Calibri" w:cs="Calibri" w:eastAsia="Calibri" w:hint="default"/>
          <w:spacing w:val="-1"/>
          <w:w w:val="100"/>
        </w:rPr>
        <w:t>2016</w:t>
      </w:r>
      <w:r>
        <w:rPr>
          <w:rFonts w:ascii="Calibri" w:hAnsi="Calibri" w:cs="Calibri" w:eastAsia="Calibri" w:hint="default"/>
          <w:spacing w:val="5"/>
          <w:w w:val="100"/>
        </w:rPr>
        <w:t> </w:t>
      </w:r>
      <w:r>
        <w:rPr>
          <w:spacing w:val="-16"/>
          <w:w w:val="100"/>
        </w:rPr>
        <w:t>年公司债券跟踪评级报告（</w:t>
      </w:r>
      <w:r>
        <w:rPr>
          <w:rFonts w:ascii="Calibri" w:hAnsi="Calibri" w:cs="Calibri" w:eastAsia="Calibri" w:hint="default"/>
          <w:spacing w:val="-16"/>
          <w:w w:val="100"/>
        </w:rPr>
        <w:t>2018</w:t>
      </w:r>
      <w:r>
        <w:rPr>
          <w:spacing w:val="-16"/>
          <w:w w:val="100"/>
        </w:rPr>
        <w:t>）》（信</w:t>
      </w:r>
      <w:r>
        <w:rPr>
          <w:w w:val="100"/>
        </w:rPr>
        <w:t> </w:t>
      </w:r>
      <w:r>
        <w:rPr>
          <w:spacing w:val="-2"/>
          <w:w w:val="100"/>
        </w:rPr>
        <w:t>评委函字</w:t>
      </w:r>
      <w:r>
        <w:rPr>
          <w:rFonts w:ascii="Calibri" w:hAnsi="Calibri" w:cs="Calibri" w:eastAsia="Calibri" w:hint="default"/>
          <w:spacing w:val="-2"/>
          <w:w w:val="100"/>
        </w:rPr>
        <w:t>[2018]</w:t>
      </w:r>
      <w:r>
        <w:rPr>
          <w:spacing w:val="-2"/>
          <w:w w:val="100"/>
        </w:rPr>
        <w:t>跟踪</w:t>
      </w:r>
      <w:r>
        <w:rPr>
          <w:spacing w:val="-50"/>
          <w:w w:val="100"/>
        </w:rPr>
        <w:t> </w:t>
      </w:r>
      <w:r>
        <w:rPr>
          <w:rFonts w:ascii="Calibri" w:hAnsi="Calibri" w:cs="Calibri" w:eastAsia="Calibri" w:hint="default"/>
          <w:spacing w:val="-1"/>
          <w:w w:val="100"/>
        </w:rPr>
        <w:t>207</w:t>
      </w:r>
      <w:r>
        <w:rPr>
          <w:rFonts w:ascii="Calibri" w:hAnsi="Calibri" w:cs="Calibri" w:eastAsia="Calibri" w:hint="default"/>
          <w:spacing w:val="10"/>
          <w:w w:val="100"/>
        </w:rPr>
        <w:t> </w:t>
      </w:r>
      <w:r>
        <w:rPr>
          <w:spacing w:val="-11"/>
          <w:w w:val="100"/>
        </w:rPr>
        <w:t>号），维持本期债券信用等级为</w:t>
      </w:r>
      <w:r>
        <w:rPr>
          <w:spacing w:val="-46"/>
          <w:w w:val="100"/>
        </w:rPr>
        <w:t> </w:t>
      </w:r>
      <w:r>
        <w:rPr>
          <w:rFonts w:ascii="Calibri" w:hAnsi="Calibri" w:cs="Calibri" w:eastAsia="Calibri" w:hint="default"/>
          <w:spacing w:val="-2"/>
          <w:w w:val="100"/>
        </w:rPr>
        <w:t>AAA,</w:t>
      </w:r>
      <w:r>
        <w:rPr>
          <w:spacing w:val="-2"/>
          <w:w w:val="100"/>
        </w:rPr>
        <w:t>维持公司主体信用等级为</w:t>
      </w:r>
      <w:r>
        <w:rPr>
          <w:spacing w:val="-46"/>
          <w:w w:val="100"/>
        </w:rPr>
        <w:t> </w:t>
      </w:r>
      <w:r>
        <w:rPr>
          <w:rFonts w:ascii="Calibri" w:hAnsi="Calibri" w:cs="Calibri" w:eastAsia="Calibri" w:hint="default"/>
          <w:spacing w:val="-4"/>
          <w:w w:val="100"/>
        </w:rPr>
        <w:t>AAA</w:t>
      </w:r>
      <w:r>
        <w:rPr>
          <w:spacing w:val="-4"/>
          <w:w w:val="100"/>
        </w:rPr>
        <w:t>，评级展</w:t>
      </w:r>
      <w:r>
        <w:rPr>
          <w:spacing w:val="-103"/>
          <w:w w:val="100"/>
        </w:rPr>
        <w:t> </w:t>
      </w:r>
      <w:r>
        <w:rPr>
          <w:spacing w:val="-103"/>
          <w:w w:val="100"/>
        </w:rPr>
      </w:r>
      <w:r>
        <w:rPr/>
        <w:t>望稳定；</w:t>
      </w:r>
    </w:p>
    <w:p>
      <w:pPr>
        <w:pStyle w:val="BodyText"/>
        <w:spacing w:line="240" w:lineRule="auto" w:before="59"/>
        <w:ind w:left="560" w:right="0"/>
        <w:jc w:val="left"/>
      </w:pPr>
      <w:r>
        <w:rPr>
          <w:rFonts w:ascii="Calibri" w:hAnsi="Calibri" w:cs="Calibri" w:eastAsia="Calibri" w:hint="default"/>
          <w:w w:val="100"/>
        </w:rPr>
        <w:t>3</w:t>
      </w:r>
      <w:r>
        <w:rPr>
          <w:spacing w:val="-104"/>
          <w:w w:val="100"/>
        </w:rPr>
        <w:t>、</w:t>
      </w:r>
      <w:r>
        <w:rPr>
          <w:spacing w:val="-101"/>
          <w:w w:val="100"/>
        </w:rPr>
        <w:t>对</w:t>
      </w:r>
      <w:r>
        <w:rPr>
          <w:spacing w:val="-3"/>
          <w:w w:val="100"/>
        </w:rPr>
        <w:t>“</w:t>
      </w:r>
      <w:r>
        <w:rPr>
          <w:rFonts w:ascii="Calibri" w:hAnsi="Calibri" w:cs="Calibri" w:eastAsia="Calibri" w:hint="default"/>
          <w:w w:val="100"/>
        </w:rPr>
        <w:t>14</w:t>
      </w:r>
      <w:r>
        <w:rPr>
          <w:rFonts w:ascii="Calibri" w:hAnsi="Calibri" w:cs="Calibri" w:eastAsia="Calibri" w:hint="default"/>
          <w:spacing w:val="3"/>
        </w:rPr>
        <w:t> </w:t>
      </w:r>
      <w:r>
        <w:rPr>
          <w:spacing w:val="-3"/>
          <w:w w:val="100"/>
        </w:rPr>
        <w:t>财</w:t>
      </w:r>
      <w:r>
        <w:rPr>
          <w:w w:val="100"/>
        </w:rPr>
        <w:t>通</w:t>
      </w:r>
      <w:r>
        <w:rPr>
          <w:spacing w:val="-53"/>
        </w:rPr>
        <w:t> </w:t>
      </w:r>
      <w:r>
        <w:rPr>
          <w:rFonts w:ascii="Calibri" w:hAnsi="Calibri" w:cs="Calibri" w:eastAsia="Calibri" w:hint="default"/>
          <w:spacing w:val="-2"/>
          <w:w w:val="100"/>
        </w:rPr>
        <w:t>0</w:t>
      </w:r>
      <w:r>
        <w:rPr>
          <w:rFonts w:ascii="Calibri" w:hAnsi="Calibri" w:cs="Calibri" w:eastAsia="Calibri" w:hint="default"/>
          <w:w w:val="100"/>
        </w:rPr>
        <w:t>1</w:t>
      </w:r>
      <w:r>
        <w:rPr>
          <w:spacing w:val="-104"/>
          <w:w w:val="100"/>
        </w:rPr>
        <w:t>”</w:t>
      </w:r>
      <w:r>
        <w:rPr>
          <w:w w:val="100"/>
        </w:rPr>
        <w:t>出</w:t>
      </w:r>
      <w:r>
        <w:rPr>
          <w:spacing w:val="-3"/>
          <w:w w:val="100"/>
        </w:rPr>
        <w:t>具</w:t>
      </w:r>
      <w:r>
        <w:rPr>
          <w:spacing w:val="-101"/>
          <w:w w:val="100"/>
        </w:rPr>
        <w:t>了</w:t>
      </w:r>
      <w:r>
        <w:rPr>
          <w:spacing w:val="-3"/>
          <w:w w:val="100"/>
        </w:rPr>
        <w:t>《</w:t>
      </w:r>
      <w:r>
        <w:rPr>
          <w:w w:val="100"/>
        </w:rPr>
        <w:t>财通</w:t>
      </w:r>
      <w:r>
        <w:rPr>
          <w:spacing w:val="-3"/>
          <w:w w:val="100"/>
        </w:rPr>
        <w:t>证</w:t>
      </w:r>
      <w:r>
        <w:rPr>
          <w:w w:val="100"/>
        </w:rPr>
        <w:t>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14</w:t>
      </w:r>
      <w:r>
        <w:rPr>
          <w:rFonts w:ascii="Calibri" w:hAnsi="Calibri" w:cs="Calibri" w:eastAsia="Calibri" w:hint="default"/>
          <w:spacing w:val="4"/>
        </w:rPr>
        <w:t> </w:t>
      </w:r>
      <w:r>
        <w:rPr>
          <w:w w:val="100"/>
        </w:rPr>
        <w:t>年</w:t>
      </w:r>
      <w:r>
        <w:rPr>
          <w:spacing w:val="-3"/>
          <w:w w:val="100"/>
        </w:rPr>
        <w:t>第</w:t>
      </w:r>
      <w:r>
        <w:rPr>
          <w:w w:val="100"/>
        </w:rPr>
        <w:t>一</w:t>
      </w:r>
      <w:r>
        <w:rPr>
          <w:spacing w:val="-3"/>
          <w:w w:val="100"/>
        </w:rPr>
        <w:t>期</w:t>
      </w:r>
      <w:r>
        <w:rPr>
          <w:w w:val="100"/>
        </w:rPr>
        <w:t>次</w:t>
      </w:r>
      <w:r>
        <w:rPr>
          <w:spacing w:val="-3"/>
          <w:w w:val="100"/>
        </w:rPr>
        <w:t>级</w:t>
      </w:r>
      <w:r>
        <w:rPr>
          <w:w w:val="100"/>
        </w:rPr>
        <w:t>债</w:t>
      </w:r>
      <w:r>
        <w:rPr>
          <w:spacing w:val="-3"/>
          <w:w w:val="100"/>
        </w:rPr>
        <w:t>券</w:t>
      </w:r>
      <w:r>
        <w:rPr>
          <w:w w:val="100"/>
        </w:rPr>
        <w:t>跟</w:t>
      </w:r>
      <w:r>
        <w:rPr>
          <w:spacing w:val="-3"/>
          <w:w w:val="100"/>
        </w:rPr>
        <w:t>踪</w:t>
      </w:r>
      <w:r>
        <w:rPr>
          <w:w w:val="100"/>
        </w:rPr>
        <w:t>评级</w:t>
      </w:r>
      <w:r>
        <w:rPr>
          <w:spacing w:val="-3"/>
          <w:w w:val="100"/>
        </w:rPr>
        <w:t>报</w:t>
      </w:r>
      <w:r>
        <w:rPr>
          <w:spacing w:val="-101"/>
          <w:w w:val="100"/>
        </w:rPr>
        <w:t>告</w:t>
      </w:r>
      <w:r>
        <w:rPr>
          <w:spacing w:val="-3"/>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spacing w:val="1"/>
          <w:w w:val="100"/>
        </w:rPr>
        <w:t>8</w:t>
      </w:r>
      <w:r>
        <w:rPr>
          <w:spacing w:val="-108"/>
          <w:w w:val="100"/>
        </w:rPr>
        <w:t>）》</w:t>
      </w:r>
      <w:r>
        <w:rPr>
          <w:w w:val="100"/>
        </w:rPr>
      </w:r>
    </w:p>
    <w:p>
      <w:pPr>
        <w:pStyle w:val="BodyText"/>
        <w:spacing w:line="326" w:lineRule="auto" w:before="106"/>
        <w:ind w:left="140" w:right="0"/>
        <w:jc w:val="left"/>
      </w:pPr>
      <w:r>
        <w:rPr>
          <w:spacing w:val="-2"/>
          <w:w w:val="100"/>
        </w:rPr>
        <w:t>（信评委函字</w:t>
      </w:r>
      <w:r>
        <w:rPr>
          <w:rFonts w:ascii="Calibri" w:hAnsi="Calibri" w:cs="Calibri" w:eastAsia="Calibri" w:hint="default"/>
          <w:spacing w:val="-2"/>
          <w:w w:val="100"/>
        </w:rPr>
        <w:t>[2018]</w:t>
      </w:r>
      <w:r>
        <w:rPr>
          <w:spacing w:val="-2"/>
          <w:w w:val="100"/>
        </w:rPr>
        <w:t>跟踪</w:t>
      </w:r>
      <w:r>
        <w:rPr>
          <w:spacing w:val="-49"/>
          <w:w w:val="100"/>
        </w:rPr>
        <w:t> </w:t>
      </w:r>
      <w:r>
        <w:rPr>
          <w:rFonts w:ascii="Calibri" w:hAnsi="Calibri" w:cs="Calibri" w:eastAsia="Calibri" w:hint="default"/>
          <w:spacing w:val="-1"/>
          <w:w w:val="100"/>
        </w:rPr>
        <w:t>205</w:t>
      </w:r>
      <w:r>
        <w:rPr>
          <w:rFonts w:ascii="Calibri" w:hAnsi="Calibri" w:cs="Calibri" w:eastAsia="Calibri" w:hint="default"/>
          <w:spacing w:val="9"/>
          <w:w w:val="100"/>
        </w:rPr>
        <w:t> </w:t>
      </w:r>
      <w:r>
        <w:rPr>
          <w:spacing w:val="-11"/>
          <w:w w:val="100"/>
        </w:rPr>
        <w:t>号），维持本期债券信用等级</w:t>
      </w:r>
      <w:r>
        <w:rPr>
          <w:spacing w:val="-48"/>
          <w:w w:val="100"/>
        </w:rPr>
        <w:t> </w:t>
      </w:r>
      <w:r>
        <w:rPr>
          <w:rFonts w:ascii="Calibri" w:hAnsi="Calibri" w:cs="Calibri" w:eastAsia="Calibri" w:hint="default"/>
          <w:spacing w:val="-2"/>
          <w:w w:val="100"/>
        </w:rPr>
        <w:t>AA+,</w:t>
      </w:r>
      <w:r>
        <w:rPr>
          <w:spacing w:val="-2"/>
          <w:w w:val="100"/>
        </w:rPr>
        <w:t>维持公司主体信用等级为</w:t>
      </w:r>
      <w:r>
        <w:rPr>
          <w:spacing w:val="-48"/>
          <w:w w:val="100"/>
        </w:rPr>
        <w:t> </w:t>
      </w:r>
      <w:r>
        <w:rPr>
          <w:rFonts w:ascii="Calibri" w:hAnsi="Calibri" w:cs="Calibri" w:eastAsia="Calibri" w:hint="default"/>
          <w:spacing w:val="-3"/>
          <w:w w:val="100"/>
        </w:rPr>
        <w:t>AAA</w:t>
      </w:r>
      <w:r>
        <w:rPr>
          <w:spacing w:val="-3"/>
          <w:w w:val="100"/>
        </w:rPr>
        <w:t>，评级</w:t>
      </w:r>
      <w:r>
        <w:rPr>
          <w:spacing w:val="-103"/>
          <w:w w:val="100"/>
        </w:rPr>
        <w:t> </w:t>
      </w:r>
      <w:r>
        <w:rPr>
          <w:spacing w:val="-103"/>
          <w:w w:val="100"/>
        </w:rPr>
      </w:r>
      <w:r>
        <w:rPr/>
        <w:t>展望稳定；</w:t>
      </w:r>
    </w:p>
    <w:p>
      <w:pPr>
        <w:pStyle w:val="BodyText"/>
        <w:spacing w:line="324" w:lineRule="auto" w:before="57"/>
        <w:ind w:left="140" w:right="110" w:firstLine="420"/>
        <w:jc w:val="both"/>
      </w:pPr>
      <w:r>
        <w:rPr>
          <w:rFonts w:ascii="Calibri" w:hAnsi="Calibri" w:cs="Calibri" w:eastAsia="Calibri" w:hint="default"/>
          <w:spacing w:val="-6"/>
        </w:rPr>
        <w:t>4</w:t>
      </w:r>
      <w:r>
        <w:rPr>
          <w:spacing w:val="-6"/>
        </w:rPr>
        <w:t>、对“</w:t>
      </w:r>
      <w:r>
        <w:rPr>
          <w:rFonts w:ascii="Calibri" w:hAnsi="Calibri" w:cs="Calibri" w:eastAsia="Calibri" w:hint="default"/>
          <w:spacing w:val="-6"/>
        </w:rPr>
        <w:t>16</w:t>
      </w:r>
      <w:r>
        <w:rPr>
          <w:rFonts w:ascii="Calibri" w:hAnsi="Calibri" w:cs="Calibri" w:eastAsia="Calibri" w:hint="default"/>
          <w:spacing w:val="19"/>
        </w:rPr>
        <w:t> </w:t>
      </w:r>
      <w:r>
        <w:rPr/>
        <w:t>财通</w:t>
      </w:r>
      <w:r>
        <w:rPr>
          <w:spacing w:val="-40"/>
        </w:rPr>
        <w:t> </w:t>
      </w:r>
      <w:r>
        <w:rPr>
          <w:rFonts w:ascii="Calibri" w:hAnsi="Calibri" w:cs="Calibri" w:eastAsia="Calibri" w:hint="default"/>
          <w:spacing w:val="-4"/>
        </w:rPr>
        <w:t>Y1</w:t>
      </w:r>
      <w:r>
        <w:rPr>
          <w:spacing w:val="-4"/>
        </w:rPr>
        <w:t>”出具了《财通证券股份有限公司</w:t>
      </w:r>
      <w:r>
        <w:rPr>
          <w:spacing w:val="-40"/>
        </w:rPr>
        <w:t> </w:t>
      </w:r>
      <w:r>
        <w:rPr>
          <w:rFonts w:ascii="Calibri" w:hAnsi="Calibri" w:cs="Calibri" w:eastAsia="Calibri" w:hint="default"/>
        </w:rPr>
        <w:t>2016</w:t>
      </w:r>
      <w:r>
        <w:rPr>
          <w:rFonts w:ascii="Calibri" w:hAnsi="Calibri" w:cs="Calibri" w:eastAsia="Calibri" w:hint="default"/>
          <w:spacing w:val="17"/>
        </w:rPr>
        <w:t> </w:t>
      </w:r>
      <w:r>
        <w:rPr>
          <w:spacing w:val="-3"/>
        </w:rPr>
        <w:t>年永续次级债券（第一期）跟踪评级</w:t>
      </w:r>
      <w:r>
        <w:rPr>
          <w:w w:val="100"/>
        </w:rPr>
        <w:t> </w:t>
      </w:r>
      <w:r>
        <w:rPr>
          <w:spacing w:val="-12"/>
          <w:w w:val="100"/>
        </w:rPr>
        <w:t>报告（</w:t>
      </w:r>
      <w:r>
        <w:rPr>
          <w:rFonts w:ascii="Calibri" w:hAnsi="Calibri" w:cs="Calibri" w:eastAsia="Calibri" w:hint="default"/>
          <w:spacing w:val="-12"/>
          <w:w w:val="100"/>
        </w:rPr>
        <w:t>2018</w:t>
      </w:r>
      <w:r>
        <w:rPr>
          <w:spacing w:val="-12"/>
          <w:w w:val="100"/>
        </w:rPr>
        <w:t>）》（信评委函字</w:t>
      </w:r>
      <w:r>
        <w:rPr>
          <w:rFonts w:ascii="Calibri" w:hAnsi="Calibri" w:cs="Calibri" w:eastAsia="Calibri" w:hint="default"/>
          <w:spacing w:val="-12"/>
          <w:w w:val="100"/>
        </w:rPr>
        <w:t>[2018]</w:t>
      </w:r>
      <w:r>
        <w:rPr>
          <w:spacing w:val="-12"/>
          <w:w w:val="100"/>
        </w:rPr>
        <w:t>跟踪</w:t>
      </w:r>
      <w:r>
        <w:rPr>
          <w:spacing w:val="-44"/>
          <w:w w:val="100"/>
        </w:rPr>
        <w:t> </w:t>
      </w:r>
      <w:r>
        <w:rPr>
          <w:rFonts w:ascii="Calibri" w:hAnsi="Calibri" w:cs="Calibri" w:eastAsia="Calibri" w:hint="default"/>
          <w:spacing w:val="-2"/>
          <w:w w:val="100"/>
        </w:rPr>
        <w:t>208</w:t>
      </w:r>
      <w:r>
        <w:rPr>
          <w:rFonts w:ascii="Calibri" w:hAnsi="Calibri" w:cs="Calibri" w:eastAsia="Calibri" w:hint="default"/>
          <w:spacing w:val="15"/>
          <w:w w:val="100"/>
        </w:rPr>
        <w:t> </w:t>
      </w:r>
      <w:r>
        <w:rPr>
          <w:spacing w:val="-11"/>
          <w:w w:val="100"/>
        </w:rPr>
        <w:t>号），维持本期债券信用等级</w:t>
      </w:r>
      <w:r>
        <w:rPr>
          <w:spacing w:val="-44"/>
          <w:w w:val="100"/>
        </w:rPr>
        <w:t> </w:t>
      </w:r>
      <w:r>
        <w:rPr>
          <w:rFonts w:ascii="Calibri" w:hAnsi="Calibri" w:cs="Calibri" w:eastAsia="Calibri" w:hint="default"/>
          <w:spacing w:val="-2"/>
          <w:w w:val="100"/>
        </w:rPr>
        <w:t>AA+,</w:t>
      </w:r>
      <w:r>
        <w:rPr>
          <w:spacing w:val="-2"/>
          <w:w w:val="100"/>
        </w:rPr>
        <w:t>维持公司主体信用等级</w:t>
      </w:r>
      <w:r>
        <w:rPr>
          <w:spacing w:val="-101"/>
          <w:w w:val="100"/>
        </w:rPr>
        <w:t> </w:t>
      </w:r>
      <w:r>
        <w:rPr>
          <w:spacing w:val="-101"/>
          <w:w w:val="100"/>
        </w:rPr>
      </w:r>
      <w:r>
        <w:rPr/>
        <w:t>为</w:t>
      </w:r>
      <w:r>
        <w:rPr>
          <w:spacing w:val="-56"/>
        </w:rPr>
        <w:t> </w:t>
      </w:r>
      <w:r>
        <w:rPr>
          <w:rFonts w:ascii="Calibri" w:hAnsi="Calibri" w:cs="Calibri" w:eastAsia="Calibri" w:hint="default"/>
        </w:rPr>
        <w:t>AAA</w:t>
      </w:r>
      <w:r>
        <w:rPr/>
        <w:t>，评级展望稳定；</w:t>
      </w:r>
    </w:p>
    <w:p>
      <w:pPr>
        <w:pStyle w:val="BodyText"/>
        <w:spacing w:line="326" w:lineRule="auto" w:before="16"/>
        <w:ind w:left="140" w:right="107" w:firstLine="420"/>
        <w:jc w:val="both"/>
      </w:pPr>
      <w:r>
        <w:rPr>
          <w:rFonts w:ascii="Calibri" w:hAnsi="Calibri" w:cs="Calibri" w:eastAsia="Calibri" w:hint="default"/>
        </w:rPr>
        <w:t>5</w:t>
      </w:r>
      <w:r>
        <w:rPr/>
        <w:t>、对“</w:t>
      </w:r>
      <w:r>
        <w:rPr>
          <w:rFonts w:ascii="Calibri" w:hAnsi="Calibri" w:cs="Calibri" w:eastAsia="Calibri" w:hint="default"/>
        </w:rPr>
        <w:t>16</w:t>
      </w:r>
      <w:r>
        <w:rPr>
          <w:rFonts w:ascii="Calibri" w:hAnsi="Calibri" w:cs="Calibri" w:eastAsia="Calibri" w:hint="default"/>
          <w:spacing w:val="5"/>
        </w:rPr>
        <w:t> </w:t>
      </w:r>
      <w:r>
        <w:rPr/>
        <w:t>财通</w:t>
      </w:r>
      <w:r>
        <w:rPr>
          <w:spacing w:val="-51"/>
        </w:rPr>
        <w:t> </w:t>
      </w:r>
      <w:r>
        <w:rPr>
          <w:rFonts w:ascii="Calibri" w:hAnsi="Calibri" w:cs="Calibri" w:eastAsia="Calibri" w:hint="default"/>
        </w:rPr>
        <w:t>01</w:t>
      </w:r>
      <w:r>
        <w:rPr/>
        <w:t>”和“</w:t>
      </w:r>
      <w:r>
        <w:rPr>
          <w:rFonts w:ascii="Calibri" w:hAnsi="Calibri" w:cs="Calibri" w:eastAsia="Calibri" w:hint="default"/>
        </w:rPr>
        <w:t>16</w:t>
      </w:r>
      <w:r>
        <w:rPr>
          <w:rFonts w:ascii="Calibri" w:hAnsi="Calibri" w:cs="Calibri" w:eastAsia="Calibri" w:hint="default"/>
          <w:spacing w:val="7"/>
        </w:rPr>
        <w:t> </w:t>
      </w:r>
      <w:r>
        <w:rPr/>
        <w:t>财通</w:t>
      </w:r>
      <w:r>
        <w:rPr>
          <w:spacing w:val="-54"/>
        </w:rPr>
        <w:t> </w:t>
      </w:r>
      <w:r>
        <w:rPr>
          <w:rFonts w:ascii="Calibri" w:hAnsi="Calibri" w:cs="Calibri" w:eastAsia="Calibri" w:hint="default"/>
        </w:rPr>
        <w:t>02</w:t>
      </w:r>
      <w:r>
        <w:rPr/>
        <w:t>”出具了《财通证券股份有限公司</w:t>
      </w:r>
      <w:r>
        <w:rPr>
          <w:spacing w:val="-51"/>
        </w:rPr>
        <w:t> </w:t>
      </w:r>
      <w:r>
        <w:rPr>
          <w:rFonts w:ascii="Calibri" w:hAnsi="Calibri" w:cs="Calibri" w:eastAsia="Calibri" w:hint="default"/>
        </w:rPr>
        <w:t>2016</w:t>
      </w:r>
      <w:r>
        <w:rPr>
          <w:rFonts w:ascii="Calibri" w:hAnsi="Calibri" w:cs="Calibri" w:eastAsia="Calibri" w:hint="default"/>
          <w:spacing w:val="8"/>
        </w:rPr>
        <w:t> </w:t>
      </w:r>
      <w:r>
        <w:rPr/>
        <w:t>年第一期、第二期</w:t>
      </w:r>
      <w:r>
        <w:rPr>
          <w:w w:val="100"/>
        </w:rPr>
        <w:t> </w:t>
      </w:r>
      <w:r>
        <w:rPr>
          <w:spacing w:val="-9"/>
          <w:w w:val="100"/>
        </w:rPr>
        <w:t>次级债券跟踪评级报告（</w:t>
      </w:r>
      <w:r>
        <w:rPr>
          <w:rFonts w:ascii="Calibri" w:hAnsi="Calibri" w:cs="Calibri" w:eastAsia="Calibri" w:hint="default"/>
          <w:spacing w:val="-9"/>
          <w:w w:val="100"/>
        </w:rPr>
        <w:t>2018</w:t>
      </w:r>
      <w:r>
        <w:rPr>
          <w:spacing w:val="-9"/>
          <w:w w:val="100"/>
        </w:rPr>
        <w:t>）》（信评委函字</w:t>
      </w:r>
      <w:r>
        <w:rPr>
          <w:rFonts w:ascii="Calibri" w:hAnsi="Calibri" w:cs="Calibri" w:eastAsia="Calibri" w:hint="default"/>
          <w:spacing w:val="-9"/>
          <w:w w:val="100"/>
        </w:rPr>
        <w:t>[2018]</w:t>
      </w:r>
      <w:r>
        <w:rPr>
          <w:spacing w:val="-9"/>
          <w:w w:val="100"/>
        </w:rPr>
        <w:t>跟踪</w:t>
      </w:r>
      <w:r>
        <w:rPr>
          <w:spacing w:val="-54"/>
          <w:w w:val="100"/>
        </w:rPr>
        <w:t> </w:t>
      </w:r>
      <w:r>
        <w:rPr>
          <w:rFonts w:ascii="Calibri" w:hAnsi="Calibri" w:cs="Calibri" w:eastAsia="Calibri" w:hint="default"/>
          <w:spacing w:val="-1"/>
          <w:w w:val="100"/>
        </w:rPr>
        <w:t>206</w:t>
      </w:r>
      <w:r>
        <w:rPr>
          <w:rFonts w:ascii="Calibri" w:hAnsi="Calibri" w:cs="Calibri" w:eastAsia="Calibri" w:hint="default"/>
          <w:spacing w:val="5"/>
          <w:w w:val="100"/>
        </w:rPr>
        <w:t> </w:t>
      </w:r>
      <w:r>
        <w:rPr>
          <w:spacing w:val="-9"/>
          <w:w w:val="100"/>
        </w:rPr>
        <w:t>号），维持上述两期债券信用等级</w:t>
      </w:r>
      <w:r>
        <w:rPr>
          <w:spacing w:val="-52"/>
          <w:w w:val="100"/>
        </w:rPr>
        <w:t> </w:t>
      </w:r>
      <w:r>
        <w:rPr>
          <w:rFonts w:ascii="Calibri" w:hAnsi="Calibri" w:cs="Calibri" w:eastAsia="Calibri" w:hint="default"/>
          <w:spacing w:val="-1"/>
          <w:w w:val="100"/>
        </w:rPr>
        <w:t>AA+,</w:t>
      </w:r>
      <w:r>
        <w:rPr>
          <w:rFonts w:ascii="Calibri" w:hAnsi="Calibri" w:cs="Calibri" w:eastAsia="Calibri" w:hint="default"/>
          <w:w w:val="100"/>
        </w:rPr>
        <w:t> </w:t>
      </w:r>
      <w:r>
        <w:rPr/>
        <w:t>维持公司主体信用等级为</w:t>
      </w:r>
      <w:r>
        <w:rPr>
          <w:spacing w:val="-57"/>
        </w:rPr>
        <w:t> </w:t>
      </w:r>
      <w:r>
        <w:rPr>
          <w:rFonts w:ascii="Calibri" w:hAnsi="Calibri" w:cs="Calibri" w:eastAsia="Calibri" w:hint="default"/>
        </w:rPr>
        <w:t>AAA</w:t>
      </w:r>
      <w:r>
        <w:rPr/>
        <w:t>，评级展望稳定；</w:t>
      </w:r>
    </w:p>
    <w:p>
      <w:pPr>
        <w:pStyle w:val="BodyText"/>
        <w:spacing w:line="326" w:lineRule="auto" w:before="14"/>
        <w:ind w:left="140" w:right="107" w:firstLine="420"/>
        <w:jc w:val="both"/>
      </w:pPr>
      <w:r>
        <w:rPr>
          <w:rFonts w:ascii="Calibri" w:hAnsi="Calibri" w:cs="Calibri" w:eastAsia="Calibri" w:hint="default"/>
        </w:rPr>
        <w:t>6</w:t>
      </w:r>
      <w:r>
        <w:rPr/>
        <w:t>、对“</w:t>
      </w:r>
      <w:r>
        <w:rPr>
          <w:rFonts w:ascii="Calibri" w:hAnsi="Calibri" w:cs="Calibri" w:eastAsia="Calibri" w:hint="default"/>
        </w:rPr>
        <w:t>18</w:t>
      </w:r>
      <w:r>
        <w:rPr>
          <w:rFonts w:ascii="Calibri" w:hAnsi="Calibri" w:cs="Calibri" w:eastAsia="Calibri" w:hint="default"/>
          <w:spacing w:val="7"/>
        </w:rPr>
        <w:t> </w:t>
      </w:r>
      <w:r>
        <w:rPr/>
        <w:t>财通</w:t>
      </w:r>
      <w:r>
        <w:rPr>
          <w:spacing w:val="-54"/>
        </w:rPr>
        <w:t> </w:t>
      </w:r>
      <w:r>
        <w:rPr>
          <w:rFonts w:ascii="Calibri" w:hAnsi="Calibri" w:cs="Calibri" w:eastAsia="Calibri" w:hint="default"/>
        </w:rPr>
        <w:t>C1</w:t>
      </w:r>
      <w:r>
        <w:rPr/>
        <w:t>”和“</w:t>
      </w:r>
      <w:r>
        <w:rPr>
          <w:rFonts w:ascii="Calibri" w:hAnsi="Calibri" w:cs="Calibri" w:eastAsia="Calibri" w:hint="default"/>
        </w:rPr>
        <w:t>18</w:t>
      </w:r>
      <w:r>
        <w:rPr>
          <w:rFonts w:ascii="Calibri" w:hAnsi="Calibri" w:cs="Calibri" w:eastAsia="Calibri" w:hint="default"/>
          <w:spacing w:val="5"/>
        </w:rPr>
        <w:t> </w:t>
      </w:r>
      <w:r>
        <w:rPr/>
        <w:t>财通</w:t>
      </w:r>
      <w:r>
        <w:rPr>
          <w:spacing w:val="-54"/>
        </w:rPr>
        <w:t> </w:t>
      </w:r>
      <w:r>
        <w:rPr>
          <w:rFonts w:ascii="Calibri" w:hAnsi="Calibri" w:cs="Calibri" w:eastAsia="Calibri" w:hint="default"/>
        </w:rPr>
        <w:t>C2</w:t>
      </w:r>
      <w:r>
        <w:rPr/>
        <w:t>”出具了《财通证券股份有限公司</w:t>
      </w:r>
      <w:r>
        <w:rPr>
          <w:spacing w:val="-54"/>
        </w:rPr>
        <w:t> </w:t>
      </w:r>
      <w:r>
        <w:rPr>
          <w:rFonts w:ascii="Calibri" w:hAnsi="Calibri" w:cs="Calibri" w:eastAsia="Calibri" w:hint="default"/>
        </w:rPr>
        <w:t>2018</w:t>
      </w:r>
      <w:r>
        <w:rPr>
          <w:rFonts w:ascii="Calibri" w:hAnsi="Calibri" w:cs="Calibri" w:eastAsia="Calibri" w:hint="default"/>
          <w:spacing w:val="6"/>
        </w:rPr>
        <w:t> </w:t>
      </w:r>
      <w:r>
        <w:rPr/>
        <w:t>年第一期、第二期</w:t>
      </w:r>
      <w:r>
        <w:rPr>
          <w:w w:val="100"/>
        </w:rPr>
        <w:t> </w:t>
      </w:r>
      <w:r>
        <w:rPr>
          <w:spacing w:val="-9"/>
          <w:w w:val="100"/>
        </w:rPr>
        <w:t>次级债券跟踪评级报告（</w:t>
      </w:r>
      <w:r>
        <w:rPr>
          <w:rFonts w:ascii="Calibri" w:hAnsi="Calibri" w:cs="Calibri" w:eastAsia="Calibri" w:hint="default"/>
          <w:spacing w:val="-9"/>
          <w:w w:val="100"/>
        </w:rPr>
        <w:t>2018</w:t>
      </w:r>
      <w:r>
        <w:rPr>
          <w:spacing w:val="-9"/>
          <w:w w:val="100"/>
        </w:rPr>
        <w:t>）》（信评委函字</w:t>
      </w:r>
      <w:r>
        <w:rPr>
          <w:rFonts w:ascii="Calibri" w:hAnsi="Calibri" w:cs="Calibri" w:eastAsia="Calibri" w:hint="default"/>
          <w:spacing w:val="-9"/>
          <w:w w:val="100"/>
        </w:rPr>
        <w:t>[2018]</w:t>
      </w:r>
      <w:r>
        <w:rPr>
          <w:spacing w:val="-9"/>
          <w:w w:val="100"/>
        </w:rPr>
        <w:t>跟踪</w:t>
      </w:r>
      <w:r>
        <w:rPr>
          <w:spacing w:val="-54"/>
          <w:w w:val="100"/>
        </w:rPr>
        <w:t> </w:t>
      </w:r>
      <w:r>
        <w:rPr>
          <w:rFonts w:ascii="Calibri" w:hAnsi="Calibri" w:cs="Calibri" w:eastAsia="Calibri" w:hint="default"/>
          <w:spacing w:val="-1"/>
          <w:w w:val="100"/>
        </w:rPr>
        <w:t>209</w:t>
      </w:r>
      <w:r>
        <w:rPr>
          <w:rFonts w:ascii="Calibri" w:hAnsi="Calibri" w:cs="Calibri" w:eastAsia="Calibri" w:hint="default"/>
          <w:spacing w:val="5"/>
          <w:w w:val="100"/>
        </w:rPr>
        <w:t> </w:t>
      </w:r>
      <w:r>
        <w:rPr>
          <w:spacing w:val="-9"/>
          <w:w w:val="100"/>
        </w:rPr>
        <w:t>号），维持上述两期债券信用等级</w:t>
      </w:r>
      <w:r>
        <w:rPr>
          <w:spacing w:val="-52"/>
          <w:w w:val="100"/>
        </w:rPr>
        <w:t> </w:t>
      </w:r>
      <w:r>
        <w:rPr>
          <w:rFonts w:ascii="Calibri" w:hAnsi="Calibri" w:cs="Calibri" w:eastAsia="Calibri" w:hint="default"/>
          <w:spacing w:val="-1"/>
          <w:w w:val="100"/>
        </w:rPr>
        <w:t>AA+,</w:t>
      </w:r>
      <w:r>
        <w:rPr>
          <w:rFonts w:ascii="Calibri" w:hAnsi="Calibri" w:cs="Calibri" w:eastAsia="Calibri" w:hint="default"/>
          <w:w w:val="100"/>
        </w:rPr>
        <w:t> </w:t>
      </w:r>
      <w:r>
        <w:rPr/>
        <w:t>维持公司主体信用等级为</w:t>
      </w:r>
      <w:r>
        <w:rPr>
          <w:spacing w:val="-57"/>
        </w:rPr>
        <w:t> </w:t>
      </w:r>
      <w:r>
        <w:rPr>
          <w:rFonts w:ascii="Calibri" w:hAnsi="Calibri" w:cs="Calibri" w:eastAsia="Calibri" w:hint="default"/>
        </w:rPr>
        <w:t>AAA</w:t>
      </w:r>
      <w:r>
        <w:rPr/>
        <w:t>，评级展望稳定。</w:t>
      </w:r>
    </w:p>
    <w:p>
      <w:pPr>
        <w:pStyle w:val="BodyText"/>
        <w:spacing w:line="355" w:lineRule="auto" w:before="14"/>
        <w:ind w:left="140" w:right="110" w:firstLine="420"/>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6"/>
        </w:rPr>
        <w:t> </w:t>
      </w:r>
      <w:r>
        <w:rPr/>
        <w:t>日，中诚信证券评估有限公司对</w:t>
      </w:r>
      <w:r>
        <w:rPr>
          <w:spacing w:val="-6"/>
        </w:rPr>
        <w:t> </w:t>
      </w:r>
      <w:r>
        <w:rPr/>
        <w:t>“</w:t>
      </w:r>
      <w:r>
        <w:rPr>
          <w:rFonts w:ascii="宋体" w:hAnsi="宋体" w:cs="宋体" w:eastAsia="宋体" w:hint="default"/>
        </w:rPr>
        <w:t>18</w:t>
      </w:r>
      <w:r>
        <w:rPr>
          <w:rFonts w:ascii="宋体" w:hAnsi="宋体" w:cs="宋体" w:eastAsia="宋体" w:hint="default"/>
          <w:spacing w:val="-54"/>
        </w:rPr>
        <w:t> </w:t>
      </w:r>
      <w:r>
        <w:rPr/>
        <w:t>财通</w:t>
      </w:r>
      <w:r>
        <w:rPr>
          <w:spacing w:val="-56"/>
        </w:rPr>
        <w:t> </w:t>
      </w:r>
      <w:r>
        <w:rPr>
          <w:rFonts w:ascii="宋体" w:hAnsi="宋体" w:cs="宋体" w:eastAsia="宋体" w:hint="default"/>
        </w:rPr>
        <w:t>C3</w:t>
      </w:r>
      <w:r>
        <w:rPr/>
        <w:t>”出具了《财通证券股份有限公司</w:t>
      </w:r>
      <w:r>
        <w:rPr>
          <w:w w:val="100"/>
        </w:rPr>
        <w:t> </w:t>
      </w:r>
      <w:r>
        <w:rPr>
          <w:spacing w:val="-2"/>
          <w:w w:val="100"/>
        </w:rPr>
        <w:t>非公开发行</w:t>
      </w:r>
      <w:r>
        <w:rPr>
          <w:w w:val="100"/>
        </w:rPr>
        <w:t> </w:t>
      </w:r>
      <w:r>
        <w:rPr>
          <w:rFonts w:ascii="宋体" w:hAnsi="宋体" w:cs="宋体" w:eastAsia="宋体" w:hint="default"/>
          <w:spacing w:val="-1"/>
          <w:w w:val="100"/>
        </w:rPr>
        <w:t>2018</w:t>
      </w:r>
      <w:r>
        <w:rPr>
          <w:rFonts w:ascii="宋体" w:hAnsi="宋体" w:cs="宋体" w:eastAsia="宋体" w:hint="default"/>
          <w:w w:val="100"/>
        </w:rPr>
        <w:t> </w:t>
      </w:r>
      <w:r>
        <w:rPr>
          <w:spacing w:val="-5"/>
          <w:w w:val="100"/>
        </w:rPr>
        <w:t>年第三期次级债券信用评级报告》（信评委函字</w:t>
      </w:r>
      <w:r>
        <w:rPr>
          <w:rFonts w:ascii="宋体" w:hAnsi="宋体" w:cs="宋体" w:eastAsia="宋体" w:hint="default"/>
          <w:spacing w:val="-5"/>
          <w:w w:val="100"/>
        </w:rPr>
        <w:t>[2018]G271</w:t>
      </w:r>
      <w:r>
        <w:rPr>
          <w:rFonts w:ascii="宋体" w:hAnsi="宋体" w:cs="宋体" w:eastAsia="宋体" w:hint="default"/>
          <w:spacing w:val="-54"/>
          <w:w w:val="100"/>
        </w:rPr>
        <w:t> </w:t>
      </w:r>
      <w:r>
        <w:rPr>
          <w:spacing w:val="-12"/>
          <w:w w:val="100"/>
        </w:rPr>
        <w:t>号），公司的主体信用</w:t>
      </w:r>
      <w:r>
        <w:rPr>
          <w:w w:val="100"/>
        </w:rPr>
        <w:t> </w:t>
      </w:r>
      <w:r>
        <w:rPr/>
        <w:t>等级为</w:t>
      </w:r>
      <w:r>
        <w:rPr>
          <w:spacing w:val="-55"/>
        </w:rPr>
        <w:t> </w:t>
      </w:r>
      <w:r>
        <w:rPr>
          <w:rFonts w:ascii="宋体" w:hAnsi="宋体" w:cs="宋体" w:eastAsia="宋体" w:hint="default"/>
        </w:rPr>
        <w:t>AAA</w:t>
      </w:r>
      <w:r>
        <w:rPr/>
        <w:t>，评级展望稳定，本期债券的信用等级为</w:t>
      </w:r>
      <w:r>
        <w:rPr>
          <w:spacing w:val="-54"/>
        </w:rPr>
        <w:t> </w:t>
      </w:r>
      <w:r>
        <w:rPr>
          <w:rFonts w:ascii="宋体" w:hAnsi="宋体" w:cs="宋体" w:eastAsia="宋体" w:hint="default"/>
        </w:rPr>
        <w:t>AA+</w:t>
      </w:r>
      <w:r>
        <w:rPr/>
        <w:t>。</w:t>
      </w:r>
    </w:p>
    <w:p>
      <w:pPr>
        <w:pStyle w:val="BodyText"/>
        <w:spacing w:line="357" w:lineRule="auto" w:before="32"/>
        <w:ind w:left="140" w:right="108" w:firstLine="420"/>
        <w:jc w:val="both"/>
      </w:pP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12</w:t>
      </w:r>
      <w:r>
        <w:rPr>
          <w:rFonts w:ascii="宋体" w:hAnsi="宋体" w:cs="宋体" w:eastAsia="宋体" w:hint="default"/>
          <w:spacing w:val="-55"/>
        </w:rPr>
        <w:t> </w:t>
      </w:r>
      <w:r>
        <w:rPr/>
        <w:t>日，中诚信证券评估有限公司对</w:t>
      </w:r>
      <w:r>
        <w:rPr>
          <w:spacing w:val="-7"/>
        </w:rPr>
        <w:t> </w:t>
      </w:r>
      <w:r>
        <w:rPr/>
        <w:t>“</w:t>
      </w:r>
      <w:r>
        <w:rPr>
          <w:rFonts w:ascii="宋体" w:hAnsi="宋体" w:cs="宋体" w:eastAsia="宋体" w:hint="default"/>
        </w:rPr>
        <w:t>19</w:t>
      </w:r>
      <w:r>
        <w:rPr>
          <w:rFonts w:ascii="宋体" w:hAnsi="宋体" w:cs="宋体" w:eastAsia="宋体" w:hint="default"/>
          <w:spacing w:val="-55"/>
        </w:rPr>
        <w:t> </w:t>
      </w:r>
      <w:r>
        <w:rPr/>
        <w:t>财通</w:t>
      </w:r>
      <w:r>
        <w:rPr>
          <w:spacing w:val="-55"/>
        </w:rPr>
        <w:t> </w:t>
      </w:r>
      <w:r>
        <w:rPr>
          <w:rFonts w:ascii="宋体" w:hAnsi="宋体" w:cs="宋体" w:eastAsia="宋体" w:hint="default"/>
        </w:rPr>
        <w:t>C1</w:t>
      </w:r>
      <w:r>
        <w:rPr/>
        <w:t>”出具了《财通证券股份有限公</w:t>
      </w:r>
      <w:r>
        <w:rPr>
          <w:w w:val="100"/>
        </w:rPr>
        <w:t> 司</w:t>
      </w:r>
      <w:r>
        <w:rPr>
          <w:spacing w:val="-48"/>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spacing w:val="-5"/>
          <w:w w:val="100"/>
        </w:rPr>
        <w:t>年第一期次级债券信用评级报告》（信评委函字</w:t>
      </w:r>
      <w:r>
        <w:rPr>
          <w:rFonts w:ascii="宋体" w:hAnsi="宋体" w:cs="宋体" w:eastAsia="宋体" w:hint="default"/>
          <w:spacing w:val="-5"/>
          <w:w w:val="100"/>
        </w:rPr>
        <w:t>[2018]G271-F2</w:t>
      </w:r>
      <w:r>
        <w:rPr>
          <w:rFonts w:ascii="宋体" w:hAnsi="宋体" w:cs="宋体" w:eastAsia="宋体" w:hint="default"/>
          <w:spacing w:val="-48"/>
          <w:w w:val="100"/>
        </w:rPr>
        <w:t> </w:t>
      </w:r>
      <w:r>
        <w:rPr>
          <w:spacing w:val="-10"/>
          <w:w w:val="100"/>
        </w:rPr>
        <w:t>号），公司的主体信用等级为</w:t>
      </w:r>
      <w:r>
        <w:rPr>
          <w:spacing w:val="-104"/>
          <w:w w:val="100"/>
        </w:rPr>
        <w:t> </w:t>
      </w:r>
      <w:r>
        <w:rPr>
          <w:spacing w:val="-104"/>
          <w:w w:val="100"/>
        </w:rPr>
      </w:r>
      <w:r>
        <w:rPr>
          <w:rFonts w:ascii="宋体" w:hAnsi="宋体" w:cs="宋体" w:eastAsia="宋体" w:hint="default"/>
        </w:rPr>
        <w:t>AAA</w:t>
      </w:r>
      <w:r>
        <w:rPr/>
        <w:t>，评级展望稳定，本期债券的信用等级为</w:t>
      </w:r>
      <w:r>
        <w:rPr>
          <w:spacing w:val="-58"/>
        </w:rPr>
        <w:t> </w:t>
      </w:r>
      <w:r>
        <w:rPr>
          <w:rFonts w:ascii="宋体" w:hAnsi="宋体" w:cs="宋体" w:eastAsia="宋体" w:hint="default"/>
        </w:rPr>
        <w:t>AA+</w:t>
      </w:r>
      <w:r>
        <w:rPr/>
        <w:t>。</w:t>
      </w:r>
    </w:p>
    <w:p>
      <w:pPr>
        <w:spacing w:after="0" w:line="357" w:lineRule="auto"/>
        <w:jc w:val="both"/>
        <w:sectPr>
          <w:footerReference w:type="default" r:id="rId41"/>
          <w:pgSz w:w="11910" w:h="16840"/>
          <w:pgMar w:footer="1195" w:header="880" w:top="1120" w:bottom="1380" w:left="1420" w:right="1160"/>
          <w:pgNumType w:start="97"/>
        </w:sectPr>
      </w:pPr>
    </w:p>
    <w:p>
      <w:pPr>
        <w:spacing w:line="240" w:lineRule="auto" w:before="4"/>
        <w:rPr>
          <w:rFonts w:ascii="宋体" w:hAnsi="宋体" w:cs="宋体" w:eastAsia="宋体" w:hint="default"/>
          <w:sz w:val="25"/>
          <w:szCs w:val="25"/>
        </w:rPr>
      </w:pPr>
    </w:p>
    <w:p>
      <w:pPr>
        <w:pStyle w:val="BodyText"/>
        <w:spacing w:line="240" w:lineRule="auto" w:before="36"/>
        <w:ind w:left="560" w:right="0"/>
        <w:jc w:val="left"/>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6"/>
        </w:rPr>
        <w:t> </w:t>
      </w:r>
      <w:r>
        <w:rPr/>
        <w:t>日，中诚信证券评估有限公司对</w:t>
      </w:r>
      <w:r>
        <w:rPr>
          <w:spacing w:val="-6"/>
        </w:rPr>
        <w:t> </w:t>
      </w:r>
      <w:r>
        <w:rPr/>
        <w:t>“</w:t>
      </w:r>
      <w:r>
        <w:rPr>
          <w:rFonts w:ascii="宋体" w:hAnsi="宋体" w:cs="宋体" w:eastAsia="宋体" w:hint="default"/>
        </w:rPr>
        <w:t>19</w:t>
      </w:r>
      <w:r>
        <w:rPr>
          <w:rFonts w:ascii="宋体" w:hAnsi="宋体" w:cs="宋体" w:eastAsia="宋体" w:hint="default"/>
          <w:spacing w:val="-54"/>
        </w:rPr>
        <w:t> </w:t>
      </w:r>
      <w:r>
        <w:rPr/>
        <w:t>财通</w:t>
      </w:r>
      <w:r>
        <w:rPr>
          <w:spacing w:val="-56"/>
        </w:rPr>
        <w:t> </w:t>
      </w:r>
      <w:r>
        <w:rPr>
          <w:rFonts w:ascii="宋体" w:hAnsi="宋体" w:cs="宋体" w:eastAsia="宋体" w:hint="default"/>
        </w:rPr>
        <w:t>C3</w:t>
      </w:r>
      <w:r>
        <w:rPr/>
        <w:t>”出具了《财通证券股份有限公司</w:t>
      </w:r>
    </w:p>
    <w:p>
      <w:pPr>
        <w:pStyle w:val="BodyText"/>
        <w:spacing w:line="355" w:lineRule="auto" w:before="135"/>
        <w:ind w:left="140" w:right="0"/>
        <w:jc w:val="left"/>
      </w:pPr>
      <w:r>
        <w:rPr>
          <w:rFonts w:ascii="宋体" w:hAnsi="宋体" w:cs="宋体" w:eastAsia="宋体" w:hint="default"/>
          <w:w w:val="100"/>
        </w:rPr>
        <w:t>2019</w:t>
      </w:r>
      <w:r>
        <w:rPr>
          <w:rFonts w:ascii="宋体" w:hAnsi="宋体" w:cs="宋体" w:eastAsia="宋体" w:hint="default"/>
          <w:spacing w:val="-51"/>
          <w:w w:val="100"/>
        </w:rPr>
        <w:t> </w:t>
      </w:r>
      <w:r>
        <w:rPr>
          <w:spacing w:val="-8"/>
          <w:w w:val="100"/>
        </w:rPr>
        <w:t>年第二期次级债券信用评级报告》（信评委函字</w:t>
      </w:r>
      <w:r>
        <w:rPr>
          <w:rFonts w:ascii="宋体" w:hAnsi="宋体" w:cs="宋体" w:eastAsia="宋体" w:hint="default"/>
          <w:spacing w:val="-8"/>
          <w:w w:val="100"/>
        </w:rPr>
        <w:t>[2019]G186-F3</w:t>
      </w:r>
      <w:r>
        <w:rPr>
          <w:rFonts w:ascii="宋体" w:hAnsi="宋体" w:cs="宋体" w:eastAsia="宋体" w:hint="default"/>
          <w:spacing w:val="-49"/>
          <w:w w:val="100"/>
        </w:rPr>
        <w:t> </w:t>
      </w:r>
      <w:r>
        <w:rPr>
          <w:spacing w:val="-18"/>
          <w:w w:val="100"/>
        </w:rPr>
        <w:t>号），公司的主体信用等级为</w:t>
      </w:r>
      <w:r>
        <w:rPr>
          <w:spacing w:val="-53"/>
          <w:w w:val="100"/>
        </w:rPr>
        <w:t> </w:t>
      </w:r>
      <w:r>
        <w:rPr>
          <w:rFonts w:ascii="宋体" w:hAnsi="宋体" w:cs="宋体" w:eastAsia="宋体" w:hint="default"/>
          <w:w w:val="100"/>
        </w:rPr>
        <w:t>AAA</w:t>
      </w:r>
      <w:r>
        <w:rPr>
          <w:w w:val="100"/>
        </w:rPr>
        <w:t>，</w:t>
      </w:r>
      <w:r>
        <w:rPr>
          <w:spacing w:val="-102"/>
          <w:w w:val="100"/>
        </w:rPr>
        <w:t> </w:t>
      </w:r>
      <w:r>
        <w:rPr/>
        <w:t>评级展望稳定，本期债券的信用等级为</w:t>
      </w:r>
      <w:r>
        <w:rPr>
          <w:spacing w:val="-55"/>
        </w:rPr>
        <w:t> </w:t>
      </w:r>
      <w:r>
        <w:rPr>
          <w:rFonts w:ascii="宋体" w:hAnsi="宋体" w:cs="宋体" w:eastAsia="宋体" w:hint="default"/>
        </w:rPr>
        <w:t>AA+</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5"/>
        <w:spacing w:line="240" w:lineRule="auto"/>
        <w:ind w:left="140" w:right="0"/>
        <w:jc w:val="left"/>
        <w:rPr>
          <w:b w:val="0"/>
          <w:bCs w:val="0"/>
        </w:rPr>
      </w:pPr>
      <w:r>
        <w:rPr/>
        <w:t>五、报告期内公司债券增信机制、偿债计划及其他相关情况</w:t>
      </w:r>
      <w:r>
        <w:rPr>
          <w:b w:val="0"/>
          <w:bCs w:val="0"/>
        </w:rPr>
      </w:r>
    </w:p>
    <w:p>
      <w:pPr>
        <w:pStyle w:val="BodyText"/>
        <w:spacing w:line="274" w:lineRule="exact" w:before="56"/>
        <w:ind w:left="140" w:right="0"/>
        <w:jc w:val="left"/>
      </w:pPr>
      <w:r>
        <w:rPr/>
        <w:t>√适用 □不适用</w:t>
      </w:r>
    </w:p>
    <w:p>
      <w:pPr>
        <w:pStyle w:val="BodyText"/>
        <w:spacing w:line="340" w:lineRule="auto"/>
        <w:ind w:left="140" w:right="208" w:firstLine="420"/>
        <w:jc w:val="both"/>
      </w:pPr>
      <w:r>
        <w:rPr>
          <w:rFonts w:ascii="Calibri" w:hAnsi="Calibri" w:cs="Calibri" w:eastAsia="Calibri" w:hint="default"/>
          <w:spacing w:val="-13"/>
          <w:w w:val="100"/>
        </w:rPr>
        <w:t>1</w:t>
      </w:r>
      <w:r>
        <w:rPr>
          <w:spacing w:val="-13"/>
          <w:w w:val="100"/>
        </w:rPr>
        <w:t>、增信机制：“</w:t>
      </w:r>
      <w:r>
        <w:rPr>
          <w:rFonts w:ascii="Calibri" w:hAnsi="Calibri" w:cs="Calibri" w:eastAsia="Calibri" w:hint="default"/>
          <w:spacing w:val="-13"/>
          <w:w w:val="100"/>
        </w:rPr>
        <w:t>14</w:t>
      </w:r>
      <w:r>
        <w:rPr>
          <w:rFonts w:ascii="Calibri" w:hAnsi="Calibri" w:cs="Calibri" w:eastAsia="Calibri" w:hint="default"/>
          <w:spacing w:val="15"/>
          <w:w w:val="100"/>
        </w:rPr>
        <w:t> </w:t>
      </w:r>
      <w:r>
        <w:rPr>
          <w:spacing w:val="-2"/>
          <w:w w:val="100"/>
        </w:rPr>
        <w:t>财通债”由浙江省金融控股有限公司提供全额无条件不可撤销连带责任的保</w:t>
      </w:r>
      <w:r>
        <w:rPr>
          <w:w w:val="100"/>
        </w:rPr>
        <w:t> </w:t>
      </w:r>
      <w:r>
        <w:rPr>
          <w:spacing w:val="-1"/>
        </w:rPr>
        <w:t>证担保，担保范围包括本金、利息、违约金、损害赔偿金和实现债权的费用，报告期内未发生相关</w:t>
      </w:r>
      <w:r>
        <w:rPr>
          <w:spacing w:val="-20"/>
        </w:rPr>
        <w:t> </w:t>
      </w:r>
      <w:r>
        <w:rPr>
          <w:spacing w:val="-20"/>
        </w:rPr>
      </w:r>
      <w:r>
        <w:rPr/>
        <w:t>条款的执行情况。其他债券暂无增信机制安排。</w:t>
      </w:r>
    </w:p>
    <w:p>
      <w:pPr>
        <w:pStyle w:val="BodyText"/>
        <w:spacing w:line="345" w:lineRule="auto" w:before="45"/>
        <w:ind w:left="140" w:right="0" w:firstLine="420"/>
        <w:jc w:val="left"/>
      </w:pPr>
      <w:r>
        <w:rPr>
          <w:rFonts w:ascii="Calibri" w:hAnsi="Calibri" w:cs="Calibri" w:eastAsia="Calibri" w:hint="default"/>
          <w:spacing w:val="-3"/>
        </w:rPr>
        <w:t>2</w:t>
      </w:r>
      <w:r>
        <w:rPr>
          <w:spacing w:val="-3"/>
        </w:rPr>
        <w:t>、偿债计划：公司为保证债券按时、足额偿付制定了一系列工作计划，包括了制定《债券持有</w:t>
      </w:r>
      <w:r>
        <w:rPr>
          <w:w w:val="100"/>
        </w:rPr>
        <w:t> </w:t>
      </w:r>
      <w:r>
        <w:rPr>
          <w:spacing w:val="-8"/>
          <w:w w:val="100"/>
        </w:rPr>
        <w:t>人会议规则》、设立偿付工作小组、充分发挥债券受托管理人的作用和严格履行信息披露义务等内容。</w:t>
      </w:r>
      <w:r>
        <w:rPr>
          <w:spacing w:val="-83"/>
          <w:w w:val="100"/>
        </w:rPr>
        <w:t> </w:t>
      </w:r>
      <w:r>
        <w:rPr>
          <w:spacing w:val="-83"/>
          <w:w w:val="100"/>
        </w:rPr>
      </w:r>
      <w:r>
        <w:rPr/>
        <w:t>公司将根据债务结构进一步加强资产负债管理、流动性管理和募集资金运用管理，保证资金按计划</w:t>
      </w:r>
      <w:r>
        <w:rPr>
          <w:spacing w:val="-63"/>
        </w:rPr>
        <w:t> </w:t>
      </w:r>
      <w:r>
        <w:rPr>
          <w:spacing w:val="-63"/>
        </w:rPr>
      </w:r>
      <w:r>
        <w:rPr/>
        <w:t>使用，及时、足额准备资金用于每年的利息支付和到期的本金兑付，以充分保障投资者的利益。</w:t>
      </w:r>
    </w:p>
    <w:p>
      <w:pPr>
        <w:spacing w:line="240" w:lineRule="auto" w:before="0"/>
        <w:rPr>
          <w:rFonts w:ascii="宋体" w:hAnsi="宋体" w:cs="宋体" w:eastAsia="宋体" w:hint="default"/>
          <w:sz w:val="20"/>
          <w:szCs w:val="20"/>
        </w:rPr>
      </w:pPr>
    </w:p>
    <w:p>
      <w:pPr>
        <w:pStyle w:val="Heading5"/>
        <w:spacing w:line="240" w:lineRule="auto" w:before="151"/>
        <w:ind w:left="140" w:right="0"/>
        <w:jc w:val="left"/>
        <w:rPr>
          <w:b w:val="0"/>
          <w:bCs w:val="0"/>
        </w:rPr>
      </w:pPr>
      <w:r>
        <w:rPr/>
        <w:t>六、公司债券持有人会议召开情况</w:t>
      </w:r>
      <w:r>
        <w:rPr>
          <w:b w:val="0"/>
          <w:bCs w:val="0"/>
        </w:rPr>
      </w:r>
    </w:p>
    <w:p>
      <w:pPr>
        <w:pStyle w:val="BodyText"/>
        <w:spacing w:line="240" w:lineRule="auto" w:before="56"/>
        <w:ind w:left="140" w:right="4069"/>
        <w:jc w:val="left"/>
      </w:pPr>
      <w:r>
        <w:rPr/>
        <w:t>√适用</w:t>
      </w:r>
      <w:r>
        <w:rPr>
          <w:spacing w:val="-2"/>
        </w:rPr>
        <w:t> </w:t>
      </w:r>
      <w:r>
        <w:rPr/>
        <w:t>□不适用</w:t>
      </w:r>
      <w:r>
        <w:rPr>
          <w:spacing w:val="-103"/>
        </w:rPr>
        <w:t> </w:t>
      </w:r>
      <w:r>
        <w:rPr>
          <w:spacing w:val="-103"/>
        </w:rPr>
      </w:r>
      <w:r>
        <w:rPr>
          <w:spacing w:val="-2"/>
        </w:rPr>
        <w:t>报告期内，公司未召开债券持有人会议。</w:t>
      </w:r>
    </w:p>
    <w:p>
      <w:pPr>
        <w:spacing w:line="240" w:lineRule="auto" w:before="2"/>
        <w:rPr>
          <w:rFonts w:ascii="宋体" w:hAnsi="宋体" w:cs="宋体" w:eastAsia="宋体" w:hint="default"/>
          <w:sz w:val="28"/>
          <w:szCs w:val="28"/>
        </w:rPr>
      </w:pPr>
    </w:p>
    <w:p>
      <w:pPr>
        <w:pStyle w:val="Heading5"/>
        <w:spacing w:line="240" w:lineRule="auto"/>
        <w:ind w:left="140" w:right="0"/>
        <w:jc w:val="left"/>
        <w:rPr>
          <w:b w:val="0"/>
          <w:bCs w:val="0"/>
        </w:rPr>
      </w:pPr>
      <w:r>
        <w:rPr/>
        <w:t>七、公司债券受托管理人履职情况</w:t>
      </w:r>
      <w:r>
        <w:rPr>
          <w:b w:val="0"/>
          <w:bCs w:val="0"/>
        </w:rPr>
      </w:r>
    </w:p>
    <w:p>
      <w:pPr>
        <w:pStyle w:val="BodyText"/>
        <w:spacing w:line="274" w:lineRule="exact" w:before="56"/>
        <w:ind w:left="140" w:right="0"/>
        <w:jc w:val="left"/>
      </w:pPr>
      <w:r>
        <w:rPr/>
        <w:t>√适用 □不适用</w:t>
      </w:r>
    </w:p>
    <w:p>
      <w:pPr>
        <w:pStyle w:val="BodyText"/>
        <w:spacing w:line="301" w:lineRule="exact"/>
        <w:ind w:left="560" w:right="0"/>
        <w:jc w:val="left"/>
      </w:pPr>
      <w:r>
        <w:rPr>
          <w:spacing w:val="-1"/>
        </w:rPr>
        <w:t>“</w:t>
      </w:r>
      <w:r>
        <w:rPr>
          <w:rFonts w:ascii="Calibri" w:hAnsi="Calibri" w:cs="Calibri" w:eastAsia="Calibri" w:hint="default"/>
          <w:spacing w:val="-1"/>
        </w:rPr>
        <w:t>14</w:t>
      </w:r>
      <w:r>
        <w:rPr>
          <w:rFonts w:ascii="Calibri" w:hAnsi="Calibri" w:cs="Calibri" w:eastAsia="Calibri" w:hint="default"/>
        </w:rPr>
        <w:t> </w:t>
      </w:r>
      <w:r>
        <w:rPr>
          <w:rFonts w:ascii="Calibri" w:hAnsi="Calibri" w:cs="Calibri" w:eastAsia="Calibri" w:hint="default"/>
          <w:spacing w:val="13"/>
        </w:rPr>
        <w:t> </w:t>
      </w:r>
      <w:r>
        <w:rPr>
          <w:spacing w:val="-2"/>
        </w:rPr>
        <w:t>财通债”债券受托管理人为湘财证券股份有限公司。报告期内，湘财证券股份有限公司按</w:t>
      </w:r>
    </w:p>
    <w:p>
      <w:pPr>
        <w:pStyle w:val="BodyText"/>
        <w:spacing w:line="240" w:lineRule="auto" w:before="106"/>
        <w:ind w:left="140" w:right="0"/>
        <w:jc w:val="left"/>
        <w:rPr>
          <w:rFonts w:ascii="Calibri" w:hAnsi="Calibri" w:cs="Calibri" w:eastAsia="Calibri" w:hint="default"/>
        </w:rPr>
      </w:pPr>
      <w:r>
        <w:rPr/>
        <w:t>照《债券受托管理协议》中的约定，在上海证券交易所网站（</w:t>
      </w:r>
      <w:hyperlink r:id="rId12">
        <w:r>
          <w:rPr>
            <w:rFonts w:ascii="Calibri" w:hAnsi="Calibri" w:cs="Calibri" w:eastAsia="Calibri" w:hint="default"/>
          </w:rPr>
          <w:t>http://www.sse.com.cn</w:t>
        </w:r>
      </w:hyperlink>
      <w:r>
        <w:rPr/>
        <w:t>）于 </w:t>
      </w:r>
      <w:r>
        <w:rPr>
          <w:rFonts w:ascii="Calibri" w:hAnsi="Calibri" w:cs="Calibri" w:eastAsia="Calibri" w:hint="default"/>
        </w:rPr>
        <w:t>2018 </w:t>
      </w:r>
      <w:r>
        <w:rPr/>
        <w:t>年</w:t>
      </w:r>
      <w:r>
        <w:rPr>
          <w:spacing w:val="-65"/>
        </w:rPr>
        <w:t> </w:t>
      </w:r>
      <w:r>
        <w:rPr>
          <w:rFonts w:ascii="Calibri" w:hAnsi="Calibri" w:cs="Calibri" w:eastAsia="Calibri" w:hint="default"/>
        </w:rPr>
        <w:t>5</w:t>
      </w:r>
    </w:p>
    <w:p>
      <w:pPr>
        <w:pStyle w:val="BodyText"/>
        <w:spacing w:line="240" w:lineRule="auto" w:before="106"/>
        <w:ind w:left="140" w:right="0"/>
        <w:jc w:val="left"/>
        <w:rPr>
          <w:rFonts w:ascii="Calibri" w:hAnsi="Calibri" w:cs="Calibri" w:eastAsia="Calibri" w:hint="default"/>
        </w:rPr>
      </w:pPr>
      <w:r>
        <w:rPr>
          <w:w w:val="100"/>
        </w:rPr>
        <w:t>月</w:t>
      </w:r>
      <w:r>
        <w:rPr>
          <w:spacing w:val="-53"/>
        </w:rPr>
        <w:t> </w:t>
      </w:r>
      <w:r>
        <w:rPr>
          <w:rFonts w:ascii="Calibri" w:hAnsi="Calibri" w:cs="Calibri" w:eastAsia="Calibri" w:hint="default"/>
          <w:w w:val="100"/>
        </w:rPr>
        <w:t>9</w:t>
      </w:r>
      <w:r>
        <w:rPr>
          <w:rFonts w:ascii="Calibri" w:hAnsi="Calibri" w:cs="Calibri" w:eastAsia="Calibri" w:hint="default"/>
          <w:spacing w:val="3"/>
        </w:rPr>
        <w:t> </w:t>
      </w:r>
      <w:r>
        <w:rPr>
          <w:w w:val="100"/>
        </w:rPr>
        <w:t>日</w:t>
      </w:r>
      <w:r>
        <w:rPr>
          <w:spacing w:val="-3"/>
          <w:w w:val="100"/>
        </w:rPr>
        <w:t>披</w:t>
      </w:r>
      <w:r>
        <w:rPr>
          <w:w w:val="100"/>
        </w:rPr>
        <w:t>露</w:t>
      </w:r>
      <w:r>
        <w:rPr>
          <w:spacing w:val="-65"/>
          <w:w w:val="100"/>
        </w:rPr>
        <w:t>了</w:t>
      </w:r>
      <w:r>
        <w:rPr>
          <w:spacing w:val="-3"/>
          <w:w w:val="100"/>
        </w:rPr>
        <w:t>《</w:t>
      </w:r>
      <w:r>
        <w:rPr>
          <w:w w:val="100"/>
        </w:rPr>
        <w:t>财</w:t>
      </w:r>
      <w:r>
        <w:rPr>
          <w:spacing w:val="-3"/>
          <w:w w:val="100"/>
        </w:rPr>
        <w:t>通</w:t>
      </w:r>
      <w:r>
        <w:rPr>
          <w:w w:val="100"/>
        </w:rPr>
        <w:t>证</w:t>
      </w:r>
      <w:r>
        <w:rPr>
          <w:spacing w:val="-3"/>
          <w:w w:val="100"/>
        </w:rPr>
        <w:t>券</w:t>
      </w:r>
      <w:r>
        <w:rPr>
          <w:w w:val="100"/>
        </w:rPr>
        <w:t>股份</w:t>
      </w:r>
      <w:r>
        <w:rPr>
          <w:spacing w:val="-3"/>
          <w:w w:val="100"/>
        </w:rPr>
        <w:t>有</w:t>
      </w:r>
      <w:r>
        <w:rPr>
          <w:w w:val="100"/>
        </w:rPr>
        <w:t>限</w:t>
      </w:r>
      <w:r>
        <w:rPr>
          <w:spacing w:val="-3"/>
          <w:w w:val="100"/>
        </w:rPr>
        <w:t>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4</w:t>
      </w:r>
      <w:r>
        <w:rPr>
          <w:rFonts w:ascii="Calibri" w:hAnsi="Calibri" w:cs="Calibri" w:eastAsia="Calibri" w:hint="default"/>
          <w:spacing w:val="6"/>
        </w:rPr>
        <w:t> </w:t>
      </w:r>
      <w:r>
        <w:rPr>
          <w:spacing w:val="-3"/>
          <w:w w:val="100"/>
        </w:rPr>
        <w:t>年</w:t>
      </w:r>
      <w:r>
        <w:rPr>
          <w:w w:val="100"/>
        </w:rPr>
        <w:t>公</w:t>
      </w:r>
      <w:r>
        <w:rPr>
          <w:spacing w:val="-3"/>
          <w:w w:val="100"/>
        </w:rPr>
        <w:t>司</w:t>
      </w:r>
      <w:r>
        <w:rPr>
          <w:w w:val="100"/>
        </w:rPr>
        <w:t>债券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临</w:t>
      </w:r>
      <w:r>
        <w:rPr>
          <w:spacing w:val="-3"/>
          <w:w w:val="100"/>
        </w:rPr>
        <w:t>时</w:t>
      </w:r>
      <w:r>
        <w:rPr>
          <w:w w:val="100"/>
        </w:rPr>
        <w:t>受</w:t>
      </w:r>
      <w:r>
        <w:rPr>
          <w:spacing w:val="-3"/>
          <w:w w:val="100"/>
        </w:rPr>
        <w:t>托</w:t>
      </w:r>
      <w:r>
        <w:rPr>
          <w:w w:val="100"/>
        </w:rPr>
        <w:t>管</w:t>
      </w:r>
      <w:r>
        <w:rPr>
          <w:spacing w:val="-3"/>
          <w:w w:val="100"/>
        </w:rPr>
        <w:t>理</w:t>
      </w:r>
      <w:r>
        <w:rPr>
          <w:w w:val="100"/>
        </w:rPr>
        <w:t>事务</w:t>
      </w:r>
      <w:r>
        <w:rPr>
          <w:spacing w:val="-3"/>
          <w:w w:val="100"/>
        </w:rPr>
        <w:t>报</w:t>
      </w:r>
      <w:r>
        <w:rPr>
          <w:spacing w:val="-65"/>
          <w:w w:val="100"/>
        </w:rPr>
        <w:t>告</w:t>
      </w:r>
      <w:r>
        <w:rPr>
          <w:w w:val="100"/>
        </w:rPr>
        <w:t>（一</w:t>
      </w:r>
      <w:r>
        <w:rPr>
          <w:spacing w:val="-108"/>
          <w:w w:val="100"/>
        </w:rPr>
        <w:t>）</w:t>
      </w:r>
      <w:r>
        <w:rPr>
          <w:spacing w:val="-106"/>
          <w:w w:val="100"/>
        </w:rPr>
        <w:t>》</w:t>
      </w:r>
      <w:r>
        <w:rPr>
          <w:spacing w:val="-65"/>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8</w:t>
      </w:r>
    </w:p>
    <w:p>
      <w:pPr>
        <w:pStyle w:val="BodyText"/>
        <w:spacing w:line="240" w:lineRule="auto" w:before="106"/>
        <w:ind w:left="140" w:right="0"/>
        <w:jc w:val="left"/>
      </w:pPr>
      <w:r>
        <w:rPr>
          <w:w w:val="100"/>
        </w:rPr>
        <w:t>年</w:t>
      </w:r>
      <w:r>
        <w:rPr>
          <w:spacing w:val="-65"/>
        </w:rPr>
        <w:t> </w:t>
      </w:r>
      <w:r>
        <w:rPr>
          <w:rFonts w:ascii="Calibri" w:hAnsi="Calibri" w:cs="Calibri" w:eastAsia="Calibri" w:hint="default"/>
          <w:w w:val="100"/>
        </w:rPr>
        <w:t>6</w:t>
      </w:r>
      <w:r>
        <w:rPr>
          <w:rFonts w:ascii="Calibri" w:hAnsi="Calibri" w:cs="Calibri" w:eastAsia="Calibri" w:hint="default"/>
          <w:spacing w:val="-6"/>
        </w:rPr>
        <w:t> </w:t>
      </w:r>
      <w:r>
        <w:rPr>
          <w:w w:val="100"/>
        </w:rPr>
        <w:t>月</w:t>
      </w:r>
      <w:r>
        <w:rPr>
          <w:spacing w:val="-62"/>
        </w:rPr>
        <w:t> </w:t>
      </w:r>
      <w:r>
        <w:rPr>
          <w:rFonts w:ascii="Calibri" w:hAnsi="Calibri" w:cs="Calibri" w:eastAsia="Calibri" w:hint="default"/>
          <w:spacing w:val="-2"/>
          <w:w w:val="100"/>
        </w:rPr>
        <w:t>2</w:t>
      </w:r>
      <w:r>
        <w:rPr>
          <w:rFonts w:ascii="Calibri" w:hAnsi="Calibri" w:cs="Calibri" w:eastAsia="Calibri" w:hint="default"/>
          <w:w w:val="100"/>
        </w:rPr>
        <w:t>5</w:t>
      </w:r>
      <w:r>
        <w:rPr>
          <w:rFonts w:ascii="Calibri" w:hAnsi="Calibri" w:cs="Calibri" w:eastAsia="Calibri" w:hint="default"/>
          <w:spacing w:val="-6"/>
        </w:rPr>
        <w:t> </w:t>
      </w:r>
      <w:r>
        <w:rPr>
          <w:w w:val="100"/>
        </w:rPr>
        <w:t>日</w:t>
      </w:r>
      <w:r>
        <w:rPr>
          <w:spacing w:val="-3"/>
          <w:w w:val="100"/>
        </w:rPr>
        <w:t>披</w:t>
      </w:r>
      <w:r>
        <w:rPr>
          <w:w w:val="100"/>
        </w:rPr>
        <w:t>露</w:t>
      </w:r>
      <w:r>
        <w:rPr>
          <w:spacing w:val="-106"/>
          <w:w w:val="100"/>
        </w:rPr>
        <w:t>了</w:t>
      </w:r>
      <w:r>
        <w:rPr>
          <w:spacing w:val="-3"/>
          <w:w w:val="100"/>
        </w:rPr>
        <w:t>《</w:t>
      </w:r>
      <w:r>
        <w:rPr>
          <w:w w:val="100"/>
        </w:rPr>
        <w:t>财</w:t>
      </w:r>
      <w:r>
        <w:rPr>
          <w:spacing w:val="-3"/>
          <w:w w:val="100"/>
        </w:rPr>
        <w:t>通</w:t>
      </w:r>
      <w:r>
        <w:rPr>
          <w:w w:val="100"/>
        </w:rPr>
        <w:t>证券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6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4</w:t>
      </w:r>
      <w:r>
        <w:rPr>
          <w:rFonts w:ascii="Calibri" w:hAnsi="Calibri" w:cs="Calibri" w:eastAsia="Calibri" w:hint="default"/>
          <w:spacing w:val="-6"/>
        </w:rPr>
        <w:t> </w:t>
      </w:r>
      <w:r>
        <w:rPr>
          <w:spacing w:val="-3"/>
          <w:w w:val="100"/>
        </w:rPr>
        <w:t>年</w:t>
      </w:r>
      <w:r>
        <w:rPr>
          <w:w w:val="100"/>
        </w:rPr>
        <w:t>公司</w:t>
      </w:r>
      <w:r>
        <w:rPr>
          <w:spacing w:val="-3"/>
          <w:w w:val="100"/>
        </w:rPr>
        <w:t>债</w:t>
      </w:r>
      <w:r>
        <w:rPr>
          <w:w w:val="100"/>
        </w:rPr>
        <w:t>券</w:t>
      </w:r>
      <w:r>
        <w:rPr>
          <w:spacing w:val="-64"/>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3"/>
          <w:w w:val="100"/>
        </w:rPr>
        <w:t>临</w:t>
      </w:r>
      <w:r>
        <w:rPr>
          <w:w w:val="100"/>
        </w:rPr>
        <w:t>时</w:t>
      </w:r>
      <w:r>
        <w:rPr>
          <w:spacing w:val="-3"/>
          <w:w w:val="100"/>
        </w:rPr>
        <w:t>受托</w:t>
      </w:r>
      <w:r>
        <w:rPr>
          <w:w w:val="100"/>
        </w:rPr>
        <w:t>管理</w:t>
      </w:r>
      <w:r>
        <w:rPr>
          <w:spacing w:val="-3"/>
          <w:w w:val="100"/>
        </w:rPr>
        <w:t>事</w:t>
      </w:r>
      <w:r>
        <w:rPr>
          <w:w w:val="100"/>
        </w:rPr>
        <w:t>务</w:t>
      </w:r>
      <w:r>
        <w:rPr>
          <w:spacing w:val="-3"/>
          <w:w w:val="100"/>
        </w:rPr>
        <w:t>报</w:t>
      </w:r>
      <w:r>
        <w:rPr>
          <w:spacing w:val="-106"/>
          <w:w w:val="100"/>
        </w:rPr>
        <w:t>告</w:t>
      </w:r>
      <w:r>
        <w:rPr>
          <w:spacing w:val="-3"/>
          <w:w w:val="100"/>
        </w:rPr>
        <w:t>（</w:t>
      </w:r>
      <w:r>
        <w:rPr>
          <w:w w:val="100"/>
        </w:rPr>
        <w:t>二</w:t>
      </w:r>
      <w:r>
        <w:rPr>
          <w:spacing w:val="-106"/>
          <w:w w:val="100"/>
        </w:rPr>
        <w:t>）</w:t>
      </w:r>
      <w:r>
        <w:rPr>
          <w:spacing w:val="-108"/>
          <w:w w:val="100"/>
        </w:rPr>
        <w:t>》</w:t>
      </w:r>
      <w:r>
        <w:rPr>
          <w:w w:val="100"/>
        </w:rPr>
        <w:t>，</w:t>
      </w:r>
    </w:p>
    <w:p>
      <w:pPr>
        <w:pStyle w:val="BodyText"/>
        <w:spacing w:line="240" w:lineRule="auto" w:before="108"/>
        <w:ind w:left="140" w:right="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8"/>
        </w:rPr>
        <w:t> </w:t>
      </w:r>
      <w:r>
        <w:rPr>
          <w:w w:val="100"/>
        </w:rPr>
        <w:t>年</w:t>
      </w:r>
      <w:r>
        <w:rPr>
          <w:spacing w:val="-53"/>
        </w:rPr>
        <w:t> </w:t>
      </w:r>
      <w:r>
        <w:rPr>
          <w:rFonts w:ascii="Calibri" w:hAnsi="Calibri" w:cs="Calibri" w:eastAsia="Calibri" w:hint="default"/>
          <w:w w:val="100"/>
        </w:rPr>
        <w:t>6</w:t>
      </w:r>
      <w:r>
        <w:rPr>
          <w:rFonts w:ascii="Calibri" w:hAnsi="Calibri" w:cs="Calibri" w:eastAsia="Calibri" w:hint="default"/>
          <w:spacing w:val="6"/>
        </w:rPr>
        <w:t> </w:t>
      </w:r>
      <w:r>
        <w:rPr>
          <w:w w:val="100"/>
        </w:rPr>
        <w:t>月</w:t>
      </w:r>
      <w:r>
        <w:rPr>
          <w:spacing w:val="-53"/>
        </w:rPr>
        <w:t> </w:t>
      </w:r>
      <w:r>
        <w:rPr>
          <w:rFonts w:ascii="Calibri" w:hAnsi="Calibri" w:cs="Calibri" w:eastAsia="Calibri" w:hint="default"/>
          <w:w w:val="100"/>
        </w:rPr>
        <w:t>26</w:t>
      </w:r>
      <w:r>
        <w:rPr>
          <w:rFonts w:ascii="Calibri" w:hAnsi="Calibri" w:cs="Calibri" w:eastAsia="Calibri" w:hint="default"/>
          <w:spacing w:val="6"/>
        </w:rPr>
        <w:t> </w:t>
      </w:r>
      <w:r>
        <w:rPr>
          <w:w w:val="100"/>
        </w:rPr>
        <w:t>日</w:t>
      </w:r>
      <w:r>
        <w:rPr>
          <w:spacing w:val="-3"/>
          <w:w w:val="100"/>
        </w:rPr>
        <w:t>披</w:t>
      </w:r>
      <w:r>
        <w:rPr>
          <w:w w:val="100"/>
        </w:rPr>
        <w:t>露</w:t>
      </w:r>
      <w:r>
        <w:rPr>
          <w:spacing w:val="-3"/>
          <w:w w:val="100"/>
        </w:rPr>
        <w:t>了</w:t>
      </w:r>
      <w:r>
        <w:rPr>
          <w:w w:val="100"/>
        </w:rPr>
        <w:t>《财</w:t>
      </w:r>
      <w:r>
        <w:rPr>
          <w:spacing w:val="-3"/>
          <w:w w:val="100"/>
        </w:rPr>
        <w:t>通</w:t>
      </w:r>
      <w:r>
        <w:rPr>
          <w:w w:val="100"/>
        </w:rPr>
        <w:t>证</w:t>
      </w:r>
      <w:r>
        <w:rPr>
          <w:spacing w:val="-3"/>
          <w:w w:val="100"/>
        </w:rPr>
        <w:t>券</w:t>
      </w:r>
      <w:r>
        <w:rPr>
          <w:w w:val="100"/>
        </w:rPr>
        <w:t>股</w:t>
      </w:r>
      <w:r>
        <w:rPr>
          <w:spacing w:val="-3"/>
          <w:w w:val="100"/>
        </w:rPr>
        <w:t>份</w:t>
      </w:r>
      <w:r>
        <w:rPr>
          <w:w w:val="100"/>
        </w:rPr>
        <w:t>有</w:t>
      </w:r>
      <w:r>
        <w:rPr>
          <w:spacing w:val="-3"/>
          <w:w w:val="100"/>
        </w:rPr>
        <w:t>限公</w:t>
      </w:r>
      <w:r>
        <w:rPr>
          <w:w w:val="100"/>
        </w:rPr>
        <w:t>司</w:t>
      </w:r>
      <w:r>
        <w:rPr>
          <w:spacing w:val="-53"/>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4</w:t>
      </w:r>
      <w:r>
        <w:rPr>
          <w:rFonts w:ascii="Calibri" w:hAnsi="Calibri" w:cs="Calibri" w:eastAsia="Calibri" w:hint="default"/>
          <w:spacing w:val="9"/>
        </w:rPr>
        <w:t> </w:t>
      </w:r>
      <w:r>
        <w:rPr>
          <w:spacing w:val="-3"/>
          <w:w w:val="100"/>
        </w:rPr>
        <w:t>年</w:t>
      </w:r>
      <w:r>
        <w:rPr>
          <w:w w:val="100"/>
        </w:rPr>
        <w:t>公</w:t>
      </w:r>
      <w:r>
        <w:rPr>
          <w:spacing w:val="-3"/>
          <w:w w:val="100"/>
        </w:rPr>
        <w:t>司</w:t>
      </w:r>
      <w:r>
        <w:rPr>
          <w:w w:val="100"/>
        </w:rPr>
        <w:t>债</w:t>
      </w:r>
      <w:r>
        <w:rPr>
          <w:spacing w:val="-3"/>
          <w:w w:val="100"/>
        </w:rPr>
        <w:t>券</w:t>
      </w:r>
      <w:r>
        <w:rPr>
          <w:w w:val="100"/>
        </w:rPr>
        <w:t>受</w:t>
      </w:r>
      <w:r>
        <w:rPr>
          <w:spacing w:val="-3"/>
          <w:w w:val="100"/>
        </w:rPr>
        <w:t>托</w:t>
      </w:r>
      <w:r>
        <w:rPr>
          <w:w w:val="100"/>
        </w:rPr>
        <w:t>管</w:t>
      </w:r>
      <w:r>
        <w:rPr>
          <w:spacing w:val="-3"/>
          <w:w w:val="100"/>
        </w:rPr>
        <w:t>理</w:t>
      </w:r>
      <w:r>
        <w:rPr>
          <w:w w:val="100"/>
        </w:rPr>
        <w:t>人报</w:t>
      </w:r>
      <w:r>
        <w:rPr>
          <w:spacing w:val="-3"/>
          <w:w w:val="100"/>
        </w:rPr>
        <w:t>告（</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8"/>
        </w:rPr>
        <w:t> </w:t>
      </w:r>
      <w:r>
        <w:rPr>
          <w:spacing w:val="-3"/>
          <w:w w:val="100"/>
        </w:rPr>
        <w:t>年</w:t>
      </w:r>
      <w:r>
        <w:rPr>
          <w:w w:val="100"/>
        </w:rPr>
        <w:t>度</w:t>
      </w:r>
      <w:r>
        <w:rPr>
          <w:spacing w:val="-106"/>
          <w:w w:val="100"/>
        </w:rPr>
        <w:t>）》</w:t>
      </w:r>
      <w:r>
        <w:rPr>
          <w:w w:val="100"/>
        </w:rPr>
        <w:t>，</w:t>
      </w:r>
    </w:p>
    <w:p>
      <w:pPr>
        <w:pStyle w:val="BodyText"/>
        <w:spacing w:line="240" w:lineRule="auto" w:before="106"/>
        <w:ind w:left="140" w:right="0"/>
        <w:jc w:val="left"/>
      </w:pPr>
      <w:r>
        <w:rPr>
          <w:rFonts w:ascii="Calibri" w:hAnsi="Calibri" w:cs="Calibri" w:eastAsia="Calibri" w:hint="default"/>
        </w:rPr>
        <w:t>2018</w:t>
      </w:r>
      <w:r>
        <w:rPr>
          <w:rFonts w:ascii="Calibri" w:hAnsi="Calibri" w:cs="Calibri" w:eastAsia="Calibri" w:hint="default"/>
          <w:spacing w:val="8"/>
        </w:rPr>
        <w:t> </w:t>
      </w:r>
      <w:r>
        <w:rPr/>
        <w:t>年</w:t>
      </w:r>
      <w:r>
        <w:rPr>
          <w:spacing w:val="-53"/>
        </w:rPr>
        <w:t> </w:t>
      </w:r>
      <w:r>
        <w:rPr>
          <w:rFonts w:ascii="Calibri" w:hAnsi="Calibri" w:cs="Calibri" w:eastAsia="Calibri" w:hint="default"/>
        </w:rPr>
        <w:t>10</w:t>
      </w:r>
      <w:r>
        <w:rPr>
          <w:rFonts w:ascii="Calibri" w:hAnsi="Calibri" w:cs="Calibri" w:eastAsia="Calibri" w:hint="default"/>
          <w:spacing w:val="8"/>
        </w:rPr>
        <w:t> </w:t>
      </w:r>
      <w:r>
        <w:rPr/>
        <w:t>月</w:t>
      </w:r>
      <w:r>
        <w:rPr>
          <w:spacing w:val="-53"/>
        </w:rPr>
        <w:t> </w:t>
      </w:r>
      <w:r>
        <w:rPr>
          <w:rFonts w:ascii="Calibri" w:hAnsi="Calibri" w:cs="Calibri" w:eastAsia="Calibri" w:hint="default"/>
        </w:rPr>
        <w:t>17</w:t>
      </w:r>
      <w:r>
        <w:rPr>
          <w:rFonts w:ascii="Calibri" w:hAnsi="Calibri" w:cs="Calibri" w:eastAsia="Calibri" w:hint="default"/>
          <w:spacing w:val="8"/>
        </w:rPr>
        <w:t> </w:t>
      </w:r>
      <w:r>
        <w:rPr>
          <w:spacing w:val="-4"/>
        </w:rPr>
        <w:t>日披露了《财通证券股份有限公司</w:t>
      </w:r>
      <w:r>
        <w:rPr>
          <w:spacing w:val="-53"/>
        </w:rPr>
        <w:t> </w:t>
      </w:r>
      <w:r>
        <w:rPr>
          <w:rFonts w:ascii="Calibri" w:hAnsi="Calibri" w:cs="Calibri" w:eastAsia="Calibri" w:hint="default"/>
        </w:rPr>
        <w:t>2014</w:t>
      </w:r>
      <w:r>
        <w:rPr>
          <w:rFonts w:ascii="Calibri" w:hAnsi="Calibri" w:cs="Calibri" w:eastAsia="Calibri" w:hint="default"/>
          <w:spacing w:val="6"/>
        </w:rPr>
        <w:t> </w:t>
      </w:r>
      <w:r>
        <w:rPr/>
        <w:t>年公司债券</w:t>
      </w:r>
      <w:r>
        <w:rPr>
          <w:spacing w:val="-51"/>
        </w:rPr>
        <w:t> </w:t>
      </w:r>
      <w:r>
        <w:rPr>
          <w:rFonts w:ascii="Calibri" w:hAnsi="Calibri" w:cs="Calibri" w:eastAsia="Calibri" w:hint="default"/>
        </w:rPr>
        <w:t>2018</w:t>
      </w:r>
      <w:r>
        <w:rPr>
          <w:rFonts w:ascii="Calibri" w:hAnsi="Calibri" w:cs="Calibri" w:eastAsia="Calibri" w:hint="default"/>
          <w:spacing w:val="6"/>
        </w:rPr>
        <w:t> </w:t>
      </w:r>
      <w:r>
        <w:rPr/>
        <w:t>年临时受托管理事务报告</w:t>
      </w:r>
    </w:p>
    <w:p>
      <w:pPr>
        <w:pStyle w:val="BodyText"/>
        <w:spacing w:line="240" w:lineRule="auto" w:before="107"/>
        <w:ind w:left="140" w:right="0"/>
        <w:jc w:val="left"/>
      </w:pPr>
      <w:r>
        <w:rPr>
          <w:w w:val="100"/>
        </w:rPr>
        <w:t>（三</w:t>
      </w:r>
      <w:r>
        <w:rPr>
          <w:spacing w:val="-106"/>
          <w:w w:val="100"/>
        </w:rPr>
        <w:t>）</w:t>
      </w:r>
      <w:r>
        <w:rPr>
          <w:spacing w:val="-108"/>
          <w:w w:val="100"/>
        </w:rPr>
        <w:t>》</w:t>
      </w:r>
      <w:r>
        <w:rPr>
          <w:w w:val="100"/>
        </w:rPr>
        <w:t>。</w:t>
      </w:r>
    </w:p>
    <w:p>
      <w:pPr>
        <w:pStyle w:val="BodyText"/>
        <w:spacing w:line="340" w:lineRule="auto" w:before="133"/>
        <w:ind w:left="140" w:right="0" w:firstLine="420"/>
        <w:jc w:val="left"/>
      </w:pPr>
      <w:r>
        <w:rPr>
          <w:spacing w:val="-1"/>
          <w:w w:val="100"/>
        </w:rPr>
        <w:t>“</w:t>
      </w:r>
      <w:r>
        <w:rPr>
          <w:rFonts w:ascii="Calibri" w:hAnsi="Calibri" w:cs="Calibri" w:eastAsia="Calibri" w:hint="default"/>
          <w:spacing w:val="-1"/>
          <w:w w:val="100"/>
        </w:rPr>
        <w:t>16</w:t>
      </w:r>
      <w:r>
        <w:rPr>
          <w:rFonts w:ascii="Calibri" w:hAnsi="Calibri" w:cs="Calibri" w:eastAsia="Calibri" w:hint="default"/>
          <w:w w:val="100"/>
        </w:rPr>
        <w:t> </w:t>
      </w:r>
      <w:r>
        <w:rPr>
          <w:spacing w:val="-28"/>
          <w:w w:val="100"/>
        </w:rPr>
        <w:t>财通债”、“</w:t>
      </w:r>
      <w:r>
        <w:rPr>
          <w:rFonts w:ascii="Calibri" w:hAnsi="Calibri" w:cs="Calibri" w:eastAsia="Calibri" w:hint="default"/>
          <w:spacing w:val="-28"/>
          <w:w w:val="100"/>
        </w:rPr>
        <w:t>16</w:t>
      </w:r>
      <w:r>
        <w:rPr>
          <w:rFonts w:ascii="Calibri" w:hAnsi="Calibri" w:cs="Calibri" w:eastAsia="Calibri" w:hint="default"/>
          <w:w w:val="100"/>
        </w:rPr>
        <w:t> </w:t>
      </w:r>
      <w:r>
        <w:rPr>
          <w:w w:val="100"/>
        </w:rPr>
        <w:t>财通 </w:t>
      </w:r>
      <w:r>
        <w:rPr>
          <w:rFonts w:ascii="Calibri" w:hAnsi="Calibri" w:cs="Calibri" w:eastAsia="Calibri" w:hint="default"/>
          <w:spacing w:val="-2"/>
          <w:w w:val="100"/>
        </w:rPr>
        <w:t>01</w:t>
      </w:r>
      <w:r>
        <w:rPr>
          <w:spacing w:val="-2"/>
          <w:w w:val="100"/>
        </w:rPr>
        <w:t>”和“</w:t>
      </w:r>
      <w:r>
        <w:rPr>
          <w:rFonts w:ascii="Calibri" w:hAnsi="Calibri" w:cs="Calibri" w:eastAsia="Calibri" w:hint="default"/>
          <w:spacing w:val="-2"/>
          <w:w w:val="100"/>
        </w:rPr>
        <w:t>16</w:t>
      </w:r>
      <w:r>
        <w:rPr>
          <w:rFonts w:ascii="Calibri" w:hAnsi="Calibri" w:cs="Calibri" w:eastAsia="Calibri" w:hint="default"/>
          <w:w w:val="100"/>
        </w:rPr>
        <w:t> </w:t>
      </w:r>
      <w:r>
        <w:rPr>
          <w:w w:val="100"/>
        </w:rPr>
        <w:t>财通</w:t>
      </w:r>
      <w:r>
        <w:rPr>
          <w:spacing w:val="-46"/>
          <w:w w:val="100"/>
        </w:rPr>
        <w:t> </w:t>
      </w:r>
      <w:r>
        <w:rPr>
          <w:rFonts w:ascii="Calibri" w:hAnsi="Calibri" w:cs="Calibri" w:eastAsia="Calibri" w:hint="default"/>
          <w:spacing w:val="-2"/>
          <w:w w:val="100"/>
        </w:rPr>
        <w:t>02</w:t>
      </w:r>
      <w:r>
        <w:rPr>
          <w:spacing w:val="-2"/>
          <w:w w:val="100"/>
        </w:rPr>
        <w:t>”债券受托管理人为中国银河证券股份有限公司。</w:t>
      </w:r>
      <w:r>
        <w:rPr>
          <w:w w:val="100"/>
        </w:rPr>
        <w:t> </w:t>
      </w:r>
      <w:r>
        <w:rPr/>
        <w:t>报告期内，中国银河证券股份有限公司按照《债券受托管理协议》中的约定，在上海证券交易所网</w:t>
      </w:r>
      <w:r>
        <w:rPr>
          <w:spacing w:val="-63"/>
        </w:rPr>
        <w:t> </w:t>
      </w:r>
      <w:r>
        <w:rPr>
          <w:spacing w:val="-63"/>
        </w:rPr>
      </w:r>
      <w:r>
        <w:rPr>
          <w:spacing w:val="-5"/>
        </w:rPr>
        <w:t>站（</w:t>
      </w:r>
      <w:hyperlink r:id="rId12">
        <w:r>
          <w:rPr>
            <w:rFonts w:ascii="Calibri" w:hAnsi="Calibri" w:cs="Calibri" w:eastAsia="Calibri" w:hint="default"/>
            <w:spacing w:val="-5"/>
          </w:rPr>
          <w:t>http://www.sse.com.cn</w:t>
        </w:r>
      </w:hyperlink>
      <w:r>
        <w:rPr>
          <w:spacing w:val="-5"/>
        </w:rPr>
        <w:t>）于</w:t>
      </w:r>
      <w:r>
        <w:rPr>
          <w:spacing w:val="-43"/>
        </w:rPr>
        <w:t> </w:t>
      </w:r>
      <w:r>
        <w:rPr>
          <w:rFonts w:ascii="Calibri" w:hAnsi="Calibri" w:cs="Calibri" w:eastAsia="Calibri" w:hint="default"/>
        </w:rPr>
        <w:t>2018</w:t>
      </w:r>
      <w:r>
        <w:rPr>
          <w:rFonts w:ascii="Calibri" w:hAnsi="Calibri" w:cs="Calibri" w:eastAsia="Calibri" w:hint="default"/>
          <w:spacing w:val="19"/>
        </w:rPr>
        <w:t> </w:t>
      </w:r>
      <w:r>
        <w:rPr/>
        <w:t>年</w:t>
      </w:r>
      <w:r>
        <w:rPr>
          <w:spacing w:val="-43"/>
        </w:rPr>
        <w:t> </w:t>
      </w:r>
      <w:r>
        <w:rPr>
          <w:rFonts w:ascii="Calibri" w:hAnsi="Calibri" w:cs="Calibri" w:eastAsia="Calibri" w:hint="default"/>
        </w:rPr>
        <w:t>5</w:t>
      </w:r>
      <w:r>
        <w:rPr>
          <w:rFonts w:ascii="Calibri" w:hAnsi="Calibri" w:cs="Calibri" w:eastAsia="Calibri" w:hint="default"/>
          <w:spacing w:val="15"/>
        </w:rPr>
        <w:t> </w:t>
      </w:r>
      <w:r>
        <w:rPr/>
        <w:t>月</w:t>
      </w:r>
      <w:r>
        <w:rPr>
          <w:spacing w:val="-40"/>
        </w:rPr>
        <w:t> </w:t>
      </w:r>
      <w:r>
        <w:rPr>
          <w:rFonts w:ascii="Calibri" w:hAnsi="Calibri" w:cs="Calibri" w:eastAsia="Calibri" w:hint="default"/>
        </w:rPr>
        <w:t>11</w:t>
      </w:r>
      <w:r>
        <w:rPr>
          <w:rFonts w:ascii="Calibri" w:hAnsi="Calibri" w:cs="Calibri" w:eastAsia="Calibri" w:hint="default"/>
          <w:spacing w:val="15"/>
        </w:rPr>
        <w:t> </w:t>
      </w:r>
      <w:r>
        <w:rPr>
          <w:spacing w:val="-3"/>
        </w:rPr>
        <w:t>日披露了《中国银河证券股份有限公司关于财通证券</w:t>
      </w:r>
    </w:p>
    <w:p>
      <w:pPr>
        <w:pStyle w:val="BodyText"/>
        <w:spacing w:line="300" w:lineRule="exact"/>
        <w:ind w:left="140" w:right="0"/>
        <w:jc w:val="left"/>
      </w:pPr>
      <w:r>
        <w:rPr>
          <w:w w:val="100"/>
        </w:rPr>
        <w:t>股份</w:t>
      </w:r>
      <w:r>
        <w:rPr>
          <w:spacing w:val="-3"/>
          <w:w w:val="100"/>
        </w:rPr>
        <w:t>有</w:t>
      </w:r>
      <w:r>
        <w:rPr>
          <w:w w:val="100"/>
        </w:rPr>
        <w:t>限</w:t>
      </w:r>
      <w:r>
        <w:rPr>
          <w:spacing w:val="-3"/>
          <w:w w:val="100"/>
        </w:rPr>
        <w:t>公</w:t>
      </w:r>
      <w:r>
        <w:rPr>
          <w:w w:val="100"/>
        </w:rPr>
        <w:t>司</w:t>
      </w:r>
      <w:r>
        <w:rPr>
          <w:spacing w:val="-3"/>
          <w:w w:val="100"/>
        </w:rPr>
        <w:t>公</w:t>
      </w:r>
      <w:r>
        <w:rPr>
          <w:w w:val="100"/>
        </w:rPr>
        <w:t>司债券</w:t>
      </w:r>
      <w:r>
        <w:rPr>
          <w:spacing w:val="-46"/>
        </w:rPr>
        <w:t> </w:t>
      </w:r>
      <w:r>
        <w:rPr>
          <w:rFonts w:ascii="Calibri" w:hAnsi="Calibri" w:cs="Calibri" w:eastAsia="Calibri" w:hint="default"/>
          <w:spacing w:val="-2"/>
          <w:w w:val="100"/>
        </w:rPr>
        <w:t>20</w:t>
      </w:r>
      <w:r>
        <w:rPr>
          <w:rFonts w:ascii="Calibri" w:hAnsi="Calibri" w:cs="Calibri" w:eastAsia="Calibri" w:hint="default"/>
          <w:w w:val="100"/>
        </w:rPr>
        <w:t>18</w:t>
      </w:r>
      <w:r>
        <w:rPr>
          <w:rFonts w:ascii="Calibri" w:hAnsi="Calibri" w:cs="Calibri" w:eastAsia="Calibri" w:hint="default"/>
          <w:spacing w:val="16"/>
        </w:rPr>
        <w:t> </w:t>
      </w:r>
      <w:r>
        <w:rPr>
          <w:spacing w:val="-3"/>
          <w:w w:val="100"/>
        </w:rPr>
        <w:t>年</w:t>
      </w:r>
      <w:r>
        <w:rPr>
          <w:w w:val="100"/>
        </w:rPr>
        <w:t>重</w:t>
      </w:r>
      <w:r>
        <w:rPr>
          <w:spacing w:val="-3"/>
          <w:w w:val="100"/>
        </w:rPr>
        <w:t>大</w:t>
      </w:r>
      <w:r>
        <w:rPr>
          <w:w w:val="100"/>
        </w:rPr>
        <w:t>事</w:t>
      </w:r>
      <w:r>
        <w:rPr>
          <w:spacing w:val="-3"/>
          <w:w w:val="100"/>
        </w:rPr>
        <w:t>项</w:t>
      </w:r>
      <w:r>
        <w:rPr>
          <w:w w:val="100"/>
        </w:rPr>
        <w:t>临</w:t>
      </w:r>
      <w:r>
        <w:rPr>
          <w:spacing w:val="-3"/>
          <w:w w:val="100"/>
        </w:rPr>
        <w:t>时</w:t>
      </w:r>
      <w:r>
        <w:rPr>
          <w:w w:val="100"/>
        </w:rPr>
        <w:t>受</w:t>
      </w:r>
      <w:r>
        <w:rPr>
          <w:spacing w:val="-3"/>
          <w:w w:val="100"/>
        </w:rPr>
        <w:t>托管</w:t>
      </w:r>
      <w:r>
        <w:rPr>
          <w:w w:val="100"/>
        </w:rPr>
        <w:t>理事</w:t>
      </w:r>
      <w:r>
        <w:rPr>
          <w:spacing w:val="-3"/>
          <w:w w:val="100"/>
        </w:rPr>
        <w:t>务</w:t>
      </w:r>
      <w:r>
        <w:rPr>
          <w:w w:val="100"/>
        </w:rPr>
        <w:t>报</w:t>
      </w:r>
      <w:r>
        <w:rPr>
          <w:spacing w:val="-3"/>
          <w:w w:val="100"/>
        </w:rPr>
        <w:t>告</w:t>
      </w:r>
      <w:r>
        <w:rPr>
          <w:w w:val="100"/>
        </w:rPr>
        <w:t>（</w:t>
      </w:r>
      <w:r>
        <w:rPr>
          <w:spacing w:val="-3"/>
          <w:w w:val="100"/>
        </w:rPr>
        <w:t>一</w:t>
      </w:r>
      <w:r>
        <w:rPr>
          <w:spacing w:val="-106"/>
          <w:w w:val="100"/>
        </w:rPr>
        <w:t>）》</w:t>
      </w:r>
      <w:r>
        <w:rPr>
          <w:w w:val="100"/>
        </w:rPr>
        <w:t>，</w:t>
      </w:r>
      <w:r>
        <w:rPr>
          <w:spacing w:val="-3"/>
        </w:rPr>
        <w:t> </w:t>
      </w:r>
      <w:r>
        <w:rPr>
          <w:rFonts w:ascii="Calibri" w:hAnsi="Calibri" w:cs="Calibri" w:eastAsia="Calibri" w:hint="default"/>
          <w:spacing w:val="-2"/>
          <w:w w:val="100"/>
        </w:rPr>
        <w:t>201</w:t>
      </w:r>
      <w:r>
        <w:rPr>
          <w:rFonts w:ascii="Calibri" w:hAnsi="Calibri" w:cs="Calibri" w:eastAsia="Calibri" w:hint="default"/>
          <w:w w:val="100"/>
        </w:rPr>
        <w:t>8</w:t>
      </w:r>
      <w:r>
        <w:rPr>
          <w:rFonts w:ascii="Calibri" w:hAnsi="Calibri" w:cs="Calibri" w:eastAsia="Calibri" w:hint="default"/>
          <w:spacing w:val="15"/>
        </w:rPr>
        <w:t> </w:t>
      </w:r>
      <w:r>
        <w:rPr>
          <w:w w:val="100"/>
        </w:rPr>
        <w:t>年</w:t>
      </w:r>
      <w:r>
        <w:rPr>
          <w:spacing w:val="-42"/>
        </w:rPr>
        <w:t> </w:t>
      </w:r>
      <w:r>
        <w:rPr>
          <w:rFonts w:ascii="Calibri" w:hAnsi="Calibri" w:cs="Calibri" w:eastAsia="Calibri" w:hint="default"/>
          <w:w w:val="100"/>
        </w:rPr>
        <w:t>6</w:t>
      </w:r>
      <w:r>
        <w:rPr>
          <w:rFonts w:ascii="Calibri" w:hAnsi="Calibri" w:cs="Calibri" w:eastAsia="Calibri" w:hint="default"/>
          <w:spacing w:val="15"/>
        </w:rPr>
        <w:t> </w:t>
      </w:r>
      <w:r>
        <w:rPr>
          <w:w w:val="100"/>
        </w:rPr>
        <w:t>月</w:t>
      </w:r>
      <w:r>
        <w:rPr>
          <w:spacing w:val="-43"/>
        </w:rPr>
        <w:t> </w:t>
      </w:r>
      <w:r>
        <w:rPr>
          <w:rFonts w:ascii="Calibri" w:hAnsi="Calibri" w:cs="Calibri" w:eastAsia="Calibri" w:hint="default"/>
          <w:w w:val="100"/>
        </w:rPr>
        <w:t>19</w:t>
      </w:r>
      <w:r>
        <w:rPr>
          <w:rFonts w:ascii="Calibri" w:hAnsi="Calibri" w:cs="Calibri" w:eastAsia="Calibri" w:hint="default"/>
          <w:spacing w:val="13"/>
        </w:rPr>
        <w:t> </w:t>
      </w:r>
      <w:r>
        <w:rPr>
          <w:w w:val="100"/>
        </w:rPr>
        <w:t>日</w:t>
      </w:r>
      <w:r>
        <w:rPr>
          <w:spacing w:val="-3"/>
          <w:w w:val="100"/>
        </w:rPr>
        <w:t>披</w:t>
      </w:r>
      <w:r>
        <w:rPr>
          <w:w w:val="100"/>
        </w:rPr>
        <w:t>露了</w:t>
      </w:r>
    </w:p>
    <w:p>
      <w:pPr>
        <w:pStyle w:val="BodyText"/>
        <w:spacing w:line="324" w:lineRule="auto" w:before="106"/>
        <w:ind w:left="140" w:right="197"/>
        <w:jc w:val="left"/>
      </w:pPr>
      <w:r>
        <w:rPr>
          <w:spacing w:val="-3"/>
          <w:w w:val="100"/>
        </w:rPr>
        <w:t>《财通证券股份有限公司公司债券受托管理事务报告（</w:t>
      </w:r>
      <w:r>
        <w:rPr>
          <w:rFonts w:ascii="Calibri" w:hAnsi="Calibri" w:cs="Calibri" w:eastAsia="Calibri" w:hint="default"/>
          <w:spacing w:val="-3"/>
          <w:w w:val="100"/>
        </w:rPr>
        <w:t>2017</w:t>
      </w:r>
      <w:r>
        <w:rPr>
          <w:rFonts w:ascii="Calibri" w:hAnsi="Calibri" w:cs="Calibri" w:eastAsia="Calibri" w:hint="default"/>
          <w:spacing w:val="10"/>
          <w:w w:val="100"/>
        </w:rPr>
        <w:t> </w:t>
      </w:r>
      <w:r>
        <w:rPr>
          <w:spacing w:val="-28"/>
          <w:w w:val="100"/>
        </w:rPr>
        <w:t>年度）》，</w:t>
      </w:r>
      <w:r>
        <w:rPr>
          <w:rFonts w:ascii="Calibri" w:hAnsi="Calibri" w:cs="Calibri" w:eastAsia="Calibri" w:hint="default"/>
          <w:spacing w:val="-28"/>
          <w:w w:val="100"/>
        </w:rPr>
        <w:t>2018</w:t>
      </w:r>
      <w:r>
        <w:rPr>
          <w:rFonts w:ascii="Calibri" w:hAnsi="Calibri" w:cs="Calibri" w:eastAsia="Calibri" w:hint="default"/>
          <w:spacing w:val="7"/>
          <w:w w:val="100"/>
        </w:rPr>
        <w:t> </w:t>
      </w:r>
      <w:r>
        <w:rPr>
          <w:w w:val="100"/>
        </w:rPr>
        <w:t>年</w:t>
      </w:r>
      <w:r>
        <w:rPr>
          <w:spacing w:val="-52"/>
          <w:w w:val="100"/>
        </w:rPr>
        <w:t> </w:t>
      </w:r>
      <w:r>
        <w:rPr>
          <w:rFonts w:ascii="Calibri" w:hAnsi="Calibri" w:cs="Calibri" w:eastAsia="Calibri" w:hint="default"/>
          <w:w w:val="100"/>
        </w:rPr>
        <w:t>7</w:t>
      </w:r>
      <w:r>
        <w:rPr>
          <w:rFonts w:ascii="Calibri" w:hAnsi="Calibri" w:cs="Calibri" w:eastAsia="Calibri" w:hint="default"/>
          <w:spacing w:val="10"/>
          <w:w w:val="100"/>
        </w:rPr>
        <w:t> </w:t>
      </w:r>
      <w:r>
        <w:rPr>
          <w:w w:val="100"/>
        </w:rPr>
        <w:t>月</w:t>
      </w:r>
      <w:r>
        <w:rPr>
          <w:spacing w:val="-51"/>
          <w:w w:val="100"/>
        </w:rPr>
        <w:t> </w:t>
      </w:r>
      <w:r>
        <w:rPr>
          <w:rFonts w:ascii="Calibri" w:hAnsi="Calibri" w:cs="Calibri" w:eastAsia="Calibri" w:hint="default"/>
          <w:w w:val="100"/>
        </w:rPr>
        <w:t>2</w:t>
      </w:r>
      <w:r>
        <w:rPr>
          <w:rFonts w:ascii="Calibri" w:hAnsi="Calibri" w:cs="Calibri" w:eastAsia="Calibri" w:hint="default"/>
          <w:spacing w:val="6"/>
          <w:w w:val="100"/>
        </w:rPr>
        <w:t> </w:t>
      </w:r>
      <w:r>
        <w:rPr>
          <w:spacing w:val="-6"/>
          <w:w w:val="100"/>
        </w:rPr>
        <w:t>日披露了《中国</w:t>
      </w:r>
      <w:r>
        <w:rPr>
          <w:spacing w:val="-104"/>
          <w:w w:val="100"/>
        </w:rPr>
        <w:t> </w:t>
      </w:r>
      <w:r>
        <w:rPr>
          <w:spacing w:val="-104"/>
          <w:w w:val="100"/>
        </w:rPr>
      </w:r>
      <w:r>
        <w:rPr/>
        <w:t>银河证券股份有限公司关于财通证券股份有限公司公司债券 </w:t>
      </w:r>
      <w:r>
        <w:rPr>
          <w:rFonts w:ascii="Calibri" w:hAnsi="Calibri" w:cs="Calibri" w:eastAsia="Calibri" w:hint="default"/>
        </w:rPr>
        <w:t>2018 </w:t>
      </w:r>
      <w:r>
        <w:rPr>
          <w:rFonts w:ascii="Calibri" w:hAnsi="Calibri" w:cs="Calibri" w:eastAsia="Calibri" w:hint="default"/>
          <w:spacing w:val="43"/>
        </w:rPr>
        <w:t> </w:t>
      </w:r>
      <w:r>
        <w:rPr/>
        <w:t>年重大事项临时受托管理事务报</w:t>
      </w:r>
    </w:p>
    <w:p>
      <w:pPr>
        <w:pStyle w:val="BodyText"/>
        <w:spacing w:line="240" w:lineRule="auto" w:before="19"/>
        <w:ind w:left="140" w:right="0"/>
        <w:jc w:val="left"/>
      </w:pPr>
      <w:r>
        <w:rPr>
          <w:spacing w:val="-8"/>
          <w:w w:val="100"/>
        </w:rPr>
        <w:t>告</w:t>
      </w:r>
      <w:r>
        <w:rPr>
          <w:spacing w:val="-3"/>
          <w:w w:val="100"/>
        </w:rPr>
        <w:t>（</w:t>
      </w:r>
      <w:r>
        <w:rPr>
          <w:w w:val="100"/>
        </w:rPr>
        <w:t>二</w:t>
      </w:r>
      <w:r>
        <w:rPr>
          <w:spacing w:val="-106"/>
          <w:w w:val="100"/>
        </w:rPr>
        <w:t>）</w:t>
      </w:r>
      <w:r>
        <w:rPr>
          <w:spacing w:val="-108"/>
          <w:w w:val="100"/>
        </w:rPr>
        <w:t>》</w:t>
      </w:r>
      <w:r>
        <w:rPr>
          <w:spacing w:val="-10"/>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spacing w:val="-2"/>
          <w:w w:val="100"/>
        </w:rPr>
        <w:t>1</w:t>
      </w:r>
      <w:r>
        <w:rPr>
          <w:rFonts w:ascii="Calibri" w:hAnsi="Calibri" w:cs="Calibri" w:eastAsia="Calibri" w:hint="default"/>
          <w:w w:val="100"/>
        </w:rPr>
        <w:t>0</w:t>
      </w:r>
      <w:r>
        <w:rPr>
          <w:rFonts w:ascii="Calibri" w:hAnsi="Calibri" w:cs="Calibri" w:eastAsia="Calibri" w:hint="default"/>
          <w:spacing w:val="6"/>
        </w:rPr>
        <w:t> </w:t>
      </w:r>
      <w:r>
        <w:rPr>
          <w:w w:val="100"/>
        </w:rPr>
        <w:t>月</w:t>
      </w:r>
      <w:r>
        <w:rPr>
          <w:spacing w:val="-54"/>
        </w:rPr>
        <w:t> </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6"/>
        </w:rPr>
        <w:t> </w:t>
      </w:r>
      <w:r>
        <w:rPr>
          <w:spacing w:val="-3"/>
          <w:w w:val="100"/>
        </w:rPr>
        <w:t>日</w:t>
      </w:r>
      <w:r>
        <w:rPr>
          <w:w w:val="100"/>
        </w:rPr>
        <w:t>披</w:t>
      </w:r>
      <w:r>
        <w:rPr>
          <w:spacing w:val="-3"/>
          <w:w w:val="100"/>
        </w:rPr>
        <w:t>露</w:t>
      </w:r>
      <w:r>
        <w:rPr>
          <w:spacing w:val="-10"/>
          <w:w w:val="100"/>
        </w:rPr>
        <w:t>了</w:t>
      </w:r>
      <w:r>
        <w:rPr>
          <w:w w:val="100"/>
        </w:rPr>
        <w:t>《</w:t>
      </w:r>
      <w:r>
        <w:rPr>
          <w:spacing w:val="-3"/>
          <w:w w:val="100"/>
        </w:rPr>
        <w:t>中</w:t>
      </w:r>
      <w:r>
        <w:rPr>
          <w:w w:val="100"/>
        </w:rPr>
        <w:t>国</w:t>
      </w:r>
      <w:r>
        <w:rPr>
          <w:spacing w:val="-3"/>
          <w:w w:val="100"/>
        </w:rPr>
        <w:t>银</w:t>
      </w:r>
      <w:r>
        <w:rPr>
          <w:w w:val="100"/>
        </w:rPr>
        <w:t>河</w:t>
      </w:r>
      <w:r>
        <w:rPr>
          <w:spacing w:val="-3"/>
          <w:w w:val="100"/>
        </w:rPr>
        <w:t>证</w:t>
      </w:r>
      <w:r>
        <w:rPr>
          <w:w w:val="100"/>
        </w:rPr>
        <w:t>券股</w:t>
      </w:r>
      <w:r>
        <w:rPr>
          <w:spacing w:val="-3"/>
          <w:w w:val="100"/>
        </w:rPr>
        <w:t>份</w:t>
      </w:r>
      <w:r>
        <w:rPr>
          <w:w w:val="100"/>
        </w:rPr>
        <w:t>有</w:t>
      </w:r>
      <w:r>
        <w:rPr>
          <w:spacing w:val="-3"/>
          <w:w w:val="100"/>
        </w:rPr>
        <w:t>限</w:t>
      </w:r>
      <w:r>
        <w:rPr>
          <w:w w:val="100"/>
        </w:rPr>
        <w:t>公</w:t>
      </w:r>
      <w:r>
        <w:rPr>
          <w:spacing w:val="-3"/>
          <w:w w:val="100"/>
        </w:rPr>
        <w:t>司</w:t>
      </w:r>
      <w:r>
        <w:rPr>
          <w:w w:val="100"/>
        </w:rPr>
        <w:t>关</w:t>
      </w:r>
      <w:r>
        <w:rPr>
          <w:spacing w:val="-3"/>
          <w:w w:val="100"/>
        </w:rPr>
        <w:t>于</w:t>
      </w:r>
      <w:r>
        <w:rPr>
          <w:w w:val="100"/>
        </w:rPr>
        <w:t>财</w:t>
      </w:r>
      <w:r>
        <w:rPr>
          <w:spacing w:val="-3"/>
          <w:w w:val="100"/>
        </w:rPr>
        <w:t>通</w:t>
      </w:r>
      <w:r>
        <w:rPr>
          <w:w w:val="100"/>
        </w:rPr>
        <w:t>证券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公</w:t>
      </w:r>
      <w:r>
        <w:rPr>
          <w:w w:val="100"/>
        </w:rPr>
        <w:t>司</w:t>
      </w:r>
    </w:p>
    <w:p>
      <w:pPr>
        <w:pStyle w:val="BodyText"/>
        <w:spacing w:line="240" w:lineRule="auto" w:before="106"/>
        <w:ind w:left="140" w:right="0"/>
        <w:jc w:val="left"/>
      </w:pPr>
      <w:r>
        <w:rPr>
          <w:w w:val="100"/>
        </w:rPr>
        <w:t>债券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重</w:t>
      </w:r>
      <w:r>
        <w:rPr>
          <w:spacing w:val="-3"/>
          <w:w w:val="100"/>
        </w:rPr>
        <w:t>大</w:t>
      </w:r>
      <w:r>
        <w:rPr>
          <w:w w:val="100"/>
        </w:rPr>
        <w:t>事</w:t>
      </w:r>
      <w:r>
        <w:rPr>
          <w:spacing w:val="-3"/>
          <w:w w:val="100"/>
        </w:rPr>
        <w:t>项</w:t>
      </w:r>
      <w:r>
        <w:rPr>
          <w:w w:val="100"/>
        </w:rPr>
        <w:t>临</w:t>
      </w:r>
      <w:r>
        <w:rPr>
          <w:spacing w:val="-3"/>
          <w:w w:val="100"/>
        </w:rPr>
        <w:t>时</w:t>
      </w:r>
      <w:r>
        <w:rPr>
          <w:w w:val="100"/>
        </w:rPr>
        <w:t>受托</w:t>
      </w:r>
      <w:r>
        <w:rPr>
          <w:spacing w:val="-3"/>
          <w:w w:val="100"/>
        </w:rPr>
        <w:t>管</w:t>
      </w:r>
      <w:r>
        <w:rPr>
          <w:w w:val="100"/>
        </w:rPr>
        <w:t>理</w:t>
      </w:r>
      <w:r>
        <w:rPr>
          <w:spacing w:val="-3"/>
          <w:w w:val="100"/>
        </w:rPr>
        <w:t>事</w:t>
      </w:r>
      <w:r>
        <w:rPr>
          <w:w w:val="100"/>
        </w:rPr>
        <w:t>务</w:t>
      </w:r>
      <w:r>
        <w:rPr>
          <w:spacing w:val="-3"/>
          <w:w w:val="100"/>
        </w:rPr>
        <w:t>报</w:t>
      </w:r>
      <w:r>
        <w:rPr>
          <w:w w:val="100"/>
        </w:rPr>
        <w:t>告</w:t>
      </w:r>
      <w:r>
        <w:rPr>
          <w:spacing w:val="-3"/>
          <w:w w:val="100"/>
        </w:rPr>
        <w:t>（</w:t>
      </w:r>
      <w:r>
        <w:rPr>
          <w:w w:val="100"/>
        </w:rPr>
        <w:t>三</w:t>
      </w:r>
      <w:r>
        <w:rPr>
          <w:spacing w:val="-106"/>
          <w:w w:val="100"/>
        </w:rPr>
        <w:t>）</w:t>
      </w:r>
      <w:r>
        <w:rPr>
          <w:spacing w:val="-108"/>
          <w:w w:val="100"/>
        </w:rPr>
        <w:t>》</w:t>
      </w:r>
      <w:r>
        <w:rPr>
          <w:w w:val="100"/>
        </w:rPr>
        <w:t>。</w:t>
      </w:r>
    </w:p>
    <w:p>
      <w:pPr>
        <w:pStyle w:val="BodyText"/>
        <w:spacing w:line="240" w:lineRule="auto" w:before="106"/>
        <w:ind w:left="560" w:right="0"/>
        <w:jc w:val="left"/>
      </w:pPr>
      <w:r>
        <w:rPr/>
        <w:t>“</w:t>
      </w:r>
      <w:r>
        <w:rPr>
          <w:rFonts w:ascii="Calibri" w:hAnsi="Calibri" w:cs="Calibri" w:eastAsia="Calibri" w:hint="default"/>
        </w:rPr>
        <w:t>16  </w:t>
      </w:r>
      <w:r>
        <w:rPr/>
        <w:t>财通</w:t>
      </w:r>
      <w:r>
        <w:rPr>
          <w:spacing w:val="-22"/>
        </w:rPr>
        <w:t> </w:t>
      </w:r>
      <w:r>
        <w:rPr>
          <w:rFonts w:ascii="Calibri" w:hAnsi="Calibri" w:cs="Calibri" w:eastAsia="Calibri" w:hint="default"/>
          <w:spacing w:val="-4"/>
        </w:rPr>
        <w:t>Y1</w:t>
      </w:r>
      <w:r>
        <w:rPr>
          <w:spacing w:val="-4"/>
        </w:rPr>
        <w:t>”债券受托管理人为东吴证券股份有限公司。报告期内，东吴证券股份有限公司按</w:t>
      </w:r>
    </w:p>
    <w:p>
      <w:pPr>
        <w:spacing w:after="0" w:line="240" w:lineRule="auto"/>
        <w:jc w:val="left"/>
        <w:sectPr>
          <w:pgSz w:w="11910" w:h="16840"/>
          <w:pgMar w:header="880" w:footer="1195" w:top="1120" w:bottom="1380" w:left="1420" w:right="1060"/>
        </w:sectPr>
      </w:pPr>
    </w:p>
    <w:p>
      <w:pPr>
        <w:spacing w:line="240" w:lineRule="auto" w:before="4"/>
        <w:rPr>
          <w:rFonts w:ascii="宋体" w:hAnsi="宋体" w:cs="宋体" w:eastAsia="宋体" w:hint="default"/>
          <w:sz w:val="25"/>
          <w:szCs w:val="25"/>
        </w:rPr>
      </w:pPr>
    </w:p>
    <w:p>
      <w:pPr>
        <w:pStyle w:val="BodyText"/>
        <w:spacing w:line="240" w:lineRule="auto" w:before="36"/>
        <w:ind w:left="220" w:right="0"/>
        <w:jc w:val="both"/>
      </w:pPr>
      <w:r>
        <w:rPr>
          <w:spacing w:val="-106"/>
          <w:w w:val="100"/>
        </w:rPr>
        <w:t>照</w:t>
      </w:r>
      <w:r>
        <w:rPr>
          <w:w w:val="100"/>
        </w:rPr>
        <w:t>《</w:t>
      </w:r>
      <w:r>
        <w:rPr>
          <w:spacing w:val="-3"/>
          <w:w w:val="100"/>
        </w:rPr>
        <w:t>债</w:t>
      </w:r>
      <w:r>
        <w:rPr>
          <w:w w:val="100"/>
        </w:rPr>
        <w:t>券</w:t>
      </w:r>
      <w:r>
        <w:rPr>
          <w:spacing w:val="-3"/>
          <w:w w:val="100"/>
        </w:rPr>
        <w:t>受</w:t>
      </w:r>
      <w:r>
        <w:rPr>
          <w:w w:val="100"/>
        </w:rPr>
        <w:t>托</w:t>
      </w:r>
      <w:r>
        <w:rPr>
          <w:spacing w:val="-3"/>
          <w:w w:val="100"/>
        </w:rPr>
        <w:t>管</w:t>
      </w:r>
      <w:r>
        <w:rPr>
          <w:w w:val="100"/>
        </w:rPr>
        <w:t>理</w:t>
      </w:r>
      <w:r>
        <w:rPr>
          <w:spacing w:val="-3"/>
          <w:w w:val="100"/>
        </w:rPr>
        <w:t>协</w:t>
      </w:r>
      <w:r>
        <w:rPr>
          <w:w w:val="100"/>
        </w:rPr>
        <w:t>议</w:t>
      </w:r>
      <w:r>
        <w:rPr>
          <w:spacing w:val="-106"/>
          <w:w w:val="100"/>
        </w:rPr>
        <w:t>》</w:t>
      </w:r>
      <w:r>
        <w:rPr>
          <w:spacing w:val="-3"/>
          <w:w w:val="100"/>
        </w:rPr>
        <w:t>中</w:t>
      </w:r>
      <w:r>
        <w:rPr>
          <w:w w:val="100"/>
        </w:rPr>
        <w:t>的约</w:t>
      </w:r>
      <w:r>
        <w:rPr>
          <w:spacing w:val="-3"/>
          <w:w w:val="100"/>
        </w:rPr>
        <w:t>定</w:t>
      </w:r>
      <w:r>
        <w:rPr>
          <w:spacing w:val="-106"/>
          <w:w w:val="100"/>
        </w:rPr>
        <w:t>，</w:t>
      </w:r>
      <w:r>
        <w:rPr>
          <w:w w:val="100"/>
        </w:rPr>
        <w:t>于</w:t>
      </w:r>
      <w:r>
        <w:rPr>
          <w:spacing w:val="-69"/>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11"/>
        </w:rPr>
        <w:t> </w:t>
      </w:r>
      <w:r>
        <w:rPr>
          <w:w w:val="100"/>
        </w:rPr>
        <w:t>年</w:t>
      </w:r>
      <w:r>
        <w:rPr>
          <w:spacing w:val="-67"/>
        </w:rPr>
        <w:t> </w:t>
      </w:r>
      <w:r>
        <w:rPr>
          <w:rFonts w:ascii="Calibri" w:hAnsi="Calibri" w:cs="Calibri" w:eastAsia="Calibri" w:hint="default"/>
          <w:w w:val="100"/>
        </w:rPr>
        <w:t>5</w:t>
      </w:r>
      <w:r>
        <w:rPr>
          <w:rFonts w:ascii="Calibri" w:hAnsi="Calibri" w:cs="Calibri" w:eastAsia="Calibri" w:hint="default"/>
          <w:spacing w:val="-11"/>
        </w:rPr>
        <w:t> </w:t>
      </w:r>
      <w:r>
        <w:rPr>
          <w:w w:val="100"/>
        </w:rPr>
        <w:t>月</w:t>
      </w:r>
      <w:r>
        <w:rPr>
          <w:spacing w:val="-69"/>
        </w:rPr>
        <w:t> </w:t>
      </w:r>
      <w:r>
        <w:rPr>
          <w:rFonts w:ascii="Calibri" w:hAnsi="Calibri" w:cs="Calibri" w:eastAsia="Calibri" w:hint="default"/>
          <w:w w:val="100"/>
        </w:rPr>
        <w:t>10</w:t>
      </w:r>
      <w:r>
        <w:rPr>
          <w:rFonts w:ascii="Calibri" w:hAnsi="Calibri" w:cs="Calibri" w:eastAsia="Calibri" w:hint="default"/>
          <w:spacing w:val="-11"/>
        </w:rPr>
        <w:t> </w:t>
      </w:r>
      <w:r>
        <w:rPr>
          <w:w w:val="100"/>
        </w:rPr>
        <w:t>日在</w:t>
      </w:r>
      <w:r>
        <w:rPr>
          <w:spacing w:val="-3"/>
          <w:w w:val="100"/>
        </w:rPr>
        <w:t>上</w:t>
      </w:r>
      <w:r>
        <w:rPr>
          <w:w w:val="100"/>
        </w:rPr>
        <w:t>海</w:t>
      </w:r>
      <w:r>
        <w:rPr>
          <w:spacing w:val="-3"/>
          <w:w w:val="100"/>
        </w:rPr>
        <w:t>证</w:t>
      </w:r>
      <w:r>
        <w:rPr>
          <w:w w:val="100"/>
        </w:rPr>
        <w:t>券</w:t>
      </w:r>
      <w:r>
        <w:rPr>
          <w:spacing w:val="-3"/>
          <w:w w:val="100"/>
        </w:rPr>
        <w:t>交</w:t>
      </w:r>
      <w:r>
        <w:rPr>
          <w:w w:val="100"/>
        </w:rPr>
        <w:t>易</w:t>
      </w:r>
      <w:r>
        <w:rPr>
          <w:spacing w:val="-3"/>
          <w:w w:val="100"/>
        </w:rPr>
        <w:t>所</w:t>
      </w:r>
      <w:r>
        <w:rPr>
          <w:w w:val="100"/>
        </w:rPr>
        <w:t>网</w:t>
      </w:r>
      <w:r>
        <w:rPr>
          <w:spacing w:val="-108"/>
          <w:w w:val="100"/>
        </w:rPr>
        <w:t>站</w:t>
      </w:r>
      <w:r>
        <w:rPr>
          <w:spacing w:val="-3"/>
          <w:w w:val="100"/>
        </w:rPr>
        <w:t>（</w:t>
      </w:r>
      <w:hyperlink r:id="rId12">
        <w:r>
          <w:rPr>
            <w:rFonts w:ascii="Calibri" w:hAnsi="Calibri" w:cs="Calibri" w:eastAsia="Calibri" w:hint="default"/>
            <w:spacing w:val="-4"/>
            <w:w w:val="100"/>
          </w:rPr>
          <w:t>ht</w:t>
        </w:r>
        <w:r>
          <w:rPr>
            <w:rFonts w:ascii="Calibri" w:hAnsi="Calibri" w:cs="Calibri" w:eastAsia="Calibri" w:hint="default"/>
            <w:spacing w:val="-2"/>
            <w:w w:val="100"/>
          </w:rPr>
          <w:t>t</w:t>
        </w:r>
        <w:r>
          <w:rPr>
            <w:rFonts w:ascii="Calibri" w:hAnsi="Calibri" w:cs="Calibri" w:eastAsia="Calibri" w:hint="default"/>
            <w:spacing w:val="-1"/>
            <w:w w:val="100"/>
          </w:rPr>
          <w:t>p:/</w:t>
        </w:r>
        <w:r>
          <w:rPr>
            <w:rFonts w:ascii="Calibri" w:hAnsi="Calibri" w:cs="Calibri" w:eastAsia="Calibri" w:hint="default"/>
            <w:w w:val="100"/>
          </w:rPr>
          <w:t>/ww</w:t>
        </w:r>
        <w:r>
          <w:rPr>
            <w:rFonts w:ascii="Calibri" w:hAnsi="Calibri" w:cs="Calibri" w:eastAsia="Calibri" w:hint="default"/>
            <w:spacing w:val="-14"/>
            <w:w w:val="100"/>
          </w:rPr>
          <w:t>w</w:t>
        </w:r>
        <w:r>
          <w:rPr>
            <w:rFonts w:ascii="Calibri" w:hAnsi="Calibri" w:cs="Calibri" w:eastAsia="Calibri" w:hint="default"/>
            <w:spacing w:val="-1"/>
            <w:w w:val="100"/>
          </w:rPr>
          <w:t>.</w:t>
        </w:r>
        <w:r>
          <w:rPr>
            <w:rFonts w:ascii="Calibri" w:hAnsi="Calibri" w:cs="Calibri" w:eastAsia="Calibri" w:hint="default"/>
            <w:spacing w:val="-2"/>
            <w:w w:val="100"/>
          </w:rPr>
          <w:t>ss</w:t>
        </w:r>
        <w:r>
          <w:rPr>
            <w:rFonts w:ascii="Calibri" w:hAnsi="Calibri" w:cs="Calibri" w:eastAsia="Calibri" w:hint="default"/>
            <w:w w:val="100"/>
          </w:rPr>
          <w:t>e.</w:t>
        </w:r>
        <w:r>
          <w:rPr>
            <w:rFonts w:ascii="Calibri" w:hAnsi="Calibri" w:cs="Calibri" w:eastAsia="Calibri" w:hint="default"/>
            <w:spacing w:val="-4"/>
            <w:w w:val="100"/>
          </w:rPr>
          <w:t>c</w:t>
        </w:r>
        <w:r>
          <w:rPr>
            <w:rFonts w:ascii="Calibri" w:hAnsi="Calibri" w:cs="Calibri" w:eastAsia="Calibri" w:hint="default"/>
            <w:spacing w:val="-1"/>
            <w:w w:val="100"/>
          </w:rPr>
          <w:t>om.</w:t>
        </w:r>
        <w:r>
          <w:rPr>
            <w:rFonts w:ascii="Calibri" w:hAnsi="Calibri" w:cs="Calibri" w:eastAsia="Calibri" w:hint="default"/>
            <w:spacing w:val="-2"/>
            <w:w w:val="100"/>
          </w:rPr>
          <w:t>c</w:t>
        </w:r>
        <w:r>
          <w:rPr>
            <w:rFonts w:ascii="Calibri" w:hAnsi="Calibri" w:cs="Calibri" w:eastAsia="Calibri" w:hint="default"/>
            <w:w w:val="100"/>
          </w:rPr>
          <w:t>n</w:t>
        </w:r>
      </w:hyperlink>
      <w:r>
        <w:rPr>
          <w:w w:val="100"/>
        </w:rPr>
        <w:t>）</w:t>
      </w:r>
    </w:p>
    <w:p>
      <w:pPr>
        <w:pStyle w:val="BodyText"/>
        <w:spacing w:line="324" w:lineRule="auto" w:before="108"/>
        <w:ind w:left="220" w:right="308"/>
        <w:jc w:val="both"/>
      </w:pPr>
      <w:r>
        <w:rPr>
          <w:w w:val="100"/>
        </w:rPr>
        <w:t>披露</w:t>
      </w:r>
      <w:r>
        <w:rPr>
          <w:spacing w:val="-3"/>
          <w:w w:val="100"/>
        </w:rPr>
        <w:t>了</w:t>
      </w:r>
      <w:r>
        <w:rPr>
          <w:spacing w:val="-1"/>
          <w:w w:val="100"/>
        </w:rPr>
        <w:t>《</w:t>
      </w:r>
      <w:r>
        <w:rPr>
          <w:spacing w:val="-3"/>
          <w:w w:val="100"/>
        </w:rPr>
        <w:t>财</w:t>
      </w:r>
      <w:r>
        <w:rPr>
          <w:w w:val="100"/>
        </w:rPr>
        <w:t>通</w:t>
      </w:r>
      <w:r>
        <w:rPr>
          <w:spacing w:val="-3"/>
          <w:w w:val="100"/>
        </w:rPr>
        <w:t>证</w:t>
      </w:r>
      <w:r>
        <w:rPr>
          <w:w w:val="100"/>
        </w:rPr>
        <w:t>券</w:t>
      </w:r>
      <w:r>
        <w:rPr>
          <w:spacing w:val="-3"/>
          <w:w w:val="100"/>
        </w:rPr>
        <w:t>股</w:t>
      </w:r>
      <w:r>
        <w:rPr>
          <w:w w:val="100"/>
        </w:rPr>
        <w:t>份</w:t>
      </w:r>
      <w:r>
        <w:rPr>
          <w:spacing w:val="-3"/>
          <w:w w:val="100"/>
        </w:rPr>
        <w:t>有</w:t>
      </w:r>
      <w:r>
        <w:rPr>
          <w:w w:val="100"/>
        </w:rPr>
        <w:t>限公司</w:t>
      </w:r>
      <w:r>
        <w:rPr>
          <w:spacing w:val="-45"/>
        </w:rPr>
        <w:t> </w:t>
      </w: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16</w:t>
      </w:r>
      <w:r>
        <w:rPr>
          <w:rFonts w:ascii="Calibri" w:hAnsi="Calibri" w:cs="Calibri" w:eastAsia="Calibri" w:hint="default"/>
          <w:spacing w:val="14"/>
        </w:rPr>
        <w:t> </w:t>
      </w:r>
      <w:r>
        <w:rPr>
          <w:w w:val="100"/>
        </w:rPr>
        <w:t>年</w:t>
      </w:r>
      <w:r>
        <w:rPr>
          <w:spacing w:val="-3"/>
          <w:w w:val="100"/>
        </w:rPr>
        <w:t>永</w:t>
      </w:r>
      <w:r>
        <w:rPr>
          <w:w w:val="100"/>
        </w:rPr>
        <w:t>续</w:t>
      </w:r>
      <w:r>
        <w:rPr>
          <w:spacing w:val="-3"/>
          <w:w w:val="100"/>
        </w:rPr>
        <w:t>次</w:t>
      </w:r>
      <w:r>
        <w:rPr>
          <w:w w:val="100"/>
        </w:rPr>
        <w:t>级</w:t>
      </w:r>
      <w:r>
        <w:rPr>
          <w:spacing w:val="-3"/>
          <w:w w:val="100"/>
        </w:rPr>
        <w:t>债</w:t>
      </w:r>
      <w:r>
        <w:rPr>
          <w:w w:val="100"/>
        </w:rPr>
        <w:t>临时</w:t>
      </w:r>
      <w:r>
        <w:rPr>
          <w:spacing w:val="-3"/>
          <w:w w:val="100"/>
        </w:rPr>
        <w:t>受</w:t>
      </w:r>
      <w:r>
        <w:rPr>
          <w:w w:val="100"/>
        </w:rPr>
        <w:t>托</w:t>
      </w:r>
      <w:r>
        <w:rPr>
          <w:spacing w:val="-3"/>
          <w:w w:val="100"/>
        </w:rPr>
        <w:t>管</w:t>
      </w:r>
      <w:r>
        <w:rPr>
          <w:w w:val="100"/>
        </w:rPr>
        <w:t>理</w:t>
      </w:r>
      <w:r>
        <w:rPr>
          <w:spacing w:val="-3"/>
          <w:w w:val="100"/>
        </w:rPr>
        <w:t>事</w:t>
      </w:r>
      <w:r>
        <w:rPr>
          <w:w w:val="100"/>
        </w:rPr>
        <w:t>务</w:t>
      </w:r>
      <w:r>
        <w:rPr>
          <w:spacing w:val="-3"/>
          <w:w w:val="100"/>
        </w:rPr>
        <w:t>报</w:t>
      </w:r>
      <w:r>
        <w:rPr>
          <w:w w:val="100"/>
        </w:rPr>
        <w:t>告</w:t>
      </w:r>
      <w:r>
        <w:rPr>
          <w:spacing w:val="-108"/>
          <w:w w:val="100"/>
        </w:rPr>
        <w:t>》</w:t>
      </w:r>
      <w:r>
        <w:rPr>
          <w:spacing w:val="-3"/>
          <w:w w:val="100"/>
        </w:rPr>
        <w:t>，</w:t>
      </w: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18</w:t>
      </w:r>
      <w:r>
        <w:rPr>
          <w:rFonts w:ascii="Calibri" w:hAnsi="Calibri" w:cs="Calibri" w:eastAsia="Calibri" w:hint="default"/>
          <w:spacing w:val="17"/>
        </w:rPr>
        <w:t> </w:t>
      </w:r>
      <w:r>
        <w:rPr>
          <w:w w:val="100"/>
        </w:rPr>
        <w:t>年</w:t>
      </w:r>
      <w:r>
        <w:rPr>
          <w:spacing w:val="-43"/>
        </w:rPr>
        <w:t> </w:t>
      </w:r>
      <w:r>
        <w:rPr>
          <w:rFonts w:ascii="Calibri" w:hAnsi="Calibri" w:cs="Calibri" w:eastAsia="Calibri" w:hint="default"/>
          <w:w w:val="100"/>
        </w:rPr>
        <w:t>6</w:t>
      </w:r>
      <w:r>
        <w:rPr>
          <w:rFonts w:ascii="Calibri" w:hAnsi="Calibri" w:cs="Calibri" w:eastAsia="Calibri" w:hint="default"/>
          <w:spacing w:val="15"/>
        </w:rPr>
        <w:t> </w:t>
      </w:r>
      <w:r>
        <w:rPr>
          <w:w w:val="100"/>
        </w:rPr>
        <w:t>月</w:t>
      </w:r>
      <w:r>
        <w:rPr>
          <w:spacing w:val="-45"/>
        </w:rPr>
        <w:t> </w:t>
      </w:r>
      <w:r>
        <w:rPr>
          <w:rFonts w:ascii="Calibri" w:hAnsi="Calibri" w:cs="Calibri" w:eastAsia="Calibri" w:hint="default"/>
          <w:w w:val="100"/>
        </w:rPr>
        <w:t>25</w:t>
      </w:r>
      <w:r>
        <w:rPr>
          <w:rFonts w:ascii="Calibri" w:hAnsi="Calibri" w:cs="Calibri" w:eastAsia="Calibri" w:hint="default"/>
          <w:spacing w:val="13"/>
        </w:rPr>
        <w:t> </w:t>
      </w:r>
      <w:r>
        <w:rPr>
          <w:w w:val="100"/>
        </w:rPr>
        <w:t>日披 露</w:t>
      </w:r>
      <w:r>
        <w:rPr>
          <w:spacing w:val="-29"/>
          <w:w w:val="100"/>
        </w:rPr>
        <w:t>了</w:t>
      </w:r>
      <w:r>
        <w:rPr>
          <w:w w:val="100"/>
        </w:rPr>
        <w:t>《</w:t>
      </w:r>
      <w:r>
        <w:rPr>
          <w:spacing w:val="-3"/>
          <w:w w:val="100"/>
        </w:rPr>
        <w:t>财</w:t>
      </w:r>
      <w:r>
        <w:rPr>
          <w:w w:val="100"/>
        </w:rPr>
        <w:t>通</w:t>
      </w:r>
      <w:r>
        <w:rPr>
          <w:spacing w:val="-3"/>
          <w:w w:val="100"/>
        </w:rPr>
        <w:t>证</w:t>
      </w:r>
      <w:r>
        <w:rPr>
          <w:w w:val="100"/>
        </w:rPr>
        <w:t>券</w:t>
      </w:r>
      <w:r>
        <w:rPr>
          <w:spacing w:val="-3"/>
          <w:w w:val="100"/>
        </w:rPr>
        <w:t>股</w:t>
      </w:r>
      <w:r>
        <w:rPr>
          <w:w w:val="100"/>
        </w:rPr>
        <w:t>份</w:t>
      </w:r>
      <w:r>
        <w:rPr>
          <w:spacing w:val="-3"/>
          <w:w w:val="100"/>
        </w:rPr>
        <w:t>有限</w:t>
      </w:r>
      <w:r>
        <w:rPr>
          <w:w w:val="100"/>
        </w:rPr>
        <w:t>公司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6</w:t>
      </w:r>
      <w:r>
        <w:rPr>
          <w:rFonts w:ascii="Calibri" w:hAnsi="Calibri" w:cs="Calibri" w:eastAsia="Calibri" w:hint="default"/>
          <w:spacing w:val="6"/>
        </w:rPr>
        <w:t> </w:t>
      </w:r>
      <w:r>
        <w:rPr>
          <w:spacing w:val="-3"/>
          <w:w w:val="100"/>
        </w:rPr>
        <w:t>年</w:t>
      </w:r>
      <w:r>
        <w:rPr>
          <w:w w:val="100"/>
        </w:rPr>
        <w:t>永</w:t>
      </w:r>
      <w:r>
        <w:rPr>
          <w:spacing w:val="-3"/>
          <w:w w:val="100"/>
        </w:rPr>
        <w:t>续</w:t>
      </w:r>
      <w:r>
        <w:rPr>
          <w:w w:val="100"/>
        </w:rPr>
        <w:t>次</w:t>
      </w:r>
      <w:r>
        <w:rPr>
          <w:spacing w:val="-3"/>
          <w:w w:val="100"/>
        </w:rPr>
        <w:t>级</w:t>
      </w:r>
      <w:r>
        <w:rPr>
          <w:spacing w:val="-29"/>
          <w:w w:val="100"/>
        </w:rPr>
        <w:t>债</w:t>
      </w:r>
      <w:r>
        <w:rPr>
          <w:spacing w:val="-3"/>
          <w:w w:val="100"/>
        </w:rPr>
        <w:t>（</w:t>
      </w:r>
      <w:r>
        <w:rPr>
          <w:w w:val="100"/>
        </w:rPr>
        <w:t>第一</w:t>
      </w:r>
      <w:r>
        <w:rPr>
          <w:spacing w:val="-3"/>
          <w:w w:val="100"/>
        </w:rPr>
        <w:t>期</w:t>
      </w:r>
      <w:r>
        <w:rPr>
          <w:spacing w:val="-29"/>
          <w:w w:val="100"/>
        </w:rPr>
        <w:t>）</w:t>
      </w:r>
      <w:r>
        <w:rPr>
          <w:w w:val="100"/>
        </w:rPr>
        <w:t>受</w:t>
      </w:r>
      <w:r>
        <w:rPr>
          <w:spacing w:val="-3"/>
          <w:w w:val="100"/>
        </w:rPr>
        <w:t>托</w:t>
      </w:r>
      <w:r>
        <w:rPr>
          <w:w w:val="100"/>
        </w:rPr>
        <w:t>管</w:t>
      </w:r>
      <w:r>
        <w:rPr>
          <w:spacing w:val="-3"/>
          <w:w w:val="100"/>
        </w:rPr>
        <w:t>理</w:t>
      </w:r>
      <w:r>
        <w:rPr>
          <w:w w:val="100"/>
        </w:rPr>
        <w:t>事</w:t>
      </w:r>
      <w:r>
        <w:rPr>
          <w:spacing w:val="-3"/>
          <w:w w:val="100"/>
        </w:rPr>
        <w:t>务报</w:t>
      </w:r>
      <w:r>
        <w:rPr>
          <w:spacing w:val="-27"/>
          <w:w w:val="100"/>
        </w:rPr>
        <w:t>告</w:t>
      </w:r>
      <w:r>
        <w:rPr>
          <w:spacing w:val="-3"/>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6"/>
        </w:rPr>
        <w:t> </w:t>
      </w:r>
      <w:r>
        <w:rPr>
          <w:spacing w:val="-3"/>
          <w:w w:val="100"/>
        </w:rPr>
        <w:t>年</w:t>
      </w:r>
      <w:r>
        <w:rPr>
          <w:w w:val="100"/>
        </w:rPr>
        <w:t>度</w:t>
      </w:r>
      <w:r>
        <w:rPr>
          <w:spacing w:val="-106"/>
          <w:w w:val="100"/>
        </w:rPr>
        <w:t>）</w:t>
      </w:r>
      <w:r>
        <w:rPr>
          <w:spacing w:val="-108"/>
          <w:w w:val="100"/>
        </w:rPr>
        <w:t>》</w:t>
      </w:r>
      <w:r>
        <w:rPr>
          <w:spacing w:val="-29"/>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w w:val="100"/>
        </w:rPr>
        <w:t> </w:t>
      </w:r>
      <w:r>
        <w:rPr>
          <w:w w:val="100"/>
        </w:rPr>
        <w:t>年</w:t>
      </w:r>
      <w:r>
        <w:rPr>
          <w:spacing w:val="-53"/>
        </w:rPr>
        <w:t> </w:t>
      </w:r>
      <w:r>
        <w:rPr>
          <w:rFonts w:ascii="Calibri" w:hAnsi="Calibri" w:cs="Calibri" w:eastAsia="Calibri" w:hint="default"/>
          <w:w w:val="100"/>
        </w:rPr>
        <w:t>6</w:t>
      </w:r>
      <w:r>
        <w:rPr>
          <w:rFonts w:ascii="Calibri" w:hAnsi="Calibri" w:cs="Calibri" w:eastAsia="Calibri" w:hint="default"/>
          <w:spacing w:val="3"/>
        </w:rPr>
        <w:t> </w:t>
      </w:r>
      <w:r>
        <w:rPr>
          <w:w w:val="100"/>
        </w:rPr>
        <w:t>月</w:t>
      </w:r>
      <w:r>
        <w:rPr>
          <w:spacing w:val="-55"/>
        </w:rPr>
        <w:t> </w:t>
      </w:r>
      <w:r>
        <w:rPr>
          <w:rFonts w:ascii="Calibri" w:hAnsi="Calibri" w:cs="Calibri" w:eastAsia="Calibri" w:hint="default"/>
          <w:w w:val="100"/>
        </w:rPr>
        <w:t>26</w:t>
      </w:r>
      <w:r>
        <w:rPr>
          <w:rFonts w:ascii="Calibri" w:hAnsi="Calibri" w:cs="Calibri" w:eastAsia="Calibri" w:hint="default"/>
          <w:spacing w:val="3"/>
        </w:rPr>
        <w:t> </w:t>
      </w:r>
      <w:r>
        <w:rPr>
          <w:w w:val="100"/>
        </w:rPr>
        <w:t>日</w:t>
      </w:r>
      <w:r>
        <w:rPr>
          <w:spacing w:val="-3"/>
          <w:w w:val="100"/>
        </w:rPr>
        <w:t>披</w:t>
      </w:r>
      <w:r>
        <w:rPr>
          <w:w w:val="100"/>
        </w:rPr>
        <w:t>露</w:t>
      </w:r>
      <w:r>
        <w:rPr>
          <w:spacing w:val="-97"/>
          <w:w w:val="100"/>
        </w:rPr>
        <w:t>了</w:t>
      </w:r>
      <w:r>
        <w:rPr>
          <w:spacing w:val="-3"/>
          <w:w w:val="100"/>
        </w:rPr>
        <w:t>《</w:t>
      </w:r>
      <w:r>
        <w:rPr>
          <w:w w:val="100"/>
        </w:rPr>
        <w:t>财</w:t>
      </w:r>
      <w:r>
        <w:rPr>
          <w:spacing w:val="-3"/>
          <w:w w:val="100"/>
        </w:rPr>
        <w:t>通</w:t>
      </w:r>
      <w:r>
        <w:rPr>
          <w:w w:val="100"/>
        </w:rPr>
        <w:t>证券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6</w:t>
      </w:r>
      <w:r>
        <w:rPr>
          <w:rFonts w:ascii="Calibri" w:hAnsi="Calibri" w:cs="Calibri" w:eastAsia="Calibri" w:hint="default"/>
          <w:spacing w:val="6"/>
        </w:rPr>
        <w:t> </w:t>
      </w:r>
      <w:r>
        <w:rPr>
          <w:spacing w:val="-3"/>
          <w:w w:val="100"/>
        </w:rPr>
        <w:t>年</w:t>
      </w:r>
      <w:r>
        <w:rPr>
          <w:w w:val="100"/>
        </w:rPr>
        <w:t>永续</w:t>
      </w:r>
      <w:r>
        <w:rPr>
          <w:spacing w:val="-3"/>
          <w:w w:val="100"/>
        </w:rPr>
        <w:t>次</w:t>
      </w:r>
      <w:r>
        <w:rPr>
          <w:w w:val="100"/>
        </w:rPr>
        <w:t>级</w:t>
      </w:r>
      <w:r>
        <w:rPr>
          <w:spacing w:val="-99"/>
          <w:w w:val="100"/>
        </w:rPr>
        <w:t>债</w:t>
      </w:r>
      <w:r>
        <w:rPr>
          <w:w w:val="100"/>
        </w:rPr>
        <w:t>（</w:t>
      </w:r>
      <w:r>
        <w:rPr>
          <w:spacing w:val="-3"/>
          <w:w w:val="100"/>
        </w:rPr>
        <w:t>第</w:t>
      </w:r>
      <w:r>
        <w:rPr>
          <w:w w:val="100"/>
        </w:rPr>
        <w:t>一期</w:t>
      </w:r>
      <w:r>
        <w:rPr>
          <w:spacing w:val="-99"/>
          <w:w w:val="100"/>
        </w:rPr>
        <w:t>）</w:t>
      </w:r>
      <w:r>
        <w:rPr>
          <w:w w:val="100"/>
        </w:rPr>
        <w:t>临</w:t>
      </w:r>
      <w:r>
        <w:rPr>
          <w:spacing w:val="-3"/>
          <w:w w:val="100"/>
        </w:rPr>
        <w:t>时</w:t>
      </w:r>
      <w:r>
        <w:rPr>
          <w:w w:val="100"/>
        </w:rPr>
        <w:t>受托</w:t>
      </w:r>
      <w:r>
        <w:rPr>
          <w:spacing w:val="-3"/>
          <w:w w:val="100"/>
        </w:rPr>
        <w:t>管</w:t>
      </w:r>
      <w:r>
        <w:rPr>
          <w:w w:val="100"/>
        </w:rPr>
        <w:t>理</w:t>
      </w:r>
      <w:r>
        <w:rPr>
          <w:spacing w:val="-3"/>
          <w:w w:val="100"/>
        </w:rPr>
        <w:t>事</w:t>
      </w:r>
      <w:r>
        <w:rPr>
          <w:w w:val="100"/>
        </w:rPr>
        <w:t>务</w:t>
      </w:r>
      <w:r>
        <w:rPr>
          <w:spacing w:val="-3"/>
          <w:w w:val="100"/>
        </w:rPr>
        <w:t>报</w:t>
      </w:r>
      <w:r>
        <w:rPr>
          <w:w w:val="100"/>
        </w:rPr>
        <w:t>告</w:t>
      </w:r>
      <w:r>
        <w:rPr>
          <w:spacing w:val="-108"/>
          <w:w w:val="100"/>
        </w:rPr>
        <w:t>》</w:t>
      </w:r>
      <w:r>
        <w:rPr>
          <w:w w:val="100"/>
        </w:rPr>
        <w:t>，</w:t>
      </w:r>
    </w:p>
    <w:p>
      <w:pPr>
        <w:pStyle w:val="BodyText"/>
        <w:spacing w:line="324" w:lineRule="auto" w:before="16"/>
        <w:ind w:left="640" w:right="205" w:hanging="42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spacing w:val="-2"/>
          <w:w w:val="100"/>
        </w:rPr>
        <w:t>1</w:t>
      </w:r>
      <w:r>
        <w:rPr>
          <w:rFonts w:ascii="Calibri" w:hAnsi="Calibri" w:cs="Calibri" w:eastAsia="Calibri" w:hint="default"/>
          <w:w w:val="100"/>
        </w:rPr>
        <w:t>0</w:t>
      </w:r>
      <w:r>
        <w:rPr>
          <w:rFonts w:ascii="Calibri" w:hAnsi="Calibri" w:cs="Calibri" w:eastAsia="Calibri" w:hint="default"/>
          <w:spacing w:val="6"/>
        </w:rPr>
        <w:t> </w:t>
      </w:r>
      <w:r>
        <w:rPr>
          <w:w w:val="100"/>
        </w:rPr>
        <w:t>月</w:t>
      </w:r>
      <w:r>
        <w:rPr>
          <w:spacing w:val="-55"/>
        </w:rPr>
        <w:t> </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6"/>
        </w:rPr>
        <w:t> </w:t>
      </w:r>
      <w:r>
        <w:rPr>
          <w:spacing w:val="-3"/>
          <w:w w:val="100"/>
        </w:rPr>
        <w:t>日</w:t>
      </w:r>
      <w:r>
        <w:rPr>
          <w:w w:val="100"/>
        </w:rPr>
        <w:t>披</w:t>
      </w:r>
      <w:r>
        <w:rPr>
          <w:spacing w:val="-3"/>
          <w:w w:val="100"/>
        </w:rPr>
        <w:t>露了</w:t>
      </w:r>
      <w:r>
        <w:rPr>
          <w:w w:val="100"/>
        </w:rPr>
        <w:t>《财</w:t>
      </w:r>
      <w:r>
        <w:rPr>
          <w:spacing w:val="-3"/>
          <w:w w:val="100"/>
        </w:rPr>
        <w:t>通</w:t>
      </w:r>
      <w:r>
        <w:rPr>
          <w:spacing w:val="2"/>
          <w:w w:val="100"/>
        </w:rPr>
        <w:t>证</w:t>
      </w:r>
      <w:r>
        <w:rPr>
          <w:w w:val="100"/>
        </w:rPr>
        <w:t>券</w:t>
      </w:r>
      <w:r>
        <w:rPr>
          <w:spacing w:val="2"/>
          <w:w w:val="100"/>
        </w:rPr>
        <w:t>股</w:t>
      </w:r>
      <w:r>
        <w:rPr>
          <w:w w:val="100"/>
        </w:rPr>
        <w:t>份</w:t>
      </w:r>
      <w:r>
        <w:rPr>
          <w:spacing w:val="2"/>
          <w:w w:val="100"/>
        </w:rPr>
        <w:t>有</w:t>
      </w:r>
      <w:r>
        <w:rPr>
          <w:w w:val="100"/>
        </w:rPr>
        <w:t>限公司</w:t>
      </w:r>
      <w:r>
        <w:rPr>
          <w:spacing w:val="-52"/>
        </w:rPr>
        <w:t> </w:t>
      </w:r>
      <w:r>
        <w:rPr>
          <w:rFonts w:ascii="Calibri" w:hAnsi="Calibri" w:cs="Calibri" w:eastAsia="Calibri" w:hint="default"/>
          <w:spacing w:val="3"/>
          <w:w w:val="100"/>
        </w:rPr>
        <w:t>2</w:t>
      </w:r>
      <w:r>
        <w:rPr>
          <w:rFonts w:ascii="Calibri" w:hAnsi="Calibri" w:cs="Calibri" w:eastAsia="Calibri" w:hint="default"/>
          <w:w w:val="100"/>
        </w:rPr>
        <w:t>016</w:t>
      </w:r>
      <w:r>
        <w:rPr>
          <w:rFonts w:ascii="Calibri" w:hAnsi="Calibri" w:cs="Calibri" w:eastAsia="Calibri" w:hint="default"/>
          <w:spacing w:val="9"/>
        </w:rPr>
        <w:t> </w:t>
      </w:r>
      <w:r>
        <w:rPr>
          <w:w w:val="100"/>
        </w:rPr>
        <w:t>年</w:t>
      </w:r>
      <w:r>
        <w:rPr>
          <w:spacing w:val="2"/>
          <w:w w:val="100"/>
        </w:rPr>
        <w:t>永</w:t>
      </w:r>
      <w:r>
        <w:rPr>
          <w:w w:val="100"/>
        </w:rPr>
        <w:t>续</w:t>
      </w:r>
      <w:r>
        <w:rPr>
          <w:spacing w:val="2"/>
          <w:w w:val="100"/>
        </w:rPr>
        <w:t>次</w:t>
      </w:r>
      <w:r>
        <w:rPr>
          <w:w w:val="100"/>
        </w:rPr>
        <w:t>级</w:t>
      </w:r>
      <w:r>
        <w:rPr>
          <w:spacing w:val="2"/>
          <w:w w:val="100"/>
        </w:rPr>
        <w:t>债</w:t>
      </w:r>
      <w:r>
        <w:rPr>
          <w:w w:val="100"/>
        </w:rPr>
        <w:t>券</w:t>
      </w:r>
      <w:r>
        <w:rPr>
          <w:spacing w:val="2"/>
          <w:w w:val="100"/>
        </w:rPr>
        <w:t>临</w:t>
      </w:r>
      <w:r>
        <w:rPr>
          <w:w w:val="100"/>
        </w:rPr>
        <w:t>时</w:t>
      </w:r>
      <w:r>
        <w:rPr>
          <w:spacing w:val="2"/>
          <w:w w:val="100"/>
        </w:rPr>
        <w:t>受托</w:t>
      </w:r>
      <w:r>
        <w:rPr>
          <w:w w:val="100"/>
        </w:rPr>
        <w:t>管</w:t>
      </w:r>
      <w:r>
        <w:rPr>
          <w:spacing w:val="2"/>
          <w:w w:val="100"/>
        </w:rPr>
        <w:t>理</w:t>
      </w:r>
      <w:r>
        <w:rPr>
          <w:w w:val="100"/>
        </w:rPr>
        <w:t>事</w:t>
      </w:r>
      <w:r>
        <w:rPr>
          <w:spacing w:val="2"/>
          <w:w w:val="100"/>
        </w:rPr>
        <w:t>务</w:t>
      </w:r>
      <w:r>
        <w:rPr>
          <w:w w:val="100"/>
        </w:rPr>
        <w:t>报</w:t>
      </w:r>
      <w:r>
        <w:rPr>
          <w:spacing w:val="2"/>
          <w:w w:val="100"/>
        </w:rPr>
        <w:t>告</w:t>
      </w:r>
      <w:r>
        <w:rPr>
          <w:spacing w:val="-104"/>
          <w:w w:val="100"/>
        </w:rPr>
        <w:t>》</w:t>
      </w:r>
      <w:r>
        <w:rPr>
          <w:w w:val="100"/>
        </w:rPr>
        <w:t>。</w:t>
      </w:r>
      <w:r>
        <w:rPr>
          <w:w w:val="100"/>
        </w:rPr>
        <w:t> </w:t>
      </w:r>
      <w:r>
        <w:rPr>
          <w:spacing w:val="-1"/>
          <w:w w:val="100"/>
        </w:rPr>
        <w:t>“</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13"/>
        </w:rPr>
        <w:t> </w:t>
      </w:r>
      <w:r>
        <w:rPr>
          <w:spacing w:val="-3"/>
          <w:w w:val="100"/>
        </w:rPr>
        <w:t>财</w:t>
      </w:r>
      <w:r>
        <w:rPr>
          <w:w w:val="100"/>
        </w:rPr>
        <w:t>通</w:t>
      </w:r>
      <w:r>
        <w:rPr>
          <w:spacing w:val="-43"/>
        </w:rPr>
        <w:t> </w:t>
      </w:r>
      <w:r>
        <w:rPr>
          <w:rFonts w:ascii="Calibri" w:hAnsi="Calibri" w:cs="Calibri" w:eastAsia="Calibri" w:hint="default"/>
          <w:spacing w:val="-3"/>
          <w:w w:val="100"/>
        </w:rPr>
        <w:t>C</w:t>
      </w:r>
      <w:r>
        <w:rPr>
          <w:rFonts w:ascii="Calibri" w:hAnsi="Calibri" w:cs="Calibri" w:eastAsia="Calibri" w:hint="default"/>
          <w:w w:val="100"/>
        </w:rPr>
        <w:t>1</w:t>
      </w:r>
      <w:r>
        <w:rPr>
          <w:spacing w:val="-106"/>
          <w:w w:val="100"/>
        </w:rPr>
        <w:t>”</w:t>
      </w:r>
      <w:r>
        <w:rPr>
          <w:spacing w:val="-108"/>
          <w:w w:val="100"/>
        </w:rPr>
        <w:t>、</w:t>
      </w:r>
      <w:r>
        <w:rPr>
          <w:w w:val="100"/>
        </w:rPr>
        <w:t>“</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14"/>
        </w:rPr>
        <w:t> </w:t>
      </w:r>
      <w:r>
        <w:rPr>
          <w:spacing w:val="-3"/>
          <w:w w:val="100"/>
        </w:rPr>
        <w:t>财</w:t>
      </w:r>
      <w:r>
        <w:rPr>
          <w:w w:val="100"/>
        </w:rPr>
        <w:t>通</w:t>
      </w:r>
      <w:r>
        <w:rPr>
          <w:spacing w:val="-45"/>
        </w:rPr>
        <w:t> </w:t>
      </w:r>
      <w:r>
        <w:rPr>
          <w:rFonts w:ascii="Calibri" w:hAnsi="Calibri" w:cs="Calibri" w:eastAsia="Calibri" w:hint="default"/>
          <w:w w:val="100"/>
        </w:rPr>
        <w:t>C2</w:t>
      </w:r>
      <w:r>
        <w:rPr>
          <w:spacing w:val="-106"/>
          <w:w w:val="100"/>
        </w:rPr>
        <w:t>”</w:t>
      </w:r>
      <w:r>
        <w:rPr>
          <w:spacing w:val="-108"/>
          <w:w w:val="100"/>
        </w:rPr>
        <w:t>、</w:t>
      </w:r>
      <w:r>
        <w:rPr>
          <w:spacing w:val="-3"/>
          <w:w w:val="100"/>
        </w:rPr>
        <w:t>“</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15"/>
        </w:rPr>
        <w:t> </w:t>
      </w:r>
      <w:r>
        <w:rPr>
          <w:spacing w:val="-3"/>
          <w:w w:val="100"/>
        </w:rPr>
        <w:t>财</w:t>
      </w:r>
      <w:r>
        <w:rPr>
          <w:w w:val="100"/>
        </w:rPr>
        <w:t>通</w:t>
      </w:r>
      <w:r>
        <w:rPr>
          <w:spacing w:val="-43"/>
        </w:rPr>
        <w:t> </w:t>
      </w:r>
      <w:r>
        <w:rPr>
          <w:rFonts w:ascii="Calibri" w:hAnsi="Calibri" w:cs="Calibri" w:eastAsia="Calibri" w:hint="default"/>
          <w:spacing w:val="-3"/>
          <w:w w:val="100"/>
        </w:rPr>
        <w:t>C</w:t>
      </w:r>
      <w:r>
        <w:rPr>
          <w:rFonts w:ascii="Calibri" w:hAnsi="Calibri" w:cs="Calibri" w:eastAsia="Calibri" w:hint="default"/>
          <w:w w:val="100"/>
        </w:rPr>
        <w:t>3</w:t>
      </w:r>
      <w:r>
        <w:rPr>
          <w:spacing w:val="-108"/>
          <w:w w:val="100"/>
        </w:rPr>
        <w:t>”</w:t>
      </w:r>
      <w:r>
        <w:rPr>
          <w:spacing w:val="-106"/>
          <w:w w:val="100"/>
        </w:rPr>
        <w:t>、</w:t>
      </w:r>
      <w:r>
        <w:rPr>
          <w:spacing w:val="-3"/>
          <w:w w:val="100"/>
        </w:rPr>
        <w:t>“</w:t>
      </w:r>
      <w:r>
        <w:rPr>
          <w:rFonts w:ascii="Calibri" w:hAnsi="Calibri" w:cs="Calibri" w:eastAsia="Calibri" w:hint="default"/>
          <w:spacing w:val="-2"/>
          <w:w w:val="100"/>
        </w:rPr>
        <w:t>1</w:t>
      </w:r>
      <w:r>
        <w:rPr>
          <w:rFonts w:ascii="Calibri" w:hAnsi="Calibri" w:cs="Calibri" w:eastAsia="Calibri" w:hint="default"/>
          <w:w w:val="100"/>
        </w:rPr>
        <w:t>9</w:t>
      </w:r>
      <w:r>
        <w:rPr>
          <w:rFonts w:ascii="Calibri" w:hAnsi="Calibri" w:cs="Calibri" w:eastAsia="Calibri" w:hint="default"/>
          <w:spacing w:val="13"/>
        </w:rPr>
        <w:t> </w:t>
      </w:r>
      <w:r>
        <w:rPr>
          <w:w w:val="100"/>
        </w:rPr>
        <w:t>财通</w:t>
      </w:r>
      <w:r>
        <w:rPr>
          <w:spacing w:val="-45"/>
        </w:rPr>
        <w:t> </w:t>
      </w:r>
      <w:r>
        <w:rPr>
          <w:rFonts w:ascii="Calibri" w:hAnsi="Calibri" w:cs="Calibri" w:eastAsia="Calibri" w:hint="default"/>
          <w:w w:val="100"/>
        </w:rPr>
        <w:t>C</w:t>
      </w:r>
      <w:r>
        <w:rPr>
          <w:rFonts w:ascii="Calibri" w:hAnsi="Calibri" w:cs="Calibri" w:eastAsia="Calibri" w:hint="default"/>
          <w:spacing w:val="-2"/>
          <w:w w:val="100"/>
        </w:rPr>
        <w:t>1</w:t>
      </w:r>
      <w:r>
        <w:rPr>
          <w:w w:val="100"/>
        </w:rPr>
        <w:t>”</w:t>
      </w:r>
      <w:r>
        <w:rPr>
          <w:spacing w:val="-3"/>
          <w:w w:val="100"/>
        </w:rPr>
        <w:t>和“</w:t>
      </w:r>
      <w:r>
        <w:rPr>
          <w:rFonts w:ascii="Calibri" w:hAnsi="Calibri" w:cs="Calibri" w:eastAsia="Calibri" w:hint="default"/>
          <w:spacing w:val="-2"/>
          <w:w w:val="100"/>
        </w:rPr>
        <w:t>1</w:t>
      </w:r>
      <w:r>
        <w:rPr>
          <w:rFonts w:ascii="Calibri" w:hAnsi="Calibri" w:cs="Calibri" w:eastAsia="Calibri" w:hint="default"/>
          <w:w w:val="100"/>
        </w:rPr>
        <w:t>9</w:t>
      </w:r>
      <w:r>
        <w:rPr>
          <w:rFonts w:ascii="Calibri" w:hAnsi="Calibri" w:cs="Calibri" w:eastAsia="Calibri" w:hint="default"/>
          <w:spacing w:val="15"/>
        </w:rPr>
        <w:t> </w:t>
      </w:r>
      <w:r>
        <w:rPr>
          <w:spacing w:val="-3"/>
          <w:w w:val="100"/>
        </w:rPr>
        <w:t>财</w:t>
      </w:r>
      <w:r>
        <w:rPr>
          <w:w w:val="100"/>
        </w:rPr>
        <w:t>通</w:t>
      </w:r>
      <w:r>
        <w:rPr>
          <w:spacing w:val="-43"/>
        </w:rPr>
        <w:t> </w:t>
      </w:r>
      <w:r>
        <w:rPr>
          <w:rFonts w:ascii="Calibri" w:hAnsi="Calibri" w:cs="Calibri" w:eastAsia="Calibri" w:hint="default"/>
          <w:spacing w:val="-3"/>
          <w:w w:val="100"/>
        </w:rPr>
        <w:t>C</w:t>
      </w:r>
      <w:r>
        <w:rPr>
          <w:rFonts w:ascii="Calibri" w:hAnsi="Calibri" w:cs="Calibri" w:eastAsia="Calibri" w:hint="default"/>
          <w:spacing w:val="-1"/>
          <w:w w:val="100"/>
        </w:rPr>
        <w:t>3</w:t>
      </w:r>
      <w:r>
        <w:rPr>
          <w:w w:val="100"/>
        </w:rPr>
        <w:t>”债</w:t>
      </w:r>
      <w:r>
        <w:rPr>
          <w:spacing w:val="-3"/>
          <w:w w:val="100"/>
        </w:rPr>
        <w:t>券</w:t>
      </w:r>
      <w:r>
        <w:rPr>
          <w:w w:val="100"/>
        </w:rPr>
        <w:t>受</w:t>
      </w:r>
      <w:r>
        <w:rPr>
          <w:spacing w:val="-3"/>
          <w:w w:val="100"/>
        </w:rPr>
        <w:t>托</w:t>
      </w:r>
      <w:r>
        <w:rPr>
          <w:w w:val="100"/>
        </w:rPr>
        <w:t>管</w:t>
      </w:r>
      <w:r>
        <w:rPr>
          <w:spacing w:val="-3"/>
          <w:w w:val="100"/>
        </w:rPr>
        <w:t>理</w:t>
      </w:r>
      <w:r>
        <w:rPr>
          <w:w w:val="100"/>
        </w:rPr>
        <w:t>人</w:t>
      </w:r>
    </w:p>
    <w:p>
      <w:pPr>
        <w:pStyle w:val="BodyText"/>
        <w:spacing w:line="355" w:lineRule="auto" w:before="19"/>
        <w:ind w:left="220" w:right="308"/>
        <w:jc w:val="both"/>
      </w:pPr>
      <w:r>
        <w:rPr>
          <w:spacing w:val="-6"/>
        </w:rPr>
        <w:t>为信达证券股份有限公司。报告期内，信达证券股份有限公司按照《债券受托管理协议》中的约定，</w:t>
      </w:r>
      <w:r>
        <w:rPr>
          <w:spacing w:val="-19"/>
        </w:rPr>
        <w:t> </w:t>
      </w:r>
      <w:r>
        <w:rPr>
          <w:spacing w:val="-19"/>
        </w:rPr>
      </w:r>
      <w:r>
        <w:rPr>
          <w:spacing w:val="-4"/>
        </w:rPr>
        <w:t>在上海证券交易所网站（</w:t>
      </w:r>
      <w:hyperlink r:id="rId12">
        <w:r>
          <w:rPr>
            <w:rFonts w:ascii="Calibri" w:hAnsi="Calibri" w:cs="Calibri" w:eastAsia="Calibri" w:hint="default"/>
            <w:spacing w:val="-4"/>
          </w:rPr>
          <w:t>http://www.sse.com.cn</w:t>
        </w:r>
      </w:hyperlink>
      <w:r>
        <w:rPr>
          <w:spacing w:val="-4"/>
        </w:rPr>
        <w:t>）于</w:t>
      </w:r>
      <w:r>
        <w:rPr>
          <w:spacing w:val="-43"/>
        </w:rPr>
        <w:t> </w:t>
      </w:r>
      <w:r>
        <w:rPr>
          <w:rFonts w:ascii="Calibri" w:hAnsi="Calibri" w:cs="Calibri" w:eastAsia="Calibri" w:hint="default"/>
        </w:rPr>
        <w:t>2018</w:t>
      </w:r>
      <w:r>
        <w:rPr>
          <w:rFonts w:ascii="Calibri" w:hAnsi="Calibri" w:cs="Calibri" w:eastAsia="Calibri" w:hint="default"/>
          <w:spacing w:val="17"/>
        </w:rPr>
        <w:t> </w:t>
      </w:r>
      <w:r>
        <w:rPr/>
        <w:t>年</w:t>
      </w:r>
      <w:r>
        <w:rPr>
          <w:spacing w:val="-40"/>
        </w:rPr>
        <w:t> </w:t>
      </w:r>
      <w:r>
        <w:rPr>
          <w:rFonts w:ascii="Calibri" w:hAnsi="Calibri" w:cs="Calibri" w:eastAsia="Calibri" w:hint="default"/>
        </w:rPr>
        <w:t>5</w:t>
      </w:r>
      <w:r>
        <w:rPr>
          <w:rFonts w:ascii="Calibri" w:hAnsi="Calibri" w:cs="Calibri" w:eastAsia="Calibri" w:hint="default"/>
          <w:spacing w:val="15"/>
        </w:rPr>
        <w:t> </w:t>
      </w:r>
      <w:r>
        <w:rPr/>
        <w:t>月</w:t>
      </w:r>
      <w:r>
        <w:rPr>
          <w:spacing w:val="-43"/>
        </w:rPr>
        <w:t> </w:t>
      </w:r>
      <w:r>
        <w:rPr>
          <w:rFonts w:ascii="Calibri" w:hAnsi="Calibri" w:cs="Calibri" w:eastAsia="Calibri" w:hint="default"/>
        </w:rPr>
        <w:t>10</w:t>
      </w:r>
      <w:r>
        <w:rPr>
          <w:rFonts w:ascii="Calibri" w:hAnsi="Calibri" w:cs="Calibri" w:eastAsia="Calibri" w:hint="default"/>
          <w:spacing w:val="15"/>
        </w:rPr>
        <w:t> </w:t>
      </w:r>
      <w:r>
        <w:rPr>
          <w:spacing w:val="-4"/>
        </w:rPr>
        <w:t>日披露了《财通证券股份有限公</w:t>
      </w:r>
    </w:p>
    <w:p>
      <w:pPr>
        <w:pStyle w:val="BodyText"/>
        <w:spacing w:line="286" w:lineRule="exact"/>
        <w:ind w:left="220" w:right="0"/>
        <w:jc w:val="both"/>
      </w:pPr>
      <w:r>
        <w:rPr>
          <w:w w:val="100"/>
        </w:rPr>
        <w:t>司非</w:t>
      </w:r>
      <w:r>
        <w:rPr>
          <w:spacing w:val="-3"/>
          <w:w w:val="100"/>
        </w:rPr>
        <w:t>公</w:t>
      </w:r>
      <w:r>
        <w:rPr>
          <w:w w:val="100"/>
        </w:rPr>
        <w:t>开</w:t>
      </w:r>
      <w:r>
        <w:rPr>
          <w:spacing w:val="-3"/>
          <w:w w:val="100"/>
        </w:rPr>
        <w:t>发</w:t>
      </w:r>
      <w:r>
        <w:rPr>
          <w:w w:val="100"/>
        </w:rPr>
        <w:t>行</w:t>
      </w:r>
      <w:r>
        <w:rPr>
          <w:spacing w:val="-46"/>
        </w:rPr>
        <w:t> </w:t>
      </w:r>
      <w:r>
        <w:rPr>
          <w:rFonts w:ascii="Calibri" w:hAnsi="Calibri" w:cs="Calibri" w:eastAsia="Calibri" w:hint="default"/>
          <w:spacing w:val="-2"/>
          <w:w w:val="100"/>
        </w:rPr>
        <w:t>20</w:t>
      </w:r>
      <w:r>
        <w:rPr>
          <w:rFonts w:ascii="Calibri" w:hAnsi="Calibri" w:cs="Calibri" w:eastAsia="Calibri" w:hint="default"/>
          <w:w w:val="100"/>
        </w:rPr>
        <w:t>18</w:t>
      </w:r>
      <w:r>
        <w:rPr>
          <w:rFonts w:ascii="Calibri" w:hAnsi="Calibri" w:cs="Calibri" w:eastAsia="Calibri" w:hint="default"/>
          <w:spacing w:val="11"/>
        </w:rPr>
        <w:t> </w:t>
      </w:r>
      <w:r>
        <w:rPr>
          <w:w w:val="100"/>
        </w:rPr>
        <w:t>年</w:t>
      </w:r>
      <w:r>
        <w:rPr>
          <w:spacing w:val="-3"/>
          <w:w w:val="100"/>
        </w:rPr>
        <w:t>次级</w:t>
      </w:r>
      <w:r>
        <w:rPr>
          <w:w w:val="100"/>
        </w:rPr>
        <w:t>债券</w:t>
      </w:r>
      <w:r>
        <w:rPr>
          <w:spacing w:val="-45"/>
        </w:rPr>
        <w:t> </w:t>
      </w:r>
      <w:r>
        <w:rPr>
          <w:rFonts w:ascii="Calibri" w:hAnsi="Calibri" w:cs="Calibri" w:eastAsia="Calibri" w:hint="default"/>
          <w:spacing w:val="-2"/>
          <w:w w:val="100"/>
        </w:rPr>
        <w:t>20</w:t>
      </w:r>
      <w:r>
        <w:rPr>
          <w:rFonts w:ascii="Calibri" w:hAnsi="Calibri" w:cs="Calibri" w:eastAsia="Calibri" w:hint="default"/>
          <w:w w:val="100"/>
        </w:rPr>
        <w:t>18</w:t>
      </w:r>
      <w:r>
        <w:rPr>
          <w:rFonts w:ascii="Calibri" w:hAnsi="Calibri" w:cs="Calibri" w:eastAsia="Calibri" w:hint="default"/>
          <w:spacing w:val="11"/>
        </w:rPr>
        <w:t> </w:t>
      </w:r>
      <w:r>
        <w:rPr>
          <w:w w:val="100"/>
        </w:rPr>
        <w:t>年</w:t>
      </w:r>
      <w:r>
        <w:rPr>
          <w:spacing w:val="-3"/>
          <w:w w:val="100"/>
        </w:rPr>
        <w:t>度</w:t>
      </w:r>
      <w:r>
        <w:rPr>
          <w:w w:val="100"/>
        </w:rPr>
        <w:t>第</w:t>
      </w:r>
      <w:r>
        <w:rPr>
          <w:spacing w:val="-3"/>
          <w:w w:val="100"/>
        </w:rPr>
        <w:t>一</w:t>
      </w:r>
      <w:r>
        <w:rPr>
          <w:w w:val="100"/>
        </w:rPr>
        <w:t>次</w:t>
      </w:r>
      <w:r>
        <w:rPr>
          <w:spacing w:val="-3"/>
          <w:w w:val="100"/>
        </w:rPr>
        <w:t>受托</w:t>
      </w:r>
      <w:r>
        <w:rPr>
          <w:w w:val="100"/>
        </w:rPr>
        <w:t>管理</w:t>
      </w:r>
      <w:r>
        <w:rPr>
          <w:spacing w:val="-3"/>
          <w:w w:val="100"/>
        </w:rPr>
        <w:t>事</w:t>
      </w:r>
      <w:r>
        <w:rPr>
          <w:w w:val="100"/>
        </w:rPr>
        <w:t>务</w:t>
      </w:r>
      <w:r>
        <w:rPr>
          <w:spacing w:val="-3"/>
          <w:w w:val="100"/>
        </w:rPr>
        <w:t>临</w:t>
      </w:r>
      <w:r>
        <w:rPr>
          <w:w w:val="100"/>
        </w:rPr>
        <w:t>时</w:t>
      </w:r>
      <w:r>
        <w:rPr>
          <w:spacing w:val="-3"/>
          <w:w w:val="100"/>
        </w:rPr>
        <w:t>报</w:t>
      </w:r>
      <w:r>
        <w:rPr>
          <w:w w:val="100"/>
        </w:rPr>
        <w:t>告</w:t>
      </w:r>
      <w:r>
        <w:rPr>
          <w:spacing w:val="-108"/>
          <w:w w:val="100"/>
        </w:rPr>
        <w:t>》</w:t>
      </w:r>
      <w:r>
        <w:rPr>
          <w:spacing w:val="-1"/>
          <w:w w:val="100"/>
        </w:rPr>
        <w:t>，</w:t>
      </w:r>
      <w:r>
        <w:rPr>
          <w:rFonts w:ascii="Calibri" w:hAnsi="Calibri" w:cs="Calibri" w:eastAsia="Calibri" w:hint="default"/>
          <w:spacing w:val="-2"/>
          <w:w w:val="100"/>
        </w:rPr>
        <w:t>201</w:t>
      </w:r>
      <w:r>
        <w:rPr>
          <w:rFonts w:ascii="Calibri" w:hAnsi="Calibri" w:cs="Calibri" w:eastAsia="Calibri" w:hint="default"/>
          <w:w w:val="100"/>
        </w:rPr>
        <w:t>8</w:t>
      </w:r>
      <w:r>
        <w:rPr>
          <w:rFonts w:ascii="Calibri" w:hAnsi="Calibri" w:cs="Calibri" w:eastAsia="Calibri" w:hint="default"/>
          <w:spacing w:val="14"/>
        </w:rPr>
        <w:t> </w:t>
      </w:r>
      <w:r>
        <w:rPr>
          <w:w w:val="100"/>
        </w:rPr>
        <w:t>年</w:t>
      </w:r>
      <w:r>
        <w:rPr>
          <w:spacing w:val="-45"/>
        </w:rPr>
        <w:t> </w:t>
      </w:r>
      <w:r>
        <w:rPr>
          <w:rFonts w:ascii="Calibri" w:hAnsi="Calibri" w:cs="Calibri" w:eastAsia="Calibri" w:hint="default"/>
          <w:w w:val="100"/>
        </w:rPr>
        <w:t>7</w:t>
      </w:r>
      <w:r>
        <w:rPr>
          <w:rFonts w:ascii="Calibri" w:hAnsi="Calibri" w:cs="Calibri" w:eastAsia="Calibri" w:hint="default"/>
          <w:spacing w:val="13"/>
        </w:rPr>
        <w:t> </w:t>
      </w:r>
      <w:r>
        <w:rPr>
          <w:w w:val="100"/>
        </w:rPr>
        <w:t>月</w:t>
      </w:r>
      <w:r>
        <w:rPr>
          <w:spacing w:val="-48"/>
        </w:rPr>
        <w:t> </w:t>
      </w:r>
      <w:r>
        <w:rPr>
          <w:rFonts w:ascii="Calibri" w:hAnsi="Calibri" w:cs="Calibri" w:eastAsia="Calibri" w:hint="default"/>
          <w:w w:val="100"/>
        </w:rPr>
        <w:t>4</w:t>
      </w:r>
      <w:r>
        <w:rPr>
          <w:rFonts w:ascii="Calibri" w:hAnsi="Calibri" w:cs="Calibri" w:eastAsia="Calibri" w:hint="default"/>
          <w:spacing w:val="13"/>
        </w:rPr>
        <w:t> </w:t>
      </w:r>
      <w:r>
        <w:rPr>
          <w:spacing w:val="-3"/>
          <w:w w:val="100"/>
        </w:rPr>
        <w:t>日</w:t>
      </w:r>
      <w:r>
        <w:rPr>
          <w:w w:val="100"/>
        </w:rPr>
        <w:t>披</w:t>
      </w:r>
      <w:r>
        <w:rPr>
          <w:spacing w:val="-3"/>
          <w:w w:val="100"/>
        </w:rPr>
        <w:t>露</w:t>
      </w:r>
      <w:r>
        <w:rPr>
          <w:w w:val="100"/>
        </w:rPr>
        <w:t>了</w:t>
      </w:r>
    </w:p>
    <w:p>
      <w:pPr>
        <w:pStyle w:val="BodyText"/>
        <w:spacing w:line="240" w:lineRule="auto" w:before="106"/>
        <w:ind w:left="220" w:right="0"/>
        <w:jc w:val="both"/>
      </w:pPr>
      <w:r>
        <w:rPr>
          <w:w w:val="100"/>
        </w:rPr>
        <w:t>《财</w:t>
      </w:r>
      <w:r>
        <w:rPr>
          <w:spacing w:val="-3"/>
          <w:w w:val="100"/>
        </w:rPr>
        <w:t>通</w:t>
      </w:r>
      <w:r>
        <w:rPr>
          <w:w w:val="100"/>
        </w:rPr>
        <w:t>证</w:t>
      </w:r>
      <w:r>
        <w:rPr>
          <w:spacing w:val="-3"/>
          <w:w w:val="100"/>
        </w:rPr>
        <w:t>券</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非公</w:t>
      </w:r>
      <w:r>
        <w:rPr>
          <w:spacing w:val="-3"/>
          <w:w w:val="100"/>
        </w:rPr>
        <w:t>开发</w:t>
      </w:r>
      <w:r>
        <w:rPr>
          <w:w w:val="100"/>
        </w:rPr>
        <w:t>行</w:t>
      </w:r>
      <w:r>
        <w:rPr>
          <w:spacing w:val="-19"/>
        </w:rPr>
        <w:t> </w:t>
      </w:r>
      <w:r>
        <w:rPr>
          <w:rFonts w:ascii="Calibri" w:hAnsi="Calibri" w:cs="Calibri" w:eastAsia="Calibri" w:hint="default"/>
          <w:spacing w:val="-2"/>
          <w:w w:val="100"/>
        </w:rPr>
        <w:t>20</w:t>
      </w:r>
      <w:r>
        <w:rPr>
          <w:rFonts w:ascii="Calibri" w:hAnsi="Calibri" w:cs="Calibri" w:eastAsia="Calibri" w:hint="default"/>
          <w:w w:val="100"/>
        </w:rPr>
        <w:t>18</w:t>
      </w:r>
      <w:r>
        <w:rPr>
          <w:rFonts w:ascii="Calibri" w:hAnsi="Calibri" w:cs="Calibri" w:eastAsia="Calibri" w:hint="default"/>
        </w:rPr>
        <w:t> </w:t>
      </w:r>
      <w:r>
        <w:rPr>
          <w:rFonts w:ascii="Calibri" w:hAnsi="Calibri" w:cs="Calibri" w:eastAsia="Calibri" w:hint="default"/>
          <w:spacing w:val="-10"/>
        </w:rPr>
        <w:t> </w:t>
      </w:r>
      <w:r>
        <w:rPr>
          <w:w w:val="100"/>
        </w:rPr>
        <w:t>年</w:t>
      </w:r>
      <w:r>
        <w:rPr>
          <w:spacing w:val="-3"/>
          <w:w w:val="100"/>
        </w:rPr>
        <w:t>次级</w:t>
      </w:r>
      <w:r>
        <w:rPr>
          <w:w w:val="100"/>
        </w:rPr>
        <w:t>债券</w:t>
      </w:r>
      <w:r>
        <w:rPr>
          <w:spacing w:val="-21"/>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rPr>
        <w:t> </w:t>
      </w:r>
      <w:r>
        <w:rPr>
          <w:rFonts w:ascii="Calibri" w:hAnsi="Calibri" w:cs="Calibri" w:eastAsia="Calibri" w:hint="default"/>
          <w:spacing w:val="-10"/>
        </w:rPr>
        <w:t> </w:t>
      </w:r>
      <w:r>
        <w:rPr>
          <w:w w:val="100"/>
        </w:rPr>
        <w:t>年度</w:t>
      </w:r>
      <w:r>
        <w:rPr>
          <w:spacing w:val="-3"/>
          <w:w w:val="100"/>
        </w:rPr>
        <w:t>第</w:t>
      </w:r>
      <w:r>
        <w:rPr>
          <w:w w:val="100"/>
        </w:rPr>
        <w:t>二</w:t>
      </w:r>
      <w:r>
        <w:rPr>
          <w:spacing w:val="-3"/>
          <w:w w:val="100"/>
        </w:rPr>
        <w:t>次受</w:t>
      </w:r>
      <w:r>
        <w:rPr>
          <w:w w:val="100"/>
        </w:rPr>
        <w:t>托管</w:t>
      </w:r>
      <w:r>
        <w:rPr>
          <w:spacing w:val="-3"/>
          <w:w w:val="100"/>
        </w:rPr>
        <w:t>理</w:t>
      </w:r>
      <w:r>
        <w:rPr>
          <w:w w:val="100"/>
        </w:rPr>
        <w:t>事</w:t>
      </w:r>
      <w:r>
        <w:rPr>
          <w:spacing w:val="-3"/>
          <w:w w:val="100"/>
        </w:rPr>
        <w:t>务</w:t>
      </w:r>
      <w:r>
        <w:rPr>
          <w:w w:val="100"/>
        </w:rPr>
        <w:t>临</w:t>
      </w:r>
      <w:r>
        <w:rPr>
          <w:spacing w:val="-3"/>
          <w:w w:val="100"/>
        </w:rPr>
        <w:t>时</w:t>
      </w:r>
      <w:r>
        <w:rPr>
          <w:w w:val="100"/>
        </w:rPr>
        <w:t>报</w:t>
      </w:r>
      <w:r>
        <w:rPr>
          <w:spacing w:val="-3"/>
          <w:w w:val="100"/>
        </w:rPr>
        <w:t>告</w:t>
      </w:r>
      <w:r>
        <w:rPr>
          <w:spacing w:val="-106"/>
          <w:w w:val="100"/>
        </w:rPr>
        <w:t>》</w:t>
      </w:r>
      <w:r>
        <w:rPr>
          <w:w w:val="100"/>
        </w:rPr>
        <w:t>，</w:t>
      </w:r>
    </w:p>
    <w:p>
      <w:pPr>
        <w:pStyle w:val="BodyText"/>
        <w:spacing w:line="240" w:lineRule="auto" w:before="108"/>
        <w:ind w:left="220" w:right="0"/>
        <w:jc w:val="both"/>
      </w:pPr>
      <w:r>
        <w:rPr>
          <w:rFonts w:ascii="Calibri" w:hAnsi="Calibri" w:cs="Calibri" w:eastAsia="Calibri" w:hint="default"/>
        </w:rPr>
        <w:t>2018</w:t>
      </w:r>
      <w:r>
        <w:rPr>
          <w:rFonts w:ascii="Calibri" w:hAnsi="Calibri" w:cs="Calibri" w:eastAsia="Calibri" w:hint="default"/>
          <w:spacing w:val="10"/>
        </w:rPr>
        <w:t> </w:t>
      </w:r>
      <w:r>
        <w:rPr/>
        <w:t>年</w:t>
      </w:r>
      <w:r>
        <w:rPr>
          <w:spacing w:val="-52"/>
        </w:rPr>
        <w:t> </w:t>
      </w:r>
      <w:r>
        <w:rPr>
          <w:rFonts w:ascii="Calibri" w:hAnsi="Calibri" w:cs="Calibri" w:eastAsia="Calibri" w:hint="default"/>
        </w:rPr>
        <w:t>10</w:t>
      </w:r>
      <w:r>
        <w:rPr>
          <w:rFonts w:ascii="Calibri" w:hAnsi="Calibri" w:cs="Calibri" w:eastAsia="Calibri" w:hint="default"/>
          <w:spacing w:val="10"/>
        </w:rPr>
        <w:t> </w:t>
      </w:r>
      <w:r>
        <w:rPr/>
        <w:t>月</w:t>
      </w:r>
      <w:r>
        <w:rPr>
          <w:spacing w:val="-52"/>
        </w:rPr>
        <w:t> </w:t>
      </w:r>
      <w:r>
        <w:rPr>
          <w:rFonts w:ascii="Calibri" w:hAnsi="Calibri" w:cs="Calibri" w:eastAsia="Calibri" w:hint="default"/>
        </w:rPr>
        <w:t>17</w:t>
      </w:r>
      <w:r>
        <w:rPr>
          <w:rFonts w:ascii="Calibri" w:hAnsi="Calibri" w:cs="Calibri" w:eastAsia="Calibri" w:hint="default"/>
          <w:spacing w:val="10"/>
        </w:rPr>
        <w:t> </w:t>
      </w:r>
      <w:r>
        <w:rPr>
          <w:spacing w:val="-4"/>
        </w:rPr>
        <w:t>日披露了《财通证券股份有限公司非公开发行</w:t>
      </w:r>
      <w:r>
        <w:rPr>
          <w:spacing w:val="-48"/>
        </w:rPr>
        <w:t> </w:t>
      </w:r>
      <w:r>
        <w:rPr>
          <w:rFonts w:ascii="Calibri" w:hAnsi="Calibri" w:cs="Calibri" w:eastAsia="Calibri" w:hint="default"/>
        </w:rPr>
        <w:t>2018</w:t>
      </w:r>
      <w:r>
        <w:rPr>
          <w:rFonts w:ascii="Calibri" w:hAnsi="Calibri" w:cs="Calibri" w:eastAsia="Calibri" w:hint="default"/>
          <w:spacing w:val="7"/>
        </w:rPr>
        <w:t> </w:t>
      </w:r>
      <w:r>
        <w:rPr/>
        <w:t>年次级债券</w:t>
      </w:r>
      <w:r>
        <w:rPr>
          <w:spacing w:val="-48"/>
        </w:rPr>
        <w:t> </w:t>
      </w:r>
      <w:r>
        <w:rPr>
          <w:rFonts w:ascii="Calibri" w:hAnsi="Calibri" w:cs="Calibri" w:eastAsia="Calibri" w:hint="default"/>
        </w:rPr>
        <w:t>2018</w:t>
      </w:r>
      <w:r>
        <w:rPr>
          <w:rFonts w:ascii="Calibri" w:hAnsi="Calibri" w:cs="Calibri" w:eastAsia="Calibri" w:hint="default"/>
          <w:spacing w:val="7"/>
        </w:rPr>
        <w:t> </w:t>
      </w:r>
      <w:r>
        <w:rPr/>
        <w:t>年度第三次受</w:t>
      </w:r>
    </w:p>
    <w:p>
      <w:pPr>
        <w:pStyle w:val="BodyText"/>
        <w:spacing w:line="324" w:lineRule="auto" w:before="106"/>
        <w:ind w:left="220" w:right="307"/>
        <w:jc w:val="both"/>
      </w:pPr>
      <w:r>
        <w:rPr/>
        <w:t>托管理事务临时报告》和《财通证券股份有限公司</w:t>
      </w:r>
      <w:r>
        <w:rPr>
          <w:spacing w:val="-51"/>
        </w:rPr>
        <w:t> </w:t>
      </w:r>
      <w:r>
        <w:rPr>
          <w:rFonts w:ascii="Calibri" w:hAnsi="Calibri" w:cs="Calibri" w:eastAsia="Calibri" w:hint="default"/>
        </w:rPr>
        <w:t>2018</w:t>
      </w:r>
      <w:r>
        <w:rPr>
          <w:rFonts w:ascii="Calibri" w:hAnsi="Calibri" w:cs="Calibri" w:eastAsia="Calibri" w:hint="default"/>
          <w:spacing w:val="11"/>
        </w:rPr>
        <w:t> </w:t>
      </w:r>
      <w:r>
        <w:rPr/>
        <w:t>年第三期次级债券</w:t>
      </w:r>
      <w:r>
        <w:rPr>
          <w:spacing w:val="-49"/>
        </w:rPr>
        <w:t> </w:t>
      </w:r>
      <w:r>
        <w:rPr>
          <w:rFonts w:ascii="Calibri" w:hAnsi="Calibri" w:cs="Calibri" w:eastAsia="Calibri" w:hint="default"/>
        </w:rPr>
        <w:t>2018</w:t>
      </w:r>
      <w:r>
        <w:rPr>
          <w:rFonts w:ascii="Calibri" w:hAnsi="Calibri" w:cs="Calibri" w:eastAsia="Calibri" w:hint="default"/>
          <w:spacing w:val="8"/>
        </w:rPr>
        <w:t> </w:t>
      </w:r>
      <w:r>
        <w:rPr/>
        <w:t>年度第一次受托管</w:t>
      </w:r>
      <w:r>
        <w:rPr>
          <w:w w:val="100"/>
        </w:rPr>
        <w:t> </w:t>
      </w:r>
      <w:r>
        <w:rPr>
          <w:spacing w:val="-13"/>
          <w:w w:val="100"/>
        </w:rPr>
        <w:t>理事务临时报告》。</w:t>
      </w:r>
    </w:p>
    <w:p>
      <w:pPr>
        <w:pStyle w:val="BodyText"/>
        <w:spacing w:line="355" w:lineRule="auto" w:before="59"/>
        <w:ind w:left="220" w:right="309" w:firstLine="420"/>
        <w:jc w:val="left"/>
      </w:pPr>
      <w:r>
        <w:rPr>
          <w:spacing w:val="-1"/>
          <w:w w:val="100"/>
        </w:rPr>
        <w:t>因“</w:t>
      </w:r>
      <w:r>
        <w:rPr>
          <w:rFonts w:ascii="宋体" w:hAnsi="宋体" w:cs="宋体" w:eastAsia="宋体" w:hint="default"/>
          <w:spacing w:val="-1"/>
          <w:w w:val="100"/>
        </w:rPr>
        <w:t>14</w:t>
      </w:r>
      <w:r>
        <w:rPr>
          <w:rFonts w:ascii="宋体" w:hAnsi="宋体" w:cs="宋体" w:eastAsia="宋体" w:hint="default"/>
          <w:spacing w:val="-47"/>
          <w:w w:val="100"/>
        </w:rPr>
        <w:t> </w:t>
      </w:r>
      <w:r>
        <w:rPr>
          <w:spacing w:val="-2"/>
          <w:w w:val="100"/>
        </w:rPr>
        <w:t>财通</w:t>
      </w:r>
      <w:r>
        <w:rPr>
          <w:spacing w:val="-47"/>
          <w:w w:val="100"/>
        </w:rPr>
        <w:t> </w:t>
      </w:r>
      <w:r>
        <w:rPr>
          <w:rFonts w:ascii="宋体" w:hAnsi="宋体" w:cs="宋体" w:eastAsia="宋体" w:hint="default"/>
          <w:spacing w:val="-31"/>
          <w:w w:val="100"/>
        </w:rPr>
        <w:t>01</w:t>
      </w:r>
      <w:r>
        <w:rPr>
          <w:spacing w:val="-31"/>
          <w:w w:val="100"/>
        </w:rPr>
        <w:t>”、“</w:t>
      </w:r>
      <w:r>
        <w:rPr>
          <w:rFonts w:ascii="宋体" w:hAnsi="宋体" w:cs="宋体" w:eastAsia="宋体" w:hint="default"/>
          <w:spacing w:val="-31"/>
          <w:w w:val="100"/>
        </w:rPr>
        <w:t>14</w:t>
      </w:r>
      <w:r>
        <w:rPr>
          <w:rFonts w:ascii="宋体" w:hAnsi="宋体" w:cs="宋体" w:eastAsia="宋体" w:hint="default"/>
          <w:spacing w:val="-46"/>
          <w:w w:val="100"/>
        </w:rPr>
        <w:t> </w:t>
      </w:r>
      <w:r>
        <w:rPr>
          <w:spacing w:val="-2"/>
          <w:w w:val="100"/>
        </w:rPr>
        <w:t>财通</w:t>
      </w:r>
      <w:r>
        <w:rPr>
          <w:spacing w:val="-47"/>
          <w:w w:val="100"/>
        </w:rPr>
        <w:t> </w:t>
      </w:r>
      <w:r>
        <w:rPr>
          <w:rFonts w:ascii="宋体" w:hAnsi="宋体" w:cs="宋体" w:eastAsia="宋体" w:hint="default"/>
          <w:spacing w:val="-31"/>
          <w:w w:val="100"/>
        </w:rPr>
        <w:t>02</w:t>
      </w:r>
      <w:r>
        <w:rPr>
          <w:spacing w:val="-31"/>
          <w:w w:val="100"/>
        </w:rPr>
        <w:t>”、“</w:t>
      </w:r>
      <w:r>
        <w:rPr>
          <w:rFonts w:ascii="宋体" w:hAnsi="宋体" w:cs="宋体" w:eastAsia="宋体" w:hint="default"/>
          <w:spacing w:val="-31"/>
          <w:w w:val="100"/>
        </w:rPr>
        <w:t>15</w:t>
      </w:r>
      <w:r>
        <w:rPr>
          <w:rFonts w:ascii="宋体" w:hAnsi="宋体" w:cs="宋体" w:eastAsia="宋体" w:hint="default"/>
          <w:spacing w:val="-47"/>
          <w:w w:val="100"/>
        </w:rPr>
        <w:t> </w:t>
      </w:r>
      <w:r>
        <w:rPr>
          <w:spacing w:val="-2"/>
          <w:w w:val="100"/>
        </w:rPr>
        <w:t>财通</w:t>
      </w:r>
      <w:r>
        <w:rPr>
          <w:spacing w:val="-47"/>
          <w:w w:val="100"/>
        </w:rPr>
        <w:t> </w:t>
      </w:r>
      <w:r>
        <w:rPr>
          <w:rFonts w:ascii="宋体" w:hAnsi="宋体" w:cs="宋体" w:eastAsia="宋体" w:hint="default"/>
          <w:spacing w:val="-1"/>
          <w:w w:val="100"/>
        </w:rPr>
        <w:t>01</w:t>
      </w:r>
      <w:r>
        <w:rPr>
          <w:spacing w:val="-1"/>
          <w:w w:val="100"/>
        </w:rPr>
        <w:t>”和“</w:t>
      </w:r>
      <w:r>
        <w:rPr>
          <w:rFonts w:ascii="宋体" w:hAnsi="宋体" w:cs="宋体" w:eastAsia="宋体" w:hint="default"/>
          <w:spacing w:val="-1"/>
          <w:w w:val="100"/>
        </w:rPr>
        <w:t>15</w:t>
      </w:r>
      <w:r>
        <w:rPr>
          <w:rFonts w:ascii="宋体" w:hAnsi="宋体" w:cs="宋体" w:eastAsia="宋体" w:hint="default"/>
          <w:spacing w:val="-50"/>
          <w:w w:val="100"/>
        </w:rPr>
        <w:t> </w:t>
      </w:r>
      <w:r>
        <w:rPr>
          <w:w w:val="100"/>
        </w:rPr>
        <w:t>财通</w:t>
      </w:r>
      <w:r>
        <w:rPr>
          <w:spacing w:val="-47"/>
          <w:w w:val="100"/>
        </w:rPr>
        <w:t> </w:t>
      </w:r>
      <w:r>
        <w:rPr>
          <w:rFonts w:ascii="宋体" w:hAnsi="宋体" w:cs="宋体" w:eastAsia="宋体" w:hint="default"/>
          <w:spacing w:val="-2"/>
          <w:w w:val="100"/>
        </w:rPr>
        <w:t>02</w:t>
      </w:r>
      <w:r>
        <w:rPr>
          <w:spacing w:val="-2"/>
          <w:w w:val="100"/>
        </w:rPr>
        <w:t>”四只债券发行时，对受托管理</w:t>
      </w:r>
      <w:r>
        <w:rPr>
          <w:w w:val="100"/>
        </w:rPr>
        <w:t> </w:t>
      </w:r>
      <w:r>
        <w:rPr/>
        <w:t>人尚未作出要求，因此上述债券未聘请受托管理人，公司已按照相关要求做好信息披露工作。</w:t>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340" w:right="960"/>
        </w:sectPr>
      </w:pPr>
    </w:p>
    <w:p>
      <w:pPr>
        <w:pStyle w:val="Heading5"/>
        <w:spacing w:line="240" w:lineRule="auto" w:before="36"/>
        <w:ind w:left="220" w:right="-15"/>
        <w:jc w:val="left"/>
        <w:rPr>
          <w:b w:val="0"/>
          <w:bCs w:val="0"/>
        </w:rPr>
      </w:pPr>
      <w:r>
        <w:rPr/>
        <w:t>八、截至报告期末公司近</w:t>
      </w:r>
      <w:r>
        <w:rPr>
          <w:spacing w:val="-52"/>
        </w:rPr>
        <w:t> </w:t>
      </w:r>
      <w:r>
        <w:rPr>
          <w:rFonts w:ascii="Arial" w:hAnsi="Arial" w:cs="Arial" w:eastAsia="Arial" w:hint="default"/>
        </w:rPr>
        <w:t>2</w:t>
      </w:r>
      <w:r>
        <w:rPr>
          <w:rFonts w:ascii="Arial" w:hAnsi="Arial" w:cs="Arial" w:eastAsia="Arial" w:hint="default"/>
          <w:spacing w:val="-7"/>
        </w:rPr>
        <w:t> </w:t>
      </w:r>
      <w:r>
        <w:rPr/>
        <w:t>年的会计数据和财务指标</w:t>
      </w:r>
      <w:r>
        <w:rPr>
          <w:b w:val="0"/>
          <w:bCs w:val="0"/>
        </w:rPr>
      </w:r>
    </w:p>
    <w:p>
      <w:pPr>
        <w:pStyle w:val="BodyText"/>
        <w:spacing w:line="240" w:lineRule="auto" w:before="44"/>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6"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340" w:right="960"/>
          <w:cols w:num="2" w:equalWidth="0">
            <w:col w:w="5086" w:space="1884"/>
            <w:col w:w="264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34"/>
        <w:gridCol w:w="1844"/>
        <w:gridCol w:w="1702"/>
        <w:gridCol w:w="1841"/>
        <w:gridCol w:w="1666"/>
      </w:tblGrid>
      <w:tr>
        <w:trPr>
          <w:trHeight w:val="47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主要指标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本期比上年同期增减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7"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24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2,145,111,220.97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2,752,502,192.46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-22.07</w:t>
            </w:r>
            <w:r>
              <w:rPr>
                <w:rFonts w:ascii="宋体"/>
                <w:sz w:val="18"/>
              </w:rPr>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239.66%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201.77%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37.89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2" w:right="0" w:hanging="360"/>
              <w:jc w:val="left"/>
              <w:rPr>
                <w:rFonts w:ascii="宋体" w:hAnsi="宋体" w:cs="宋体" w:eastAsia="宋体" w:hint="default"/>
                <w:sz w:val="18"/>
                <w:szCs w:val="18"/>
              </w:rPr>
            </w:pPr>
            <w:r>
              <w:rPr>
                <w:rFonts w:ascii="宋体" w:hAnsi="宋体" w:cs="宋体" w:eastAsia="宋体" w:hint="default"/>
                <w:sz w:val="18"/>
                <w:szCs w:val="18"/>
              </w:rPr>
              <w:t>主要系流动性负债</w:t>
            </w:r>
          </w:p>
          <w:p>
            <w:pPr>
              <w:pStyle w:val="TableParagraph"/>
              <w:spacing w:line="234" w:lineRule="exact"/>
              <w:ind w:left="472" w:right="0"/>
              <w:jc w:val="left"/>
              <w:rPr>
                <w:rFonts w:ascii="宋体" w:hAnsi="宋体" w:cs="宋体" w:eastAsia="宋体" w:hint="default"/>
                <w:sz w:val="18"/>
                <w:szCs w:val="18"/>
              </w:rPr>
            </w:pPr>
            <w:r>
              <w:rPr>
                <w:rFonts w:ascii="宋体" w:hAnsi="宋体" w:cs="宋体" w:eastAsia="宋体" w:hint="default"/>
                <w:sz w:val="18"/>
                <w:szCs w:val="18"/>
              </w:rPr>
              <w:t>下降较多所致</w:t>
            </w:r>
          </w:p>
        </w:tc>
      </w:tr>
      <w:tr>
        <w:trPr>
          <w:trHeight w:val="47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239.66%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201.77%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37.89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2" w:right="0" w:hanging="360"/>
              <w:jc w:val="left"/>
              <w:rPr>
                <w:rFonts w:ascii="宋体" w:hAnsi="宋体" w:cs="宋体" w:eastAsia="宋体" w:hint="default"/>
                <w:sz w:val="18"/>
                <w:szCs w:val="18"/>
              </w:rPr>
            </w:pPr>
            <w:r>
              <w:rPr>
                <w:rFonts w:ascii="宋体" w:hAnsi="宋体" w:cs="宋体" w:eastAsia="宋体" w:hint="default"/>
                <w:sz w:val="18"/>
                <w:szCs w:val="18"/>
              </w:rPr>
              <w:t>主要系流动性负债</w:t>
            </w:r>
          </w:p>
          <w:p>
            <w:pPr>
              <w:pStyle w:val="TableParagraph"/>
              <w:spacing w:line="234" w:lineRule="exact"/>
              <w:ind w:left="472" w:right="0"/>
              <w:jc w:val="left"/>
              <w:rPr>
                <w:rFonts w:ascii="宋体" w:hAnsi="宋体" w:cs="宋体" w:eastAsia="宋体" w:hint="default"/>
                <w:sz w:val="18"/>
                <w:szCs w:val="18"/>
              </w:rPr>
            </w:pPr>
            <w:r>
              <w:rPr>
                <w:rFonts w:ascii="宋体" w:hAnsi="宋体" w:cs="宋体" w:eastAsia="宋体" w:hint="default"/>
                <w:sz w:val="18"/>
                <w:szCs w:val="18"/>
              </w:rPr>
              <w:t>下降较多所致</w:t>
            </w:r>
          </w:p>
        </w:tc>
      </w:tr>
      <w:tr>
        <w:trPr>
          <w:trHeight w:val="24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宋体" w:hAnsi="宋体" w:cs="宋体" w:eastAsia="宋体"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59.33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3.17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EBITDA</w:t>
            </w:r>
            <w:r>
              <w:rPr>
                <w:rFonts w:ascii="宋体" w:hAnsi="宋体" w:cs="宋体" w:eastAsia="宋体" w:hint="default"/>
                <w:spacing w:val="-44"/>
                <w:sz w:val="18"/>
                <w:szCs w:val="18"/>
              </w:rPr>
              <w:t> </w:t>
            </w:r>
            <w:r>
              <w:rPr>
                <w:rFonts w:ascii="宋体" w:hAnsi="宋体" w:cs="宋体" w:eastAsia="宋体" w:hint="default"/>
                <w:sz w:val="18"/>
                <w:szCs w:val="18"/>
              </w:rPr>
              <w:t>全部债务比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3.39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-44.05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主要系本年利润总</w:t>
            </w: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额下降所致</w:t>
            </w:r>
          </w:p>
        </w:tc>
      </w:tr>
      <w:tr>
        <w:trPr>
          <w:trHeight w:val="47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主要系本年经营活</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动现金流为正所致</w:t>
            </w:r>
          </w:p>
        </w:tc>
      </w:tr>
      <w:tr>
        <w:trPr>
          <w:trHeight w:val="47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EBITDA</w:t>
            </w:r>
            <w:r>
              <w:rPr>
                <w:rFonts w:ascii="宋体" w:hAnsi="宋体" w:cs="宋体" w:eastAsia="宋体" w:hint="default"/>
                <w:spacing w:val="-44"/>
                <w:sz w:val="18"/>
                <w:szCs w:val="18"/>
              </w:rPr>
              <w:t> </w:t>
            </w:r>
            <w:r>
              <w:rPr>
                <w:rFonts w:ascii="宋体" w:hAnsi="宋体" w:cs="宋体" w:eastAsia="宋体" w:hint="default"/>
                <w:sz w:val="18"/>
                <w:szCs w:val="18"/>
              </w:rPr>
              <w:t>利息保障倍数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-43.13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主要系本年利润总</w:t>
            </w:r>
          </w:p>
          <w:p>
            <w:pPr>
              <w:pStyle w:val="TableParagraph"/>
              <w:spacing w:line="234" w:lineRule="exact"/>
              <w:ind w:left="652" w:right="0"/>
              <w:jc w:val="left"/>
              <w:rPr>
                <w:rFonts w:ascii="宋体" w:hAnsi="宋体" w:cs="宋体" w:eastAsia="宋体" w:hint="default"/>
                <w:sz w:val="18"/>
                <w:szCs w:val="18"/>
              </w:rPr>
            </w:pPr>
            <w:r>
              <w:rPr>
                <w:rFonts w:ascii="宋体" w:hAnsi="宋体" w:cs="宋体" w:eastAsia="宋体" w:hint="default"/>
                <w:sz w:val="18"/>
                <w:szCs w:val="18"/>
              </w:rPr>
              <w:t>额下降所致</w:t>
            </w:r>
          </w:p>
        </w:tc>
      </w:tr>
      <w:tr>
        <w:trPr>
          <w:trHeight w:val="24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r>
              <w:rPr>
                <w:rFonts w:ascii="宋体" w:hAnsi="宋体" w:cs="宋体" w:eastAsia="宋体"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r>
              <w:rPr>
                <w:rFonts w:ascii="宋体" w:hAnsi="宋体" w:cs="宋体" w:eastAsia="宋体"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pStyle w:val="Heading5"/>
        <w:spacing w:line="240" w:lineRule="auto" w:before="36"/>
        <w:ind w:left="220" w:right="205"/>
        <w:jc w:val="left"/>
        <w:rPr>
          <w:b w:val="0"/>
          <w:bCs w:val="0"/>
        </w:rPr>
      </w:pPr>
      <w:r>
        <w:rPr/>
        <w:t>九、公司其他债券和债务融资工具的付息兑付情况</w:t>
      </w:r>
      <w:r>
        <w:rPr>
          <w:b w:val="0"/>
          <w:bCs w:val="0"/>
        </w:rPr>
      </w:r>
    </w:p>
    <w:p>
      <w:pPr>
        <w:pStyle w:val="BodyText"/>
        <w:spacing w:line="274" w:lineRule="exact" w:before="56"/>
        <w:ind w:left="220" w:right="205"/>
        <w:jc w:val="left"/>
      </w:pPr>
      <w:r>
        <w:rPr/>
        <w:t>√适用 □不适用</w:t>
      </w:r>
    </w:p>
    <w:p>
      <w:pPr>
        <w:pStyle w:val="BodyText"/>
        <w:spacing w:line="355" w:lineRule="auto"/>
        <w:ind w:left="220" w:right="205" w:firstLine="479"/>
        <w:jc w:val="left"/>
      </w:pPr>
      <w:r>
        <w:rPr>
          <w:rFonts w:ascii="宋体" w:hAnsi="宋体" w:cs="宋体" w:eastAsia="宋体" w:hint="default"/>
        </w:rPr>
        <w:t>2018</w:t>
      </w:r>
      <w:r>
        <w:rPr>
          <w:rFonts w:ascii="宋体" w:hAnsi="宋体" w:cs="宋体" w:eastAsia="宋体" w:hint="default"/>
          <w:spacing w:val="-4"/>
        </w:rPr>
        <w:t> </w:t>
      </w:r>
      <w:r>
        <w:rPr>
          <w:spacing w:val="-4"/>
        </w:rPr>
        <w:t>年公司的其他债务融资工具主要包括：短期借款、同业拆借、收益凭证、短期融资券、两</w:t>
      </w:r>
      <w:r>
        <w:rPr>
          <w:w w:val="100"/>
        </w:rPr>
        <w:t> </w:t>
      </w:r>
      <w:r>
        <w:rPr>
          <w:spacing w:val="-2"/>
        </w:rPr>
        <w:t>融收益权转让融资等，具体内容详见“本报告第十节财务报告七、</w:t>
      </w:r>
      <w:r>
        <w:rPr>
          <w:rFonts w:ascii="宋体" w:hAnsi="宋体" w:cs="宋体" w:eastAsia="宋体" w:hint="default"/>
          <w:spacing w:val="-2"/>
        </w:rPr>
        <w:t>24</w:t>
      </w:r>
      <w:r>
        <w:rPr>
          <w:spacing w:val="-2"/>
        </w:rPr>
        <w:t>、短期借款，</w:t>
      </w:r>
      <w:r>
        <w:rPr>
          <w:rFonts w:ascii="宋体" w:hAnsi="宋体" w:cs="宋体" w:eastAsia="宋体" w:hint="default"/>
          <w:spacing w:val="-2"/>
        </w:rPr>
        <w:t>25</w:t>
      </w:r>
      <w:r>
        <w:rPr>
          <w:spacing w:val="-2"/>
        </w:rPr>
        <w:t>、应付短期融</w:t>
      </w:r>
    </w:p>
    <w:p>
      <w:pPr>
        <w:spacing w:after="0" w:line="355" w:lineRule="auto"/>
        <w:jc w:val="left"/>
        <w:sectPr>
          <w:type w:val="continuous"/>
          <w:pgSz w:w="11910" w:h="16840"/>
          <w:pgMar w:top="1060" w:bottom="1380" w:left="1340" w:right="960"/>
        </w:sectPr>
      </w:pPr>
    </w:p>
    <w:p>
      <w:pPr>
        <w:spacing w:line="240" w:lineRule="auto" w:before="4"/>
        <w:rPr>
          <w:rFonts w:ascii="宋体" w:hAnsi="宋体" w:cs="宋体" w:eastAsia="宋体" w:hint="default"/>
          <w:sz w:val="25"/>
          <w:szCs w:val="25"/>
        </w:rPr>
      </w:pPr>
    </w:p>
    <w:p>
      <w:pPr>
        <w:pStyle w:val="BodyText"/>
        <w:spacing w:line="357" w:lineRule="auto" w:before="36"/>
        <w:ind w:left="140" w:right="0"/>
        <w:jc w:val="left"/>
      </w:pPr>
      <w:r>
        <w:rPr>
          <w:spacing w:val="-2"/>
        </w:rPr>
        <w:t>资款，</w:t>
      </w:r>
      <w:r>
        <w:rPr>
          <w:rFonts w:ascii="宋体" w:hAnsi="宋体" w:cs="宋体" w:eastAsia="宋体" w:hint="default"/>
          <w:spacing w:val="-2"/>
        </w:rPr>
        <w:t>26</w:t>
      </w:r>
      <w:r>
        <w:rPr>
          <w:spacing w:val="-2"/>
        </w:rPr>
        <w:t>、拆入资金，</w:t>
      </w:r>
      <w:r>
        <w:rPr>
          <w:rFonts w:ascii="宋体" w:hAnsi="宋体" w:cs="宋体" w:eastAsia="宋体" w:hint="default"/>
          <w:spacing w:val="-2"/>
        </w:rPr>
        <w:t>28</w:t>
      </w:r>
      <w:r>
        <w:rPr>
          <w:spacing w:val="-2"/>
        </w:rPr>
        <w:t>、卖出回购金融资产款，</w:t>
      </w:r>
      <w:r>
        <w:rPr>
          <w:rFonts w:ascii="宋体" w:hAnsi="宋体" w:cs="宋体" w:eastAsia="宋体" w:hint="default"/>
          <w:spacing w:val="-2"/>
        </w:rPr>
        <w:t>38</w:t>
      </w:r>
      <w:r>
        <w:rPr>
          <w:spacing w:val="-2"/>
        </w:rPr>
        <w:t>、应付债券”。各项融资的本金及利息均已按</w:t>
      </w:r>
      <w:r>
        <w:rPr>
          <w:spacing w:val="-22"/>
        </w:rPr>
        <w:t> </w:t>
      </w:r>
      <w:r>
        <w:rPr>
          <w:spacing w:val="-22"/>
        </w:rPr>
      </w:r>
      <w:r>
        <w:rPr/>
        <w:t>时兑付。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5"/>
        <w:spacing w:line="240" w:lineRule="auto"/>
        <w:ind w:left="140" w:right="0"/>
        <w:jc w:val="left"/>
        <w:rPr>
          <w:b w:val="0"/>
          <w:bCs w:val="0"/>
        </w:rPr>
      </w:pPr>
      <w:r>
        <w:rPr/>
        <w:t>十、公司报告期内的银行授信情况</w:t>
      </w:r>
      <w:r>
        <w:rPr>
          <w:b w:val="0"/>
          <w:bCs w:val="0"/>
        </w:rPr>
      </w:r>
    </w:p>
    <w:p>
      <w:pPr>
        <w:pStyle w:val="BodyText"/>
        <w:spacing w:line="273" w:lineRule="exact" w:before="58"/>
        <w:ind w:left="140" w:right="0"/>
        <w:jc w:val="left"/>
      </w:pPr>
      <w:r>
        <w:rPr/>
        <w:t>√适用 □不适用</w:t>
      </w:r>
    </w:p>
    <w:p>
      <w:pPr>
        <w:pStyle w:val="BodyText"/>
        <w:spacing w:line="300" w:lineRule="exact"/>
        <w:ind w:left="560" w:right="0"/>
        <w:jc w:val="left"/>
        <w:rPr>
          <w:rFonts w:ascii="Calibri" w:hAnsi="Calibri" w:cs="Calibri" w:eastAsia="Calibri" w:hint="default"/>
        </w:rPr>
      </w:pPr>
      <w:r>
        <w:rPr/>
        <w:t>截至</w:t>
      </w:r>
      <w:r>
        <w:rPr>
          <w:spacing w:val="-46"/>
        </w:rPr>
        <w:t> </w:t>
      </w:r>
      <w:r>
        <w:rPr>
          <w:rFonts w:ascii="Calibri" w:hAnsi="Calibri" w:cs="Calibri" w:eastAsia="Calibri" w:hint="default"/>
        </w:rPr>
        <w:t>2018</w:t>
      </w:r>
      <w:r>
        <w:rPr>
          <w:rFonts w:ascii="Calibri" w:hAnsi="Calibri" w:cs="Calibri" w:eastAsia="Calibri" w:hint="default"/>
          <w:spacing w:val="13"/>
        </w:rPr>
        <w:t> </w:t>
      </w:r>
      <w:r>
        <w:rPr/>
        <w:t>年</w:t>
      </w:r>
      <w:r>
        <w:rPr>
          <w:spacing w:val="-48"/>
        </w:rPr>
        <w:t> </w:t>
      </w:r>
      <w:r>
        <w:rPr>
          <w:rFonts w:ascii="Calibri" w:hAnsi="Calibri" w:cs="Calibri" w:eastAsia="Calibri" w:hint="default"/>
        </w:rPr>
        <w:t>12</w:t>
      </w:r>
      <w:r>
        <w:rPr>
          <w:rFonts w:ascii="Calibri" w:hAnsi="Calibri" w:cs="Calibri" w:eastAsia="Calibri" w:hint="default"/>
          <w:spacing w:val="13"/>
        </w:rPr>
        <w:t> </w:t>
      </w:r>
      <w:r>
        <w:rPr/>
        <w:t>月</w:t>
      </w:r>
      <w:r>
        <w:rPr>
          <w:spacing w:val="-48"/>
        </w:rPr>
        <w:t> </w:t>
      </w:r>
      <w:r>
        <w:rPr>
          <w:rFonts w:ascii="Calibri" w:hAnsi="Calibri" w:cs="Calibri" w:eastAsia="Calibri" w:hint="default"/>
        </w:rPr>
        <w:t>31</w:t>
      </w:r>
      <w:r>
        <w:rPr>
          <w:rFonts w:ascii="Calibri" w:hAnsi="Calibri" w:cs="Calibri" w:eastAsia="Calibri" w:hint="default"/>
          <w:spacing w:val="11"/>
        </w:rPr>
        <w:t> </w:t>
      </w:r>
      <w:r>
        <w:rPr/>
        <w:t>日，本公司主要合作银行的授信额度合计约</w:t>
      </w:r>
      <w:r>
        <w:rPr>
          <w:spacing w:val="-48"/>
        </w:rPr>
        <w:t> </w:t>
      </w:r>
      <w:r>
        <w:rPr>
          <w:rFonts w:ascii="Calibri" w:hAnsi="Calibri" w:cs="Calibri" w:eastAsia="Calibri" w:hint="default"/>
        </w:rPr>
        <w:t>590</w:t>
      </w:r>
      <w:r>
        <w:rPr>
          <w:rFonts w:ascii="Calibri" w:hAnsi="Calibri" w:cs="Calibri" w:eastAsia="Calibri" w:hint="default"/>
          <w:spacing w:val="13"/>
        </w:rPr>
        <w:t> </w:t>
      </w:r>
      <w:r>
        <w:rPr/>
        <w:t>亿元，已使用额度约</w:t>
      </w:r>
      <w:r>
        <w:rPr>
          <w:spacing w:val="-48"/>
        </w:rPr>
        <w:t> </w:t>
      </w:r>
      <w:r>
        <w:rPr>
          <w:rFonts w:ascii="Calibri" w:hAnsi="Calibri" w:cs="Calibri" w:eastAsia="Calibri" w:hint="default"/>
        </w:rPr>
        <w:t>90</w:t>
      </w:r>
    </w:p>
    <w:p>
      <w:pPr>
        <w:pStyle w:val="BodyText"/>
        <w:spacing w:line="324" w:lineRule="auto" w:before="108"/>
        <w:ind w:left="140" w:right="105"/>
        <w:jc w:val="left"/>
      </w:pPr>
      <w:r>
        <w:rPr/>
        <w:t>亿元，剩余额度约 </w:t>
      </w:r>
      <w:r>
        <w:rPr>
          <w:rFonts w:ascii="Calibri" w:hAnsi="Calibri" w:cs="Calibri" w:eastAsia="Calibri" w:hint="default"/>
        </w:rPr>
        <w:t>500</w:t>
      </w:r>
      <w:r>
        <w:rPr>
          <w:rFonts w:ascii="Calibri" w:hAnsi="Calibri" w:cs="Calibri" w:eastAsia="Calibri" w:hint="default"/>
          <w:spacing w:val="-21"/>
        </w:rPr>
        <w:t> </w:t>
      </w:r>
      <w:r>
        <w:rPr/>
        <w:t>亿元。报告期内，公司与各类银行均保持着良好的合作关系，具备较强的短</w:t>
      </w:r>
      <w:r>
        <w:rPr>
          <w:w w:val="100"/>
        </w:rPr>
        <w:t> </w:t>
      </w:r>
      <w:r>
        <w:rPr/>
        <w:t>期和中长期融资能力。</w:t>
      </w:r>
    </w:p>
    <w:p>
      <w:pPr>
        <w:spacing w:line="240" w:lineRule="auto" w:before="0"/>
        <w:rPr>
          <w:rFonts w:ascii="宋体" w:hAnsi="宋体" w:cs="宋体" w:eastAsia="宋体" w:hint="default"/>
          <w:sz w:val="20"/>
          <w:szCs w:val="20"/>
        </w:rPr>
      </w:pPr>
    </w:p>
    <w:p>
      <w:pPr>
        <w:pStyle w:val="Heading5"/>
        <w:tabs>
          <w:tab w:pos="980" w:val="left" w:leader="none"/>
        </w:tabs>
        <w:spacing w:line="240" w:lineRule="auto" w:before="170"/>
        <w:ind w:left="140" w:right="0"/>
        <w:jc w:val="left"/>
        <w:rPr>
          <w:b w:val="0"/>
          <w:bCs w:val="0"/>
        </w:rPr>
      </w:pPr>
      <w:r>
        <w:rPr/>
        <w:t>十一、</w:t>
        <w:tab/>
        <w:t>公司报告期内执行公司债券募集说明书相关约定或承诺的情况</w:t>
      </w:r>
      <w:r>
        <w:rPr>
          <w:b w:val="0"/>
          <w:bCs w:val="0"/>
        </w:rPr>
      </w:r>
    </w:p>
    <w:p>
      <w:pPr>
        <w:pStyle w:val="BodyText"/>
        <w:spacing w:line="240" w:lineRule="auto" w:before="56"/>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980" w:val="left" w:leader="none"/>
        </w:tabs>
        <w:spacing w:line="240" w:lineRule="auto" w:before="157"/>
        <w:ind w:left="140" w:right="0"/>
        <w:jc w:val="left"/>
        <w:rPr>
          <w:b w:val="0"/>
          <w:bCs w:val="0"/>
        </w:rPr>
      </w:pPr>
      <w:r>
        <w:rPr/>
        <w:t>十二、</w:t>
        <w:tab/>
        <w:t>公司发生的重大事项及对公司经营情况和偿债能力的影响</w:t>
      </w:r>
      <w:r>
        <w:rPr>
          <w:b w:val="0"/>
          <w:bCs w:val="0"/>
        </w:rPr>
      </w:r>
    </w:p>
    <w:p>
      <w:pPr>
        <w:pStyle w:val="BodyText"/>
        <w:spacing w:line="240" w:lineRule="auto" w:before="56"/>
        <w:ind w:left="140" w:right="2225"/>
        <w:jc w:val="left"/>
      </w:pPr>
      <w:r>
        <w:rPr/>
        <w:t>√适用</w:t>
      </w:r>
      <w:r>
        <w:rPr>
          <w:spacing w:val="-2"/>
        </w:rPr>
        <w:t> </w:t>
      </w:r>
      <w:r>
        <w:rPr/>
        <w:t>□不适用</w:t>
      </w:r>
      <w:r>
        <w:rPr>
          <w:spacing w:val="-103"/>
        </w:rPr>
        <w:t> </w:t>
      </w:r>
      <w:r>
        <w:rPr>
          <w:spacing w:val="-103"/>
        </w:rPr>
      </w:r>
      <w:r>
        <w:rPr>
          <w:spacing w:val="-2"/>
        </w:rPr>
        <w:t>目前公司经营情况良好，未发生影响偿债能力的重大事项。</w:t>
      </w:r>
    </w:p>
    <w:p>
      <w:pPr>
        <w:spacing w:after="0" w:line="240" w:lineRule="auto"/>
        <w:jc w:val="left"/>
        <w:sectPr>
          <w:footerReference w:type="default" r:id="rId42"/>
          <w:pgSz w:w="11910" w:h="16840"/>
          <w:pgMar w:footer="1195" w:header="880" w:top="1120" w:bottom="1380" w:left="1420" w:right="1160"/>
        </w:sectPr>
      </w:pP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spacing w:line="240" w:lineRule="auto" w:before="14"/>
        <w:ind w:left="3343" w:right="3418"/>
        <w:jc w:val="center"/>
        <w:rPr>
          <w:b w:val="0"/>
          <w:bCs w:val="0"/>
        </w:rPr>
      </w:pPr>
      <w:bookmarkStart w:name="_TOC_250002" w:id="11"/>
      <w:r>
        <w:rPr/>
        <w:t>第十一节</w:t>
      </w:r>
      <w:r>
        <w:rPr>
          <w:spacing w:val="-6"/>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43"/>
          <w:pgSz w:w="11910" w:h="16840"/>
          <w:pgMar w:footer="1195" w:header="880" w:top="1060" w:bottom="1380" w:left="1660" w:right="1060"/>
          <w:pgNumType w:start="101"/>
        </w:sectPr>
      </w:pPr>
    </w:p>
    <w:p>
      <w:pPr>
        <w:pStyle w:val="Heading5"/>
        <w:spacing w:line="240" w:lineRule="auto" w:before="36"/>
        <w:ind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2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2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2019</w:t>
      </w:r>
      <w:r>
        <w:rPr>
          <w:rFonts w:ascii="黑体" w:hAnsi="黑体" w:cs="黑体" w:eastAsia="黑体" w:hint="default"/>
          <w:sz w:val="18"/>
          <w:szCs w:val="18"/>
        </w:rPr>
        <w:t>〕</w:t>
      </w:r>
      <w:r>
        <w:rPr>
          <w:rFonts w:ascii="黑体" w:hAnsi="黑体" w:cs="黑体" w:eastAsia="黑体" w:hint="default"/>
          <w:sz w:val="18"/>
          <w:szCs w:val="18"/>
        </w:rPr>
        <w:t>3566</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060" w:bottom="1380" w:left="1660" w:right="1060"/>
          <w:cols w:num="2" w:equalWidth="0">
            <w:col w:w="1715" w:space="1434"/>
            <w:col w:w="6041"/>
          </w:cols>
        </w:sectPr>
      </w:pPr>
    </w:p>
    <w:p>
      <w:pPr>
        <w:spacing w:line="240" w:lineRule="auto" w:before="0"/>
        <w:rPr>
          <w:rFonts w:ascii="黑体" w:hAnsi="黑体" w:cs="黑体" w:eastAsia="黑体" w:hint="default"/>
          <w:sz w:val="20"/>
          <w:szCs w:val="20"/>
        </w:rPr>
      </w:pPr>
    </w:p>
    <w:p>
      <w:pPr>
        <w:pStyle w:val="Heading3"/>
        <w:spacing w:line="240" w:lineRule="auto" w:before="196"/>
        <w:ind w:right="208" w:firstLine="0"/>
        <w:jc w:val="left"/>
      </w:pPr>
      <w:r>
        <w:rPr/>
        <w:t>财通证券股份有限公司全体股东：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before="0"/>
        <w:ind w:right="208"/>
        <w:jc w:val="left"/>
        <w:rPr>
          <w:b w:val="0"/>
          <w:bCs w:val="0"/>
        </w:rPr>
      </w:pPr>
      <w:r>
        <w:rPr/>
        <w:t>一、审计意见</w:t>
      </w:r>
      <w:r>
        <w:rPr>
          <w:b w:val="0"/>
          <w:bCs w:val="0"/>
        </w:rPr>
      </w:r>
    </w:p>
    <w:p>
      <w:pPr>
        <w:pStyle w:val="Heading3"/>
        <w:spacing w:line="240" w:lineRule="auto" w:before="154"/>
        <w:ind w:left="618" w:right="0" w:firstLine="0"/>
        <w:jc w:val="left"/>
        <w:rPr>
          <w:rFonts w:ascii="宋体" w:hAnsi="宋体" w:cs="宋体" w:eastAsia="宋体" w:hint="default"/>
        </w:rPr>
      </w:pPr>
      <w:r>
        <w:rPr/>
        <w:t>我们审计了财通证券股份有限公</w:t>
      </w:r>
      <w:r>
        <w:rPr>
          <w:spacing w:val="-116"/>
        </w:rPr>
        <w:t>司</w:t>
      </w:r>
      <w:r>
        <w:rPr/>
        <w:t>（以下简称财通证券公司</w:t>
      </w:r>
      <w:r>
        <w:rPr>
          <w:spacing w:val="-115"/>
        </w:rPr>
        <w:t>）</w:t>
      </w:r>
      <w:r>
        <w:rPr/>
        <w:t>财务报表</w:t>
      </w:r>
      <w:r>
        <w:rPr>
          <w:spacing w:val="-116"/>
        </w:rPr>
        <w:t>，</w:t>
      </w:r>
      <w:r>
        <w:rPr/>
        <w:t>包括</w:t>
      </w:r>
      <w:r>
        <w:rPr>
          <w:spacing w:val="-60"/>
        </w:rPr>
        <w:t> </w:t>
      </w:r>
      <w:r>
        <w:rPr>
          <w:rFonts w:ascii="宋体" w:hAnsi="宋体" w:cs="宋体" w:eastAsia="宋体" w:hint="default"/>
        </w:rPr>
        <w:t>2018</w:t>
      </w:r>
    </w:p>
    <w:p>
      <w:pPr>
        <w:pStyle w:val="Heading3"/>
        <w:spacing w:line="357" w:lineRule="auto" w:before="151"/>
        <w:ind w:right="197" w:firstLine="0"/>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p>
    <w:p>
      <w:pPr>
        <w:pStyle w:val="Heading3"/>
        <w:spacing w:line="357" w:lineRule="auto"/>
        <w:ind w:right="212"/>
        <w:jc w:val="both"/>
      </w:pPr>
      <w:r>
        <w:rPr>
          <w:spacing w:val="-2"/>
        </w:rPr>
        <w:t>我们认为，后附的财务报表在所有重大方面按照企业会计准则的规定编制，公允</w:t>
      </w:r>
      <w:r>
        <w:rPr/>
        <w:t> 反映了财通证券公司</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2018</w:t>
      </w:r>
      <w:r>
        <w:rPr>
          <w:rFonts w:ascii="宋体" w:hAnsi="宋体" w:cs="宋体" w:eastAsia="宋体" w:hint="default"/>
          <w:spacing w:val="-59"/>
        </w:rPr>
        <w:t> </w:t>
      </w:r>
      <w:r>
        <w:rPr/>
        <w:t>年度的 合并及母公司经营成果和现金流量。</w:t>
      </w:r>
    </w:p>
    <w:p>
      <w:pPr>
        <w:spacing w:line="240" w:lineRule="auto" w:before="0"/>
        <w:rPr>
          <w:rFonts w:ascii="宋体" w:hAnsi="宋体" w:cs="宋体" w:eastAsia="宋体" w:hint="default"/>
          <w:sz w:val="24"/>
          <w:szCs w:val="24"/>
        </w:rPr>
      </w:pPr>
    </w:p>
    <w:p>
      <w:pPr>
        <w:pStyle w:val="Heading2"/>
        <w:spacing w:line="240" w:lineRule="auto"/>
        <w:ind w:right="208"/>
        <w:jc w:val="left"/>
        <w:rPr>
          <w:b w:val="0"/>
          <w:bCs w:val="0"/>
        </w:rPr>
      </w:pPr>
      <w:r>
        <w:rPr/>
        <w:t>二、形成审计意见的基础</w:t>
      </w:r>
      <w:r>
        <w:rPr>
          <w:b w:val="0"/>
          <w:bCs w:val="0"/>
        </w:rPr>
      </w:r>
    </w:p>
    <w:p>
      <w:pPr>
        <w:pStyle w:val="Heading3"/>
        <w:spacing w:line="357" w:lineRule="auto" w:before="154"/>
        <w:ind w:right="213"/>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注册会计师职业道德守则，我们独立于财通证券公司，并履行了职业道德方面的其他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ind w:right="208"/>
        <w:jc w:val="left"/>
        <w:rPr>
          <w:b w:val="0"/>
          <w:bCs w:val="0"/>
        </w:rPr>
      </w:pPr>
      <w:r>
        <w:rPr/>
        <w:t>三、关键审计事项</w:t>
      </w:r>
      <w:r>
        <w:rPr>
          <w:b w:val="0"/>
          <w:bCs w:val="0"/>
        </w:rPr>
      </w:r>
    </w:p>
    <w:p>
      <w:pPr>
        <w:pStyle w:val="Heading3"/>
        <w:spacing w:line="357" w:lineRule="auto" w:before="154"/>
        <w:ind w:right="0"/>
        <w:jc w:val="left"/>
      </w:pPr>
      <w:r>
        <w:rPr/>
        <w:t>关键审计事项是我们根据职业判断，认为对本期财务报表审计最为重要的事项。 这些事项的应对以对财务报表整体进行审计并形成审计意见为背景，我们不对这些事 项单独发表意见。</w:t>
      </w:r>
    </w:p>
    <w:p>
      <w:pPr>
        <w:pStyle w:val="Heading3"/>
        <w:spacing w:line="355" w:lineRule="auto" w:before="36"/>
        <w:ind w:left="618" w:right="5308" w:firstLine="0"/>
        <w:jc w:val="left"/>
      </w:pPr>
      <w:r>
        <w:rPr>
          <w:rFonts w:ascii="宋体" w:hAnsi="宋体" w:cs="宋体" w:eastAsia="宋体" w:hint="default"/>
        </w:rPr>
        <w:t>(</w:t>
      </w:r>
      <w:r>
        <w:rPr/>
        <w:t>一</w:t>
      </w:r>
      <w:r>
        <w:rPr>
          <w:rFonts w:ascii="宋体" w:hAnsi="宋体" w:cs="宋体" w:eastAsia="宋体" w:hint="default"/>
        </w:rPr>
        <w:t>) </w:t>
      </w:r>
      <w:r>
        <w:rPr/>
        <w:t>手续费及佣金收入的确认 </w:t>
      </w:r>
      <w:r>
        <w:rPr>
          <w:rFonts w:ascii="宋体" w:hAnsi="宋体" w:cs="宋体" w:eastAsia="宋体" w:hint="default"/>
        </w:rPr>
        <w:t>1. </w:t>
      </w:r>
      <w:r>
        <w:rPr/>
        <w:t>事项描述</w:t>
      </w:r>
    </w:p>
    <w:p>
      <w:pPr>
        <w:pStyle w:val="Heading3"/>
        <w:spacing w:line="240" w:lineRule="auto" w:before="39"/>
        <w:ind w:left="618" w:right="0" w:firstLine="0"/>
        <w:jc w:val="left"/>
      </w:pPr>
      <w:r>
        <w:rPr/>
        <w:t>财通证券公司手续费及佣金收入主要包括证券经纪业务收入、承销及保荐业务收</w:t>
      </w:r>
    </w:p>
    <w:p>
      <w:pPr>
        <w:spacing w:after="0" w:line="240" w:lineRule="auto"/>
        <w:jc w:val="left"/>
        <w:sectPr>
          <w:type w:val="continuous"/>
          <w:pgSz w:w="11910" w:h="16840"/>
          <w:pgMar w:top="1060" w:bottom="1380" w:left="1660" w:right="1060"/>
        </w:sectPr>
      </w:pPr>
    </w:p>
    <w:p>
      <w:pPr>
        <w:spacing w:line="240" w:lineRule="auto" w:before="12"/>
        <w:rPr>
          <w:rFonts w:ascii="宋体" w:hAnsi="宋体" w:cs="宋体" w:eastAsia="宋体" w:hint="default"/>
          <w:sz w:val="28"/>
          <w:szCs w:val="28"/>
        </w:rPr>
      </w:pPr>
    </w:p>
    <w:p>
      <w:pPr>
        <w:pStyle w:val="Heading3"/>
        <w:spacing w:line="357" w:lineRule="auto" w:before="26"/>
        <w:ind w:right="350" w:firstLine="0"/>
        <w:jc w:val="both"/>
      </w:pPr>
      <w:r>
        <w:rPr>
          <w:spacing w:val="-2"/>
        </w:rPr>
        <w:t>入及资产管理业务收入。手续费及佣金收入确认相关会计政策详见财通证券公司财务</w:t>
      </w:r>
      <w:r>
        <w:rPr>
          <w:spacing w:val="-94"/>
        </w:rPr>
        <w:t> </w:t>
      </w:r>
      <w:r>
        <w:rPr>
          <w:spacing w:val="-94"/>
        </w:rPr>
      </w:r>
      <w:r>
        <w:rPr>
          <w:spacing w:val="-2"/>
        </w:rPr>
        <w:t>报表附注三（三十一）。</w:t>
      </w:r>
      <w:r>
        <w:rPr>
          <w:rFonts w:ascii="宋体" w:hAnsi="宋体" w:cs="宋体" w:eastAsia="宋体" w:hint="default"/>
          <w:spacing w:val="-2"/>
        </w:rPr>
        <w:t>2018</w:t>
      </w:r>
      <w:r>
        <w:rPr>
          <w:spacing w:val="-2"/>
        </w:rPr>
        <w:t>年度，财通证券公司的手续费及佣金收入为</w:t>
      </w:r>
      <w:r>
        <w:rPr>
          <w:rFonts w:ascii="宋体" w:hAnsi="宋体" w:cs="宋体" w:eastAsia="宋体" w:hint="default"/>
          <w:spacing w:val="-2"/>
        </w:rPr>
        <w:t>149,041.30</w:t>
      </w:r>
      <w:r>
        <w:rPr>
          <w:rFonts w:ascii="宋体" w:hAnsi="宋体" w:cs="宋体" w:eastAsia="宋体" w:hint="default"/>
          <w:spacing w:val="-90"/>
        </w:rPr>
        <w:t> </w:t>
      </w:r>
      <w:r>
        <w:rPr/>
        <w:t>万元，约占营业收入总额的</w:t>
      </w:r>
      <w:r>
        <w:rPr>
          <w:rFonts w:ascii="宋体" w:hAnsi="宋体" w:cs="宋体" w:eastAsia="宋体" w:hint="default"/>
        </w:rPr>
        <w:t>47%</w:t>
      </w:r>
      <w:r>
        <w:rPr/>
        <w:t>。</w:t>
      </w:r>
    </w:p>
    <w:p>
      <w:pPr>
        <w:pStyle w:val="Heading3"/>
        <w:spacing w:line="357" w:lineRule="auto" w:before="36"/>
        <w:ind w:right="0"/>
        <w:jc w:val="left"/>
      </w:pPr>
      <w:r>
        <w:rPr/>
        <w:t>由于营业收入是财通证券公司关键业绩指标之一，收入可能存在重大错报风险，</w:t>
      </w:r>
      <w:r>
        <w:rPr>
          <w:spacing w:val="2"/>
        </w:rPr>
        <w:t> </w:t>
      </w:r>
      <w:r>
        <w:rPr/>
        <w:t>因此我们将手续费及佣金收入的确认确定为关键审计事项。</w:t>
      </w:r>
    </w:p>
    <w:p>
      <w:pPr>
        <w:pStyle w:val="Heading3"/>
        <w:spacing w:line="357" w:lineRule="auto"/>
        <w:ind w:left="618" w:right="5328" w:firstLine="0"/>
        <w:jc w:val="left"/>
      </w:pPr>
      <w:r>
        <w:rPr>
          <w:rFonts w:ascii="宋体" w:hAnsi="宋体" w:cs="宋体" w:eastAsia="宋体" w:hint="default"/>
        </w:rPr>
        <w:t>2. </w:t>
      </w:r>
      <w:r>
        <w:rPr/>
        <w:t>审计应对 我们实施的审计程序主要包括：</w:t>
      </w:r>
    </w:p>
    <w:p>
      <w:pPr>
        <w:pStyle w:val="Heading3"/>
        <w:spacing w:line="357" w:lineRule="auto"/>
        <w:ind w:right="409"/>
        <w:jc w:val="left"/>
      </w:pPr>
      <w:r>
        <w:rPr/>
        <w:t>（</w:t>
      </w:r>
      <w:r>
        <w:rPr>
          <w:rFonts w:ascii="宋体" w:hAnsi="宋体" w:cs="宋体" w:eastAsia="宋体" w:hint="default"/>
        </w:rPr>
        <w:t>1</w:t>
      </w:r>
      <w:r>
        <w:rPr/>
        <w:t>）了解和评价与手续费及佣金收入确认相关的关键内部控制的设计和运行有 效性。</w:t>
      </w:r>
    </w:p>
    <w:p>
      <w:pPr>
        <w:pStyle w:val="Heading3"/>
        <w:spacing w:line="357" w:lineRule="auto"/>
        <w:ind w:right="0"/>
        <w:jc w:val="left"/>
      </w:pPr>
      <w:r>
        <w:rPr/>
        <w:t>（</w:t>
      </w:r>
      <w:r>
        <w:rPr>
          <w:rFonts w:ascii="宋体" w:hAnsi="宋体" w:cs="宋体" w:eastAsia="宋体" w:hint="default"/>
        </w:rPr>
        <w:t>2</w:t>
      </w:r>
      <w:r>
        <w:rPr/>
        <w:t>）安排信息系统审计专家针对用于处理与手续费及佣金收入相关交易的关键 </w:t>
      </w:r>
      <w:r>
        <w:rPr>
          <w:spacing w:val="-2"/>
        </w:rPr>
        <w:t>信息技术系统进行检查，评价该系统内相关信息技术应用控制的设计和运行是否有效。</w:t>
      </w:r>
    </w:p>
    <w:p>
      <w:pPr>
        <w:pStyle w:val="Heading3"/>
        <w:spacing w:line="357" w:lineRule="auto"/>
        <w:ind w:right="409"/>
        <w:jc w:val="left"/>
      </w:pPr>
      <w:r>
        <w:rPr/>
        <w:t>（</w:t>
      </w:r>
      <w:r>
        <w:rPr>
          <w:rFonts w:ascii="宋体" w:hAnsi="宋体" w:cs="宋体" w:eastAsia="宋体" w:hint="default"/>
        </w:rPr>
        <w:t>3</w:t>
      </w:r>
      <w:r>
        <w:rPr/>
        <w:t>）在抽样的基础上，查阅客户服务合同，并考虑财通证券公司收入确认政策 是否符合企业会计准则的要求。</w:t>
      </w:r>
    </w:p>
    <w:p>
      <w:pPr>
        <w:pStyle w:val="Heading3"/>
        <w:spacing w:line="357" w:lineRule="auto"/>
        <w:ind w:right="353"/>
        <w:jc w:val="both"/>
      </w:pPr>
      <w:r>
        <w:rPr/>
        <w:t>（</w:t>
      </w:r>
      <w:r>
        <w:rPr>
          <w:rFonts w:ascii="宋体" w:hAnsi="宋体" w:cs="宋体" w:eastAsia="宋体" w:hint="default"/>
        </w:rPr>
        <w:t>4</w:t>
      </w:r>
      <w:r>
        <w:rPr/>
        <w:t>）对于证券经纪业务收入，将财通证券公司记录的交易量与从证券交易所和 </w:t>
      </w:r>
      <w:r>
        <w:rPr>
          <w:spacing w:val="-2"/>
        </w:rPr>
        <w:t>登记结算机构获取的交易数据进行核对，抽样核对部分客户的佣金费率与相关客户服</w:t>
      </w:r>
      <w:r>
        <w:rPr>
          <w:spacing w:val="-94"/>
        </w:rPr>
        <w:t> </w:t>
      </w:r>
      <w:r>
        <w:rPr>
          <w:spacing w:val="-94"/>
        </w:rPr>
      </w:r>
      <w:r>
        <w:rPr/>
        <w:t>务合同是否一致。</w:t>
      </w:r>
    </w:p>
    <w:p>
      <w:pPr>
        <w:pStyle w:val="Heading3"/>
        <w:spacing w:line="357" w:lineRule="auto" w:before="36"/>
        <w:ind w:right="352"/>
        <w:jc w:val="both"/>
      </w:pPr>
      <w:r>
        <w:rPr>
          <w:spacing w:val="-2"/>
        </w:rPr>
        <w:t>（</w:t>
      </w:r>
      <w:r>
        <w:rPr>
          <w:rFonts w:ascii="宋体" w:hAnsi="宋体" w:cs="宋体" w:eastAsia="宋体" w:hint="default"/>
          <w:spacing w:val="-2"/>
        </w:rPr>
        <w:t>5</w:t>
      </w:r>
      <w:r>
        <w:rPr>
          <w:spacing w:val="-2"/>
        </w:rPr>
        <w:t>）对于承销及保荐业务收入，抽取部分业务项目执行以下程序：</w:t>
      </w:r>
      <w:r>
        <w:rPr>
          <w:rFonts w:ascii="宋体" w:hAnsi="宋体" w:cs="宋体" w:eastAsia="宋体" w:hint="default"/>
          <w:spacing w:val="-2"/>
        </w:rPr>
        <w:t>1</w:t>
      </w:r>
      <w:r>
        <w:rPr>
          <w:spacing w:val="-2"/>
        </w:rPr>
        <w:t>）向项目承</w:t>
      </w:r>
      <w:r>
        <w:rPr/>
        <w:t> 办人了解项目的进展情况；</w:t>
      </w:r>
      <w:r>
        <w:rPr>
          <w:rFonts w:ascii="宋体" w:hAnsi="宋体" w:cs="宋体" w:eastAsia="宋体" w:hint="default"/>
        </w:rPr>
        <w:t>2</w:t>
      </w:r>
      <w:r>
        <w:rPr/>
        <w:t>）查阅与客户往来资料以及监管机构或证券交易所公布 的信息，以核实所选项目的完成情况；</w:t>
      </w:r>
      <w:r>
        <w:rPr>
          <w:rFonts w:ascii="宋体" w:hAnsi="宋体" w:cs="宋体" w:eastAsia="宋体" w:hint="default"/>
        </w:rPr>
        <w:t>3</w:t>
      </w:r>
      <w:r>
        <w:rPr/>
        <w:t>）判断手续费收入的确定与相关协议条款是 否一致，并检查相关收入确认是否符合财通证券公司收入确认的会计政策。</w:t>
      </w:r>
    </w:p>
    <w:p>
      <w:pPr>
        <w:pStyle w:val="Heading3"/>
        <w:spacing w:line="357" w:lineRule="auto"/>
        <w:ind w:right="409"/>
        <w:jc w:val="left"/>
      </w:pPr>
      <w:r>
        <w:rPr/>
        <w:t>（</w:t>
      </w:r>
      <w:r>
        <w:rPr>
          <w:rFonts w:ascii="宋体" w:hAnsi="宋体" w:cs="宋体" w:eastAsia="宋体" w:hint="default"/>
        </w:rPr>
        <w:t>6</w:t>
      </w:r>
      <w:r>
        <w:rPr/>
        <w:t>）对于资产管理业务收入，抽样核对计提管理费和业绩报酬的费率与合同约 定是否一致，并复核管理费和业绩报酬的计算过程。</w:t>
      </w:r>
    </w:p>
    <w:p>
      <w:pPr>
        <w:pStyle w:val="Heading3"/>
        <w:spacing w:line="357" w:lineRule="auto"/>
        <w:ind w:left="618" w:right="6168" w:firstLine="0"/>
        <w:jc w:val="left"/>
      </w:pPr>
      <w:r>
        <w:rPr>
          <w:rFonts w:ascii="宋体" w:hAnsi="宋体" w:cs="宋体" w:eastAsia="宋体" w:hint="default"/>
        </w:rPr>
        <w:t>(</w:t>
      </w:r>
      <w:r>
        <w:rPr/>
        <w:t>二</w:t>
      </w:r>
      <w:r>
        <w:rPr>
          <w:rFonts w:ascii="宋体" w:hAnsi="宋体" w:cs="宋体" w:eastAsia="宋体" w:hint="default"/>
        </w:rPr>
        <w:t>) </w:t>
      </w:r>
      <w:r>
        <w:rPr/>
        <w:t>结构化主体的合并 </w:t>
      </w:r>
      <w:r>
        <w:rPr>
          <w:rFonts w:ascii="宋体" w:hAnsi="宋体" w:cs="宋体" w:eastAsia="宋体" w:hint="default"/>
        </w:rPr>
        <w:t>1. </w:t>
      </w:r>
      <w:r>
        <w:rPr/>
        <w:t>事项描述</w:t>
      </w:r>
    </w:p>
    <w:p>
      <w:pPr>
        <w:pStyle w:val="Heading3"/>
        <w:spacing w:line="357" w:lineRule="auto"/>
        <w:ind w:right="0"/>
        <w:jc w:val="left"/>
      </w:pPr>
      <w:r>
        <w:rPr/>
        <w:t>财通证券公司在部分结构化主体中享有权益。财通证券公司管理层（以下简称管 理层）评估对结构化主体是否存在控制，以判断是否应将其纳入合并财务报表范围。</w:t>
      </w:r>
      <w:r>
        <w:rPr>
          <w:spacing w:val="-63"/>
        </w:rPr>
        <w:t> </w:t>
      </w:r>
      <w:r>
        <w:rPr>
          <w:spacing w:val="-63"/>
        </w:rPr>
      </w:r>
      <w:r>
        <w:rPr>
          <w:spacing w:val="-6"/>
        </w:rPr>
        <w:t>如合并财务报表附注七（一）</w:t>
      </w:r>
      <w:r>
        <w:rPr>
          <w:rFonts w:ascii="宋体" w:hAnsi="宋体" w:cs="宋体" w:eastAsia="宋体" w:hint="default"/>
          <w:spacing w:val="-6"/>
        </w:rPr>
        <w:t>2</w:t>
      </w:r>
      <w:r>
        <w:rPr>
          <w:rFonts w:ascii="宋体" w:hAnsi="宋体" w:cs="宋体" w:eastAsia="宋体" w:hint="default"/>
          <w:spacing w:val="-59"/>
        </w:rPr>
        <w:t> </w:t>
      </w:r>
      <w:r>
        <w:rPr>
          <w:spacing w:val="-8"/>
        </w:rPr>
        <w:t>所述，截至</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日纳入合并财务报表范围</w:t>
      </w:r>
      <w:r>
        <w:rPr>
          <w:spacing w:val="-117"/>
        </w:rPr>
        <w:t> </w:t>
      </w:r>
      <w:r>
        <w:rPr/>
        <w:t>的结构化主体的资产总额为</w:t>
      </w:r>
      <w:r>
        <w:rPr>
          <w:spacing w:val="-60"/>
        </w:rPr>
        <w:t> </w:t>
      </w:r>
      <w:r>
        <w:rPr>
          <w:rFonts w:ascii="宋体" w:hAnsi="宋体" w:cs="宋体" w:eastAsia="宋体" w:hint="default"/>
        </w:rPr>
        <w:t>362,197.14</w:t>
      </w:r>
      <w:r>
        <w:rPr>
          <w:rFonts w:ascii="宋体" w:hAnsi="宋体" w:cs="宋体" w:eastAsia="宋体" w:hint="default"/>
          <w:spacing w:val="-60"/>
        </w:rPr>
        <w:t> </w:t>
      </w:r>
      <w:r>
        <w:rPr/>
        <w:t>万元，占资产总额的</w:t>
      </w:r>
      <w:r>
        <w:rPr>
          <w:spacing w:val="-60"/>
        </w:rPr>
        <w:t> </w:t>
      </w:r>
      <w:r>
        <w:rPr>
          <w:rFonts w:ascii="宋体" w:hAnsi="宋体" w:cs="宋体" w:eastAsia="宋体" w:hint="default"/>
        </w:rPr>
        <w:t>6.17%</w:t>
      </w:r>
      <w:r>
        <w:rPr/>
        <w:t>。</w:t>
      </w:r>
    </w:p>
    <w:p>
      <w:pPr>
        <w:pStyle w:val="Heading3"/>
        <w:spacing w:line="240" w:lineRule="auto"/>
        <w:ind w:left="618" w:right="0" w:firstLine="0"/>
        <w:jc w:val="left"/>
      </w:pPr>
      <w:r>
        <w:rPr/>
        <w:t>由于确定是否应将结构化主体纳入合并范围涉及重大的管理层判断，且结果可能</w:t>
      </w:r>
    </w:p>
    <w:p>
      <w:pPr>
        <w:pStyle w:val="Heading3"/>
        <w:spacing w:line="240" w:lineRule="auto" w:before="154"/>
        <w:ind w:right="0" w:firstLine="0"/>
        <w:jc w:val="both"/>
      </w:pPr>
      <w:r>
        <w:rPr>
          <w:spacing w:val="-5"/>
        </w:rPr>
        <w:t>对合并财务报表产生重大影响，因此，我们将结构化主体的合并确定为关键审计事项。</w:t>
      </w:r>
    </w:p>
    <w:p>
      <w:pPr>
        <w:spacing w:after="0" w:line="240" w:lineRule="auto"/>
        <w:jc w:val="both"/>
        <w:sectPr>
          <w:pgSz w:w="11910" w:h="16840"/>
          <w:pgMar w:header="880" w:footer="1195" w:top="1060" w:bottom="1380" w:left="1660" w:right="920"/>
        </w:sectPr>
      </w:pPr>
    </w:p>
    <w:p>
      <w:pPr>
        <w:spacing w:line="240" w:lineRule="auto" w:before="12"/>
        <w:rPr>
          <w:rFonts w:ascii="宋体" w:hAnsi="宋体" w:cs="宋体" w:eastAsia="宋体" w:hint="default"/>
          <w:sz w:val="28"/>
          <w:szCs w:val="28"/>
        </w:rPr>
      </w:pPr>
    </w:p>
    <w:p>
      <w:pPr>
        <w:pStyle w:val="Heading3"/>
        <w:spacing w:line="357" w:lineRule="auto" w:before="26"/>
        <w:ind w:left="618" w:right="5208" w:firstLine="0"/>
        <w:jc w:val="left"/>
      </w:pPr>
      <w:r>
        <w:rPr>
          <w:rFonts w:ascii="宋体" w:hAnsi="宋体" w:cs="宋体" w:eastAsia="宋体" w:hint="default"/>
        </w:rPr>
        <w:t>2. </w:t>
      </w:r>
      <w:r>
        <w:rPr/>
        <w:t>审计应对 我们实施的审计程序主要包括：</w:t>
      </w:r>
    </w:p>
    <w:p>
      <w:pPr>
        <w:pStyle w:val="Heading3"/>
        <w:spacing w:line="240" w:lineRule="auto"/>
        <w:ind w:left="618" w:right="102" w:firstLine="0"/>
        <w:jc w:val="left"/>
      </w:pPr>
      <w:r>
        <w:rPr/>
        <w:t>（</w:t>
      </w:r>
      <w:r>
        <w:rPr>
          <w:rFonts w:ascii="宋体" w:hAnsi="宋体" w:cs="宋体" w:eastAsia="宋体" w:hint="default"/>
        </w:rPr>
        <w:t>1</w:t>
      </w:r>
      <w:r>
        <w:rPr/>
        <w:t>）了解管理层确定结构化主体纳入财务报表合并范围的评估过程。</w:t>
      </w:r>
    </w:p>
    <w:p>
      <w:pPr>
        <w:pStyle w:val="Heading3"/>
        <w:spacing w:line="357" w:lineRule="auto" w:before="154"/>
        <w:ind w:right="305"/>
        <w:jc w:val="both"/>
      </w:pPr>
      <w:r>
        <w:rPr/>
        <w:t>（</w:t>
      </w:r>
      <w:r>
        <w:rPr>
          <w:rFonts w:ascii="宋体" w:hAnsi="宋体" w:cs="宋体" w:eastAsia="宋体" w:hint="default"/>
        </w:rPr>
        <w:t>2</w:t>
      </w:r>
      <w:r>
        <w:rPr/>
        <w:t>）获取结构化主体的相关合同，分析财通证券公司在结构化主体决策中拥有 的权利和义务。</w:t>
      </w:r>
    </w:p>
    <w:p>
      <w:pPr>
        <w:pStyle w:val="Heading3"/>
        <w:spacing w:line="357" w:lineRule="auto"/>
        <w:ind w:right="305"/>
        <w:jc w:val="both"/>
      </w:pPr>
      <w:r>
        <w:rPr/>
        <w:t>（</w:t>
      </w:r>
      <w:r>
        <w:rPr>
          <w:rFonts w:ascii="宋体" w:hAnsi="宋体" w:cs="宋体" w:eastAsia="宋体" w:hint="default"/>
        </w:rPr>
        <w:t>3</w:t>
      </w:r>
      <w:r>
        <w:rPr/>
        <w:t>）复核财通证券公司在结构化主体中享有的收益情况，包括持有权益份额应 当享有的收益和作为管理人应当收取的管理费和业绩报酬等。</w:t>
      </w:r>
    </w:p>
    <w:p>
      <w:pPr>
        <w:pStyle w:val="Heading3"/>
        <w:spacing w:line="357" w:lineRule="auto"/>
        <w:ind w:left="618" w:right="3888" w:firstLine="0"/>
        <w:jc w:val="left"/>
      </w:pPr>
      <w:r>
        <w:rPr/>
        <w:t>（</w:t>
      </w:r>
      <w:r>
        <w:rPr>
          <w:rFonts w:ascii="宋体" w:hAnsi="宋体" w:cs="宋体" w:eastAsia="宋体" w:hint="default"/>
        </w:rPr>
        <w:t>4</w:t>
      </w:r>
      <w:r>
        <w:rPr/>
        <w:t>）评估财通证券公司的判断是否恰当。 </w:t>
      </w:r>
      <w:r>
        <w:rPr>
          <w:rFonts w:ascii="宋体" w:hAnsi="宋体" w:cs="宋体" w:eastAsia="宋体" w:hint="default"/>
        </w:rPr>
        <w:t>(</w:t>
      </w:r>
      <w:r>
        <w:rPr/>
        <w:t>三</w:t>
      </w:r>
      <w:r>
        <w:rPr>
          <w:rFonts w:ascii="宋体" w:hAnsi="宋体" w:cs="宋体" w:eastAsia="宋体" w:hint="default"/>
        </w:rPr>
        <w:t>) </w:t>
      </w:r>
      <w:r>
        <w:rPr/>
        <w:t>可供出售权益工具投资减值准备的计提 </w:t>
      </w:r>
      <w:r>
        <w:rPr>
          <w:rFonts w:ascii="宋体" w:hAnsi="宋体" w:cs="宋体" w:eastAsia="宋体" w:hint="default"/>
        </w:rPr>
        <w:t>1. </w:t>
      </w:r>
      <w:r>
        <w:rPr/>
        <w:t>事项描述</w:t>
      </w:r>
    </w:p>
    <w:p>
      <w:pPr>
        <w:pStyle w:val="Heading3"/>
        <w:spacing w:line="240" w:lineRule="auto" w:before="36"/>
        <w:ind w:left="618" w:right="102" w:firstLine="0"/>
        <w:jc w:val="left"/>
      </w:pPr>
      <w:r>
        <w:rPr/>
        <w:t>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日，财通证券公司可供出售权益工具投资的账面价值为</w:t>
      </w:r>
    </w:p>
    <w:p>
      <w:pPr>
        <w:pStyle w:val="Heading3"/>
        <w:spacing w:line="357" w:lineRule="auto" w:before="151"/>
        <w:ind w:right="102" w:firstLine="0"/>
        <w:jc w:val="left"/>
      </w:pPr>
      <w:r>
        <w:rPr>
          <w:rFonts w:ascii="宋体" w:hAnsi="宋体" w:cs="宋体" w:eastAsia="宋体" w:hint="default"/>
        </w:rPr>
        <w:t>1,548,038.22</w:t>
      </w:r>
      <w:r>
        <w:rPr>
          <w:rFonts w:ascii="宋体" w:hAnsi="宋体" w:cs="宋体" w:eastAsia="宋体" w:hint="default"/>
          <w:spacing w:val="-58"/>
        </w:rPr>
        <w:t> </w:t>
      </w:r>
      <w:r>
        <w:rPr/>
        <w:t>万元，已计提减值准备为</w:t>
      </w:r>
      <w:r>
        <w:rPr>
          <w:spacing w:val="-58"/>
        </w:rPr>
        <w:t> </w:t>
      </w:r>
      <w:r>
        <w:rPr>
          <w:rFonts w:ascii="宋体" w:hAnsi="宋体" w:cs="宋体" w:eastAsia="宋体" w:hint="default"/>
        </w:rPr>
        <w:t>19,869.92</w:t>
      </w:r>
      <w:r>
        <w:rPr>
          <w:rFonts w:ascii="宋体" w:hAnsi="宋体" w:cs="宋体" w:eastAsia="宋体" w:hint="default"/>
          <w:spacing w:val="-58"/>
        </w:rPr>
        <w:t> </w:t>
      </w:r>
      <w:r>
        <w:rPr/>
        <w:t>万元，详见财务报表附注五（一） 可供出售金融资产所述。</w:t>
      </w:r>
    </w:p>
    <w:p>
      <w:pPr>
        <w:pStyle w:val="Heading3"/>
        <w:spacing w:line="357" w:lineRule="auto"/>
        <w:ind w:right="114"/>
        <w:jc w:val="both"/>
      </w:pPr>
      <w:r>
        <w:rPr/>
        <w:t>根据财通证券公司的会计政策详见财通证券公司财务报表附注三（九），对以公 允价值计量的可供出售权益工具投资，在其公允价值发生严重或非暂时性下跌时计提 </w:t>
      </w:r>
      <w:r>
        <w:rPr>
          <w:spacing w:val="-5"/>
        </w:rPr>
        <w:t>减值准备；对以成本计量的可供出售权益工具投资，当存在减值迹象时计提减值准备。</w:t>
      </w:r>
    </w:p>
    <w:p>
      <w:pPr>
        <w:pStyle w:val="Heading3"/>
        <w:spacing w:line="357" w:lineRule="auto" w:before="36"/>
        <w:ind w:right="231"/>
        <w:jc w:val="both"/>
      </w:pPr>
      <w:r>
        <w:rPr>
          <w:spacing w:val="-2"/>
        </w:rPr>
        <w:t>由于财通证券公司可供出售权益工具投资金额重大，其减值准备的计提涉及重大</w:t>
      </w:r>
      <w:r>
        <w:rPr/>
        <w:t> </w:t>
      </w:r>
      <w:r>
        <w:rPr>
          <w:spacing w:val="-2"/>
        </w:rPr>
        <w:t>的管理层判断，且结果可能对合并财务报表产生重大影响，因此，我们将可供出售权</w:t>
      </w:r>
      <w:r>
        <w:rPr>
          <w:spacing w:val="-93"/>
        </w:rPr>
        <w:t> </w:t>
      </w:r>
      <w:r>
        <w:rPr>
          <w:spacing w:val="-93"/>
        </w:rPr>
      </w:r>
      <w:r>
        <w:rPr/>
        <w:t>益工具投资减值准备的计提确定为关键审计事项。</w:t>
      </w:r>
    </w:p>
    <w:p>
      <w:pPr>
        <w:pStyle w:val="Heading3"/>
        <w:spacing w:line="355" w:lineRule="auto" w:before="36"/>
        <w:ind w:left="618" w:right="5208" w:firstLine="0"/>
        <w:jc w:val="left"/>
      </w:pPr>
      <w:r>
        <w:rPr>
          <w:rFonts w:ascii="宋体" w:hAnsi="宋体" w:cs="宋体" w:eastAsia="宋体" w:hint="default"/>
        </w:rPr>
        <w:t>2. </w:t>
      </w:r>
      <w:r>
        <w:rPr/>
        <w:t>审计应对 我们实施的审计程序主要包括：</w:t>
      </w:r>
    </w:p>
    <w:p>
      <w:pPr>
        <w:pStyle w:val="Heading3"/>
        <w:spacing w:line="355" w:lineRule="auto" w:before="39"/>
        <w:ind w:right="306"/>
        <w:jc w:val="both"/>
      </w:pPr>
      <w:r>
        <w:rPr/>
        <w:t>（</w:t>
      </w:r>
      <w:r>
        <w:rPr>
          <w:rFonts w:ascii="宋体" w:hAnsi="宋体" w:cs="宋体" w:eastAsia="宋体" w:hint="default"/>
        </w:rPr>
        <w:t>1</w:t>
      </w:r>
      <w:r>
        <w:rPr/>
        <w:t>）抽取部分以公允价值计量的可供出售权益工具投资，获取公开市场报价等 信息，评估管理层用于确定减值准备的相关数据的合理性。</w:t>
      </w:r>
    </w:p>
    <w:p>
      <w:pPr>
        <w:pStyle w:val="Heading3"/>
        <w:spacing w:line="355" w:lineRule="auto" w:before="38"/>
        <w:ind w:right="306"/>
        <w:jc w:val="both"/>
      </w:pPr>
      <w:r>
        <w:rPr/>
        <w:t>（</w:t>
      </w:r>
      <w:r>
        <w:rPr>
          <w:rFonts w:ascii="宋体" w:hAnsi="宋体" w:cs="宋体" w:eastAsia="宋体" w:hint="default"/>
        </w:rPr>
        <w:t>2</w:t>
      </w:r>
      <w:r>
        <w:rPr/>
        <w:t>）抽取部分以成本计量的可供出售权益工具投资，分析被投资单位的近期财 务信息及相关可比行业数据，评估管理层所估计的未来现金流量现值的适当性。</w:t>
      </w:r>
    </w:p>
    <w:p>
      <w:pPr>
        <w:spacing w:line="240" w:lineRule="auto" w:before="0"/>
        <w:rPr>
          <w:rFonts w:ascii="宋体" w:hAnsi="宋体" w:cs="宋体" w:eastAsia="宋体" w:hint="default"/>
          <w:sz w:val="24"/>
          <w:szCs w:val="24"/>
        </w:rPr>
      </w:pPr>
    </w:p>
    <w:p>
      <w:pPr>
        <w:pStyle w:val="Heading2"/>
        <w:spacing w:line="240" w:lineRule="auto" w:before="190"/>
        <w:ind w:right="5208"/>
        <w:jc w:val="left"/>
        <w:rPr>
          <w:b w:val="0"/>
          <w:bCs w:val="0"/>
        </w:rPr>
      </w:pPr>
      <w:r>
        <w:rPr/>
        <w:t>四、其他信息</w:t>
      </w:r>
      <w:r>
        <w:rPr>
          <w:b w:val="0"/>
          <w:bCs w:val="0"/>
        </w:rPr>
      </w:r>
    </w:p>
    <w:p>
      <w:pPr>
        <w:pStyle w:val="Heading3"/>
        <w:spacing w:line="355" w:lineRule="auto" w:before="154"/>
        <w:ind w:right="234"/>
        <w:jc w:val="both"/>
      </w:pPr>
      <w:r>
        <w:rPr>
          <w:spacing w:val="-2"/>
        </w:rPr>
        <w:t>管理层对其他信息负责。其他信息包括年度报告中涵盖的信息，但不包括财务报</w:t>
      </w:r>
      <w:r>
        <w:rPr/>
        <w:t> 表和我们的审计报告。</w:t>
      </w:r>
    </w:p>
    <w:p>
      <w:pPr>
        <w:spacing w:after="0" w:line="355" w:lineRule="auto"/>
        <w:jc w:val="both"/>
        <w:sectPr>
          <w:pgSz w:w="11910" w:h="16840"/>
          <w:pgMar w:header="880" w:footer="1195" w:top="1060" w:bottom="1380" w:left="1660" w:right="1040"/>
        </w:sectPr>
      </w:pPr>
    </w:p>
    <w:p>
      <w:pPr>
        <w:spacing w:line="240" w:lineRule="auto" w:before="12"/>
        <w:rPr>
          <w:rFonts w:ascii="宋体" w:hAnsi="宋体" w:cs="宋体" w:eastAsia="宋体" w:hint="default"/>
          <w:sz w:val="28"/>
          <w:szCs w:val="28"/>
        </w:rPr>
      </w:pPr>
    </w:p>
    <w:p>
      <w:pPr>
        <w:pStyle w:val="Heading3"/>
        <w:spacing w:line="357" w:lineRule="auto" w:before="26"/>
        <w:ind w:right="102"/>
        <w:jc w:val="left"/>
      </w:pPr>
      <w:r>
        <w:rPr>
          <w:spacing w:val="-2"/>
        </w:rPr>
        <w:t>我们对财务报表发表的审计意见不涵盖其他信息，我们也不对其他信息发表任何</w:t>
      </w:r>
      <w:r>
        <w:rPr/>
        <w:t> 形式的鉴证结论。</w:t>
      </w:r>
    </w:p>
    <w:p>
      <w:pPr>
        <w:pStyle w:val="Heading3"/>
        <w:spacing w:line="357" w:lineRule="auto"/>
        <w:ind w:right="102"/>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Heading3"/>
        <w:spacing w:line="357" w:lineRule="auto"/>
        <w:ind w:right="102"/>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ind w:right="102"/>
        <w:jc w:val="left"/>
        <w:rPr>
          <w:b w:val="0"/>
          <w:bCs w:val="0"/>
        </w:rPr>
      </w:pPr>
      <w:r>
        <w:rPr/>
        <w:t>五、管理层和治理层对财务报表的责任</w:t>
      </w:r>
      <w:r>
        <w:rPr>
          <w:b w:val="0"/>
          <w:bCs w:val="0"/>
        </w:rPr>
      </w:r>
    </w:p>
    <w:p>
      <w:pPr>
        <w:pStyle w:val="Heading3"/>
        <w:spacing w:line="357" w:lineRule="auto" w:before="151"/>
        <w:ind w:right="109"/>
        <w:jc w:val="left"/>
      </w:pPr>
      <w:r>
        <w:rPr>
          <w:spacing w:val="-5"/>
        </w:rPr>
        <w:t>管理层负责按照企业会计准则的规定编制财务报表，使其实现公允反映，并设计、</w:t>
      </w:r>
      <w:r>
        <w:rPr/>
        <w:t> 执行和维护必要的内部控制，以使财务报表不存在由于舞弊或错误导致的重大错报。</w:t>
      </w:r>
    </w:p>
    <w:p>
      <w:pPr>
        <w:pStyle w:val="Heading3"/>
        <w:spacing w:line="357" w:lineRule="auto"/>
        <w:ind w:right="232"/>
        <w:jc w:val="both"/>
      </w:pPr>
      <w:r>
        <w:rPr>
          <w:spacing w:val="-2"/>
        </w:rPr>
        <w:t>在编制财务报表时，管理层负责评估财通证券公司的持续经营能力，披露与持续</w:t>
      </w:r>
      <w:r>
        <w:rPr/>
        <w:t> </w:t>
      </w:r>
      <w:r>
        <w:rPr>
          <w:spacing w:val="-2"/>
        </w:rPr>
        <w:t>经营相关的事项（如适用），并运用持续经营假设，除非计划进行清算、终止运营或</w:t>
      </w:r>
      <w:r>
        <w:rPr>
          <w:spacing w:val="-95"/>
        </w:rPr>
        <w:t> </w:t>
      </w:r>
      <w:r>
        <w:rPr>
          <w:spacing w:val="-95"/>
        </w:rPr>
      </w:r>
      <w:r>
        <w:rPr/>
        <w:t>别无其他现实的选择。</w:t>
      </w:r>
    </w:p>
    <w:p>
      <w:pPr>
        <w:pStyle w:val="Heading3"/>
        <w:spacing w:line="240" w:lineRule="auto" w:before="36"/>
        <w:ind w:left="618" w:right="0" w:firstLine="0"/>
        <w:jc w:val="left"/>
      </w:pPr>
      <w:r>
        <w:rPr>
          <w:spacing w:val="-5"/>
        </w:rPr>
        <w:t>财通证券公司治理层（以下简称治理层）负责监督财通证券公司的财务报告过程。</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before="0"/>
        <w:ind w:right="102"/>
        <w:jc w:val="left"/>
        <w:rPr>
          <w:b w:val="0"/>
          <w:bCs w:val="0"/>
        </w:rPr>
      </w:pPr>
      <w:r>
        <w:rPr/>
        <w:t>六、注册会计师对财务报表审计的责任</w:t>
      </w:r>
      <w:r>
        <w:rPr>
          <w:b w:val="0"/>
          <w:bCs w:val="0"/>
        </w:rPr>
      </w:r>
    </w:p>
    <w:p>
      <w:pPr>
        <w:pStyle w:val="Heading3"/>
        <w:spacing w:line="357" w:lineRule="auto" w:before="151"/>
        <w:ind w:right="102"/>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7" w:lineRule="auto"/>
        <w:ind w:right="102"/>
        <w:jc w:val="left"/>
      </w:pPr>
      <w:r>
        <w:rPr/>
        <w:t>在按照审计准则执行审计工作的过程中，我们运用职业判断，并保持职业怀疑。 同时，我们也执行以下工作：</w:t>
      </w:r>
    </w:p>
    <w:p>
      <w:pPr>
        <w:pStyle w:val="Heading3"/>
        <w:spacing w:line="357" w:lineRule="auto"/>
        <w:ind w:right="102"/>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w:t>
      </w:r>
      <w:r>
        <w:rPr>
          <w:spacing w:val="-63"/>
        </w:rPr>
        <w:t> </w:t>
      </w:r>
      <w:r>
        <w:rPr>
          <w:spacing w:val="-63"/>
        </w:rPr>
      </w:r>
      <w:r>
        <w:rPr/>
        <w:t>由于舞弊可能涉及串通、伪造、故意遗漏、虚假陈述或凌驾于内部控制之上，未能发</w:t>
      </w:r>
      <w:r>
        <w:rPr/>
        <w:t> 现由于舞弊导致的重大错报的风险高于未能发现由于错误导致的重大错报的风险。</w:t>
      </w:r>
    </w:p>
    <w:p>
      <w:pPr>
        <w:pStyle w:val="Heading3"/>
        <w:spacing w:line="240" w:lineRule="auto"/>
        <w:ind w:left="618" w:right="102" w:firstLine="0"/>
        <w:jc w:val="left"/>
      </w:pPr>
      <w:r>
        <w:rPr>
          <w:rFonts w:ascii="宋体" w:hAnsi="宋体" w:cs="宋体" w:eastAsia="宋体" w:hint="default"/>
        </w:rPr>
        <w:t>(</w:t>
      </w:r>
      <w:r>
        <w:rPr/>
        <w:t>二</w:t>
      </w:r>
      <w:r>
        <w:rPr>
          <w:rFonts w:ascii="宋体" w:hAnsi="宋体" w:cs="宋体" w:eastAsia="宋体" w:hint="default"/>
        </w:rPr>
        <w:t>) </w:t>
      </w:r>
      <w:r>
        <w:rPr/>
        <w:t>了解与审计相关的内部控制，以设计恰当的审计程序。</w:t>
      </w:r>
    </w:p>
    <w:p>
      <w:pPr>
        <w:pStyle w:val="Heading3"/>
        <w:spacing w:line="240" w:lineRule="auto" w:before="154"/>
        <w:ind w:left="618" w:right="102" w:firstLine="0"/>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spacing w:after="0" w:line="240" w:lineRule="auto"/>
        <w:jc w:val="left"/>
        <w:sectPr>
          <w:pgSz w:w="11910" w:h="16840"/>
          <w:pgMar w:header="880" w:footer="1195" w:top="1060" w:bottom="1380" w:left="1660" w:right="1040"/>
        </w:sectPr>
      </w:pPr>
    </w:p>
    <w:p>
      <w:pPr>
        <w:spacing w:line="240" w:lineRule="auto" w:before="12"/>
        <w:rPr>
          <w:rFonts w:ascii="宋体" w:hAnsi="宋体" w:cs="宋体" w:eastAsia="宋体" w:hint="default"/>
          <w:sz w:val="28"/>
          <w:szCs w:val="28"/>
        </w:rPr>
      </w:pPr>
    </w:p>
    <w:p>
      <w:pPr>
        <w:pStyle w:val="Heading3"/>
        <w:spacing w:line="357" w:lineRule="auto" w:before="26"/>
        <w:ind w:right="233"/>
        <w:jc w:val="both"/>
      </w:pP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 </w:t>
      </w:r>
      <w:r>
        <w:rPr>
          <w:spacing w:val="-2"/>
        </w:rPr>
        <w:t>据，就可能导致对财通证券公司持续经营能力产生重大疑虑的事项或情况是否存在重</w:t>
      </w:r>
      <w:r>
        <w:rPr>
          <w:spacing w:val="-94"/>
        </w:rPr>
        <w:t> </w:t>
      </w:r>
      <w:r>
        <w:rPr>
          <w:spacing w:val="-94"/>
        </w:rPr>
      </w:r>
      <w:r>
        <w:rPr>
          <w:spacing w:val="-2"/>
        </w:rPr>
        <w:t>大不确定性得出结论。如果我们得出结论认为存在重大不确定性，审计准则要求我们</w:t>
      </w:r>
      <w:r>
        <w:rPr>
          <w:spacing w:val="-94"/>
        </w:rPr>
        <w:t> </w:t>
      </w:r>
      <w:r>
        <w:rPr>
          <w:spacing w:val="-94"/>
        </w:rPr>
      </w:r>
      <w:r>
        <w:rPr>
          <w:spacing w:val="-2"/>
        </w:rPr>
        <w:t>在审计报告中提请报表使用者注意财务报表中的相关披露；如果披露不充分，我们应</w:t>
      </w:r>
      <w:r>
        <w:rPr>
          <w:spacing w:val="-94"/>
        </w:rPr>
        <w:t> </w:t>
      </w:r>
      <w:r>
        <w:rPr>
          <w:spacing w:val="-94"/>
        </w:rPr>
      </w:r>
      <w:r>
        <w:rPr>
          <w:spacing w:val="-2"/>
        </w:rPr>
        <w:t>当发表非无保留意见。我们的结论基于截至审计报告日可获得的信息。然而，未来的</w:t>
      </w:r>
      <w:r>
        <w:rPr>
          <w:spacing w:val="-95"/>
        </w:rPr>
        <w:t> </w:t>
      </w:r>
      <w:r>
        <w:rPr>
          <w:spacing w:val="-95"/>
        </w:rPr>
      </w:r>
      <w:r>
        <w:rPr/>
        <w:t>事项或情况可能导致财通证券公司不能持续经营。</w:t>
      </w:r>
    </w:p>
    <w:p>
      <w:pPr>
        <w:pStyle w:val="Heading3"/>
        <w:spacing w:line="355" w:lineRule="auto" w:before="36"/>
        <w:ind w:right="289"/>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评价财务报表的总体列报、结构和内容（包括披露），并评价财务报表是 否公允反映相关交易和事项。</w:t>
      </w:r>
    </w:p>
    <w:p>
      <w:pPr>
        <w:pStyle w:val="Heading3"/>
        <w:spacing w:line="357" w:lineRule="auto" w:before="38"/>
        <w:ind w:right="102"/>
        <w:jc w:val="left"/>
      </w:pPr>
      <w:r>
        <w:rPr>
          <w:rFonts w:ascii="宋体" w:hAnsi="宋体" w:cs="宋体" w:eastAsia="宋体" w:hint="default"/>
        </w:rPr>
        <w:t>(</w:t>
      </w:r>
      <w:r>
        <w:rPr/>
        <w:t>六</w:t>
      </w:r>
      <w:r>
        <w:rPr>
          <w:rFonts w:ascii="宋体" w:hAnsi="宋体" w:cs="宋体" w:eastAsia="宋体" w:hint="default"/>
        </w:rPr>
        <w:t>)</w:t>
      </w:r>
      <w:r>
        <w:rPr/>
        <w:t>就财通证券公司中实体或业务活动的财务信息获取充分、适当的审计证据，</w:t>
      </w:r>
      <w:r>
        <w:rPr>
          <w:spacing w:val="2"/>
        </w:rPr>
        <w:t> </w:t>
      </w:r>
      <w:r>
        <w:rPr/>
        <w:t>以对财务报表发表审计意见。我们负责指导、监督和执行集团审计，并对审计意见承</w:t>
      </w:r>
      <w:r>
        <w:rPr/>
        <w:t> 担全部责任。</w:t>
      </w:r>
    </w:p>
    <w:p>
      <w:pPr>
        <w:pStyle w:val="Heading3"/>
        <w:spacing w:line="357" w:lineRule="auto"/>
        <w:ind w:right="102"/>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ind w:right="232"/>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3"/>
        </w:rPr>
        <w:t> </w:t>
      </w:r>
      <w:r>
        <w:rPr>
          <w:spacing w:val="-93"/>
        </w:rPr>
      </w:r>
      <w:r>
        <w:rPr/>
        <w:t>适用）。</w:t>
      </w:r>
    </w:p>
    <w:p>
      <w:pPr>
        <w:pStyle w:val="Heading3"/>
        <w:spacing w:line="357" w:lineRule="auto" w:before="36"/>
        <w:ind w:right="102"/>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338" w:val="left" w:leader="none"/>
        </w:tabs>
        <w:spacing w:line="312" w:lineRule="exact" w:before="180"/>
        <w:ind w:right="102" w:firstLine="0"/>
        <w:jc w:val="left"/>
      </w:pPr>
      <w:r>
        <w:rPr/>
        <w:t>天健会计师事务所（特殊普通合伙）</w:t>
        <w:tab/>
        <w:t>中国注册会计师：宋慧娟</w:t>
      </w:r>
    </w:p>
    <w:p>
      <w:pPr>
        <w:pStyle w:val="Heading3"/>
        <w:spacing w:line="312" w:lineRule="exact" w:before="0"/>
        <w:ind w:left="4318" w:right="3168" w:firstLine="0"/>
        <w:jc w:val="center"/>
      </w:pPr>
      <w:r>
        <w:rPr/>
        <w:t>（项目合伙人）</w:t>
      </w:r>
    </w:p>
    <w:p>
      <w:pPr>
        <w:spacing w:line="240" w:lineRule="auto" w:before="9"/>
        <w:rPr>
          <w:rFonts w:ascii="宋体" w:hAnsi="宋体" w:cs="宋体" w:eastAsia="宋体" w:hint="default"/>
          <w:sz w:val="23"/>
          <w:szCs w:val="23"/>
        </w:rPr>
      </w:pPr>
    </w:p>
    <w:p>
      <w:pPr>
        <w:pStyle w:val="Heading3"/>
        <w:tabs>
          <w:tab w:pos="4338" w:val="left" w:leader="none"/>
        </w:tabs>
        <w:spacing w:line="712" w:lineRule="auto" w:before="0"/>
        <w:ind w:left="4338" w:right="2225" w:hanging="2941"/>
        <w:jc w:val="left"/>
      </w:pPr>
      <w:r>
        <w:rPr/>
        <w:t>中国·杭州</w:t>
        <w:tab/>
        <w:t>中国注册会计师：陈玉凤 二〇一九年四月二十五日</w:t>
      </w:r>
    </w:p>
    <w:p>
      <w:pPr>
        <w:spacing w:after="0" w:line="712" w:lineRule="auto"/>
        <w:jc w:val="left"/>
        <w:sectPr>
          <w:pgSz w:w="11910" w:h="16840"/>
          <w:pgMar w:header="880" w:footer="1195" w:top="1060" w:bottom="1380" w:left="1660" w:right="1040"/>
        </w:sectPr>
      </w:pPr>
    </w:p>
    <w:p>
      <w:pPr>
        <w:spacing w:line="240" w:lineRule="auto" w:before="8"/>
        <w:rPr>
          <w:rFonts w:ascii="宋体" w:hAnsi="宋体" w:cs="宋体" w:eastAsia="宋体" w:hint="default"/>
          <w:sz w:val="28"/>
          <w:szCs w:val="28"/>
        </w:rPr>
      </w:pPr>
    </w:p>
    <w:p>
      <w:pPr>
        <w:pStyle w:val="Heading5"/>
        <w:spacing w:line="240" w:lineRule="auto" w:before="36"/>
        <w:ind w:left="218" w:right="224"/>
        <w:jc w:val="left"/>
        <w:rPr>
          <w:b w:val="0"/>
          <w:bCs w:val="0"/>
        </w:rPr>
      </w:pPr>
      <w:r>
        <w:rPr/>
        <w:t>二、财务报表</w:t>
      </w:r>
      <w:r>
        <w:rPr>
          <w:b w:val="0"/>
          <w:bCs w:val="0"/>
        </w:rPr>
      </w:r>
    </w:p>
    <w:p>
      <w:pPr>
        <w:spacing w:line="240" w:lineRule="auto" w:before="7"/>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06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财通证券股份有限公司</w:t>
      </w:r>
    </w:p>
    <w:p>
      <w:pPr>
        <w:spacing w:line="355" w:lineRule="auto" w:before="36"/>
        <w:ind w:left="218" w:right="-16" w:firstLine="127"/>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3" w:equalWidth="0">
            <w:col w:w="3267" w:space="283"/>
            <w:col w:w="1954" w:space="1437"/>
            <w:col w:w="234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36"/>
        <w:gridCol w:w="1591"/>
        <w:gridCol w:w="2264"/>
        <w:gridCol w:w="2259"/>
      </w:tblGrid>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10,100,665,001.46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10,401,348,355.39</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其中：客户存款</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8,272,253,616.07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8,551,722,287.43</w:t>
            </w:r>
          </w:p>
        </w:tc>
      </w:tr>
      <w:tr>
        <w:trPr>
          <w:trHeight w:val="28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2,361,676,115.53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2,381,489,952.70</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5"/>
              <w:jc w:val="right"/>
              <w:rPr>
                <w:rFonts w:ascii="宋体" w:hAnsi="宋体" w:cs="宋体" w:eastAsia="宋体" w:hint="default"/>
                <w:sz w:val="21"/>
                <w:szCs w:val="21"/>
              </w:rPr>
            </w:pPr>
            <w:r>
              <w:rPr>
                <w:rFonts w:ascii="宋体" w:hAnsi="宋体" w:cs="宋体" w:eastAsia="宋体" w:hint="default"/>
                <w:spacing w:val="-2"/>
                <w:sz w:val="21"/>
                <w:szCs w:val="21"/>
              </w:rPr>
              <w:t>其中：客户备付金</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1,992,327,544.11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2,277,232,887.37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6,647,103,033.35</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10,669,002,273.49</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9,316,812,002.71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10,432,974,324.90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118,144,595.38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6,114,246.68</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214,540,696.58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105,444,269.48</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805,376,154.38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194,589,453.80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403,555,482.49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417,883,115.84</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6,618,311,785.55</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6,303,405,943.06</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15,719,014,095.41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4"/>
              <w:jc w:val="right"/>
              <w:rPr>
                <w:rFonts w:ascii="宋体" w:hAnsi="宋体" w:cs="宋体" w:eastAsia="宋体" w:hint="default"/>
                <w:sz w:val="21"/>
                <w:szCs w:val="21"/>
              </w:rPr>
            </w:pPr>
            <w:r>
              <w:rPr>
                <w:rFonts w:ascii="宋体"/>
                <w:spacing w:val="-1"/>
                <w:sz w:val="21"/>
              </w:rPr>
              <w:t>12,771,116,027.62</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90"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5,059,131,751.59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2,826,934,542.17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24,970,801.71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26,715,490.71</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83,597,635.43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83,941,316.68</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108,085,415.90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57,998,371.31</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335,870,613.45</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353,611,579.18</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520,178,832.26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297,538,021.65</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257,770,199.61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370,489,848.30</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58,694,804,212.79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57,700,597,132.96</w:t>
            </w:r>
          </w:p>
        </w:tc>
      </w:tr>
      <w:tr>
        <w:trPr>
          <w:trHeight w:val="28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682,997,900.00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543,335,000.00</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应付短期融资款</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3,054,930,000.00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7,829,410,000.00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800,000,000.00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800,000,000.00</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8,915,088.22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28,490,712.97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3"/>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4,377,137,976.97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3,652,007,791.64</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10,315,016,994.36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10,224,604,136.29</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1,381,685,743.21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1,350,881,597.60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82,977,391.71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202,142,813.35</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455,279,931.43</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573,394,010.88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347,643,272.32</w:t>
            </w:r>
          </w:p>
        </w:tc>
      </w:tr>
    </w:tbl>
    <w:p>
      <w:pPr>
        <w:spacing w:after="0" w:line="243"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936"/>
        <w:gridCol w:w="1591"/>
        <w:gridCol w:w="2264"/>
        <w:gridCol w:w="2259"/>
      </w:tblGrid>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17,167,971,679.17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10,892,642,370.99</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30,438,345.63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214,725,100.49</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543,159,016.36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348,158,686.21</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39,018,624,146.51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36,889,321,413.29</w:t>
            </w:r>
          </w:p>
        </w:tc>
      </w:tr>
      <w:tr>
        <w:trPr>
          <w:trHeight w:val="286" w:hRule="exact"/>
        </w:trPr>
        <w:tc>
          <w:tcPr>
            <w:tcW w:w="293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91" w:type="dxa"/>
            <w:tcBorders>
              <w:top w:val="single" w:sz="6" w:space="0" w:color="000000"/>
              <w:left w:val="single" w:sz="4" w:space="0" w:color="000000"/>
              <w:bottom w:val="single" w:sz="6" w:space="0" w:color="000000"/>
              <w:right w:val="single" w:sz="4" w:space="0" w:color="000000"/>
            </w:tcBorders>
          </w:tcPr>
          <w:p>
            <w:pPr/>
          </w:p>
        </w:tc>
        <w:tc>
          <w:tcPr>
            <w:tcW w:w="2264" w:type="dxa"/>
            <w:tcBorders>
              <w:top w:val="single" w:sz="6" w:space="0" w:color="000000"/>
              <w:left w:val="single" w:sz="4" w:space="0" w:color="000000"/>
              <w:bottom w:val="single" w:sz="6" w:space="0" w:color="000000"/>
              <w:right w:val="single" w:sz="4" w:space="0" w:color="000000"/>
            </w:tcBorders>
          </w:tcPr>
          <w:p>
            <w:pPr/>
          </w:p>
        </w:tc>
        <w:tc>
          <w:tcPr>
            <w:tcW w:w="2259" w:type="dxa"/>
            <w:tcBorders>
              <w:top w:val="single" w:sz="6" w:space="0" w:color="000000"/>
              <w:left w:val="single" w:sz="4" w:space="0" w:color="000000"/>
              <w:bottom w:val="single" w:sz="6" w:space="0" w:color="000000"/>
              <w:right w:val="single" w:sz="4" w:space="0" w:color="000000"/>
            </w:tcBorders>
          </w:tcPr>
          <w:p>
            <w:pPr/>
          </w:p>
        </w:tc>
      </w:tr>
      <w:tr>
        <w:trPr>
          <w:trHeight w:val="289" w:hRule="exact"/>
        </w:trPr>
        <w:tc>
          <w:tcPr>
            <w:tcW w:w="293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91"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r>
              <w:rPr>
                <w:rFonts w:ascii="宋体" w:hAnsi="宋体" w:cs="宋体" w:eastAsia="宋体" w:hint="default"/>
                <w:sz w:val="21"/>
                <w:szCs w:val="21"/>
              </w:rPr>
              <w:t>、</w:t>
            </w:r>
          </w:p>
        </w:tc>
        <w:tc>
          <w:tcPr>
            <w:tcW w:w="2264"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3,589,000,000.00</w:t>
            </w:r>
          </w:p>
        </w:tc>
        <w:tc>
          <w:tcPr>
            <w:tcW w:w="225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3,589,000,000.00</w:t>
            </w:r>
          </w:p>
        </w:tc>
      </w:tr>
      <w:tr>
        <w:trPr>
          <w:trHeight w:val="288" w:hRule="exact"/>
        </w:trPr>
        <w:tc>
          <w:tcPr>
            <w:tcW w:w="293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9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r>
              <w:rPr>
                <w:rFonts w:ascii="宋体" w:hAnsi="宋体" w:cs="宋体" w:eastAsia="宋体" w:hint="default"/>
                <w:sz w:val="21"/>
                <w:szCs w:val="21"/>
              </w:rPr>
              <w:t>、</w:t>
            </w:r>
          </w:p>
        </w:tc>
        <w:tc>
          <w:tcPr>
            <w:tcW w:w="226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500,000,000.00</w:t>
            </w:r>
          </w:p>
        </w:tc>
        <w:tc>
          <w:tcPr>
            <w:tcW w:w="22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500,000,000.00</w:t>
            </w:r>
          </w:p>
        </w:tc>
      </w:tr>
      <w:tr>
        <w:trPr>
          <w:trHeight w:val="288" w:hRule="exact"/>
        </w:trPr>
        <w:tc>
          <w:tcPr>
            <w:tcW w:w="293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91" w:type="dxa"/>
            <w:tcBorders>
              <w:top w:val="single" w:sz="6" w:space="0" w:color="000000"/>
              <w:left w:val="single" w:sz="4" w:space="0" w:color="000000"/>
              <w:bottom w:val="single" w:sz="6" w:space="0" w:color="000000"/>
              <w:right w:val="single" w:sz="4" w:space="0" w:color="000000"/>
            </w:tcBorders>
          </w:tcPr>
          <w:p>
            <w:pPr/>
          </w:p>
        </w:tc>
        <w:tc>
          <w:tcPr>
            <w:tcW w:w="2264" w:type="dxa"/>
            <w:tcBorders>
              <w:top w:val="single" w:sz="6" w:space="0" w:color="000000"/>
              <w:left w:val="single" w:sz="4" w:space="0" w:color="000000"/>
              <w:bottom w:val="single" w:sz="6" w:space="0" w:color="000000"/>
              <w:right w:val="single" w:sz="4" w:space="0" w:color="000000"/>
            </w:tcBorders>
          </w:tcPr>
          <w:p>
            <w:pPr/>
          </w:p>
        </w:tc>
        <w:tc>
          <w:tcPr>
            <w:tcW w:w="2259"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91" w:type="dxa"/>
            <w:tcBorders>
              <w:top w:val="single" w:sz="6" w:space="0" w:color="000000"/>
              <w:left w:val="single" w:sz="4" w:space="0" w:color="000000"/>
              <w:bottom w:val="single" w:sz="6" w:space="0" w:color="000000"/>
              <w:right w:val="single" w:sz="4" w:space="0" w:color="000000"/>
            </w:tcBorders>
          </w:tcPr>
          <w:p>
            <w:pPr/>
          </w:p>
        </w:tc>
        <w:tc>
          <w:tcPr>
            <w:tcW w:w="226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500,000,000.00</w:t>
            </w:r>
          </w:p>
        </w:tc>
        <w:tc>
          <w:tcPr>
            <w:tcW w:w="22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500,000,000.00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8,266,130,824.98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8,266,130,824.98</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-535,769,004.12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738,930,368.21</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776,640,490.41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706,149,987.73</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2,165,197,712.14</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1,888,927,333.84</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r>
              <w:rPr>
                <w:rFonts w:ascii="宋体" w:hAnsi="宋体" w:cs="宋体" w:eastAsia="宋体" w:hint="default"/>
                <w:sz w:val="21"/>
                <w:szCs w:val="21"/>
              </w:rPr>
              <w:t>、</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4,904,147,761.14</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5,101,093,725.61</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19,665,347,784.55</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20,790,232,240.37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10,832,281.73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21,043,479.30</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19,676,180,066.28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20,811,275,719.67</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91"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58,694,804,212.79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57,700,597,132.96</w:t>
            </w:r>
          </w:p>
        </w:tc>
      </w:tr>
    </w:tbl>
    <w:p>
      <w:pPr>
        <w:spacing w:line="240" w:lineRule="auto" w:before="6"/>
        <w:rPr>
          <w:rFonts w:ascii="宋体" w:hAnsi="宋体" w:cs="宋体" w:eastAsia="宋体" w:hint="default"/>
          <w:sz w:val="18"/>
          <w:szCs w:val="18"/>
        </w:rPr>
      </w:pPr>
    </w:p>
    <w:p>
      <w:pPr>
        <w:pStyle w:val="BodyText"/>
        <w:tabs>
          <w:tab w:pos="2529" w:val="left" w:leader="none"/>
          <w:tab w:pos="5472" w:val="left" w:leader="none"/>
        </w:tabs>
        <w:spacing w:line="240" w:lineRule="auto" w:before="36"/>
        <w:ind w:left="218" w:right="224"/>
        <w:jc w:val="left"/>
      </w:pPr>
      <w:r>
        <w:rPr>
          <w:spacing w:val="-1"/>
        </w:rPr>
        <w:t>法定代表人：陆建强</w:t>
        <w:tab/>
      </w:r>
      <w:r>
        <w:rPr>
          <w:spacing w:val="-2"/>
        </w:rPr>
        <w:t>主管会计工作负责人：王跃军</w:t>
        <w:tab/>
        <w:t>会计机构负责人：王跃军</w:t>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财通证券股份有限公司</w:t>
      </w:r>
    </w:p>
    <w:p>
      <w:pPr>
        <w:spacing w:line="355" w:lineRule="auto"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80" w:right="1040"/>
          <w:cols w:num="3" w:equalWidth="0">
            <w:col w:w="3267" w:space="283"/>
            <w:col w:w="1954" w:space="1437"/>
            <w:col w:w="234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36"/>
        <w:gridCol w:w="1584"/>
        <w:gridCol w:w="2252"/>
        <w:gridCol w:w="2278"/>
      </w:tblGrid>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1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8,815,624,549.22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9,328,692,694.29</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其中：客户存款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8,016,672,882.55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8,345,517,858.78</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2,360,390,114.47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2,381,217,598.40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其中：客户备付金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1,992,327,544.11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2,277,232,887.37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6,090,620,401.36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10,311,369,007.04</w:t>
            </w:r>
          </w:p>
        </w:tc>
      </w:tr>
      <w:tr>
        <w:trPr>
          <w:trHeight w:val="562"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6,760,404,898.12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7,522,128,669.03</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116,794,595.38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6,114,246.68</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160,267,382.48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91,717,432.28</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2936"/>
        <w:gridCol w:w="1584"/>
        <w:gridCol w:w="2252"/>
        <w:gridCol w:w="2278"/>
      </w:tblGrid>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1</w:t>
            </w:r>
            <w:r>
              <w:rPr>
                <w:rFonts w:ascii="宋体" w:hAnsi="宋体" w:cs="宋体" w:eastAsia="宋体" w:hint="default"/>
                <w:sz w:val="21"/>
                <w:szCs w:val="21"/>
              </w:rPr>
              <w:t>、</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547,377,493.34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7,311,887.27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344,967,612.93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349,171,752.50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6,180,600,543.41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5,871,342,755.29</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16,586,850,362.92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13,640,221,099.85</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2</w:t>
            </w:r>
            <w:r>
              <w:rPr>
                <w:rFonts w:ascii="宋体" w:hAnsi="宋体" w:cs="宋体" w:eastAsia="宋体" w:hint="default"/>
                <w:sz w:val="21"/>
                <w:szCs w:val="21"/>
              </w:rPr>
              <w:t>、</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6,308,694,209.46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3,883,754,113.46</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24,970,801.71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26,715,490.71</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80,539,113.75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79,526,845.23</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107,237,428.05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57,998,371.31</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320,933,401.91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337,790,412.67</w:t>
            </w:r>
          </w:p>
        </w:tc>
      </w:tr>
      <w:tr>
        <w:trPr>
          <w:trHeight w:val="28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394,167,682.00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238,210,644.40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3</w:t>
            </w:r>
            <w:r>
              <w:rPr>
                <w:rFonts w:ascii="宋体" w:hAnsi="宋体" w:cs="宋体" w:eastAsia="宋体" w:hint="default"/>
                <w:sz w:val="21"/>
                <w:szCs w:val="21"/>
              </w:rPr>
              <w:t>、</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551,477,764.76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633,828,806.34</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55,751,918,355.27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54,767,111,826.75</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应付短期融资款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3,054,930,000.00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7,829,410,000.00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800,000,000.00</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4,641,115.22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28,490,712.97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3,793,332,000.00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3,087,530,038.37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10,058,570,686.17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10,006,352,500.69</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975,237,597.78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900,285,360.69</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56,803,837.51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160,675,730.17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455,279,931.43</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570,660,594.79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344,741,754.16</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17,167,971,679.17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10,892,642,370.99</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30,236,571.53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209,714,215.63</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480,895,606.10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296,212,602.79</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36,993,279,688.27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35,011,335,217.89</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3,589,000,000.00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3,589,000,000.00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500,000,000.00</w:t>
            </w: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500,000,000.00</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8,454,225,796.66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8,454,225,796.66</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-242,828,018.79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726,111,524.62</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776,640,490.41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706,149,987.73</w:t>
            </w:r>
          </w:p>
        </w:tc>
      </w:tr>
    </w:tbl>
    <w:p>
      <w:pPr>
        <w:spacing w:after="0" w:line="243" w:lineRule="exact"/>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2936"/>
        <w:gridCol w:w="1584"/>
        <w:gridCol w:w="2252"/>
        <w:gridCol w:w="2278"/>
      </w:tblGrid>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1,923,970,136.70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1,789,397,358.87</w:t>
            </w:r>
          </w:p>
        </w:tc>
      </w:tr>
      <w:tr>
        <w:trPr>
          <w:trHeight w:val="28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3,757,630,262.02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3,990,891,940.98</w:t>
            </w:r>
          </w:p>
        </w:tc>
      </w:tr>
      <w:tr>
        <w:trPr>
          <w:trHeight w:val="559"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18,758,638,667.00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19,755,776,608.86</w:t>
            </w:r>
          </w:p>
        </w:tc>
      </w:tr>
      <w:tr>
        <w:trPr>
          <w:trHeight w:val="562"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84"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55,751,918,355.27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54,767,111,826.75</w:t>
            </w:r>
          </w:p>
        </w:tc>
      </w:tr>
    </w:tbl>
    <w:p>
      <w:pPr>
        <w:spacing w:line="240" w:lineRule="auto" w:before="9"/>
        <w:rPr>
          <w:rFonts w:ascii="Times New Roman" w:hAnsi="Times New Roman" w:cs="Times New Roman" w:eastAsia="Times New Roman" w:hint="default"/>
          <w:sz w:val="20"/>
          <w:szCs w:val="20"/>
        </w:rPr>
      </w:pPr>
    </w:p>
    <w:p>
      <w:pPr>
        <w:pStyle w:val="BodyText"/>
        <w:tabs>
          <w:tab w:pos="2529" w:val="left" w:leader="none"/>
          <w:tab w:pos="5472" w:val="left" w:leader="none"/>
        </w:tabs>
        <w:spacing w:line="240" w:lineRule="auto" w:before="36"/>
        <w:ind w:left="218" w:right="224"/>
        <w:jc w:val="left"/>
      </w:pPr>
      <w:r>
        <w:rPr>
          <w:spacing w:val="-1"/>
        </w:rPr>
        <w:t>法定代表人：陆建强</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06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85"/>
        <w:gridCol w:w="1068"/>
        <w:gridCol w:w="1999"/>
        <w:gridCol w:w="1897"/>
      </w:tblGrid>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3,167,998,370.32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4,016,866,764.74</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1,490,413,035.34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1,782,364,648.83</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其中：经纪业务手续费净收入</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652,043,366.73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859,323,594.42</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投资银行业务手续费净收入</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203,884,851.78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239,521,708.45</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资产管理业务手续费净收入</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623,285,025.41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674,258,936.65</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133,731,909.93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262,447,086.80</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1,489,741,526.40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2,035,207,475.65</w:t>
            </w: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312,861,431.98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494,716,147.69</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31,864,973.63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23,360,206.15</w:t>
            </w: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宋体" w:hAnsi="宋体" w:cs="宋体" w:eastAsia="宋体" w:hint="default"/>
                <w:sz w:val="21"/>
                <w:szCs w:val="21"/>
              </w:rPr>
              <w:t>-</w:t>
            </w:r>
            <w:r>
              <w:rPr>
                <w:rFonts w:ascii="宋体" w:hAnsi="宋体" w:cs="宋体" w:eastAsia="宋体" w:hint="default"/>
                <w:sz w:val="21"/>
                <w:szCs w:val="21"/>
              </w:rPr>
              <w:t>”号填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8,435,768.73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-95,005,568.73</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2,150,112.73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-777,464.44</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8,814,720.98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9,270,380.48</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2,846,322.58</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二、营业支出</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2,282,628,322.95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2,199,132,632.99</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17,360,021.65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20,013,564.53</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业务及管理费</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2,054,894,092.60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2,082,227,452.54</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208,550,201.73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95,094,540.29</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1,824,006.97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1,797,075.63</w:t>
            </w:r>
          </w:p>
        </w:tc>
      </w:tr>
      <w:tr>
        <w:trPr>
          <w:trHeight w:val="28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宋体" w:hAnsi="宋体" w:cs="宋体" w:eastAsia="宋体" w:hint="default"/>
                <w:sz w:val="21"/>
                <w:szCs w:val="21"/>
              </w:rPr>
              <w:t>-</w:t>
            </w:r>
            <w:r>
              <w:rPr>
                <w:rFonts w:ascii="宋体" w:hAnsi="宋体" w:cs="宋体" w:eastAsia="宋体" w:hint="default"/>
                <w:sz w:val="21"/>
                <w:szCs w:val="21"/>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885,370,047.37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1,817,734,131.75</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683,844.21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1,980,726.59</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14,989,344.77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9,772,182.76</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宋体" w:hAnsi="宋体" w:cs="宋体" w:eastAsia="宋体" w:hint="default"/>
                <w:sz w:val="21"/>
                <w:szCs w:val="21"/>
              </w:rPr>
              <w:t>-</w:t>
            </w:r>
            <w:r>
              <w:rPr>
                <w:rFonts w:ascii="宋体" w:hAnsi="宋体" w:cs="宋体" w:eastAsia="宋体" w:hint="default"/>
                <w:sz w:val="21"/>
                <w:szCs w:val="21"/>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871,064,546.81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1,809,942,675.58</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r>
              <w:rPr>
                <w:rFonts w:ascii="宋体" w:hAnsi="宋体" w:cs="宋体" w:eastAsia="宋体" w:hint="default"/>
                <w:sz w:val="21"/>
                <w:szCs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58,020,164.64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333,130,705.53</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813,044,382.17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1,476,811,970.05</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813,044,382.17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1,476,811,970.05</w:t>
            </w:r>
          </w:p>
        </w:tc>
      </w:tr>
      <w:tr>
        <w:trPr>
          <w:trHeight w:val="562"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818,836,066.51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1,503,931,618.18</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-5,791,684.34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-27,119,648.13</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4085"/>
        <w:gridCol w:w="1068"/>
        <w:gridCol w:w="1999"/>
        <w:gridCol w:w="1897"/>
      </w:tblGrid>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-1,270,475,130.01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107,557,712.87</w:t>
            </w: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-1,274,699,372.33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100,948,823.43</w:t>
            </w:r>
          </w:p>
        </w:tc>
      </w:tr>
      <w:tr>
        <w:trPr>
          <w:trHeight w:val="562"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（二）将重分类进损益的其他综合收益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-1,274,699,372.33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100,948,823.43</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权益法下可转损益的其他综合收益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-114,199,324.72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22,901,551.57</w:t>
            </w:r>
          </w:p>
        </w:tc>
      </w:tr>
      <w:tr>
        <w:trPr>
          <w:trHeight w:val="560"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-1,180,414,443.95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105,403,026.22</w:t>
            </w: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19,914,396.34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-27,355,754.36</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4,224,242.32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6,608,889.44</w:t>
            </w: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-457,430,747.84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1,584,369,682.92</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-455,863,305.82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1,604,880,441.61</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-1,567,442.02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-20,510,758.69</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0.45</w:t>
            </w:r>
          </w:p>
        </w:tc>
      </w:tr>
      <w:tr>
        <w:trPr>
          <w:trHeight w:val="288" w:hRule="exact"/>
        </w:trPr>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068"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0.22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0.45</w:t>
            </w:r>
          </w:p>
        </w:tc>
      </w:tr>
    </w:tbl>
    <w:p>
      <w:pPr>
        <w:spacing w:line="240" w:lineRule="auto" w:before="7"/>
        <w:rPr>
          <w:rFonts w:ascii="宋体" w:hAnsi="宋体" w:cs="宋体" w:eastAsia="宋体" w:hint="default"/>
          <w:sz w:val="15"/>
          <w:szCs w:val="15"/>
        </w:rPr>
      </w:pPr>
    </w:p>
    <w:p>
      <w:pPr>
        <w:pStyle w:val="BodyText"/>
        <w:spacing w:line="272" w:lineRule="exact" w:before="64"/>
        <w:ind w:left="218" w:right="224"/>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tabs>
          <w:tab w:pos="2529" w:val="left" w:leader="none"/>
          <w:tab w:pos="5472" w:val="left" w:leader="none"/>
        </w:tabs>
        <w:spacing w:line="249" w:lineRule="exact"/>
        <w:ind w:left="218" w:right="224"/>
        <w:jc w:val="left"/>
      </w:pPr>
      <w:r>
        <w:rPr>
          <w:spacing w:val="-1"/>
        </w:rPr>
        <w:t>法定代表人：陆建强</w:t>
        <w:tab/>
      </w:r>
      <w:r>
        <w:rPr>
          <w:spacing w:val="-2"/>
        </w:rPr>
        <w:t>主管会计工作负责人：王跃军</w:t>
        <w:tab/>
        <w:t>会计机构负责人：王跃军</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4"/>
          <w:pgSz w:w="11910" w:h="16840"/>
          <w:pgMar w:footer="1195" w:header="880" w:top="106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36"/>
        <w:gridCol w:w="1121"/>
        <w:gridCol w:w="1896"/>
        <w:gridCol w:w="1897"/>
      </w:tblGrid>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2,238,487,964.63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3,243,582,434.44</w:t>
            </w: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4</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886,698,218.47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1,153,005,137.83</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其中：经纪业务手续费净收入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681,640,069.99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909,923,047.92</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投资银行业务手续费净收入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203,884,851.78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239,521,708.45</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资产管理业务手续费净收入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90,648,017.29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270,000,564.10</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z w:val="21"/>
                <w:szCs w:val="21"/>
              </w:rPr>
              <w:t>5</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1,240,329,979.64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1,875,200,502.94</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288,339,965.58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495,345,551.07</w:t>
            </w: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9,527,577.49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10,420,470.86</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8"/>
              <w:jc w:val="left"/>
              <w:rPr>
                <w:rFonts w:ascii="宋体" w:hAnsi="宋体" w:cs="宋体" w:eastAsia="宋体" w:hint="default"/>
                <w:sz w:val="21"/>
                <w:szCs w:val="21"/>
              </w:rPr>
            </w:pPr>
            <w:r>
              <w:rPr>
                <w:rFonts w:ascii="宋体" w:hAnsi="宋体" w:cs="宋体" w:eastAsia="宋体" w:hint="default"/>
                <w:spacing w:val="-11"/>
                <w:sz w:val="21"/>
                <w:szCs w:val="21"/>
              </w:rPr>
              <w:t>公允价值变动收益（损失以“－”号填列）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-3,451,413.29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-72,461,889.43</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2,241,453.67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-2,701,788.94</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9,663,777.58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10,119,437.08</w:t>
            </w: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2,830,353.78</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二、营业支出</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1,552,043,852.61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1,609,189,952.65</w:t>
            </w:r>
          </w:p>
        </w:tc>
      </w:tr>
    </w:tbl>
    <w:p>
      <w:pPr>
        <w:spacing w:after="0" w:line="243"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4136"/>
        <w:gridCol w:w="1121"/>
        <w:gridCol w:w="1896"/>
        <w:gridCol w:w="1897"/>
      </w:tblGrid>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13,587,692.13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16,812,329.11</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业务及管理费</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1,423,985,677.72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1,494,409,520.65</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112,646,475.79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96,171,027.26</w:t>
            </w: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1,824,006.97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1,797,075.63</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686,444,112.02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1,634,392,481.79</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631,506.00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1,907,520.12</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14,735,155.99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7,372,514.18</w:t>
            </w: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672,340,462.03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1,628,927,487.73</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31,517,710.48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253,429,356.16</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640,822,751.55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1,375,498,131.57</w:t>
            </w:r>
          </w:p>
        </w:tc>
      </w:tr>
      <w:tr>
        <w:trPr>
          <w:trHeight w:val="560"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（一）持续经营净利润（净亏损以“－”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640,822,751.55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1,375,498,131.57</w:t>
            </w:r>
          </w:p>
        </w:tc>
      </w:tr>
      <w:tr>
        <w:trPr>
          <w:trHeight w:val="55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-968,939,543.41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4,673,674.40</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（一）不能重分类进损益的其他综合收益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-968,939,543.41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4,673,674.40</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-114,178,130.58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23,932,673.87</w:t>
            </w:r>
          </w:p>
        </w:tc>
      </w:tr>
      <w:tr>
        <w:trPr>
          <w:trHeight w:val="559"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-854,761,412.83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-19,258,999.47</w:t>
            </w:r>
          </w:p>
        </w:tc>
      </w:tr>
      <w:tr>
        <w:trPr>
          <w:trHeight w:val="560"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-328,116,791.86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1,380,171,805.97</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4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2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tabs>
          <w:tab w:pos="2529" w:val="left" w:leader="none"/>
          <w:tab w:pos="5472" w:val="left" w:leader="none"/>
        </w:tabs>
        <w:spacing w:line="240" w:lineRule="auto" w:before="36"/>
        <w:ind w:left="218" w:right="224"/>
        <w:jc w:val="left"/>
      </w:pPr>
      <w:r>
        <w:rPr>
          <w:spacing w:val="-1"/>
        </w:rPr>
        <w:t>法定代表人：陆建强</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5"/>
          <w:pgSz w:w="11910" w:h="16840"/>
          <w:pgMar w:footer="1195" w:header="880" w:top="1060" w:bottom="1380" w:left="1580" w:right="1040"/>
          <w:pgNumType w:start="111"/>
        </w:sectPr>
      </w:pPr>
    </w:p>
    <w:p>
      <w:pPr>
        <w:spacing w:line="355"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7"/>
        <w:gridCol w:w="979"/>
        <w:gridCol w:w="2256"/>
        <w:gridCol w:w="2377"/>
      </w:tblGrid>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70" w:right="0"/>
              <w:jc w:val="left"/>
              <w:rPr>
                <w:rFonts w:ascii="宋体" w:hAnsi="宋体" w:cs="宋体" w:eastAsia="宋体" w:hint="default"/>
                <w:sz w:val="21"/>
                <w:szCs w:val="21"/>
              </w:rPr>
            </w:pPr>
            <w:r>
              <w:rPr>
                <w:rFonts w:ascii="宋体"/>
                <w:sz w:val="21"/>
              </w:rPr>
              <w:t>515,325,865.46</w:t>
            </w:r>
          </w:p>
        </w:tc>
        <w:tc>
          <w:tcPr>
            <w:tcW w:w="237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3437"/>
        <w:gridCol w:w="979"/>
        <w:gridCol w:w="2256"/>
        <w:gridCol w:w="2377"/>
      </w:tblGrid>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收取利息、手续费及佣金的现金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3,590,162,542.20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4,018,675,317.57</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447,790,538.37</w:t>
            </w: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融出资金净减少额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4,033,009,242.72</w:t>
            </w: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908,077,939.87</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515,485,354.48</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9,494,366,128.62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4,534,160,672.05</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期损益的金融资产净减少额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859,704,553.52</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融出资金净增加额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2,127,465,623.78</w:t>
            </w:r>
          </w:p>
        </w:tc>
      </w:tr>
      <w:tr>
        <w:trPr>
          <w:trHeight w:val="28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代理买卖证券支付的现金净额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876,260,457.74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4,348,741,026.31</w:t>
            </w: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支付利息、手续费及佣金的现金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486,399,818.24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539,110,751.84</w:t>
            </w:r>
          </w:p>
        </w:tc>
      </w:tr>
      <w:tr>
        <w:trPr>
          <w:trHeight w:val="562"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1,193,340,836.78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1,285,600,727.07</w:t>
            </w: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382,634,397.43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568,720,753.26</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回购业务资金净减少额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3,795,914,540.62</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4,193,115,424.39</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4,488,425,322.97</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7,131,750,934.58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18,013,683,299.37</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2,362,615,194.04</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-13,479,522,627.32</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65,902,173.75</w:t>
            </w: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3,668,354.83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367,377.37</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72,570,528.58</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367,377.37</w:t>
            </w: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2,089,233,562.09</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57,653,000.00</w:t>
            </w:r>
          </w:p>
        </w:tc>
      </w:tr>
      <w:tr>
        <w:trPr>
          <w:trHeight w:val="562"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131,822,863.52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157,298,641.51</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2,221,056,425.61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214,951,641.51</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-2,148,485,897.03</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-214,584,264.14</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3,962,924,299.40</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4,600,000.00</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1,106,640,600.00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1,391,444,430.55</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24,050,240,000.00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8,724,410,000.00</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r>
              <w:rPr>
                <w:rFonts w:ascii="宋体" w:hAnsi="宋体" w:cs="宋体" w:eastAsia="宋体" w:hint="default"/>
                <w:sz w:val="21"/>
                <w:szCs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2,000,000,000.00</w:t>
            </w:r>
          </w:p>
        </w:tc>
      </w:tr>
    </w:tbl>
    <w:p>
      <w:pPr>
        <w:spacing w:after="0" w:line="241" w:lineRule="exact"/>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82" w:type="dxa"/>
        <w:tblLayout w:type="fixed"/>
        <w:tblCellMar>
          <w:top w:w="0" w:type="dxa"/>
          <w:left w:w="0" w:type="dxa"/>
          <w:bottom w:w="0" w:type="dxa"/>
          <w:right w:w="0" w:type="dxa"/>
        </w:tblCellMar>
        <w:tblLook w:val="01E0"/>
      </w:tblPr>
      <w:tblGrid>
        <w:gridCol w:w="3437"/>
        <w:gridCol w:w="979"/>
        <w:gridCol w:w="2256"/>
        <w:gridCol w:w="2377"/>
      </w:tblGrid>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26,156,880,600.00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16,078,778,729.95</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23,548,852,700.00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3,380,780,430.55</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1,441,337,037.55</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782,740,109.90</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1,108,643,755.55</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3,398,260,265.34</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26,098,833,493.10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7,561,780,805.79</w:t>
            </w:r>
          </w:p>
        </w:tc>
      </w:tr>
      <w:tr>
        <w:trPr>
          <w:trHeight w:val="560"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58,047,106.90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8,516,997,924.16</w:t>
            </w:r>
          </w:p>
        </w:tc>
      </w:tr>
      <w:tr>
        <w:trPr>
          <w:trHeight w:val="559"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46,664,275.55</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-38,806,495.77</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318,840,679.46</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-5,215,915,463.07</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11,260,726,648.66</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16,476,642,111.73</w:t>
            </w:r>
          </w:p>
        </w:tc>
      </w:tr>
      <w:tr>
        <w:trPr>
          <w:trHeight w:val="288" w:hRule="exact"/>
        </w:trPr>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11,579,567,328.12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11,260,726,648.66</w:t>
            </w:r>
          </w:p>
        </w:tc>
      </w:tr>
    </w:tbl>
    <w:p>
      <w:pPr>
        <w:pStyle w:val="BodyText"/>
        <w:tabs>
          <w:tab w:pos="2609" w:val="left" w:leader="none"/>
          <w:tab w:pos="5552" w:val="left" w:leader="none"/>
        </w:tabs>
        <w:spacing w:line="241" w:lineRule="exact"/>
        <w:ind w:left="298" w:right="0"/>
        <w:jc w:val="left"/>
      </w:pPr>
      <w:r>
        <w:rPr>
          <w:spacing w:val="-1"/>
        </w:rPr>
        <w:t>法定代表人：陆建强</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060" w:bottom="1380" w:left="1500" w:right="920"/>
        </w:sectPr>
      </w:pPr>
    </w:p>
    <w:p>
      <w:pPr>
        <w:spacing w:line="272" w:lineRule="exact" w:before="64"/>
        <w:ind w:left="395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64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500" w:right="920"/>
          <w:cols w:num="2" w:equalWidth="0">
            <w:col w:w="5560" w:space="40"/>
            <w:col w:w="3890"/>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725"/>
        <w:gridCol w:w="1275"/>
        <w:gridCol w:w="2126"/>
        <w:gridCol w:w="2127"/>
      </w:tblGrid>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处置以公允价值计量且变动计入当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期损益的金融资产净增加额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280,035,799.14</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2,860,604,374.46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2,973,792,844.04</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433,611,860.27</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融出资金净减少额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4,241,761,601.62</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627,875,816.98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1,044,998,813.07</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8,443,889,452.47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4,018,791,657.11</w:t>
            </w:r>
          </w:p>
        </w:tc>
      </w:tr>
      <w:tr>
        <w:trPr>
          <w:trHeight w:val="55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当期损益的金融资产减值净减少额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2,670,779,416.94</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融出资金净增加额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1,991,984,879.52</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代理买卖证券支付的现金净额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927,225,697.50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4,295,318,651.75</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434,147,532.88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480,334,057.69</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871,380,056.22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971,543,886.78</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314,459,964.11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472,315,767.40</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回购业务资金净减少额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2,987,793,493.97</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3,679,221,815.55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2,962,078,578.81</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6,226,435,066.26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16,832,148,732.86</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2,217,454,386.21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-12,813,357,075.75</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150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725"/>
        <w:gridCol w:w="1275"/>
        <w:gridCol w:w="2126"/>
        <w:gridCol w:w="2127"/>
      </w:tblGrid>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65,902,173.75</w:t>
            </w: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3,584,680.69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341,849.51</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69,486,854.44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341,849.51</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2,303,500,000.00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250,000,000.00</w:t>
            </w:r>
          </w:p>
        </w:tc>
      </w:tr>
      <w:tr>
        <w:trPr>
          <w:trHeight w:val="55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121,677,962.94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138,508,518.93</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2,425,177,962.94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388,508,518.93</w:t>
            </w:r>
          </w:p>
        </w:tc>
      </w:tr>
      <w:tr>
        <w:trPr>
          <w:trHeight w:val="28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-2,355,691,108.50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-388,166,669.42</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3,958,324,299.40</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24,050,240,000.00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8,724,410,000.00</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2,000,000,000.00</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25,050,240,000.00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14,682,734,299.40</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22,555,680,000.00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2,373,850,000.00</w:t>
            </w:r>
          </w:p>
        </w:tc>
      </w:tr>
      <w:tr>
        <w:trPr>
          <w:trHeight w:val="55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分配股利、利润或偿付利息支付的现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1,422,028,406.71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774,798,399.14</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3,370,000,000.00</w:t>
            </w:r>
          </w:p>
        </w:tc>
      </w:tr>
      <w:tr>
        <w:trPr>
          <w:trHeight w:val="286"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25,077,708,406.71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6,518,648,399.14</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43"/>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-27,468,406.71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8,164,085,900.26</w:t>
            </w:r>
          </w:p>
        </w:tc>
      </w:tr>
      <w:tr>
        <w:trPr>
          <w:trHeight w:val="559"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四、汇率变动对现金及现金等价物的影</w:t>
            </w:r>
            <w:r>
              <w:rPr>
                <w:rFonts w:ascii="宋体" w:hAnsi="宋体" w:cs="宋体" w:eastAsia="宋体" w:hint="default"/>
                <w:spacing w:val="-5"/>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-165,705,129.00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-5,037,437,844.91</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10,880,442,192.69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15,917,880,037.60</w:t>
            </w:r>
          </w:p>
        </w:tc>
      </w:tr>
      <w:tr>
        <w:trPr>
          <w:trHeight w:val="288" w:hRule="exact"/>
        </w:trPr>
        <w:tc>
          <w:tcPr>
            <w:tcW w:w="3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10,714,737,063.69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10,880,442,192.69</w:t>
            </w:r>
          </w:p>
        </w:tc>
      </w:tr>
    </w:tbl>
    <w:p>
      <w:pPr>
        <w:spacing w:line="240" w:lineRule="auto" w:before="5"/>
        <w:rPr>
          <w:rFonts w:ascii="宋体" w:hAnsi="宋体" w:cs="宋体" w:eastAsia="宋体" w:hint="default"/>
          <w:sz w:val="15"/>
          <w:szCs w:val="15"/>
        </w:rPr>
      </w:pPr>
    </w:p>
    <w:p>
      <w:pPr>
        <w:pStyle w:val="BodyText"/>
        <w:tabs>
          <w:tab w:pos="2609" w:val="left" w:leader="none"/>
          <w:tab w:pos="5552" w:val="left" w:leader="none"/>
        </w:tabs>
        <w:spacing w:line="240" w:lineRule="auto" w:before="36"/>
        <w:ind w:left="298" w:right="0"/>
        <w:jc w:val="left"/>
      </w:pPr>
      <w:r>
        <w:rPr>
          <w:spacing w:val="-1"/>
        </w:rPr>
        <w:t>法定代表人：陆建强</w:t>
        <w:tab/>
      </w:r>
      <w:r>
        <w:rPr>
          <w:spacing w:val="-2"/>
        </w:rPr>
        <w:t>主管会计工作负责人：王跃军</w:t>
        <w:tab/>
        <w:t>会计机构负责人：王跃军</w:t>
      </w:r>
    </w:p>
    <w:p>
      <w:pPr>
        <w:spacing w:after="0" w:line="240" w:lineRule="auto"/>
        <w:jc w:val="left"/>
        <w:sectPr>
          <w:pgSz w:w="11910" w:h="16840"/>
          <w:pgMar w:header="880" w:footer="1195" w:top="1060" w:bottom="1380" w:left="15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6"/>
          <w:footerReference w:type="default" r:id="rId47"/>
          <w:pgSz w:w="16840" w:h="11910" w:orient="landscape"/>
          <w:pgMar w:header="877" w:footer="1195" w:top="1100" w:bottom="1380" w:left="600" w:right="680"/>
          <w:pgNumType w:start="115"/>
        </w:sectPr>
      </w:pPr>
    </w:p>
    <w:p>
      <w:pPr>
        <w:pStyle w:val="Heading2"/>
        <w:spacing w:line="240" w:lineRule="auto" w:before="163"/>
        <w:ind w:left="0" w:right="0"/>
        <w:jc w:val="right"/>
        <w:rPr>
          <w:rFonts w:ascii="宋体" w:hAnsi="宋体" w:cs="宋体" w:eastAsia="宋体" w:hint="default"/>
          <w:b w:val="0"/>
          <w:bCs w:val="0"/>
        </w:rPr>
      </w:pPr>
      <w:r>
        <w:rPr>
          <w:rFonts w:ascii="宋体" w:hAnsi="宋体" w:cs="宋体" w:eastAsia="宋体" w:hint="default"/>
          <w:w w:val="95"/>
        </w:rPr>
        <w:t>合并所有者权益变动表</w:t>
      </w:r>
      <w:r>
        <w:rPr>
          <w:rFonts w:ascii="宋体" w:hAnsi="宋体" w:cs="宋体" w:eastAsia="宋体" w:hint="default"/>
          <w:b w:val="0"/>
          <w:bCs w:val="0"/>
        </w:rPr>
      </w:r>
    </w:p>
    <w:p>
      <w:pPr>
        <w:pStyle w:val="BodyText"/>
        <w:spacing w:line="240" w:lineRule="auto" w:before="4"/>
        <w:ind w:left="0" w:right="438"/>
        <w:jc w:val="right"/>
      </w:pP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3813"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060" w:bottom="1380" w:left="600" w:right="680"/>
          <w:cols w:num="2" w:equalWidth="0">
            <w:col w:w="8970" w:space="40"/>
            <w:col w:w="6550"/>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554"/>
        <w:gridCol w:w="1274"/>
        <w:gridCol w:w="428"/>
        <w:gridCol w:w="1133"/>
        <w:gridCol w:w="425"/>
        <w:gridCol w:w="1277"/>
        <w:gridCol w:w="567"/>
        <w:gridCol w:w="1418"/>
        <w:gridCol w:w="1133"/>
        <w:gridCol w:w="1277"/>
        <w:gridCol w:w="1274"/>
        <w:gridCol w:w="1135"/>
        <w:gridCol w:w="1419"/>
      </w:tblGrid>
      <w:tr>
        <w:trPr>
          <w:trHeight w:val="250" w:hRule="exact"/>
        </w:trPr>
        <w:tc>
          <w:tcPr>
            <w:tcW w:w="2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554" w:type="dxa"/>
            <w:vMerge/>
            <w:tcBorders>
              <w:left w:val="single" w:sz="4" w:space="0" w:color="000000"/>
              <w:right w:val="single" w:sz="4" w:space="0" w:color="000000"/>
            </w:tcBorders>
          </w:tcPr>
          <w:p>
            <w:pPr/>
          </w:p>
        </w:tc>
        <w:tc>
          <w:tcPr>
            <w:tcW w:w="102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0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470" w:right="11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614" w:right="16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63" w:hRule="exact"/>
        </w:trPr>
        <w:tc>
          <w:tcPr>
            <w:tcW w:w="2554"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4" w:space="0" w:color="000000"/>
              <w:left w:val="single" w:sz="4" w:space="0" w:color="000000"/>
              <w:right w:val="single" w:sz="4" w:space="0" w:color="000000"/>
            </w:tcBorders>
          </w:tcPr>
          <w:p>
            <w:pPr>
              <w:pStyle w:val="TableParagraph"/>
              <w:spacing w:line="244" w:lineRule="auto" w:before="40"/>
              <w:ind w:left="187" w:right="93"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4" w:lineRule="auto"/>
              <w:ind w:left="543" w:right="183" w:hanging="361"/>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730" w:hRule="exact"/>
        </w:trPr>
        <w:tc>
          <w:tcPr>
            <w:tcW w:w="255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17" w:right="118"/>
              <w:jc w:val="left"/>
              <w:rPr>
                <w:rFonts w:ascii="宋体" w:hAnsi="宋体" w:cs="宋体" w:eastAsia="宋体" w:hint="default"/>
                <w:sz w:val="18"/>
                <w:szCs w:val="18"/>
              </w:rPr>
            </w:pPr>
            <w:r>
              <w:rPr>
                <w:rFonts w:ascii="宋体" w:hAnsi="宋体" w:cs="宋体" w:eastAsia="宋体" w:hint="default"/>
                <w:sz w:val="18"/>
                <w:szCs w:val="18"/>
              </w:rPr>
              <w:t>先 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3,589,000,000.00</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宋体" w:hAnsi="宋体" w:cs="宋体" w:eastAsia="宋体" w:hint="default"/>
                <w:sz w:val="13"/>
                <w:szCs w:val="13"/>
              </w:rPr>
            </w:pPr>
            <w:r>
              <w:rPr>
                <w:rFonts w:ascii="宋体"/>
                <w:sz w:val="13"/>
              </w:rPr>
              <w:t>8,266,130,824.98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738,930,368.21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13"/>
                <w:szCs w:val="13"/>
              </w:rPr>
            </w:pPr>
            <w:r>
              <w:rPr>
                <w:rFonts w:ascii="宋体"/>
                <w:sz w:val="13"/>
              </w:rPr>
              <w:t>706,149,987.73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13"/>
                <w:szCs w:val="13"/>
              </w:rPr>
            </w:pPr>
            <w:r>
              <w:rPr>
                <w:rFonts w:ascii="宋体"/>
                <w:w w:val="95"/>
                <w:sz w:val="13"/>
              </w:rPr>
              <w:t>1,888,927,333.84</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5,101,093,725.61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宋体" w:hAnsi="宋体" w:cs="宋体" w:eastAsia="宋体" w:hint="default"/>
                <w:sz w:val="13"/>
                <w:szCs w:val="13"/>
              </w:rPr>
            </w:pPr>
            <w:r>
              <w:rPr>
                <w:rFonts w:ascii="宋体"/>
                <w:w w:val="95"/>
                <w:sz w:val="13"/>
              </w:rPr>
              <w:t>21,043,479.30</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20,811,275,719.67</w:t>
            </w:r>
            <w:r>
              <w:rPr>
                <w:rFonts w:ascii="宋体"/>
                <w:sz w:val="13"/>
              </w:rPr>
            </w: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3"/>
                <w:szCs w:val="13"/>
              </w:rPr>
            </w:pPr>
            <w:r>
              <w:rPr>
                <w:rFonts w:ascii="宋体"/>
                <w:w w:val="95"/>
                <w:sz w:val="13"/>
              </w:rPr>
              <w:t>3,589,000,000.00</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4" w:right="0"/>
              <w:jc w:val="left"/>
              <w:rPr>
                <w:rFonts w:ascii="宋体" w:hAnsi="宋体" w:cs="宋体" w:eastAsia="宋体" w:hint="default"/>
                <w:sz w:val="13"/>
                <w:szCs w:val="13"/>
              </w:rPr>
            </w:pPr>
            <w:r>
              <w:rPr>
                <w:rFonts w:ascii="宋体"/>
                <w:sz w:val="13"/>
              </w:rPr>
              <w:t>8,266,130,824.98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3"/>
                <w:szCs w:val="13"/>
              </w:rPr>
            </w:pPr>
            <w:r>
              <w:rPr>
                <w:rFonts w:ascii="宋体"/>
                <w:w w:val="95"/>
                <w:sz w:val="13"/>
              </w:rPr>
              <w:t>738,930,368.21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13"/>
                <w:szCs w:val="13"/>
              </w:rPr>
            </w:pPr>
            <w:r>
              <w:rPr>
                <w:rFonts w:ascii="宋体"/>
                <w:sz w:val="13"/>
              </w:rPr>
              <w:t>706,149,987.73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宋体" w:hAnsi="宋体" w:cs="宋体" w:eastAsia="宋体" w:hint="default"/>
                <w:sz w:val="13"/>
                <w:szCs w:val="13"/>
              </w:rPr>
            </w:pPr>
            <w:r>
              <w:rPr>
                <w:rFonts w:ascii="宋体"/>
                <w:w w:val="95"/>
                <w:sz w:val="13"/>
              </w:rPr>
              <w:t>1,888,927,333.84</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3"/>
                <w:szCs w:val="13"/>
              </w:rPr>
            </w:pPr>
            <w:r>
              <w:rPr>
                <w:rFonts w:ascii="宋体"/>
                <w:w w:val="95"/>
                <w:sz w:val="13"/>
              </w:rPr>
              <w:t>5,101,093,725.61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宋体" w:hAnsi="宋体" w:cs="宋体" w:eastAsia="宋体" w:hint="default"/>
                <w:sz w:val="13"/>
                <w:szCs w:val="13"/>
              </w:rPr>
            </w:pPr>
            <w:r>
              <w:rPr>
                <w:rFonts w:ascii="宋体"/>
                <w:w w:val="95"/>
                <w:sz w:val="13"/>
              </w:rPr>
              <w:t>21,043,479.30</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3"/>
                <w:szCs w:val="13"/>
              </w:rPr>
            </w:pPr>
            <w:r>
              <w:rPr>
                <w:rFonts w:ascii="宋体"/>
                <w:w w:val="95"/>
                <w:sz w:val="13"/>
              </w:rPr>
              <w:t>20,811,275,719.67</w:t>
            </w:r>
            <w:r>
              <w:rPr>
                <w:rFonts w:ascii="宋体"/>
                <w:sz w:val="13"/>
              </w:rPr>
            </w: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-1,274,699,372.33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74" w:right="0"/>
              <w:jc w:val="center"/>
              <w:rPr>
                <w:rFonts w:ascii="宋体" w:hAnsi="宋体" w:cs="宋体" w:eastAsia="宋体" w:hint="default"/>
                <w:sz w:val="13"/>
                <w:szCs w:val="13"/>
              </w:rPr>
            </w:pPr>
            <w:r>
              <w:rPr>
                <w:rFonts w:ascii="宋体"/>
                <w:sz w:val="13"/>
              </w:rPr>
              <w:t>70,490,502.68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4"/>
              <w:jc w:val="right"/>
              <w:rPr>
                <w:rFonts w:ascii="宋体" w:hAnsi="宋体" w:cs="宋体" w:eastAsia="宋体" w:hint="default"/>
                <w:sz w:val="13"/>
                <w:szCs w:val="13"/>
              </w:rPr>
            </w:pPr>
            <w:r>
              <w:rPr>
                <w:rFonts w:ascii="宋体"/>
                <w:w w:val="95"/>
                <w:sz w:val="13"/>
              </w:rPr>
              <w:t>276,270,378.30</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3"/>
                <w:szCs w:val="13"/>
              </w:rPr>
            </w:pPr>
            <w:r>
              <w:rPr>
                <w:rFonts w:ascii="宋体"/>
                <w:w w:val="95"/>
                <w:sz w:val="13"/>
              </w:rPr>
              <w:t>-196,945,964.47</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-10,211,197.57</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-1,135,095,653.39</w:t>
            </w:r>
            <w:r>
              <w:rPr>
                <w:rFonts w:ascii="宋体"/>
                <w:sz w:val="13"/>
              </w:rPr>
            </w: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3"/>
                <w:szCs w:val="13"/>
              </w:rPr>
            </w:pPr>
            <w:r>
              <w:rPr>
                <w:rFonts w:ascii="宋体"/>
                <w:w w:val="95"/>
                <w:sz w:val="13"/>
              </w:rPr>
              <w:t>-1,274,699,372.33</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13"/>
                <w:szCs w:val="13"/>
              </w:rPr>
            </w:pPr>
            <w:r>
              <w:rPr>
                <w:rFonts w:ascii="宋体"/>
                <w:w w:val="95"/>
                <w:sz w:val="13"/>
              </w:rPr>
              <w:t>818,836,066.51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宋体" w:hAnsi="宋体" w:cs="宋体" w:eastAsia="宋体" w:hint="default"/>
                <w:sz w:val="13"/>
                <w:szCs w:val="13"/>
              </w:rPr>
            </w:pPr>
            <w:r>
              <w:rPr>
                <w:rFonts w:ascii="宋体"/>
                <w:w w:val="95"/>
                <w:sz w:val="13"/>
              </w:rPr>
              <w:t>-1,567,442.02</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3"/>
                <w:szCs w:val="13"/>
              </w:rPr>
            </w:pPr>
            <w:r>
              <w:rPr>
                <w:rFonts w:ascii="宋体"/>
                <w:w w:val="95"/>
                <w:sz w:val="13"/>
              </w:rPr>
              <w:t>-457,430,747.84</w:t>
            </w:r>
            <w:r>
              <w:rPr>
                <w:rFonts w:ascii="宋体"/>
                <w:sz w:val="13"/>
              </w:rPr>
            </w: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宋体" w:hAnsi="宋体" w:cs="宋体" w:eastAsia="宋体" w:hint="default"/>
                <w:sz w:val="13"/>
                <w:szCs w:val="13"/>
              </w:rPr>
            </w:pPr>
            <w:r>
              <w:rPr>
                <w:rFonts w:ascii="宋体"/>
                <w:w w:val="95"/>
                <w:sz w:val="13"/>
              </w:rPr>
              <w:t>-8,643,755.55</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-8,643,755.55</w:t>
            </w:r>
            <w:r>
              <w:rPr>
                <w:rFonts w:ascii="宋体"/>
                <w:sz w:val="13"/>
              </w:rPr>
            </w: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宋体" w:hAnsi="宋体" w:cs="宋体" w:eastAsia="宋体" w:hint="default"/>
                <w:sz w:val="13"/>
                <w:szCs w:val="13"/>
              </w:rPr>
            </w:pPr>
            <w:r>
              <w:rPr>
                <w:rFonts w:ascii="宋体"/>
                <w:w w:val="95"/>
                <w:sz w:val="13"/>
              </w:rPr>
              <w:t>-8,643,755.55</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-8,643,755.55</w:t>
            </w:r>
            <w:r>
              <w:rPr>
                <w:rFonts w:ascii="宋体"/>
                <w:sz w:val="13"/>
              </w:rPr>
            </w:r>
          </w:p>
        </w:tc>
      </w:tr>
      <w:tr>
        <w:trPr>
          <w:trHeight w:val="34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9" w:right="0"/>
              <w:jc w:val="center"/>
              <w:rPr>
                <w:rFonts w:ascii="宋体" w:hAnsi="宋体" w:cs="宋体" w:eastAsia="宋体" w:hint="default"/>
                <w:sz w:val="13"/>
                <w:szCs w:val="13"/>
              </w:rPr>
            </w:pPr>
            <w:r>
              <w:rPr>
                <w:rFonts w:ascii="宋体"/>
                <w:sz w:val="13"/>
              </w:rPr>
              <w:t>70,490,502.68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3"/>
                <w:szCs w:val="13"/>
              </w:rPr>
            </w:pPr>
            <w:r>
              <w:rPr>
                <w:rFonts w:ascii="宋体"/>
                <w:w w:val="95"/>
                <w:sz w:val="13"/>
              </w:rPr>
              <w:t>276,270,378.30</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-1,015,782,030.9</w:t>
            </w:r>
            <w:r>
              <w:rPr>
                <w:rFonts w:ascii="宋体"/>
                <w:sz w:val="13"/>
              </w:rPr>
            </w:r>
          </w:p>
          <w:p>
            <w:pPr>
              <w:pStyle w:val="TableParagraph"/>
              <w:spacing w:line="169" w:lineRule="exact"/>
              <w:ind w:right="98"/>
              <w:jc w:val="right"/>
              <w:rPr>
                <w:rFonts w:ascii="宋体" w:hAnsi="宋体" w:cs="宋体" w:eastAsia="宋体" w:hint="default"/>
                <w:sz w:val="13"/>
                <w:szCs w:val="13"/>
              </w:rPr>
            </w:pPr>
            <w:r>
              <w:rPr>
                <w:rFonts w:ascii="宋体"/>
                <w:w w:val="99"/>
                <w:sz w:val="13"/>
              </w:rPr>
              <w:t>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-669,021,150.00</w:t>
            </w:r>
            <w:r>
              <w:rPr>
                <w:rFonts w:ascii="宋体"/>
                <w:sz w:val="13"/>
              </w:rPr>
            </w: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4" w:right="0"/>
              <w:jc w:val="center"/>
              <w:rPr>
                <w:rFonts w:ascii="宋体" w:hAnsi="宋体" w:cs="宋体" w:eastAsia="宋体" w:hint="default"/>
                <w:sz w:val="13"/>
                <w:szCs w:val="13"/>
              </w:rPr>
            </w:pPr>
            <w:r>
              <w:rPr>
                <w:rFonts w:ascii="宋体"/>
                <w:sz w:val="13"/>
              </w:rPr>
              <w:t>70,490,502.68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13"/>
                <w:szCs w:val="13"/>
              </w:rPr>
            </w:pPr>
            <w:r>
              <w:rPr>
                <w:rFonts w:ascii="宋体"/>
                <w:w w:val="95"/>
                <w:sz w:val="13"/>
              </w:rPr>
              <w:t>-70,490,502.68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13"/>
                <w:szCs w:val="13"/>
              </w:rPr>
            </w:pPr>
            <w:r>
              <w:rPr>
                <w:rFonts w:ascii="宋体"/>
                <w:w w:val="95"/>
                <w:sz w:val="13"/>
              </w:rPr>
              <w:t>276,270,378.30</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-276,270,378.30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-669,021,150.00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-669,021,150.00</w:t>
            </w:r>
            <w:r>
              <w:rPr>
                <w:rFonts w:ascii="宋体"/>
                <w:sz w:val="13"/>
              </w:rPr>
            </w: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554"/>
        <w:gridCol w:w="1274"/>
        <w:gridCol w:w="428"/>
        <w:gridCol w:w="1133"/>
        <w:gridCol w:w="425"/>
        <w:gridCol w:w="1277"/>
        <w:gridCol w:w="567"/>
        <w:gridCol w:w="1418"/>
        <w:gridCol w:w="1133"/>
        <w:gridCol w:w="1277"/>
        <w:gridCol w:w="1274"/>
        <w:gridCol w:w="1135"/>
        <w:gridCol w:w="1419"/>
      </w:tblGrid>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4" w:right="0"/>
              <w:jc w:val="left"/>
              <w:rPr>
                <w:rFonts w:ascii="宋体" w:hAnsi="宋体" w:cs="宋体" w:eastAsia="宋体" w:hint="default"/>
                <w:sz w:val="13"/>
                <w:szCs w:val="13"/>
              </w:rPr>
            </w:pPr>
            <w:r>
              <w:rPr>
                <w:rFonts w:ascii="宋体"/>
                <w:sz w:val="13"/>
              </w:rPr>
              <w:t>3,589,000,000.00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7" w:right="0"/>
              <w:jc w:val="left"/>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4" w:right="0"/>
              <w:jc w:val="left"/>
              <w:rPr>
                <w:rFonts w:ascii="宋体" w:hAnsi="宋体" w:cs="宋体" w:eastAsia="宋体" w:hint="default"/>
                <w:sz w:val="13"/>
                <w:szCs w:val="13"/>
              </w:rPr>
            </w:pPr>
            <w:r>
              <w:rPr>
                <w:rFonts w:ascii="宋体"/>
                <w:sz w:val="13"/>
              </w:rPr>
              <w:t>8,266,130,824.98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1" w:right="0"/>
              <w:jc w:val="left"/>
              <w:rPr>
                <w:rFonts w:ascii="宋体" w:hAnsi="宋体" w:cs="宋体" w:eastAsia="宋体" w:hint="default"/>
                <w:sz w:val="13"/>
                <w:szCs w:val="13"/>
              </w:rPr>
            </w:pPr>
            <w:r>
              <w:rPr>
                <w:rFonts w:ascii="宋体"/>
                <w:sz w:val="13"/>
              </w:rPr>
              <w:t>-535,769,004.12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left"/>
              <w:rPr>
                <w:rFonts w:ascii="宋体" w:hAnsi="宋体" w:cs="宋体" w:eastAsia="宋体" w:hint="default"/>
                <w:sz w:val="13"/>
                <w:szCs w:val="13"/>
              </w:rPr>
            </w:pPr>
            <w:r>
              <w:rPr>
                <w:rFonts w:ascii="宋体"/>
                <w:sz w:val="13"/>
              </w:rPr>
              <w:t>776,640,490.41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13"/>
                <w:szCs w:val="13"/>
              </w:rPr>
            </w:pPr>
            <w:r>
              <w:rPr>
                <w:rFonts w:ascii="宋体"/>
                <w:sz w:val="13"/>
              </w:rPr>
              <w:t>2,165,197,712.14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7" w:right="0"/>
              <w:jc w:val="left"/>
              <w:rPr>
                <w:rFonts w:ascii="宋体" w:hAnsi="宋体" w:cs="宋体" w:eastAsia="宋体" w:hint="default"/>
                <w:sz w:val="13"/>
                <w:szCs w:val="13"/>
              </w:rPr>
            </w:pPr>
            <w:r>
              <w:rPr>
                <w:rFonts w:ascii="宋体"/>
                <w:sz w:val="13"/>
              </w:rPr>
              <w:t>4,904,147,761.14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75" w:right="0"/>
              <w:jc w:val="left"/>
              <w:rPr>
                <w:rFonts w:ascii="宋体" w:hAnsi="宋体" w:cs="宋体" w:eastAsia="宋体" w:hint="default"/>
                <w:sz w:val="13"/>
                <w:szCs w:val="13"/>
              </w:rPr>
            </w:pPr>
            <w:r>
              <w:rPr>
                <w:rFonts w:ascii="宋体"/>
                <w:sz w:val="13"/>
              </w:rPr>
              <w:t>10,832,281.73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2" w:right="0"/>
              <w:jc w:val="left"/>
              <w:rPr>
                <w:rFonts w:ascii="宋体" w:hAnsi="宋体" w:cs="宋体" w:eastAsia="宋体" w:hint="default"/>
                <w:sz w:val="13"/>
                <w:szCs w:val="13"/>
              </w:rPr>
            </w:pPr>
            <w:r>
              <w:rPr>
                <w:rFonts w:ascii="宋体"/>
                <w:sz w:val="13"/>
              </w:rPr>
              <w:t>19,676,180,066.28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364" w:type="dxa"/>
        <w:tblLayout w:type="fixed"/>
        <w:tblCellMar>
          <w:top w:w="0" w:type="dxa"/>
          <w:left w:w="0" w:type="dxa"/>
          <w:bottom w:w="0" w:type="dxa"/>
          <w:right w:w="0" w:type="dxa"/>
        </w:tblCellMar>
        <w:tblLook w:val="01E0"/>
      </w:tblPr>
      <w:tblGrid>
        <w:gridCol w:w="2352"/>
        <w:gridCol w:w="1262"/>
        <w:gridCol w:w="425"/>
        <w:gridCol w:w="1135"/>
        <w:gridCol w:w="425"/>
        <w:gridCol w:w="1274"/>
        <w:gridCol w:w="569"/>
        <w:gridCol w:w="1133"/>
        <w:gridCol w:w="1135"/>
        <w:gridCol w:w="1275"/>
        <w:gridCol w:w="1277"/>
        <w:gridCol w:w="1133"/>
        <w:gridCol w:w="1277"/>
        <w:gridCol w:w="142"/>
      </w:tblGrid>
      <w:tr>
        <w:trPr>
          <w:trHeight w:val="250" w:hRule="exact"/>
        </w:trPr>
        <w:tc>
          <w:tcPr>
            <w:tcW w:w="23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2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c>
          <w:tcPr>
            <w:tcW w:w="142" w:type="dxa"/>
            <w:tcBorders>
              <w:top w:val="nil" w:sz="6" w:space="0" w:color="auto"/>
              <w:left w:val="single" w:sz="4" w:space="0" w:color="000000"/>
              <w:bottom w:val="single" w:sz="4" w:space="0" w:color="000000"/>
              <w:right w:val="nil" w:sz="6" w:space="0" w:color="auto"/>
            </w:tcBorders>
          </w:tcPr>
          <w:p>
            <w:pPr/>
          </w:p>
        </w:tc>
      </w:tr>
      <w:tr>
        <w:trPr>
          <w:trHeight w:val="480" w:hRule="exact"/>
        </w:trPr>
        <w:tc>
          <w:tcPr>
            <w:tcW w:w="2352" w:type="dxa"/>
            <w:vMerge/>
            <w:tcBorders>
              <w:left w:val="single" w:sz="4" w:space="0" w:color="000000"/>
              <w:right w:val="single" w:sz="4" w:space="0" w:color="000000"/>
            </w:tcBorders>
          </w:tcPr>
          <w:p>
            <w:pPr/>
          </w:p>
        </w:tc>
        <w:tc>
          <w:tcPr>
            <w:tcW w:w="99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5"/>
              <w:ind w:left="470"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394" w:hRule="exact"/>
        </w:trPr>
        <w:tc>
          <w:tcPr>
            <w:tcW w:w="2352" w:type="dxa"/>
            <w:vMerge/>
            <w:tcBorders>
              <w:left w:val="single" w:sz="4" w:space="0" w:color="000000"/>
              <w:right w:val="single" w:sz="4" w:space="0" w:color="000000"/>
            </w:tcBorders>
          </w:tcPr>
          <w:p>
            <w:pP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4" w:space="0" w:color="000000"/>
              <w:left w:val="single" w:sz="4" w:space="0" w:color="000000"/>
              <w:right w:val="single" w:sz="4" w:space="0" w:color="000000"/>
            </w:tcBorders>
          </w:tcPr>
          <w:p>
            <w:pPr>
              <w:pStyle w:val="TableParagraph"/>
              <w:spacing w:line="244" w:lineRule="auto" w:before="44"/>
              <w:ind w:left="187" w:right="94"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4" w:lineRule="auto"/>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4" w:lineRule="auto"/>
              <w:ind w:left="542" w:right="182"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3" w:type="dxa"/>
            <w:vMerge/>
            <w:tcBorders>
              <w:left w:val="single" w:sz="4" w:space="0" w:color="000000"/>
              <w:right w:val="single" w:sz="4" w:space="0" w:color="000000"/>
            </w:tcBorders>
          </w:tcPr>
          <w:p>
            <w:pPr/>
          </w:p>
        </w:tc>
        <w:tc>
          <w:tcPr>
            <w:tcW w:w="1419" w:type="dxa"/>
            <w:gridSpan w:val="2"/>
            <w:vMerge w:val="restart"/>
            <w:tcBorders>
              <w:top w:val="single" w:sz="4" w:space="0" w:color="000000"/>
              <w:left w:val="single" w:sz="4" w:space="0" w:color="000000"/>
              <w:right w:val="single" w:sz="4" w:space="0" w:color="000000"/>
            </w:tcBorders>
          </w:tcPr>
          <w:p>
            <w:pPr/>
          </w:p>
        </w:tc>
      </w:tr>
      <w:tr>
        <w:trPr>
          <w:trHeight w:val="711" w:hRule="exact"/>
        </w:trPr>
        <w:tc>
          <w:tcPr>
            <w:tcW w:w="2352" w:type="dxa"/>
            <w:vMerge/>
            <w:tcBorders>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9" w:type="dxa"/>
            <w:gridSpan w:val="2"/>
            <w:vMerge/>
            <w:tcBorders>
              <w:left w:val="single" w:sz="4" w:space="0" w:color="000000"/>
              <w:bottom w:val="single" w:sz="4" w:space="0" w:color="000000"/>
              <w:right w:val="single" w:sz="4" w:space="0" w:color="000000"/>
            </w:tcBorders>
          </w:tcPr>
          <w:p>
            <w:pPr/>
          </w:p>
        </w:tc>
      </w:tr>
      <w:tr>
        <w:trPr>
          <w:trHeight w:val="2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4,662,974,941.51</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637,981,544.78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554,845,193.25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center"/>
              <w:rPr>
                <w:rFonts w:ascii="宋体" w:hAnsi="宋体" w:cs="宋体" w:eastAsia="宋体" w:hint="default"/>
                <w:sz w:val="13"/>
                <w:szCs w:val="13"/>
              </w:rPr>
            </w:pPr>
            <w:r>
              <w:rPr>
                <w:rFonts w:ascii="宋体"/>
                <w:sz w:val="13"/>
              </w:rPr>
              <w:t>1,562,965,573.63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4,097,429,812.12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9" w:right="0"/>
              <w:jc w:val="center"/>
              <w:rPr>
                <w:rFonts w:ascii="宋体" w:hAnsi="宋体" w:cs="宋体" w:eastAsia="宋体" w:hint="default"/>
                <w:sz w:val="13"/>
                <w:szCs w:val="13"/>
              </w:rPr>
            </w:pPr>
            <w:r>
              <w:rPr>
                <w:rFonts w:ascii="宋体"/>
                <w:sz w:val="13"/>
              </w:rPr>
              <w:t>91,835,313.52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9" w:right="0"/>
              <w:jc w:val="left"/>
              <w:rPr>
                <w:rFonts w:ascii="宋体" w:hAnsi="宋体" w:cs="宋体" w:eastAsia="宋体" w:hint="default"/>
                <w:sz w:val="13"/>
                <w:szCs w:val="13"/>
              </w:rPr>
            </w:pPr>
            <w:r>
              <w:rPr>
                <w:rFonts w:ascii="宋体"/>
                <w:sz w:val="13"/>
              </w:rPr>
              <w:t>15,338,032,378.81</w:t>
            </w: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4,662,974,941.51</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637,981,544.78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554,845,193.25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center"/>
              <w:rPr>
                <w:rFonts w:ascii="宋体" w:hAnsi="宋体" w:cs="宋体" w:eastAsia="宋体" w:hint="default"/>
                <w:sz w:val="13"/>
                <w:szCs w:val="13"/>
              </w:rPr>
            </w:pPr>
            <w:r>
              <w:rPr>
                <w:rFonts w:ascii="宋体"/>
                <w:sz w:val="13"/>
              </w:rPr>
              <w:t>1,562,965,573.63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4,097,429,812.12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9" w:right="0"/>
              <w:jc w:val="center"/>
              <w:rPr>
                <w:rFonts w:ascii="宋体" w:hAnsi="宋体" w:cs="宋体" w:eastAsia="宋体" w:hint="default"/>
                <w:sz w:val="13"/>
                <w:szCs w:val="13"/>
              </w:rPr>
            </w:pPr>
            <w:r>
              <w:rPr>
                <w:rFonts w:ascii="宋体"/>
                <w:sz w:val="13"/>
              </w:rPr>
              <w:t>91,835,313.52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9" w:right="0"/>
              <w:jc w:val="left"/>
              <w:rPr>
                <w:rFonts w:ascii="宋体" w:hAnsi="宋体" w:cs="宋体" w:eastAsia="宋体" w:hint="default"/>
                <w:sz w:val="13"/>
                <w:szCs w:val="13"/>
              </w:rPr>
            </w:pPr>
            <w:r>
              <w:rPr>
                <w:rFonts w:ascii="宋体"/>
                <w:sz w:val="13"/>
              </w:rPr>
              <w:t>15,338,032,378.81</w:t>
            </w:r>
          </w:p>
        </w:tc>
      </w:tr>
      <w:tr>
        <w:trPr>
          <w:trHeight w:val="478"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3,603,155,883.47</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100,948,823.43</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 w:right="0"/>
              <w:jc w:val="center"/>
              <w:rPr>
                <w:rFonts w:ascii="宋体" w:hAnsi="宋体" w:cs="宋体" w:eastAsia="宋体" w:hint="default"/>
                <w:sz w:val="13"/>
                <w:szCs w:val="13"/>
              </w:rPr>
            </w:pPr>
            <w:r>
              <w:rPr>
                <w:rFonts w:ascii="宋体"/>
                <w:sz w:val="13"/>
              </w:rPr>
              <w:t>151,304,794.48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150" w:right="0"/>
              <w:jc w:val="center"/>
              <w:rPr>
                <w:rFonts w:ascii="宋体" w:hAnsi="宋体" w:cs="宋体" w:eastAsia="宋体" w:hint="default"/>
                <w:sz w:val="13"/>
                <w:szCs w:val="13"/>
              </w:rPr>
            </w:pPr>
            <w:r>
              <w:rPr>
                <w:rFonts w:ascii="宋体"/>
                <w:sz w:val="13"/>
              </w:rPr>
              <w:t>325,961,760.21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1,003,663,913.49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3"/>
                <w:szCs w:val="13"/>
              </w:rPr>
            </w:pPr>
            <w:r>
              <w:rPr>
                <w:rFonts w:ascii="宋体"/>
                <w:sz w:val="13"/>
              </w:rPr>
              <w:t>-70,791,834.22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64" w:right="0"/>
              <w:jc w:val="left"/>
              <w:rPr>
                <w:rFonts w:ascii="宋体" w:hAnsi="宋体" w:cs="宋体" w:eastAsia="宋体" w:hint="default"/>
                <w:sz w:val="13"/>
                <w:szCs w:val="13"/>
              </w:rPr>
            </w:pPr>
            <w:r>
              <w:rPr>
                <w:rFonts w:ascii="宋体"/>
                <w:sz w:val="13"/>
              </w:rPr>
              <w:t>5,473,243,340.86</w:t>
            </w: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100,948,823.43</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1,503,931,618.18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13"/>
                <w:szCs w:val="13"/>
              </w:rPr>
            </w:pPr>
            <w:r>
              <w:rPr>
                <w:rFonts w:ascii="宋体"/>
                <w:sz w:val="13"/>
              </w:rPr>
              <w:t>-20,510,758.69</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4" w:right="0"/>
              <w:jc w:val="left"/>
              <w:rPr>
                <w:rFonts w:ascii="宋体" w:hAnsi="宋体" w:cs="宋体" w:eastAsia="宋体" w:hint="default"/>
                <w:sz w:val="13"/>
                <w:szCs w:val="13"/>
              </w:rPr>
            </w:pPr>
            <w:r>
              <w:rPr>
                <w:rFonts w:ascii="宋体"/>
                <w:sz w:val="13"/>
              </w:rPr>
              <w:t>1,584,369,682.92</w:t>
            </w:r>
          </w:p>
        </w:tc>
      </w:tr>
      <w:tr>
        <w:trPr>
          <w:trHeight w:val="47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3,599,324,299.40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4" w:right="0"/>
              <w:jc w:val="center"/>
              <w:rPr>
                <w:rFonts w:ascii="宋体" w:hAnsi="宋体" w:cs="宋体" w:eastAsia="宋体" w:hint="default"/>
                <w:sz w:val="13"/>
                <w:szCs w:val="13"/>
              </w:rPr>
            </w:pPr>
            <w:r>
              <w:rPr>
                <w:rFonts w:ascii="宋体"/>
                <w:sz w:val="13"/>
              </w:rPr>
              <w:t>-50,281,075.53</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宋体" w:hAnsi="宋体" w:cs="宋体" w:eastAsia="宋体" w:hint="default"/>
                <w:sz w:val="13"/>
                <w:szCs w:val="13"/>
              </w:rPr>
            </w:pPr>
            <w:r>
              <w:rPr>
                <w:rFonts w:ascii="宋体"/>
                <w:sz w:val="13"/>
              </w:rPr>
              <w:t>3,908,043,223.87</w:t>
            </w: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3,599,324,299.40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 w:right="0"/>
              <w:jc w:val="center"/>
              <w:rPr>
                <w:rFonts w:ascii="宋体" w:hAnsi="宋体" w:cs="宋体" w:eastAsia="宋体" w:hint="default"/>
                <w:sz w:val="13"/>
                <w:szCs w:val="13"/>
              </w:rPr>
            </w:pPr>
            <w:r>
              <w:rPr>
                <w:rFonts w:ascii="宋体"/>
                <w:sz w:val="13"/>
              </w:rPr>
              <w:t>4,600,000.00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4" w:right="0"/>
              <w:jc w:val="left"/>
              <w:rPr>
                <w:rFonts w:ascii="宋体" w:hAnsi="宋体" w:cs="宋体" w:eastAsia="宋体" w:hint="default"/>
                <w:sz w:val="13"/>
                <w:szCs w:val="13"/>
              </w:rPr>
            </w:pPr>
            <w:r>
              <w:rPr>
                <w:rFonts w:ascii="宋体"/>
                <w:sz w:val="13"/>
              </w:rPr>
              <w:t>3,962,924,299.40</w:t>
            </w:r>
          </w:p>
        </w:tc>
      </w:tr>
      <w:tr>
        <w:trPr>
          <w:trHeight w:val="478"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5" w:top="110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84" w:type="dxa"/>
        <w:tblLayout w:type="fixed"/>
        <w:tblCellMar>
          <w:top w:w="0" w:type="dxa"/>
          <w:left w:w="0" w:type="dxa"/>
          <w:bottom w:w="0" w:type="dxa"/>
          <w:right w:w="0" w:type="dxa"/>
        </w:tblCellMar>
        <w:tblLook w:val="01E0"/>
      </w:tblPr>
      <w:tblGrid>
        <w:gridCol w:w="2352"/>
        <w:gridCol w:w="1262"/>
        <w:gridCol w:w="425"/>
        <w:gridCol w:w="1135"/>
        <w:gridCol w:w="425"/>
        <w:gridCol w:w="1274"/>
        <w:gridCol w:w="569"/>
        <w:gridCol w:w="1133"/>
        <w:gridCol w:w="1135"/>
        <w:gridCol w:w="1275"/>
        <w:gridCol w:w="1277"/>
        <w:gridCol w:w="1133"/>
        <w:gridCol w:w="1419"/>
      </w:tblGrid>
      <w:tr>
        <w:trPr>
          <w:trHeight w:val="47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13"/>
                <w:szCs w:val="13"/>
              </w:rPr>
            </w:pPr>
            <w:r>
              <w:rPr>
                <w:rFonts w:ascii="宋体"/>
                <w:sz w:val="13"/>
              </w:rPr>
              <w:t>-54,881,075.53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宋体" w:hAnsi="宋体" w:cs="宋体" w:eastAsia="宋体" w:hint="default"/>
                <w:sz w:val="13"/>
                <w:szCs w:val="13"/>
              </w:rPr>
            </w:pPr>
            <w:r>
              <w:rPr>
                <w:rFonts w:ascii="宋体"/>
                <w:w w:val="95"/>
                <w:sz w:val="13"/>
              </w:rPr>
              <w:t>-54,881,075.53</w:t>
            </w:r>
            <w:r>
              <w:rPr>
                <w:rFonts w:ascii="宋体"/>
                <w:sz w:val="13"/>
              </w:rPr>
            </w:r>
          </w:p>
        </w:tc>
      </w:tr>
      <w:tr>
        <w:trPr>
          <w:trHeight w:val="2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151,304,794.48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0" w:right="0"/>
              <w:jc w:val="center"/>
              <w:rPr>
                <w:rFonts w:ascii="宋体" w:hAnsi="宋体" w:cs="宋体" w:eastAsia="宋体" w:hint="default"/>
                <w:sz w:val="13"/>
                <w:szCs w:val="13"/>
              </w:rPr>
            </w:pPr>
            <w:r>
              <w:rPr>
                <w:rFonts w:ascii="宋体"/>
                <w:sz w:val="13"/>
              </w:rPr>
              <w:t>325,961,760.21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-500,267,704.69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151,304,794.48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-151,304,794.48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0" w:right="0"/>
              <w:jc w:val="center"/>
              <w:rPr>
                <w:rFonts w:ascii="宋体" w:hAnsi="宋体" w:cs="宋体" w:eastAsia="宋体" w:hint="default"/>
                <w:sz w:val="13"/>
                <w:szCs w:val="13"/>
              </w:rPr>
            </w:pPr>
            <w:r>
              <w:rPr>
                <w:rFonts w:ascii="宋体"/>
                <w:sz w:val="13"/>
              </w:rPr>
              <w:t>325,961,760.21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3"/>
                <w:szCs w:val="13"/>
              </w:rPr>
            </w:pPr>
            <w:r>
              <w:rPr>
                <w:rFonts w:ascii="宋体"/>
                <w:w w:val="95"/>
                <w:sz w:val="13"/>
              </w:rPr>
              <w:t>-325,961,760.21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-23,001,150.00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24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3"/>
                <w:szCs w:val="13"/>
              </w:rPr>
            </w:pPr>
            <w:r>
              <w:rPr>
                <w:rFonts w:ascii="宋体"/>
                <w:w w:val="95"/>
                <w:sz w:val="13"/>
              </w:rPr>
              <w:t>3,831,584.07</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宋体" w:hAnsi="宋体" w:cs="宋体" w:eastAsia="宋体" w:hint="default"/>
                <w:sz w:val="13"/>
                <w:szCs w:val="13"/>
              </w:rPr>
            </w:pPr>
            <w:r>
              <w:rPr>
                <w:rFonts w:ascii="宋体"/>
                <w:w w:val="95"/>
                <w:sz w:val="13"/>
              </w:rPr>
              <w:t>3,831,584.07</w:t>
            </w:r>
            <w:r>
              <w:rPr>
                <w:rFonts w:ascii="宋体"/>
                <w:sz w:val="13"/>
              </w:rPr>
            </w:r>
          </w:p>
        </w:tc>
      </w:tr>
      <w:tr>
        <w:trPr>
          <w:trHeight w:val="24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left"/>
              <w:rPr>
                <w:rFonts w:ascii="宋体" w:hAnsi="宋体" w:cs="宋体" w:eastAsia="宋体" w:hint="default"/>
                <w:sz w:val="13"/>
                <w:szCs w:val="13"/>
              </w:rPr>
            </w:pPr>
            <w:r>
              <w:rPr>
                <w:rFonts w:ascii="宋体"/>
                <w:sz w:val="13"/>
              </w:rPr>
              <w:t>3,589,000,000.00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left"/>
              <w:rPr>
                <w:rFonts w:ascii="宋体" w:hAnsi="宋体" w:cs="宋体" w:eastAsia="宋体" w:hint="default"/>
                <w:sz w:val="13"/>
                <w:szCs w:val="13"/>
              </w:rPr>
            </w:pPr>
            <w:r>
              <w:rPr>
                <w:rFonts w:ascii="宋体"/>
                <w:sz w:val="13"/>
              </w:rPr>
              <w:t>500,000,000.00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8,266,130,824.98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left"/>
              <w:rPr>
                <w:rFonts w:ascii="宋体" w:hAnsi="宋体" w:cs="宋体" w:eastAsia="宋体" w:hint="default"/>
                <w:sz w:val="13"/>
                <w:szCs w:val="13"/>
              </w:rPr>
            </w:pPr>
            <w:r>
              <w:rPr>
                <w:rFonts w:ascii="宋体"/>
                <w:sz w:val="13"/>
              </w:rPr>
              <w:t>738,930,368.21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3"/>
                <w:szCs w:val="13"/>
              </w:rPr>
            </w:pPr>
            <w:r>
              <w:rPr>
                <w:rFonts w:ascii="宋体"/>
                <w:sz w:val="13"/>
              </w:rPr>
              <w:t>706,149,987.73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center"/>
              <w:rPr>
                <w:rFonts w:ascii="宋体" w:hAnsi="宋体" w:cs="宋体" w:eastAsia="宋体" w:hint="default"/>
                <w:sz w:val="13"/>
                <w:szCs w:val="13"/>
              </w:rPr>
            </w:pPr>
            <w:r>
              <w:rPr>
                <w:rFonts w:ascii="宋体"/>
                <w:sz w:val="13"/>
              </w:rPr>
              <w:t>1,888,927,333.84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5,101,093,725.61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9" w:right="0"/>
              <w:jc w:val="center"/>
              <w:rPr>
                <w:rFonts w:ascii="宋体" w:hAnsi="宋体" w:cs="宋体" w:eastAsia="宋体" w:hint="default"/>
                <w:sz w:val="13"/>
                <w:szCs w:val="13"/>
              </w:rPr>
            </w:pPr>
            <w:r>
              <w:rPr>
                <w:rFonts w:ascii="宋体"/>
                <w:sz w:val="13"/>
              </w:rPr>
              <w:t>21,043,479.30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13"/>
                <w:szCs w:val="13"/>
              </w:rPr>
            </w:pPr>
            <w:r>
              <w:rPr>
                <w:rFonts w:ascii="宋体"/>
                <w:w w:val="95"/>
                <w:sz w:val="13"/>
              </w:rPr>
              <w:t>20,811,275,719.67</w:t>
            </w:r>
            <w:r>
              <w:rPr>
                <w:rFonts w:ascii="宋体"/>
                <w:sz w:val="13"/>
              </w:rPr>
            </w:r>
          </w:p>
        </w:tc>
      </w:tr>
    </w:tbl>
    <w:p>
      <w:pPr>
        <w:spacing w:line="240" w:lineRule="auto" w:before="9"/>
        <w:rPr>
          <w:rFonts w:ascii="Times New Roman" w:hAnsi="Times New Roman" w:cs="Times New Roman" w:eastAsia="Times New Roman" w:hint="default"/>
          <w:sz w:val="20"/>
          <w:szCs w:val="20"/>
        </w:rPr>
      </w:pPr>
    </w:p>
    <w:p>
      <w:pPr>
        <w:pStyle w:val="BodyText"/>
        <w:tabs>
          <w:tab w:pos="2971" w:val="left" w:leader="none"/>
          <w:tab w:pos="5914" w:val="left" w:leader="none"/>
        </w:tabs>
        <w:spacing w:line="240" w:lineRule="auto" w:before="36"/>
        <w:ind w:left="660" w:right="0"/>
        <w:jc w:val="left"/>
      </w:pPr>
      <w:r>
        <w:rPr>
          <w:spacing w:val="-1"/>
        </w:rPr>
        <w:t>法定代表人：陆建强</w:t>
        <w:tab/>
      </w:r>
      <w:r>
        <w:rPr>
          <w:spacing w:val="-2"/>
        </w:rPr>
        <w:t>主管会计工作负责人：王跃军</w:t>
        <w:tab/>
        <w:t>会计机构负责人：王跃军</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77" w:footer="1195" w:top="1100" w:bottom="1380" w:left="780" w:right="840"/>
        </w:sectPr>
      </w:pPr>
    </w:p>
    <w:p>
      <w:pPr>
        <w:spacing w:line="312" w:lineRule="exact" w:before="56"/>
        <w:ind w:left="6713"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2"/>
        <w:ind w:left="3693"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060" w:bottom="1380" w:left="780" w:right="840"/>
          <w:cols w:num="2" w:equalWidth="0">
            <w:col w:w="8910" w:space="40"/>
            <w:col w:w="6270"/>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60"/>
        <w:gridCol w:w="1334"/>
        <w:gridCol w:w="862"/>
        <w:gridCol w:w="1189"/>
        <w:gridCol w:w="708"/>
        <w:gridCol w:w="1418"/>
        <w:gridCol w:w="850"/>
        <w:gridCol w:w="1421"/>
        <w:gridCol w:w="1275"/>
        <w:gridCol w:w="1418"/>
        <w:gridCol w:w="1421"/>
        <w:gridCol w:w="1522"/>
      </w:tblGrid>
      <w:tr>
        <w:trPr>
          <w:trHeight w:val="250"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1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5" w:hRule="exact"/>
        </w:trPr>
        <w:tc>
          <w:tcPr>
            <w:tcW w:w="1560" w:type="dxa"/>
            <w:vMerge/>
            <w:tcBorders>
              <w:left w:val="single" w:sz="6" w:space="0" w:color="000000"/>
              <w:right w:val="single" w:sz="6" w:space="0" w:color="000000"/>
            </w:tcBorders>
          </w:tcPr>
          <w:p>
            <w:pPr/>
          </w:p>
        </w:tc>
        <w:tc>
          <w:tcPr>
            <w:tcW w:w="1334"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5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9"/>
              <w:ind w:left="8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val="restart"/>
            <w:tcBorders>
              <w:top w:val="single" w:sz="6" w:space="0" w:color="000000"/>
              <w:left w:val="single" w:sz="6" w:space="0" w:color="000000"/>
              <w:right w:val="single" w:sz="6" w:space="0" w:color="000000"/>
            </w:tcBorders>
          </w:tcPr>
          <w:p>
            <w:pPr>
              <w:pStyle w:val="TableParagraph"/>
              <w:spacing w:line="232" w:lineRule="exact" w:before="93"/>
              <w:ind w:left="329" w:right="96" w:hanging="229"/>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1560" w:type="dxa"/>
            <w:vMerge/>
            <w:tcBorders>
              <w:left w:val="single" w:sz="6" w:space="0" w:color="000000"/>
              <w:bottom w:val="single" w:sz="6" w:space="0" w:color="000000"/>
              <w:right w:val="single" w:sz="6" w:space="0" w:color="000000"/>
            </w:tcBorders>
          </w:tcPr>
          <w:p>
            <w:pPr/>
          </w:p>
        </w:tc>
        <w:tc>
          <w:tcPr>
            <w:tcW w:w="1334" w:type="dxa"/>
            <w:vMerge/>
            <w:tcBorders>
              <w:left w:val="single" w:sz="6" w:space="0" w:color="000000"/>
              <w:bottom w:val="single" w:sz="6" w:space="0" w:color="000000"/>
              <w:right w:val="single" w:sz="4" w:space="0" w:color="000000"/>
            </w:tcBorders>
          </w:tcPr>
          <w:p>
            <w:pPr/>
          </w:p>
        </w:tc>
        <w:tc>
          <w:tcPr>
            <w:tcW w:w="86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8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80" w:right="0"/>
              <w:jc w:val="left"/>
              <w:rPr>
                <w:rFonts w:ascii="宋体" w:hAnsi="宋体" w:cs="宋体" w:eastAsia="宋体" w:hint="default"/>
                <w:sz w:val="13"/>
                <w:szCs w:val="13"/>
              </w:rPr>
            </w:pPr>
            <w:r>
              <w:rPr>
                <w:rFonts w:ascii="宋体"/>
                <w:sz w:val="13"/>
              </w:rPr>
              <w:t>3,589,000,000.00</w:t>
            </w: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54" w:right="0"/>
              <w:jc w:val="center"/>
              <w:rPr>
                <w:rFonts w:ascii="宋体" w:hAnsi="宋体" w:cs="宋体" w:eastAsia="宋体" w:hint="default"/>
                <w:sz w:val="13"/>
                <w:szCs w:val="13"/>
              </w:rPr>
            </w:pPr>
            <w:r>
              <w:rPr>
                <w:rFonts w:ascii="宋体"/>
                <w:sz w:val="13"/>
              </w:rPr>
              <w:t>500,000,000.00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64" w:right="0"/>
              <w:jc w:val="left"/>
              <w:rPr>
                <w:rFonts w:ascii="宋体" w:hAnsi="宋体" w:cs="宋体" w:eastAsia="宋体" w:hint="default"/>
                <w:sz w:val="13"/>
                <w:szCs w:val="13"/>
              </w:rPr>
            </w:pPr>
            <w:r>
              <w:rPr>
                <w:rFonts w:ascii="宋体"/>
                <w:sz w:val="13"/>
              </w:rPr>
              <w:t>8,454,225,796.66</w:t>
            </w: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95" w:right="0"/>
              <w:jc w:val="left"/>
              <w:rPr>
                <w:rFonts w:ascii="宋体" w:hAnsi="宋体" w:cs="宋体" w:eastAsia="宋体" w:hint="default"/>
                <w:sz w:val="13"/>
                <w:szCs w:val="13"/>
              </w:rPr>
            </w:pPr>
            <w:r>
              <w:rPr>
                <w:rFonts w:ascii="宋体"/>
                <w:sz w:val="13"/>
              </w:rPr>
              <w:t>726,111,524.62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47" w:right="0"/>
              <w:jc w:val="left"/>
              <w:rPr>
                <w:rFonts w:ascii="宋体" w:hAnsi="宋体" w:cs="宋体" w:eastAsia="宋体" w:hint="default"/>
                <w:sz w:val="13"/>
                <w:szCs w:val="13"/>
              </w:rPr>
            </w:pPr>
            <w:r>
              <w:rPr>
                <w:rFonts w:ascii="宋体"/>
                <w:sz w:val="13"/>
              </w:rPr>
              <w:t>706,149,987.73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66" w:right="0"/>
              <w:jc w:val="left"/>
              <w:rPr>
                <w:rFonts w:ascii="宋体" w:hAnsi="宋体" w:cs="宋体" w:eastAsia="宋体" w:hint="default"/>
                <w:sz w:val="13"/>
                <w:szCs w:val="13"/>
              </w:rPr>
            </w:pPr>
            <w:r>
              <w:rPr>
                <w:rFonts w:ascii="宋体"/>
                <w:sz w:val="13"/>
              </w:rPr>
              <w:t>1,789,397,358.87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66" w:right="0"/>
              <w:jc w:val="left"/>
              <w:rPr>
                <w:rFonts w:ascii="宋体" w:hAnsi="宋体" w:cs="宋体" w:eastAsia="宋体" w:hint="default"/>
                <w:sz w:val="13"/>
                <w:szCs w:val="13"/>
              </w:rPr>
            </w:pPr>
            <w:r>
              <w:rPr>
                <w:rFonts w:ascii="宋体"/>
                <w:sz w:val="13"/>
              </w:rPr>
              <w:t>3,990,891,940.98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02" w:right="0"/>
              <w:jc w:val="left"/>
              <w:rPr>
                <w:rFonts w:ascii="宋体" w:hAnsi="宋体" w:cs="宋体" w:eastAsia="宋体" w:hint="default"/>
                <w:sz w:val="13"/>
                <w:szCs w:val="13"/>
              </w:rPr>
            </w:pPr>
            <w:r>
              <w:rPr>
                <w:rFonts w:ascii="宋体"/>
                <w:sz w:val="13"/>
              </w:rPr>
              <w:t>19,755,776,608.86</w:t>
            </w: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060" w:bottom="1380" w:left="78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1560"/>
        <w:gridCol w:w="1334"/>
        <w:gridCol w:w="862"/>
        <w:gridCol w:w="1189"/>
        <w:gridCol w:w="708"/>
        <w:gridCol w:w="1418"/>
        <w:gridCol w:w="850"/>
        <w:gridCol w:w="1421"/>
        <w:gridCol w:w="1275"/>
        <w:gridCol w:w="1418"/>
        <w:gridCol w:w="1421"/>
        <w:gridCol w:w="1522"/>
      </w:tblGrid>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180" w:right="0"/>
              <w:jc w:val="left"/>
              <w:rPr>
                <w:rFonts w:ascii="宋体" w:hAnsi="宋体" w:cs="宋体" w:eastAsia="宋体" w:hint="default"/>
                <w:sz w:val="13"/>
                <w:szCs w:val="13"/>
              </w:rPr>
            </w:pPr>
            <w:r>
              <w:rPr>
                <w:rFonts w:ascii="宋体"/>
                <w:sz w:val="13"/>
              </w:rPr>
              <w:t>3,589,000,000.00</w:t>
            </w: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163" w:right="0"/>
              <w:jc w:val="left"/>
              <w:rPr>
                <w:rFonts w:ascii="宋体" w:hAnsi="宋体" w:cs="宋体" w:eastAsia="宋体" w:hint="default"/>
                <w:sz w:val="13"/>
                <w:szCs w:val="13"/>
              </w:rPr>
            </w:pPr>
            <w:r>
              <w:rPr>
                <w:rFonts w:ascii="宋体"/>
                <w:sz w:val="13"/>
              </w:rPr>
              <w:t>500,000,000.00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264" w:right="0"/>
              <w:jc w:val="left"/>
              <w:rPr>
                <w:rFonts w:ascii="宋体" w:hAnsi="宋体" w:cs="宋体" w:eastAsia="宋体" w:hint="default"/>
                <w:sz w:val="13"/>
                <w:szCs w:val="13"/>
              </w:rPr>
            </w:pPr>
            <w:r>
              <w:rPr>
                <w:rFonts w:ascii="宋体"/>
                <w:sz w:val="13"/>
              </w:rPr>
              <w:t>8,454,225,796.66</w:t>
            </w: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726,111,524.62</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4"/>
              <w:jc w:val="right"/>
              <w:rPr>
                <w:rFonts w:ascii="宋体" w:hAnsi="宋体" w:cs="宋体" w:eastAsia="宋体" w:hint="default"/>
                <w:sz w:val="13"/>
                <w:szCs w:val="13"/>
              </w:rPr>
            </w:pPr>
            <w:r>
              <w:rPr>
                <w:rFonts w:ascii="宋体"/>
                <w:w w:val="95"/>
                <w:sz w:val="13"/>
              </w:rPr>
              <w:t>706,149,987.73</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w w:val="95"/>
                <w:sz w:val="13"/>
              </w:rPr>
              <w:t>1,789,397,358.87</w:t>
            </w:r>
            <w:r>
              <w:rPr>
                <w:rFonts w:ascii="宋体"/>
                <w:sz w:val="13"/>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3,990,891,940.98</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19,755,776,608.86</w:t>
            </w:r>
            <w:r>
              <w:rPr>
                <w:rFonts w:ascii="宋体"/>
                <w:sz w:val="13"/>
              </w:rPr>
            </w:r>
          </w:p>
        </w:tc>
      </w:tr>
      <w:tr>
        <w:trPr>
          <w:trHeight w:val="71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4" w:lineRule="exact" w:before="21"/>
              <w:ind w:left="100" w:right="183"/>
              <w:jc w:val="left"/>
              <w:rPr>
                <w:rFonts w:ascii="宋体" w:hAnsi="宋体" w:cs="宋体" w:eastAsia="宋体" w:hint="default"/>
                <w:sz w:val="18"/>
                <w:szCs w:val="18"/>
              </w:rPr>
            </w:pPr>
            <w:r>
              <w:rPr>
                <w:rFonts w:ascii="宋体" w:hAnsi="宋体" w:cs="宋体" w:eastAsia="宋体" w:hint="default"/>
                <w:sz w:val="18"/>
                <w:szCs w:val="18"/>
              </w:rPr>
              <w:t>动金额（减少以 “－”号填列）</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-968,939,543.41</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70,490,502.68</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96"/>
              <w:jc w:val="right"/>
              <w:rPr>
                <w:rFonts w:ascii="宋体" w:hAnsi="宋体" w:cs="宋体" w:eastAsia="宋体" w:hint="default"/>
                <w:sz w:val="13"/>
                <w:szCs w:val="13"/>
              </w:rPr>
            </w:pPr>
            <w:r>
              <w:rPr>
                <w:rFonts w:ascii="宋体"/>
                <w:w w:val="95"/>
                <w:sz w:val="13"/>
              </w:rPr>
              <w:t>134,572,777.83</w:t>
            </w:r>
            <w:r>
              <w:rPr>
                <w:rFonts w:ascii="宋体"/>
                <w:sz w:val="13"/>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98"/>
              <w:jc w:val="right"/>
              <w:rPr>
                <w:rFonts w:ascii="宋体" w:hAnsi="宋体" w:cs="宋体" w:eastAsia="宋体" w:hint="default"/>
                <w:sz w:val="13"/>
                <w:szCs w:val="13"/>
              </w:rPr>
            </w:pPr>
            <w:r>
              <w:rPr>
                <w:rFonts w:ascii="宋体"/>
                <w:w w:val="95"/>
                <w:sz w:val="13"/>
              </w:rPr>
              <w:t>-233,261,678.96</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98"/>
              <w:jc w:val="right"/>
              <w:rPr>
                <w:rFonts w:ascii="宋体" w:hAnsi="宋体" w:cs="宋体" w:eastAsia="宋体" w:hint="default"/>
                <w:sz w:val="13"/>
                <w:szCs w:val="13"/>
              </w:rPr>
            </w:pPr>
            <w:r>
              <w:rPr>
                <w:rFonts w:ascii="宋体"/>
                <w:w w:val="95"/>
                <w:sz w:val="13"/>
              </w:rPr>
              <w:t>-997,137,941.86</w:t>
            </w:r>
            <w:r>
              <w:rPr>
                <w:rFonts w:ascii="宋体"/>
                <w:sz w:val="13"/>
              </w:rPr>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-968,939,543.41</w:t>
            </w:r>
            <w:r>
              <w:rPr>
                <w:rFonts w:ascii="宋体"/>
                <w:sz w:val="13"/>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640,822,751.55</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-328,116,791.86</w:t>
            </w:r>
            <w:r>
              <w:rPr>
                <w:rFonts w:ascii="宋体"/>
                <w:sz w:val="13"/>
              </w:rPr>
            </w: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4" w:lineRule="exact" w:before="21"/>
              <w:ind w:left="100" w:right="18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70,490,502.68</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宋体" w:hAnsi="宋体" w:cs="宋体" w:eastAsia="宋体" w:hint="default"/>
                <w:sz w:val="13"/>
                <w:szCs w:val="13"/>
              </w:rPr>
            </w:pPr>
            <w:r>
              <w:rPr>
                <w:rFonts w:ascii="宋体"/>
                <w:w w:val="95"/>
                <w:sz w:val="13"/>
              </w:rPr>
              <w:t>134,572,777.83</w:t>
            </w:r>
            <w:r>
              <w:rPr>
                <w:rFonts w:ascii="宋体"/>
                <w:sz w:val="13"/>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宋体" w:hAnsi="宋体" w:cs="宋体" w:eastAsia="宋体" w:hint="default"/>
                <w:sz w:val="13"/>
                <w:szCs w:val="13"/>
              </w:rPr>
            </w:pPr>
            <w:r>
              <w:rPr>
                <w:rFonts w:ascii="宋体"/>
                <w:w w:val="95"/>
                <w:sz w:val="13"/>
              </w:rPr>
              <w:t>-874,084,430.51</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-669,021,150.00</w:t>
            </w:r>
            <w:r>
              <w:rPr>
                <w:rFonts w:ascii="宋体"/>
                <w:sz w:val="13"/>
              </w:rPr>
            </w: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宋体" w:hAnsi="宋体" w:cs="宋体" w:eastAsia="宋体" w:hint="default"/>
                <w:sz w:val="13"/>
                <w:szCs w:val="13"/>
              </w:rPr>
            </w:pPr>
            <w:r>
              <w:rPr>
                <w:rFonts w:ascii="宋体"/>
                <w:w w:val="95"/>
                <w:sz w:val="13"/>
              </w:rPr>
              <w:t>70,490,502.68</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13"/>
                <w:szCs w:val="13"/>
              </w:rPr>
            </w:pPr>
            <w:r>
              <w:rPr>
                <w:rFonts w:ascii="宋体"/>
                <w:w w:val="95"/>
                <w:sz w:val="13"/>
              </w:rPr>
              <w:t>-70,490,502.68</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98"/>
              <w:jc w:val="right"/>
              <w:rPr>
                <w:rFonts w:ascii="宋体" w:hAnsi="宋体" w:cs="宋体" w:eastAsia="宋体" w:hint="default"/>
                <w:sz w:val="13"/>
                <w:szCs w:val="13"/>
              </w:rPr>
            </w:pPr>
            <w:r>
              <w:rPr>
                <w:rFonts w:ascii="宋体"/>
                <w:w w:val="95"/>
                <w:sz w:val="13"/>
              </w:rPr>
              <w:t>134,572,777.83</w:t>
            </w:r>
            <w:r>
              <w:rPr>
                <w:rFonts w:ascii="宋体"/>
                <w:sz w:val="13"/>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-134,572,777.83</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-669,021,150.00</w:t>
            </w:r>
            <w:r>
              <w:rPr>
                <w:rFonts w:ascii="宋体"/>
                <w:sz w:val="13"/>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-669,021,150.00</w:t>
            </w:r>
            <w:r>
              <w:rPr>
                <w:rFonts w:ascii="宋体"/>
                <w:sz w:val="13"/>
              </w:rPr>
            </w: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1195" w:top="1100" w:bottom="1380" w:left="78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1560"/>
        <w:gridCol w:w="1334"/>
        <w:gridCol w:w="862"/>
        <w:gridCol w:w="1189"/>
        <w:gridCol w:w="708"/>
        <w:gridCol w:w="1418"/>
        <w:gridCol w:w="850"/>
        <w:gridCol w:w="1421"/>
        <w:gridCol w:w="1275"/>
        <w:gridCol w:w="1418"/>
        <w:gridCol w:w="1421"/>
        <w:gridCol w:w="1522"/>
      </w:tblGrid>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32" w:lineRule="exact" w:before="23"/>
              <w:ind w:left="100" w:right="183"/>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334"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180" w:right="0"/>
              <w:jc w:val="left"/>
              <w:rPr>
                <w:rFonts w:ascii="宋体" w:hAnsi="宋体" w:cs="宋体" w:eastAsia="宋体" w:hint="default"/>
                <w:sz w:val="13"/>
                <w:szCs w:val="13"/>
              </w:rPr>
            </w:pPr>
            <w:r>
              <w:rPr>
                <w:rFonts w:ascii="宋体"/>
                <w:sz w:val="13"/>
              </w:rPr>
              <w:t>3,589,000,000.00</w:t>
            </w:r>
          </w:p>
        </w:tc>
        <w:tc>
          <w:tcPr>
            <w:tcW w:w="862" w:type="dxa"/>
            <w:tcBorders>
              <w:top w:val="single" w:sz="6" w:space="0" w:color="000000"/>
              <w:left w:val="single" w:sz="4" w:space="0" w:color="000000"/>
              <w:bottom w:val="single" w:sz="6" w:space="0" w:color="000000"/>
              <w:right w:val="single" w:sz="4" w:space="0" w:color="000000"/>
            </w:tcBorders>
          </w:tcPr>
          <w:p>
            <w:pPr/>
          </w:p>
        </w:tc>
        <w:tc>
          <w:tcPr>
            <w:tcW w:w="118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163" w:right="0"/>
              <w:jc w:val="left"/>
              <w:rPr>
                <w:rFonts w:ascii="宋体" w:hAnsi="宋体" w:cs="宋体" w:eastAsia="宋体" w:hint="default"/>
                <w:sz w:val="13"/>
                <w:szCs w:val="13"/>
              </w:rPr>
            </w:pPr>
            <w:r>
              <w:rPr>
                <w:rFonts w:ascii="宋体"/>
                <w:sz w:val="13"/>
              </w:rPr>
              <w:t>500,000,000.00</w:t>
            </w:r>
          </w:p>
        </w:tc>
        <w:tc>
          <w:tcPr>
            <w:tcW w:w="708"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61" w:right="0"/>
              <w:jc w:val="left"/>
              <w:rPr>
                <w:rFonts w:ascii="宋体" w:hAnsi="宋体" w:cs="宋体" w:eastAsia="宋体" w:hint="default"/>
                <w:sz w:val="13"/>
                <w:szCs w:val="13"/>
              </w:rPr>
            </w:pPr>
            <w:r>
              <w:rPr>
                <w:rFonts w:ascii="宋体"/>
                <w:sz w:val="13"/>
              </w:rPr>
              <w:t>8,454,225,796.66</w:t>
            </w:r>
          </w:p>
        </w:tc>
        <w:tc>
          <w:tcPr>
            <w:tcW w:w="85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331" w:right="0"/>
              <w:jc w:val="left"/>
              <w:rPr>
                <w:rFonts w:ascii="宋体" w:hAnsi="宋体" w:cs="宋体" w:eastAsia="宋体" w:hint="default"/>
                <w:sz w:val="13"/>
                <w:szCs w:val="13"/>
              </w:rPr>
            </w:pPr>
            <w:r>
              <w:rPr>
                <w:rFonts w:ascii="宋体"/>
                <w:sz w:val="13"/>
              </w:rPr>
              <w:t>-242,828,018.79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49" w:right="0"/>
              <w:jc w:val="left"/>
              <w:rPr>
                <w:rFonts w:ascii="宋体" w:hAnsi="宋体" w:cs="宋体" w:eastAsia="宋体" w:hint="default"/>
                <w:sz w:val="13"/>
                <w:szCs w:val="13"/>
              </w:rPr>
            </w:pPr>
            <w:r>
              <w:rPr>
                <w:rFonts w:ascii="宋体"/>
                <w:sz w:val="13"/>
              </w:rPr>
              <w:t>776,640,490.41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68" w:right="0"/>
              <w:jc w:val="left"/>
              <w:rPr>
                <w:rFonts w:ascii="宋体" w:hAnsi="宋体" w:cs="宋体" w:eastAsia="宋体" w:hint="default"/>
                <w:sz w:val="13"/>
                <w:szCs w:val="13"/>
              </w:rPr>
            </w:pPr>
            <w:r>
              <w:rPr>
                <w:rFonts w:ascii="宋体"/>
                <w:sz w:val="13"/>
              </w:rPr>
              <w:t>1,923,970,136.70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268" w:right="0"/>
              <w:jc w:val="left"/>
              <w:rPr>
                <w:rFonts w:ascii="宋体" w:hAnsi="宋体" w:cs="宋体" w:eastAsia="宋体" w:hint="default"/>
                <w:sz w:val="13"/>
                <w:szCs w:val="13"/>
              </w:rPr>
            </w:pPr>
            <w:r>
              <w:rPr>
                <w:rFonts w:ascii="宋体"/>
                <w:sz w:val="13"/>
              </w:rPr>
              <w:t>3,757,630,262.02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left="302" w:right="0"/>
              <w:jc w:val="left"/>
              <w:rPr>
                <w:rFonts w:ascii="宋体" w:hAnsi="宋体" w:cs="宋体" w:eastAsia="宋体" w:hint="default"/>
                <w:sz w:val="13"/>
                <w:szCs w:val="13"/>
              </w:rPr>
            </w:pPr>
            <w:r>
              <w:rPr>
                <w:rFonts w:ascii="宋体"/>
                <w:sz w:val="13"/>
              </w:rPr>
              <w:t>18,758,638,667.00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58"/>
        <w:gridCol w:w="1418"/>
        <w:gridCol w:w="710"/>
        <w:gridCol w:w="1277"/>
        <w:gridCol w:w="706"/>
        <w:gridCol w:w="1418"/>
        <w:gridCol w:w="852"/>
        <w:gridCol w:w="1418"/>
        <w:gridCol w:w="1277"/>
        <w:gridCol w:w="1416"/>
        <w:gridCol w:w="1418"/>
        <w:gridCol w:w="1558"/>
      </w:tblGrid>
      <w:tr>
        <w:trPr>
          <w:trHeight w:val="247" w:hRule="exact"/>
        </w:trPr>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7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558"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8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35"/>
              <w:ind w:left="329" w:right="99" w:hanging="229"/>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1558"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4" w:space="0" w:color="000000"/>
            </w:tcBorders>
          </w:tcPr>
          <w:p>
            <w:pP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7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left="36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4"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r>
      <w:tr>
        <w:trPr>
          <w:trHeight w:val="480"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4"/>
              <w:jc w:val="right"/>
              <w:rPr>
                <w:rFonts w:ascii="宋体" w:hAnsi="宋体" w:cs="宋体" w:eastAsia="宋体" w:hint="default"/>
                <w:sz w:val="13"/>
                <w:szCs w:val="13"/>
              </w:rPr>
            </w:pPr>
            <w:r>
              <w:rPr>
                <w:rFonts w:ascii="宋体"/>
                <w:w w:val="95"/>
                <w:sz w:val="13"/>
              </w:rPr>
              <w:t>500,000,000.00</w:t>
            </w:r>
            <w:r>
              <w:rPr>
                <w:rFonts w:ascii="宋体"/>
                <w:sz w:val="13"/>
              </w:rPr>
            </w:r>
          </w:p>
        </w:tc>
        <w:tc>
          <w:tcPr>
            <w:tcW w:w="70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4,851,069,913.19</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721,437,850.22</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554,845,193.25</w:t>
            </w:r>
            <w:r>
              <w:rPr>
                <w:rFonts w:ascii="宋体"/>
                <w:sz w:val="13"/>
              </w:rPr>
            </w:r>
          </w:p>
        </w:tc>
        <w:tc>
          <w:tcPr>
            <w:tcW w:w="14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1,500,542,751.24</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3,078,554,361.52</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14,436,450,069.42</w:t>
            </w:r>
            <w:r>
              <w:rPr>
                <w:rFonts w:ascii="宋体"/>
                <w:sz w:val="13"/>
              </w:rPr>
            </w:r>
          </w:p>
        </w:tc>
      </w:tr>
      <w:tr>
        <w:trPr>
          <w:trHeight w:val="483"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3,230,000,000.00</w:t>
            </w:r>
            <w:r>
              <w:rPr>
                <w:rFonts w:ascii="宋体"/>
                <w:sz w:val="13"/>
              </w:rPr>
            </w: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500,000,000.00</w:t>
            </w:r>
            <w:r>
              <w:rPr>
                <w:rFonts w:ascii="宋体"/>
                <w:sz w:val="13"/>
              </w:rPr>
            </w:r>
          </w:p>
        </w:tc>
        <w:tc>
          <w:tcPr>
            <w:tcW w:w="70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4,851,069,913.19</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721,437,850.22</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554,845,193.25</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1,500,542,751.24</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3,078,554,361.52</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14,436,450,069.42</w:t>
            </w:r>
            <w:r>
              <w:rPr>
                <w:rFonts w:ascii="宋体"/>
                <w:sz w:val="13"/>
              </w:rPr>
            </w:r>
          </w:p>
        </w:tc>
      </w:tr>
      <w:tr>
        <w:trPr>
          <w:trHeight w:val="715"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2" w:lineRule="exact" w:before="24"/>
              <w:ind w:left="100" w:right="180"/>
              <w:jc w:val="left"/>
              <w:rPr>
                <w:rFonts w:ascii="宋体" w:hAnsi="宋体" w:cs="宋体" w:eastAsia="宋体" w:hint="default"/>
                <w:sz w:val="18"/>
                <w:szCs w:val="18"/>
              </w:rPr>
            </w:pPr>
            <w:r>
              <w:rPr>
                <w:rFonts w:ascii="宋体" w:hAnsi="宋体" w:cs="宋体" w:eastAsia="宋体" w:hint="default"/>
                <w:sz w:val="18"/>
                <w:szCs w:val="18"/>
              </w:rPr>
              <w:t>动金额（减少以 “－”号填列）</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3,603,155,883.47</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4,673,674.40</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151,304,794.48</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288,854,607.63</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912,337,579.46</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3"/>
              <w:ind w:right="101"/>
              <w:jc w:val="right"/>
              <w:rPr>
                <w:rFonts w:ascii="宋体" w:hAnsi="宋体" w:cs="宋体" w:eastAsia="宋体" w:hint="default"/>
                <w:sz w:val="13"/>
                <w:szCs w:val="13"/>
              </w:rPr>
            </w:pPr>
            <w:r>
              <w:rPr>
                <w:rFonts w:ascii="宋体"/>
                <w:w w:val="95"/>
                <w:sz w:val="13"/>
              </w:rPr>
              <w:t>5,319,326,539.44</w:t>
            </w:r>
            <w:r>
              <w:rPr>
                <w:rFonts w:ascii="宋体"/>
                <w:sz w:val="13"/>
              </w:rPr>
            </w: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4,673,674.40</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1,375,498,131.57</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1,380,171,805.97</w:t>
            </w:r>
            <w:r>
              <w:rPr>
                <w:rFonts w:ascii="宋体"/>
                <w:sz w:val="13"/>
              </w:rPr>
            </w:r>
          </w:p>
        </w:tc>
      </w:tr>
      <w:tr>
        <w:trPr>
          <w:trHeight w:val="483"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3,599,324,299.40</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3,958,324,299.40</w:t>
            </w:r>
            <w:r>
              <w:rPr>
                <w:rFonts w:ascii="宋体"/>
                <w:sz w:val="13"/>
              </w:rPr>
            </w: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359,000,000.00</w:t>
            </w:r>
            <w:r>
              <w:rPr>
                <w:rFonts w:ascii="宋体"/>
                <w:sz w:val="13"/>
              </w:rPr>
            </w: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3,599,324,299.40</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3,958,324,299.40</w:t>
            </w:r>
            <w:r>
              <w:rPr>
                <w:rFonts w:ascii="宋体"/>
                <w:sz w:val="13"/>
              </w:rPr>
            </w: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1195" w:top="1100" w:bottom="1380" w:left="76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558"/>
        <w:gridCol w:w="1418"/>
        <w:gridCol w:w="710"/>
        <w:gridCol w:w="1277"/>
        <w:gridCol w:w="706"/>
        <w:gridCol w:w="1418"/>
        <w:gridCol w:w="852"/>
        <w:gridCol w:w="1418"/>
        <w:gridCol w:w="1277"/>
        <w:gridCol w:w="1416"/>
        <w:gridCol w:w="1418"/>
        <w:gridCol w:w="1558"/>
      </w:tblGrid>
      <w:tr>
        <w:trPr>
          <w:trHeight w:val="715"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40" w:lineRule="auto"/>
              <w:ind w:left="100" w:right="180"/>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151,304,794.48</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288,854,607.63</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-463,160,552.11</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24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151,304,794.48</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-151,304,794.48</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288,854,607.63</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-288,854,607.63</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-23,001,150.00</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-23,001,150.00</w:t>
            </w:r>
            <w:r>
              <w:rPr>
                <w:rFonts w:ascii="宋体"/>
                <w:sz w:val="13"/>
              </w:rPr>
            </w:r>
          </w:p>
        </w:tc>
      </w:tr>
      <w:tr>
        <w:trPr>
          <w:trHeight w:val="24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w:t>
            </w:r>
          </w:p>
          <w:p>
            <w:pPr>
              <w:pStyle w:val="TableParagraph"/>
              <w:spacing w:line="232" w:lineRule="exact" w:before="23"/>
              <w:ind w:left="100" w:right="180"/>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3,831,584.07</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13"/>
                <w:szCs w:val="13"/>
              </w:rPr>
            </w:pPr>
            <w:r>
              <w:rPr>
                <w:rFonts w:ascii="宋体"/>
                <w:w w:val="95"/>
                <w:sz w:val="13"/>
              </w:rPr>
              <w:t>3,831,584.07</w:t>
            </w:r>
            <w:r>
              <w:rPr>
                <w:rFonts w:ascii="宋体"/>
                <w:sz w:val="13"/>
              </w:rPr>
            </w:r>
          </w:p>
        </w:tc>
      </w:tr>
      <w:tr>
        <w:trPr>
          <w:trHeight w:val="482"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263" w:right="0"/>
              <w:jc w:val="left"/>
              <w:rPr>
                <w:rFonts w:ascii="宋体" w:hAnsi="宋体" w:cs="宋体" w:eastAsia="宋体" w:hint="default"/>
                <w:sz w:val="13"/>
                <w:szCs w:val="13"/>
              </w:rPr>
            </w:pPr>
            <w:r>
              <w:rPr>
                <w:rFonts w:ascii="宋体"/>
                <w:sz w:val="13"/>
              </w:rPr>
              <w:t>3,589,000,000.00</w:t>
            </w:r>
          </w:p>
        </w:tc>
        <w:tc>
          <w:tcPr>
            <w:tcW w:w="710"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254" w:right="0"/>
              <w:jc w:val="left"/>
              <w:rPr>
                <w:rFonts w:ascii="宋体" w:hAnsi="宋体" w:cs="宋体" w:eastAsia="宋体" w:hint="default"/>
                <w:sz w:val="13"/>
                <w:szCs w:val="13"/>
              </w:rPr>
            </w:pPr>
            <w:r>
              <w:rPr>
                <w:rFonts w:ascii="宋体"/>
                <w:sz w:val="13"/>
              </w:rPr>
              <w:t>500,000,000.00</w:t>
            </w:r>
          </w:p>
        </w:tc>
        <w:tc>
          <w:tcPr>
            <w:tcW w:w="70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8,454,225,796.66</w:t>
            </w:r>
            <w:r>
              <w:rPr>
                <w:rFonts w:ascii="宋体"/>
                <w:sz w:val="13"/>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left="393" w:right="0"/>
              <w:jc w:val="left"/>
              <w:rPr>
                <w:rFonts w:ascii="宋体" w:hAnsi="宋体" w:cs="宋体" w:eastAsia="宋体" w:hint="default"/>
                <w:sz w:val="13"/>
                <w:szCs w:val="13"/>
              </w:rPr>
            </w:pPr>
            <w:r>
              <w:rPr>
                <w:rFonts w:ascii="宋体"/>
                <w:sz w:val="13"/>
              </w:rPr>
              <w:t>726,111,524.62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706,149,987.73</w:t>
            </w:r>
            <w:r>
              <w:rPr>
                <w:rFonts w:ascii="宋体"/>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1,789,397,358.87</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3,990,891,940.98</w:t>
            </w:r>
            <w:r>
              <w:rPr>
                <w:rFonts w:ascii="宋体"/>
                <w:sz w:val="13"/>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19,755,776,608.86</w:t>
            </w:r>
            <w:r>
              <w:rPr>
                <w:rFonts w:ascii="宋体"/>
                <w:sz w:val="13"/>
              </w:rPr>
            </w:r>
          </w:p>
        </w:tc>
      </w:tr>
    </w:tbl>
    <w:p>
      <w:pPr>
        <w:spacing w:line="240" w:lineRule="auto" w:before="9"/>
        <w:rPr>
          <w:rFonts w:ascii="Times New Roman" w:hAnsi="Times New Roman" w:cs="Times New Roman" w:eastAsia="Times New Roman" w:hint="default"/>
          <w:sz w:val="20"/>
          <w:szCs w:val="20"/>
        </w:rPr>
      </w:pPr>
    </w:p>
    <w:p>
      <w:pPr>
        <w:pStyle w:val="BodyText"/>
        <w:tabs>
          <w:tab w:pos="2991" w:val="left" w:leader="none"/>
          <w:tab w:pos="5934" w:val="left" w:leader="none"/>
        </w:tabs>
        <w:spacing w:line="240" w:lineRule="auto" w:before="36"/>
        <w:ind w:left="680" w:right="0"/>
        <w:jc w:val="left"/>
      </w:pPr>
      <w:r>
        <w:rPr>
          <w:spacing w:val="-1"/>
        </w:rPr>
        <w:t>法定代表人：陆建强</w:t>
        <w:tab/>
      </w:r>
      <w:r>
        <w:rPr>
          <w:spacing w:val="-2"/>
        </w:rPr>
        <w:t>主管会计工作负责人：王跃军</w:t>
        <w:tab/>
        <w:t>会计机构负责人：王跃军</w:t>
      </w:r>
    </w:p>
    <w:p>
      <w:pPr>
        <w:spacing w:after="0" w:line="240" w:lineRule="auto"/>
        <w:jc w:val="left"/>
        <w:sectPr>
          <w:footerReference w:type="default" r:id="rId48"/>
          <w:pgSz w:w="16840" w:h="11910" w:orient="landscape"/>
          <w:pgMar w:footer="1195" w:header="877" w:top="1100" w:bottom="1380" w:left="760" w:right="820"/>
        </w:sectPr>
      </w:pPr>
    </w:p>
    <w:p>
      <w:pPr>
        <w:spacing w:line="240" w:lineRule="auto" w:before="4"/>
        <w:rPr>
          <w:rFonts w:ascii="宋体" w:hAnsi="宋体" w:cs="宋体" w:eastAsia="宋体" w:hint="default"/>
          <w:sz w:val="23"/>
          <w:szCs w:val="23"/>
        </w:rPr>
      </w:pPr>
    </w:p>
    <w:p>
      <w:pPr>
        <w:pStyle w:val="Heading5"/>
        <w:tabs>
          <w:tab w:pos="557" w:val="left" w:leader="none"/>
        </w:tabs>
        <w:spacing w:line="290" w:lineRule="auto" w:before="36"/>
        <w:ind w:left="137" w:right="759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2" w:lineRule="exact" w:before="42"/>
        <w:ind w:left="557" w:right="0" w:hanging="420"/>
        <w:jc w:val="left"/>
      </w:pPr>
      <w:r>
        <w:rPr/>
        <w:t>√适用</w:t>
      </w:r>
      <w:r>
        <w:rPr>
          <w:spacing w:val="-2"/>
        </w:rPr>
        <w:t> </w:t>
      </w:r>
      <w:r>
        <w:rPr/>
        <w:t>□不适用</w:t>
      </w:r>
      <w:r>
        <w:rPr>
          <w:spacing w:val="-103"/>
        </w:rPr>
        <w:t> </w:t>
      </w:r>
      <w:r>
        <w:rPr>
          <w:spacing w:val="-103"/>
        </w:rPr>
      </w:r>
      <w:r>
        <w:rPr>
          <w:spacing w:val="-3"/>
        </w:rPr>
        <w:t>财通证券股份有限公司系经中国证券监督管理委员会批准，由财通证券有限责任公司改制设立，</w:t>
      </w:r>
    </w:p>
    <w:p>
      <w:pPr>
        <w:pStyle w:val="BodyText"/>
        <w:spacing w:line="240" w:lineRule="auto" w:before="110"/>
        <w:ind w:left="137" w:right="0"/>
        <w:jc w:val="left"/>
      </w:pPr>
      <w:r>
        <w:rPr/>
        <w:t>于</w:t>
      </w:r>
      <w:r>
        <w:rPr>
          <w:spacing w:val="-41"/>
        </w:rPr>
        <w:t> </w:t>
      </w:r>
      <w:r>
        <w:rPr>
          <w:rFonts w:ascii="宋体" w:hAnsi="宋体" w:cs="宋体" w:eastAsia="宋体" w:hint="default"/>
        </w:rPr>
        <w:t>2013</w:t>
      </w:r>
      <w:r>
        <w:rPr>
          <w:rFonts w:ascii="宋体" w:hAnsi="宋体" w:cs="宋体" w:eastAsia="宋体" w:hint="default"/>
          <w:spacing w:val="-41"/>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w:t>
      </w:r>
      <w:r>
        <w:rPr>
          <w:spacing w:val="-41"/>
        </w:rPr>
        <w:t> </w:t>
      </w:r>
      <w:r>
        <w:rPr>
          <w:rFonts w:ascii="宋体" w:hAnsi="宋体" w:cs="宋体" w:eastAsia="宋体" w:hint="default"/>
        </w:rPr>
        <w:t>15</w:t>
      </w:r>
      <w:r>
        <w:rPr>
          <w:rFonts w:ascii="宋体" w:hAnsi="宋体" w:cs="宋体" w:eastAsia="宋体" w:hint="default"/>
          <w:spacing w:val="-44"/>
        </w:rPr>
        <w:t> </w:t>
      </w:r>
      <w:r>
        <w:rPr>
          <w:spacing w:val="-4"/>
        </w:rPr>
        <w:t>日在浙江省工商行政管理局登记注册，总部位于浙江省杭州市。本公司现持有统</w:t>
      </w:r>
    </w:p>
    <w:p>
      <w:pPr>
        <w:pStyle w:val="BodyText"/>
        <w:spacing w:line="355" w:lineRule="auto" w:before="133"/>
        <w:ind w:left="137" w:right="0"/>
        <w:jc w:val="left"/>
      </w:pPr>
      <w:r>
        <w:rPr/>
        <w:t>一社会信用代码为</w:t>
      </w:r>
      <w:r>
        <w:rPr>
          <w:spacing w:val="-49"/>
        </w:rPr>
        <w:t> </w:t>
      </w:r>
      <w:r>
        <w:rPr>
          <w:rFonts w:ascii="宋体" w:hAnsi="宋体" w:cs="宋体" w:eastAsia="宋体" w:hint="default"/>
        </w:rPr>
        <w:t>913300007519241679</w:t>
      </w:r>
      <w:r>
        <w:rPr>
          <w:rFonts w:ascii="宋体" w:hAnsi="宋体" w:cs="宋体" w:eastAsia="宋体" w:hint="default"/>
          <w:spacing w:val="-51"/>
        </w:rPr>
        <w:t> </w:t>
      </w:r>
      <w:r>
        <w:rPr/>
        <w:t>的营业执照，注册资本</w:t>
      </w:r>
      <w:r>
        <w:rPr>
          <w:spacing w:val="-49"/>
        </w:rPr>
        <w:t> </w:t>
      </w:r>
      <w:r>
        <w:rPr>
          <w:rFonts w:ascii="宋体" w:hAnsi="宋体" w:cs="宋体" w:eastAsia="宋体" w:hint="default"/>
        </w:rPr>
        <w:t>358,900</w:t>
      </w:r>
      <w:r>
        <w:rPr>
          <w:rFonts w:ascii="宋体" w:hAnsi="宋体" w:cs="宋体" w:eastAsia="宋体" w:hint="default"/>
          <w:spacing w:val="-48"/>
        </w:rPr>
        <w:t> </w:t>
      </w:r>
      <w:r>
        <w:rPr/>
        <w:t>万元，折成</w:t>
      </w:r>
      <w:r>
        <w:rPr>
          <w:spacing w:val="-45"/>
        </w:rPr>
        <w:t> </w:t>
      </w:r>
      <w:r>
        <w:rPr>
          <w:rFonts w:ascii="宋体" w:hAnsi="宋体" w:cs="宋体" w:eastAsia="宋体" w:hint="default"/>
        </w:rPr>
        <w:t>358,900</w:t>
      </w:r>
      <w:r>
        <w:rPr>
          <w:rFonts w:ascii="宋体" w:hAnsi="宋体" w:cs="宋体" w:eastAsia="宋体" w:hint="default"/>
          <w:spacing w:val="-47"/>
        </w:rPr>
        <w:t> </w:t>
      </w:r>
      <w:r>
        <w:rPr/>
        <w:t>万股，</w:t>
      </w:r>
      <w:r>
        <w:rPr>
          <w:w w:val="100"/>
        </w:rPr>
        <w:t> </w:t>
      </w:r>
      <w:r>
        <w:rPr/>
        <w:t>每股面值</w:t>
      </w:r>
      <w:r>
        <w:rPr>
          <w:spacing w:val="-53"/>
        </w:rPr>
        <w:t> </w:t>
      </w:r>
      <w:r>
        <w:rPr>
          <w:rFonts w:ascii="宋体" w:hAnsi="宋体" w:cs="宋体" w:eastAsia="宋体" w:hint="default"/>
        </w:rPr>
        <w:t>1</w:t>
      </w:r>
      <w:r>
        <w:rPr>
          <w:rFonts w:ascii="宋体" w:hAnsi="宋体" w:cs="宋体" w:eastAsia="宋体" w:hint="default"/>
          <w:spacing w:val="-55"/>
        </w:rPr>
        <w:t> </w:t>
      </w:r>
      <w:r>
        <w:rPr/>
        <w:t>元，其中，有限售条件的流通股份</w:t>
      </w:r>
      <w:r>
        <w:rPr>
          <w:spacing w:val="-52"/>
        </w:rPr>
        <w:t> </w:t>
      </w:r>
      <w:r>
        <w:rPr>
          <w:rFonts w:ascii="宋体" w:hAnsi="宋体" w:cs="宋体" w:eastAsia="宋体" w:hint="default"/>
        </w:rPr>
        <w:t>A</w:t>
      </w:r>
      <w:r>
        <w:rPr>
          <w:rFonts w:ascii="宋体" w:hAnsi="宋体" w:cs="宋体" w:eastAsia="宋体" w:hint="default"/>
          <w:spacing w:val="-55"/>
        </w:rPr>
        <w:t> </w:t>
      </w:r>
      <w:r>
        <w:rPr/>
        <w:t>股</w:t>
      </w:r>
      <w:r>
        <w:rPr>
          <w:spacing w:val="-55"/>
        </w:rPr>
        <w:t> </w:t>
      </w:r>
      <w:r>
        <w:rPr>
          <w:rFonts w:ascii="宋体" w:hAnsi="宋体" w:cs="宋体" w:eastAsia="宋体" w:hint="default"/>
        </w:rPr>
        <w:t>1,182,307,354</w:t>
      </w:r>
      <w:r>
        <w:rPr>
          <w:rFonts w:ascii="宋体" w:hAnsi="宋体" w:cs="宋体" w:eastAsia="宋体" w:hint="default"/>
          <w:spacing w:val="-55"/>
        </w:rPr>
        <w:t> </w:t>
      </w:r>
      <w:r>
        <w:rPr/>
        <w:t>股；无限售条件的流通股份</w:t>
      </w:r>
      <w:r>
        <w:rPr>
          <w:spacing w:val="-52"/>
        </w:rPr>
        <w:t> </w:t>
      </w:r>
      <w:r>
        <w:rPr>
          <w:rFonts w:ascii="宋体" w:hAnsi="宋体" w:cs="宋体" w:eastAsia="宋体" w:hint="default"/>
        </w:rPr>
        <w:t>A</w:t>
      </w:r>
      <w:r>
        <w:rPr>
          <w:rFonts w:ascii="宋体" w:hAnsi="宋体" w:cs="宋体" w:eastAsia="宋体" w:hint="default"/>
          <w:spacing w:val="-55"/>
        </w:rPr>
        <w:t> </w:t>
      </w:r>
      <w:r>
        <w:rPr/>
        <w:t>股</w:t>
      </w:r>
      <w:r>
        <w:rPr>
          <w:w w:val="100"/>
        </w:rPr>
        <w:t> </w:t>
      </w:r>
      <w:r>
        <w:rPr>
          <w:rFonts w:ascii="宋体" w:hAnsi="宋体" w:cs="宋体" w:eastAsia="宋体" w:hint="default"/>
        </w:rPr>
        <w:t>2,406,692,646</w:t>
      </w:r>
      <w:r>
        <w:rPr>
          <w:rFonts w:ascii="宋体" w:hAnsi="宋体" w:cs="宋体" w:eastAsia="宋体" w:hint="default"/>
          <w:spacing w:val="-55"/>
        </w:rPr>
        <w:t> </w:t>
      </w:r>
      <w:r>
        <w:rPr/>
        <w:t>股。公司股票已于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日在上海证券交易所挂牌交易。</w:t>
      </w:r>
    </w:p>
    <w:p>
      <w:pPr>
        <w:pStyle w:val="BodyText"/>
        <w:spacing w:line="357" w:lineRule="auto" w:before="34"/>
        <w:ind w:left="137" w:right="0" w:firstLine="420"/>
        <w:jc w:val="left"/>
      </w:pPr>
      <w:r>
        <w:rPr>
          <w:spacing w:val="-2"/>
        </w:rPr>
        <w:t>本公司属证券行业，主要经营活动：证券经纪；证券投资咨询；证券自营；证券承销与保荐；</w:t>
      </w:r>
      <w:r>
        <w:rPr>
          <w:w w:val="100"/>
        </w:rPr>
        <w:t> </w:t>
      </w:r>
      <w:r>
        <w:rPr/>
        <w:t>融资融券；证券投资基金代销；代销金融产品。</w:t>
      </w:r>
    </w:p>
    <w:p>
      <w:pPr>
        <w:pStyle w:val="BodyText"/>
        <w:spacing w:line="240" w:lineRule="auto" w:before="30"/>
        <w:ind w:left="557" w:right="0"/>
        <w:jc w:val="left"/>
      </w:pPr>
      <w:r>
        <w:rPr/>
        <w:t>截至</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日，本公司共设有</w:t>
      </w:r>
      <w:r>
        <w:rPr>
          <w:spacing w:val="-43"/>
        </w:rPr>
        <w:t> </w:t>
      </w:r>
      <w:r>
        <w:rPr>
          <w:rFonts w:ascii="宋体" w:hAnsi="宋体" w:cs="宋体" w:eastAsia="宋体" w:hint="default"/>
        </w:rPr>
        <w:t>124</w:t>
      </w:r>
      <w:r>
        <w:rPr>
          <w:rFonts w:ascii="宋体" w:hAnsi="宋体" w:cs="宋体" w:eastAsia="宋体" w:hint="default"/>
          <w:spacing w:val="-44"/>
        </w:rPr>
        <w:t> </w:t>
      </w:r>
      <w:r>
        <w:rPr/>
        <w:t>家证券营业部、</w:t>
      </w:r>
      <w:r>
        <w:rPr>
          <w:rFonts w:ascii="宋体" w:hAnsi="宋体" w:cs="宋体" w:eastAsia="宋体" w:hint="default"/>
        </w:rPr>
        <w:t>15</w:t>
      </w:r>
      <w:r>
        <w:rPr>
          <w:rFonts w:ascii="宋体" w:hAnsi="宋体" w:cs="宋体" w:eastAsia="宋体" w:hint="default"/>
          <w:spacing w:val="-44"/>
        </w:rPr>
        <w:t> </w:t>
      </w:r>
      <w:r>
        <w:rPr/>
        <w:t>家分公司及</w:t>
      </w:r>
      <w:r>
        <w:rPr>
          <w:spacing w:val="-44"/>
        </w:rPr>
        <w:t> </w:t>
      </w:r>
      <w:r>
        <w:rPr>
          <w:rFonts w:ascii="宋体" w:hAnsi="宋体" w:cs="宋体" w:eastAsia="宋体" w:hint="default"/>
        </w:rPr>
        <w:t>18</w:t>
      </w:r>
      <w:r>
        <w:rPr>
          <w:rFonts w:ascii="宋体" w:hAnsi="宋体" w:cs="宋体" w:eastAsia="宋体" w:hint="default"/>
          <w:spacing w:val="-44"/>
        </w:rPr>
        <w:t> </w:t>
      </w:r>
      <w:r>
        <w:rPr/>
        <w:t>家控股子公司，</w:t>
      </w:r>
    </w:p>
    <w:p>
      <w:pPr>
        <w:pStyle w:val="BodyText"/>
        <w:spacing w:line="240" w:lineRule="auto" w:before="133"/>
        <w:ind w:left="137" w:right="0"/>
        <w:jc w:val="left"/>
      </w:pPr>
      <w:r>
        <w:rPr/>
        <w:t>共有员工</w:t>
      </w:r>
      <w:r>
        <w:rPr>
          <w:spacing w:val="-53"/>
        </w:rPr>
        <w:t> </w:t>
      </w:r>
      <w:r>
        <w:rPr>
          <w:rFonts w:ascii="宋体" w:hAnsi="宋体" w:cs="宋体" w:eastAsia="宋体" w:hint="default"/>
        </w:rPr>
        <w:t>2,745</w:t>
      </w:r>
      <w:r>
        <w:rPr>
          <w:rFonts w:ascii="宋体" w:hAnsi="宋体" w:cs="宋体" w:eastAsia="宋体" w:hint="default"/>
          <w:spacing w:val="-55"/>
        </w:rPr>
        <w:t> </w:t>
      </w:r>
      <w:r>
        <w:rPr/>
        <w:t>名（母公司口径），其中高级管理人员</w:t>
      </w:r>
      <w:r>
        <w:rPr>
          <w:spacing w:val="-52"/>
        </w:rPr>
        <w:t> </w:t>
      </w:r>
      <w:r>
        <w:rPr>
          <w:rFonts w:ascii="宋体" w:hAnsi="宋体" w:cs="宋体" w:eastAsia="宋体" w:hint="default"/>
        </w:rPr>
        <w:t>10</w:t>
      </w:r>
      <w:r>
        <w:rPr>
          <w:rFonts w:ascii="宋体" w:hAnsi="宋体" w:cs="宋体" w:eastAsia="宋体" w:hint="default"/>
          <w:spacing w:val="-53"/>
        </w:rPr>
        <w:t> </w:t>
      </w:r>
      <w:r>
        <w:rPr>
          <w:spacing w:val="-3"/>
        </w:rPr>
        <w:t>名。</w:t>
      </w:r>
      <w:r>
        <w:rPr/>
      </w:r>
    </w:p>
    <w:p>
      <w:pPr>
        <w:pStyle w:val="BodyText"/>
        <w:spacing w:line="240" w:lineRule="auto" w:before="133"/>
        <w:ind w:left="557" w:right="0"/>
        <w:jc w:val="left"/>
      </w:pPr>
      <w:r>
        <w:rPr/>
        <w:t>本财务报表业经公司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日第二届董事会第十八次会议批准对外报出。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5"/>
        <w:tabs>
          <w:tab w:pos="557" w:val="left" w:leader="none"/>
        </w:tabs>
        <w:spacing w:line="240" w:lineRule="auto"/>
        <w:ind w:left="137"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spacing w:val="-2"/>
        </w:rPr>
        <w:t>本公司纳入本期合并财务报表范围的子公司和结构化主体情况详见本财务报表附注合并范围的</w:t>
      </w:r>
    </w:p>
    <w:p>
      <w:pPr>
        <w:pStyle w:val="BodyText"/>
        <w:spacing w:line="240" w:lineRule="auto" w:before="133"/>
        <w:ind w:left="137" w:right="0"/>
        <w:jc w:val="left"/>
      </w:pPr>
      <w:r>
        <w:rPr/>
        <w:t>变更和在其他主体中的权益之说明。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tabs>
          <w:tab w:pos="562" w:val="left" w:leader="none"/>
        </w:tabs>
        <w:spacing w:line="290" w:lineRule="auto"/>
        <w:ind w:left="137" w:right="696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557" w:right="0"/>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5"/>
        <w:tabs>
          <w:tab w:pos="562" w:val="left" w:leader="none"/>
        </w:tabs>
        <w:spacing w:line="240" w:lineRule="auto"/>
        <w:ind w:left="137" w:right="0"/>
        <w:jc w:val="left"/>
        <w:rPr>
          <w:b w:val="0"/>
          <w:bCs w:val="0"/>
        </w:rPr>
      </w:pPr>
      <w:r>
        <w:rPr>
          <w:rFonts w:ascii="宋体" w:hAnsi="宋体" w:cs="宋体" w:eastAsia="宋体" w:hint="default"/>
          <w:w w:val="95"/>
        </w:rPr>
        <w:t>2.</w:t>
        <w:tab/>
      </w:r>
      <w:r>
        <w:rPr/>
        <w:t>持续经营</w:t>
      </w:r>
      <w:r>
        <w:rPr>
          <w:b w:val="0"/>
          <w:bCs w:val="0"/>
        </w:rPr>
      </w:r>
    </w:p>
    <w:p>
      <w:pPr>
        <w:pStyle w:val="BodyText"/>
        <w:spacing w:line="274" w:lineRule="exact" w:before="56"/>
        <w:ind w:left="137" w:right="0"/>
        <w:jc w:val="left"/>
      </w:pPr>
      <w:r>
        <w:rPr/>
        <w:t>√适用 □不适用</w:t>
      </w:r>
    </w:p>
    <w:p>
      <w:pPr>
        <w:pStyle w:val="BodyText"/>
        <w:spacing w:line="274" w:lineRule="exact"/>
        <w:ind w:left="557"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10"/>
        <w:rPr>
          <w:rFonts w:ascii="宋体" w:hAnsi="宋体" w:cs="宋体" w:eastAsia="宋体" w:hint="default"/>
          <w:sz w:val="14"/>
          <w:szCs w:val="14"/>
        </w:rPr>
      </w:pPr>
    </w:p>
    <w:p>
      <w:pPr>
        <w:spacing w:line="290" w:lineRule="auto" w:before="0"/>
        <w:ind w:left="137" w:right="6114"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7" w:right="0"/>
        <w:jc w:val="left"/>
      </w:pPr>
      <w:r>
        <w:rPr/>
        <w:t>√适用 □不适用</w:t>
      </w:r>
    </w:p>
    <w:p>
      <w:pPr>
        <w:pStyle w:val="BodyText"/>
        <w:spacing w:line="355" w:lineRule="auto"/>
        <w:ind w:left="137" w:right="0" w:firstLine="480"/>
        <w:jc w:val="left"/>
      </w:pPr>
      <w:r>
        <w:rPr>
          <w:spacing w:val="-2"/>
        </w:rPr>
        <w:t>本公司根据实际生产经营特点针对应收款项坏账准备计提、固定资产折旧、无形资产摊销、收</w:t>
      </w:r>
      <w:r>
        <w:rPr>
          <w:w w:val="100"/>
        </w:rPr>
        <w:t> </w:t>
      </w:r>
      <w:r>
        <w:rPr/>
        <w:t>入确认等交易或事项制定了具体会计政策和会计估计。</w:t>
      </w:r>
    </w:p>
    <w:p>
      <w:pPr>
        <w:spacing w:line="240" w:lineRule="auto" w:before="0"/>
        <w:rPr>
          <w:rFonts w:ascii="宋体" w:hAnsi="宋体" w:cs="宋体" w:eastAsia="宋体" w:hint="default"/>
          <w:sz w:val="20"/>
          <w:szCs w:val="20"/>
        </w:rPr>
      </w:pPr>
    </w:p>
    <w:p>
      <w:pPr>
        <w:tabs>
          <w:tab w:pos="562" w:val="left" w:leader="none"/>
        </w:tabs>
        <w:spacing w:line="290" w:lineRule="auto" w:before="142"/>
        <w:ind w:left="557" w:right="249"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w:t>
      </w:r>
    </w:p>
    <w:p>
      <w:pPr>
        <w:pStyle w:val="BodyText"/>
        <w:spacing w:line="240" w:lineRule="auto" w:before="89"/>
        <w:ind w:left="137" w:right="0"/>
        <w:jc w:val="left"/>
      </w:pPr>
      <w:r>
        <w:rPr/>
        <w:t>营成果、股东权益变动和现金流量等有关信息。</w:t>
      </w:r>
    </w:p>
    <w:p>
      <w:pPr>
        <w:spacing w:after="0" w:line="240" w:lineRule="auto"/>
        <w:jc w:val="left"/>
        <w:sectPr>
          <w:headerReference w:type="default" r:id="rId49"/>
          <w:footerReference w:type="default" r:id="rId50"/>
          <w:pgSz w:w="11910" w:h="16840"/>
          <w:pgMar w:header="882" w:footer="1195" w:top="1120" w:bottom="1380" w:left="1140" w:right="1340"/>
          <w:pgNumType w:start="121"/>
        </w:sectPr>
      </w:pPr>
    </w:p>
    <w:p>
      <w:pPr>
        <w:spacing w:line="240" w:lineRule="auto" w:before="9"/>
        <w:rPr>
          <w:rFonts w:ascii="宋体" w:hAnsi="宋体" w:cs="宋体" w:eastAsia="宋体" w:hint="default"/>
          <w:sz w:val="18"/>
          <w:szCs w:val="18"/>
        </w:rPr>
      </w:pPr>
    </w:p>
    <w:p>
      <w:pPr>
        <w:pStyle w:val="Heading5"/>
        <w:spacing w:line="240" w:lineRule="auto" w:before="36"/>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6"/>
        <w:ind w:left="557"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5"/>
        <w:spacing w:line="240" w:lineRule="auto"/>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40" w:lineRule="auto" w:before="58"/>
        <w:ind w:left="137" w:right="0"/>
        <w:jc w:val="both"/>
      </w:pPr>
      <w:r>
        <w:rPr/>
        <w:t>□适用 √不适用</w:t>
      </w:r>
    </w:p>
    <w:p>
      <w:pPr>
        <w:spacing w:line="240" w:lineRule="auto" w:before="3"/>
        <w:rPr>
          <w:rFonts w:ascii="宋体" w:hAnsi="宋体" w:cs="宋体" w:eastAsia="宋体" w:hint="default"/>
          <w:sz w:val="25"/>
          <w:szCs w:val="25"/>
        </w:rPr>
      </w:pPr>
    </w:p>
    <w:p>
      <w:pPr>
        <w:pStyle w:val="BodyText"/>
        <w:tabs>
          <w:tab w:pos="562" w:val="left" w:leader="none"/>
        </w:tabs>
        <w:spacing w:line="290" w:lineRule="auto"/>
        <w:ind w:left="557" w:right="152"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本公司的记账本位币为人民币。境外子公司以其经营所处的主要经济环境中的货币为记账本位</w:t>
      </w:r>
      <w:r>
        <w:rPr/>
      </w:r>
    </w:p>
    <w:p>
      <w:pPr>
        <w:pStyle w:val="BodyText"/>
        <w:spacing w:line="240" w:lineRule="auto" w:before="91"/>
        <w:ind w:left="137" w:right="0"/>
        <w:jc w:val="both"/>
      </w:pPr>
      <w:r>
        <w:rPr/>
        <w:t>币，编制财务报表时折算为人民币。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5"/>
        <w:spacing w:line="240" w:lineRule="auto"/>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left="137" w:right="0"/>
        <w:jc w:val="both"/>
      </w:pPr>
      <w:r>
        <w:rPr/>
        <w:t>√适用 □不适用</w:t>
      </w:r>
    </w:p>
    <w:p>
      <w:pPr>
        <w:pStyle w:val="BodyText"/>
        <w:spacing w:line="355" w:lineRule="auto"/>
        <w:ind w:left="557" w:right="0"/>
        <w:jc w:val="left"/>
      </w:pPr>
      <w:r>
        <w:rPr>
          <w:rFonts w:ascii="宋体" w:hAnsi="宋体" w:cs="宋体" w:eastAsia="宋体" w:hint="default"/>
        </w:rPr>
        <w:t>(1) </w:t>
      </w:r>
      <w:r>
        <w:rPr/>
        <w:t>同一控制下企业合并的会计处理方法</w:t>
      </w:r>
      <w:r>
        <w:rPr>
          <w:w w:val="100"/>
        </w:rPr>
        <w:t> </w:t>
      </w:r>
      <w:r>
        <w:rPr>
          <w:spacing w:val="-1"/>
        </w:rPr>
        <w:t>公司在企业合并中取得的资产和负债，按照合并日被合并方在最终控制方合并财务报表中的账</w:t>
      </w:r>
    </w:p>
    <w:p>
      <w:pPr>
        <w:pStyle w:val="BodyText"/>
        <w:spacing w:line="355" w:lineRule="auto" w:before="34"/>
        <w:ind w:left="137" w:right="112"/>
        <w:jc w:val="both"/>
      </w:pPr>
      <w:r>
        <w:rPr>
          <w:spacing w:val="-1"/>
        </w:rPr>
        <w:t>面价值计量。公司按照被合并方所有者权益在最终控制方合并财务报表中的账面价值份额与支付的</w:t>
      </w:r>
      <w:r>
        <w:rPr>
          <w:spacing w:val="-20"/>
        </w:rPr>
        <w:t> </w:t>
      </w:r>
      <w:r>
        <w:rPr>
          <w:spacing w:val="-20"/>
        </w:rPr>
      </w:r>
      <w:r>
        <w:rPr>
          <w:spacing w:val="-1"/>
        </w:rPr>
        <w:t>合并对价账面价值或发行股份面值总额的差额，调整资本公积；资本公积不足冲减的，调整留存收</w:t>
      </w:r>
      <w:r>
        <w:rPr>
          <w:spacing w:val="-20"/>
        </w:rPr>
        <w:t> </w:t>
      </w:r>
      <w:r>
        <w:rPr>
          <w:spacing w:val="-20"/>
        </w:rPr>
      </w:r>
      <w:r>
        <w:rPr/>
        <w:t>益。</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1"/>
        </w:rPr>
        <w:t>公司在购买日对合并成本大于合并中取得的被购买方可辨认净资产公允价值份额的差额，确认</w:t>
      </w:r>
    </w:p>
    <w:p>
      <w:pPr>
        <w:pStyle w:val="BodyText"/>
        <w:spacing w:line="355" w:lineRule="auto" w:before="35"/>
        <w:ind w:left="137" w:right="112"/>
        <w:jc w:val="both"/>
      </w:pPr>
      <w:r>
        <w:rPr>
          <w:spacing w:val="-1"/>
        </w:rPr>
        <w:t>为商誉；如果合并成本小于合并中取得的被购买方可辨认净资产公允价值份额，首先对取得的被购</w:t>
      </w:r>
      <w:r>
        <w:rPr>
          <w:spacing w:val="-20"/>
        </w:rPr>
        <w:t> </w:t>
      </w:r>
      <w:r>
        <w:rPr>
          <w:spacing w:val="-20"/>
        </w:rPr>
      </w:r>
      <w:r>
        <w:rPr>
          <w:spacing w:val="-1"/>
        </w:rPr>
        <w:t>买方各项可辨认资产、负债及或有负债的公允价值以及合并成本的计量进行复核，经复核后合并成</w:t>
      </w:r>
      <w:r>
        <w:rPr>
          <w:spacing w:val="-20"/>
        </w:rPr>
        <w:t> </w:t>
      </w:r>
      <w:r>
        <w:rPr>
          <w:spacing w:val="-20"/>
        </w:rPr>
      </w:r>
      <w:r>
        <w:rPr/>
        <w:t>本仍小于合并中取得的被购买方可辨认净资产公允价值份额的，其差额计入当期损益。</w:t>
      </w:r>
    </w:p>
    <w:p>
      <w:pPr>
        <w:spacing w:line="240" w:lineRule="auto" w:before="13"/>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spacing w:val="-1"/>
        </w:rPr>
        <w:t>母公司将其控制的所有子公司纳入合并财务报表的合并范围。合并财务报表以母公司及其子公</w:t>
      </w:r>
    </w:p>
    <w:p>
      <w:pPr>
        <w:pStyle w:val="BodyText"/>
        <w:spacing w:line="357" w:lineRule="auto" w:before="133"/>
        <w:ind w:left="137" w:right="0"/>
        <w:jc w:val="left"/>
      </w:pPr>
      <w:r>
        <w:rPr>
          <w:spacing w:val="-10"/>
          <w:w w:val="100"/>
        </w:rPr>
        <w:t>司的财务报表为基础，根据其他有关资料，由母公司按照《企业会计准则第</w:t>
      </w:r>
      <w:r>
        <w:rPr>
          <w:spacing w:val="-49"/>
          <w:w w:val="100"/>
        </w:rPr>
        <w:t> </w:t>
      </w:r>
      <w:r>
        <w:rPr>
          <w:rFonts w:ascii="宋体" w:hAnsi="宋体" w:cs="宋体" w:eastAsia="宋体" w:hint="default"/>
          <w:w w:val="100"/>
        </w:rPr>
        <w:t>33</w:t>
      </w:r>
      <w:r>
        <w:rPr>
          <w:rFonts w:ascii="宋体" w:hAnsi="宋体" w:cs="宋体" w:eastAsia="宋体" w:hint="default"/>
          <w:spacing w:val="-49"/>
          <w:w w:val="100"/>
        </w:rPr>
        <w:t> </w:t>
      </w:r>
      <w:r>
        <w:rPr>
          <w:spacing w:val="-2"/>
          <w:w w:val="100"/>
        </w:rPr>
        <w:t>号——合并财务报表》</w:t>
      </w:r>
      <w:r>
        <w:rPr>
          <w:spacing w:val="-103"/>
          <w:w w:val="100"/>
        </w:rPr>
        <w:t> </w:t>
      </w:r>
      <w:r>
        <w:rPr>
          <w:spacing w:val="-103"/>
          <w:w w:val="100"/>
        </w:rPr>
      </w:r>
      <w:r>
        <w:rPr/>
        <w:t>编制。</w:t>
      </w:r>
    </w:p>
    <w:p>
      <w:pPr>
        <w:spacing w:line="240" w:lineRule="auto" w:before="11"/>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7" w:right="152"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列示于现金流量表中的现金是指库存现金以及可以随时用于支付的存款。现金等价物是指企业</w:t>
      </w:r>
    </w:p>
    <w:p>
      <w:pPr>
        <w:pStyle w:val="BodyText"/>
        <w:spacing w:line="240" w:lineRule="auto" w:before="89"/>
        <w:ind w:left="137" w:right="0"/>
        <w:jc w:val="both"/>
      </w:pPr>
      <w:r>
        <w:rPr/>
        <w:t>持有的期限短、流动性强、易于转换为已知金额现金、价值变动风险很小的投资。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4" w:lineRule="exact" w:before="56"/>
        <w:ind w:left="137" w:right="0"/>
        <w:jc w:val="both"/>
      </w:pPr>
      <w:r>
        <w:rPr/>
        <w:t>√适用 □不适用</w:t>
      </w:r>
    </w:p>
    <w:p>
      <w:pPr>
        <w:pStyle w:val="BodyText"/>
        <w:spacing w:line="274" w:lineRule="exact"/>
        <w:ind w:left="557" w:right="0"/>
        <w:jc w:val="left"/>
      </w:pPr>
      <w:r>
        <w:rPr>
          <w:rFonts w:ascii="宋体" w:hAnsi="宋体" w:cs="宋体" w:eastAsia="宋体" w:hint="default"/>
        </w:rPr>
        <w:t>(1) </w:t>
      </w:r>
      <w:r>
        <w:rPr/>
        <w:t>外币业务折算</w:t>
      </w:r>
    </w:p>
    <w:p>
      <w:pPr>
        <w:spacing w:after="0" w:line="274" w:lineRule="exact"/>
        <w:jc w:val="left"/>
        <w:sectPr>
          <w:pgSz w:w="11910" w:h="16840"/>
          <w:pgMar w:header="882" w:footer="1195" w:top="1120" w:bottom="1380" w:left="1140" w:right="1440"/>
        </w:sectPr>
      </w:pPr>
    </w:p>
    <w:p>
      <w:pPr>
        <w:spacing w:line="240" w:lineRule="auto" w:before="9"/>
        <w:rPr>
          <w:rFonts w:ascii="宋体" w:hAnsi="宋体" w:cs="宋体" w:eastAsia="宋体" w:hint="default"/>
          <w:sz w:val="18"/>
          <w:szCs w:val="18"/>
        </w:rPr>
      </w:pPr>
    </w:p>
    <w:p>
      <w:pPr>
        <w:pStyle w:val="BodyText"/>
        <w:spacing w:line="357" w:lineRule="auto" w:before="36"/>
        <w:ind w:left="137" w:right="349" w:firstLine="420"/>
        <w:jc w:val="both"/>
      </w:pPr>
      <w:r>
        <w:rPr>
          <w:spacing w:val="-2"/>
        </w:rPr>
        <w:t>外币交易在初始确认时，采用交易发生日的即期汇率折算为人民币金额。资产负债表日，外币</w:t>
      </w:r>
      <w:r>
        <w:rPr>
          <w:w w:val="100"/>
        </w:rPr>
        <w:t> </w:t>
      </w:r>
      <w:r>
        <w:rPr>
          <w:spacing w:val="-2"/>
        </w:rPr>
        <w:t>货币性项目采用资产负债表日即期汇率折算，因汇率不同而产生的汇兑差额，除与购建符合资本化</w:t>
      </w:r>
      <w:r>
        <w:rPr>
          <w:spacing w:val="-25"/>
        </w:rPr>
        <w:t> </w:t>
      </w:r>
      <w:r>
        <w:rPr>
          <w:spacing w:val="-25"/>
        </w:rPr>
      </w:r>
      <w:r>
        <w:rPr>
          <w:spacing w:val="-2"/>
        </w:rPr>
        <w:t>条件资产有关的外币专门借款本金及利息的汇兑差额外，计入当期损益；以历史成本计量的外币非</w:t>
      </w:r>
      <w:r>
        <w:rPr>
          <w:spacing w:val="-25"/>
        </w:rPr>
        <w:t> </w:t>
      </w:r>
      <w:r>
        <w:rPr>
          <w:spacing w:val="-25"/>
        </w:rPr>
      </w:r>
      <w:r>
        <w:rPr>
          <w:spacing w:val="-2"/>
        </w:rPr>
        <w:t>货币性项目仍采用交易发生日的即期汇率折算，不改变其人民币金额；以公允价值计量的外币非货</w:t>
      </w:r>
      <w:r>
        <w:rPr>
          <w:spacing w:val="-25"/>
        </w:rPr>
        <w:t> </w:t>
      </w:r>
      <w:r>
        <w:rPr>
          <w:spacing w:val="-25"/>
        </w:rPr>
      </w:r>
      <w:r>
        <w:rPr/>
        <w:t>币性项目，采用公允价值确定日的即期汇率折算，差额计入当期损益或其他综合收益。</w:t>
      </w:r>
    </w:p>
    <w:p>
      <w:pPr>
        <w:pStyle w:val="BodyText"/>
        <w:spacing w:line="355" w:lineRule="auto" w:before="30"/>
        <w:ind w:left="557" w:right="0"/>
        <w:jc w:val="left"/>
      </w:pPr>
      <w:r>
        <w:rPr>
          <w:rFonts w:ascii="宋体" w:hAnsi="宋体" w:cs="宋体" w:eastAsia="宋体" w:hint="default"/>
        </w:rPr>
        <w:t>(2) </w:t>
      </w:r>
      <w:r>
        <w:rPr/>
        <w:t>外币财务报表折算</w:t>
      </w:r>
      <w:r>
        <w:rPr>
          <w:w w:val="100"/>
        </w:rPr>
        <w:t> </w:t>
      </w:r>
      <w:r>
        <w:rPr>
          <w:spacing w:val="-2"/>
        </w:rPr>
        <w:t>资产负债表中的资产和负债项目，采用资产负债表日的即期汇率折算；所有者权益项目除“未</w:t>
      </w:r>
    </w:p>
    <w:p>
      <w:pPr>
        <w:pStyle w:val="BodyText"/>
        <w:spacing w:line="357" w:lineRule="auto" w:before="34"/>
        <w:ind w:left="137" w:right="349"/>
        <w:jc w:val="both"/>
      </w:pPr>
      <w:r>
        <w:rPr>
          <w:spacing w:val="-2"/>
        </w:rPr>
        <w:t>分配利润”项目外，其他项目采用交易发生日的即期汇率折算；利润表中的收入和费用项目，采用</w:t>
      </w:r>
      <w:r>
        <w:rPr>
          <w:spacing w:val="-25"/>
        </w:rPr>
        <w:t> </w:t>
      </w:r>
      <w:r>
        <w:rPr>
          <w:spacing w:val="-25"/>
        </w:rPr>
      </w:r>
      <w:r>
        <w:rPr>
          <w:spacing w:val="-2"/>
        </w:rPr>
        <w:t>交易发生日即期汇率的近似汇率折算。按照上述折算产生的外币财务报表折算差额，计入其他综合</w:t>
      </w:r>
      <w:r>
        <w:rPr>
          <w:spacing w:val="-25"/>
        </w:rPr>
        <w:t> </w:t>
      </w:r>
      <w:r>
        <w:rPr>
          <w:spacing w:val="-25"/>
        </w:rPr>
      </w:r>
      <w:r>
        <w:rPr/>
        <w:t>收益。</w:t>
      </w:r>
    </w:p>
    <w:p>
      <w:pPr>
        <w:spacing w:line="240" w:lineRule="auto" w:before="11"/>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7" w:right="0"/>
        <w:jc w:val="both"/>
      </w:pPr>
      <w:r>
        <w:rPr/>
        <w:t>√适用 □不适用</w:t>
      </w:r>
    </w:p>
    <w:p>
      <w:pPr>
        <w:pStyle w:val="BodyText"/>
        <w:spacing w:line="274" w:lineRule="exact"/>
        <w:ind w:left="557"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p>
    <w:p>
      <w:pPr>
        <w:pStyle w:val="BodyText"/>
        <w:spacing w:line="355" w:lineRule="auto" w:before="133"/>
        <w:ind w:left="137" w:right="0" w:firstLine="420"/>
        <w:jc w:val="left"/>
      </w:pPr>
      <w:r>
        <w:rPr>
          <w:rFonts w:ascii="宋体" w:hAnsi="宋体" w:cs="宋体" w:eastAsia="宋体" w:hint="default"/>
        </w:rPr>
        <w:t>1)</w:t>
      </w:r>
      <w:r>
        <w:rPr>
          <w:rFonts w:ascii="宋体" w:hAnsi="宋体" w:cs="宋体" w:eastAsia="宋体" w:hint="default"/>
          <w:spacing w:val="43"/>
        </w:rPr>
        <w:t> </w:t>
      </w:r>
      <w:r>
        <w:rPr>
          <w:spacing w:val="-3"/>
        </w:rPr>
        <w:t>金融资产在初始确认时划分为以下四类：以公允价值计量且其变动计入当期损益的金融资产、</w:t>
      </w:r>
      <w:r>
        <w:rPr>
          <w:w w:val="100"/>
        </w:rPr>
        <w:t> </w:t>
      </w:r>
      <w:r>
        <w:rPr/>
        <w:t>持有至到期投资、贷款和应收款项、可供出售金融资产。</w:t>
      </w:r>
    </w:p>
    <w:p>
      <w:pPr>
        <w:pStyle w:val="BodyText"/>
        <w:spacing w:line="357" w:lineRule="auto" w:before="32"/>
        <w:ind w:left="557" w:right="0"/>
        <w:jc w:val="left"/>
      </w:pPr>
      <w:r>
        <w:rPr/>
        <w:t>①</w:t>
      </w:r>
      <w:r>
        <w:rPr>
          <w:spacing w:val="-1"/>
        </w:rPr>
        <w:t> </w:t>
      </w:r>
      <w:r>
        <w:rPr/>
        <w:t>以公允价值计量且其变动计入当期损益的金融资产</w:t>
      </w:r>
      <w:r>
        <w:rPr>
          <w:w w:val="100"/>
        </w:rPr>
        <w:t> </w:t>
      </w:r>
      <w:r>
        <w:rPr>
          <w:spacing w:val="-1"/>
        </w:rPr>
        <w:t>以公允价值计量且其变动计入当期损益的金融资产包括交易性金融资产和在初始确认时指定为</w:t>
      </w:r>
    </w:p>
    <w:p>
      <w:pPr>
        <w:pStyle w:val="BodyText"/>
        <w:spacing w:line="355" w:lineRule="auto" w:before="32"/>
        <w:ind w:left="557" w:right="4520" w:hanging="420"/>
        <w:jc w:val="left"/>
      </w:pPr>
      <w:r>
        <w:rPr>
          <w:spacing w:val="-2"/>
        </w:rPr>
        <w:t>以公允价值计量且其变动计入当期损益的金融资产。</w:t>
      </w:r>
      <w:r>
        <w:rPr>
          <w:spacing w:val="-62"/>
        </w:rPr>
        <w:t> </w:t>
      </w:r>
      <w:r>
        <w:rPr>
          <w:spacing w:val="-62"/>
        </w:rPr>
      </w:r>
      <w:r>
        <w:rPr>
          <w:rFonts w:ascii="宋体" w:hAnsi="宋体" w:cs="宋体" w:eastAsia="宋体" w:hint="default"/>
        </w:rPr>
        <w:t>A </w:t>
      </w:r>
      <w:r>
        <w:rPr/>
        <w:t>交易性金融资产</w:t>
      </w:r>
    </w:p>
    <w:p>
      <w:pPr>
        <w:pStyle w:val="BodyText"/>
        <w:spacing w:line="357" w:lineRule="auto" w:before="32"/>
        <w:ind w:left="557" w:right="0"/>
        <w:jc w:val="left"/>
      </w:pPr>
      <w:r>
        <w:rPr/>
        <w:t>公司将满足下列条件之一的金融资产划分为交易性金融资产：</w:t>
      </w:r>
      <w:r>
        <w:rPr>
          <w:w w:val="100"/>
        </w:rPr>
        <w:t> </w:t>
      </w:r>
      <w:r>
        <w:rPr>
          <w:rFonts w:ascii="宋体" w:hAnsi="宋体" w:cs="宋体" w:eastAsia="宋体" w:hint="default"/>
        </w:rPr>
        <w:t>a</w:t>
      </w:r>
      <w:r>
        <w:rPr/>
        <w:t>．取得该金融资产的目的主要是为了近期内出售、回购或赎回；</w:t>
      </w:r>
      <w:r>
        <w:rPr>
          <w:w w:val="100"/>
        </w:rPr>
        <w:t> </w:t>
      </w:r>
      <w:r>
        <w:rPr>
          <w:rFonts w:ascii="宋体" w:hAnsi="宋体" w:cs="宋体" w:eastAsia="宋体" w:hint="default"/>
          <w:spacing w:val="-3"/>
        </w:rPr>
        <w:t>b</w:t>
      </w:r>
      <w:r>
        <w:rPr>
          <w:spacing w:val="-3"/>
        </w:rPr>
        <w:t>．属于进行集中管理的可辨认金融工具组合的一部分，且公司近期采用短期获利方式对该组合</w:t>
      </w:r>
    </w:p>
    <w:p>
      <w:pPr>
        <w:pStyle w:val="BodyText"/>
        <w:spacing w:line="240" w:lineRule="auto" w:before="30"/>
        <w:ind w:left="137" w:right="0"/>
        <w:jc w:val="both"/>
      </w:pPr>
      <w:r>
        <w:rPr/>
        <w:t>进行管理；</w:t>
      </w:r>
    </w:p>
    <w:p>
      <w:pPr>
        <w:pStyle w:val="BodyText"/>
        <w:spacing w:line="240" w:lineRule="auto" w:before="133"/>
        <w:ind w:left="557" w:right="0"/>
        <w:jc w:val="left"/>
      </w:pPr>
      <w:r>
        <w:rPr>
          <w:rFonts w:ascii="宋体" w:hAnsi="宋体" w:cs="宋体" w:eastAsia="宋体" w:hint="default"/>
        </w:rPr>
        <w:t>c</w:t>
      </w:r>
      <w:r>
        <w:rPr/>
        <w:t>．属于衍生工具。</w:t>
      </w:r>
    </w:p>
    <w:p>
      <w:pPr>
        <w:pStyle w:val="BodyText"/>
        <w:spacing w:line="355" w:lineRule="auto" w:before="133"/>
        <w:ind w:left="557" w:right="0"/>
        <w:jc w:val="left"/>
      </w:pPr>
      <w:r>
        <w:rPr>
          <w:rFonts w:ascii="宋体" w:hAnsi="宋体" w:cs="宋体" w:eastAsia="宋体" w:hint="default"/>
        </w:rPr>
        <w:t>B</w:t>
      </w:r>
      <w:r>
        <w:rPr>
          <w:rFonts w:ascii="宋体" w:hAnsi="宋体" w:cs="宋体" w:eastAsia="宋体" w:hint="default"/>
          <w:spacing w:val="-1"/>
        </w:rPr>
        <w:t> </w:t>
      </w:r>
      <w:r>
        <w:rPr/>
        <w:t>在初始确认时直接指定为以公允价值计量且其变动计入当期损益的金融资产</w:t>
      </w:r>
      <w:r>
        <w:rPr>
          <w:w w:val="100"/>
        </w:rPr>
        <w:t> </w:t>
      </w:r>
      <w:r>
        <w:rPr>
          <w:rFonts w:ascii="宋体" w:hAnsi="宋体" w:cs="宋体" w:eastAsia="宋体" w:hint="default"/>
          <w:spacing w:val="-3"/>
        </w:rPr>
        <w:t>a</w:t>
      </w:r>
      <w:r>
        <w:rPr>
          <w:spacing w:val="-3"/>
        </w:rPr>
        <w:t>．对于包括一项或多项嵌入衍生工具的混合工具，如果不是以下两种情况，公司将其直接指定</w:t>
      </w:r>
    </w:p>
    <w:p>
      <w:pPr>
        <w:pStyle w:val="BodyText"/>
        <w:spacing w:line="355" w:lineRule="auto" w:before="34"/>
        <w:ind w:left="137" w:right="312"/>
        <w:jc w:val="both"/>
      </w:pPr>
      <w:r>
        <w:rPr>
          <w:spacing w:val="-1"/>
        </w:rPr>
        <w:t>为以公允价值计量且其变动计入当期损益的金融资产：嵌入衍生工具对混合工具的现金流量没有重</w:t>
      </w:r>
      <w:r>
        <w:rPr>
          <w:spacing w:val="-20"/>
        </w:rPr>
        <w:t> </w:t>
      </w:r>
      <w:r>
        <w:rPr>
          <w:spacing w:val="-20"/>
        </w:rPr>
      </w:r>
      <w:r>
        <w:rPr/>
        <w:t>大改变；类似混合工具所嵌入的衍生工具，明显不应当从相关混合工具中分拆。</w:t>
      </w:r>
    </w:p>
    <w:p>
      <w:pPr>
        <w:pStyle w:val="BodyText"/>
        <w:spacing w:line="357" w:lineRule="auto" w:before="32"/>
        <w:ind w:left="137" w:right="311" w:firstLine="420"/>
        <w:jc w:val="both"/>
      </w:pPr>
      <w:r>
        <w:rPr>
          <w:rFonts w:ascii="宋体" w:hAnsi="宋体" w:cs="宋体" w:eastAsia="宋体" w:hint="default"/>
          <w:spacing w:val="-3"/>
        </w:rPr>
        <w:t>b</w:t>
      </w:r>
      <w:r>
        <w:rPr>
          <w:spacing w:val="-3"/>
        </w:rPr>
        <w:t>．除混合工具以外的其他金融资产，当直接指定为以公允价值计量且其变动计入当期损益的金</w:t>
      </w:r>
      <w:r>
        <w:rPr>
          <w:w w:val="100"/>
        </w:rPr>
        <w:t> </w:t>
      </w:r>
      <w:r>
        <w:rPr>
          <w:spacing w:val="-1"/>
        </w:rPr>
        <w:t>融资产能够产生更相关的会计信息，则将其直接指定为以公允价值计量且其变动计入当期损益的金</w:t>
      </w:r>
      <w:r>
        <w:rPr>
          <w:spacing w:val="-20"/>
        </w:rPr>
        <w:t> </w:t>
      </w:r>
      <w:r>
        <w:rPr>
          <w:spacing w:val="-20"/>
        </w:rPr>
      </w:r>
      <w:r>
        <w:rPr>
          <w:spacing w:val="-1"/>
        </w:rPr>
        <w:t>融资产。符合下列条件之一，表明直接指定能产生更相关的会计信息：该指定可以消除或明显减少</w:t>
      </w:r>
      <w:r>
        <w:rPr>
          <w:spacing w:val="-20"/>
        </w:rPr>
        <w:t> </w:t>
      </w:r>
      <w:r>
        <w:rPr>
          <w:spacing w:val="-20"/>
        </w:rPr>
      </w:r>
      <w:r>
        <w:rPr>
          <w:spacing w:val="-1"/>
        </w:rPr>
        <w:t>由于该金融资产的计量基础不同而导致的相关利得或损失在确认和计量方面的不一致的情况；公司</w:t>
      </w:r>
      <w:r>
        <w:rPr>
          <w:spacing w:val="-20"/>
        </w:rPr>
        <w:t> </w:t>
      </w:r>
      <w:r>
        <w:rPr>
          <w:spacing w:val="-20"/>
        </w:rPr>
      </w:r>
      <w:r>
        <w:rPr>
          <w:spacing w:val="-1"/>
        </w:rPr>
        <w:t>的风险管理或投资策略的正式书面文件已载明，该金融资产组合以公允价值为基础进行管理、评价</w:t>
      </w:r>
    </w:p>
    <w:p>
      <w:pPr>
        <w:spacing w:after="0" w:line="357" w:lineRule="auto"/>
        <w:jc w:val="both"/>
        <w:sectPr>
          <w:pgSz w:w="11910" w:h="16840"/>
          <w:pgMar w:header="882" w:footer="1195" w:top="1120" w:bottom="1380" w:left="1140" w:right="124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并向关键管理人员报告。</w:t>
      </w:r>
    </w:p>
    <w:p>
      <w:pPr>
        <w:pStyle w:val="BodyText"/>
        <w:spacing w:line="355" w:lineRule="auto" w:before="133"/>
        <w:ind w:left="557" w:right="0"/>
        <w:jc w:val="left"/>
      </w:pPr>
      <w:r>
        <w:rPr/>
        <w:t>② 持有至到期投资</w:t>
      </w:r>
      <w:r>
        <w:rPr>
          <w:w w:val="100"/>
        </w:rPr>
        <w:t> </w:t>
      </w:r>
      <w:r>
        <w:rPr>
          <w:spacing w:val="-1"/>
        </w:rPr>
        <w:t>公司将到期日固定、回收金额固定或可确定，且公司有明确意图和能力持有至到期的非衍生金</w:t>
      </w:r>
    </w:p>
    <w:p>
      <w:pPr>
        <w:pStyle w:val="BodyText"/>
        <w:spacing w:line="240" w:lineRule="auto" w:before="34"/>
        <w:ind w:left="137" w:right="0"/>
        <w:jc w:val="both"/>
      </w:pPr>
      <w:r>
        <w:rPr/>
        <w:t>融资产划分为持有至到期投资。</w:t>
      </w:r>
    </w:p>
    <w:p>
      <w:pPr>
        <w:pStyle w:val="BodyText"/>
        <w:spacing w:line="355" w:lineRule="auto" w:before="133"/>
        <w:ind w:left="557" w:right="0"/>
        <w:jc w:val="left"/>
      </w:pPr>
      <w:r>
        <w:rPr/>
        <w:t>③ 贷款和应收款</w:t>
      </w:r>
      <w:r>
        <w:rPr>
          <w:w w:val="100"/>
        </w:rPr>
        <w:t> </w:t>
      </w:r>
      <w:r>
        <w:rPr>
          <w:spacing w:val="-3"/>
        </w:rPr>
        <w:t>公司将在活跃市场中没有报价、回收金额固定或可确定的非衍生金融资产划分为贷款和应收款。</w:t>
      </w:r>
    </w:p>
    <w:p>
      <w:pPr>
        <w:pStyle w:val="BodyText"/>
        <w:spacing w:line="357" w:lineRule="auto" w:before="32"/>
        <w:ind w:left="557" w:right="0"/>
        <w:jc w:val="left"/>
      </w:pPr>
      <w:r>
        <w:rPr/>
        <w:t>④ 可供出售金融资产</w:t>
      </w:r>
      <w:r>
        <w:rPr>
          <w:w w:val="100"/>
        </w:rPr>
        <w:t> </w:t>
      </w:r>
      <w:r>
        <w:rPr>
          <w:spacing w:val="-1"/>
        </w:rPr>
        <w:t>对于公允价值能够可靠计量的金融资产，且公司没有将其划分为其他三类的，公司将其直接指</w:t>
      </w:r>
    </w:p>
    <w:p>
      <w:pPr>
        <w:pStyle w:val="BodyText"/>
        <w:spacing w:line="240" w:lineRule="auto" w:before="31"/>
        <w:ind w:left="137" w:right="0"/>
        <w:jc w:val="both"/>
      </w:pPr>
      <w:r>
        <w:rPr/>
        <w:t>定为可供出售金融资产。</w:t>
      </w:r>
    </w:p>
    <w:p>
      <w:pPr>
        <w:pStyle w:val="BodyText"/>
        <w:spacing w:line="240" w:lineRule="auto" w:before="133"/>
        <w:ind w:left="557" w:right="0"/>
        <w:jc w:val="left"/>
      </w:pPr>
      <w:r>
        <w:rPr>
          <w:rFonts w:ascii="宋体" w:hAnsi="宋体" w:cs="宋体" w:eastAsia="宋体" w:hint="default"/>
        </w:rPr>
        <w:t>2)</w:t>
      </w:r>
      <w:r>
        <w:rPr>
          <w:rFonts w:ascii="宋体" w:hAnsi="宋体" w:cs="宋体" w:eastAsia="宋体" w:hint="default"/>
          <w:spacing w:val="87"/>
        </w:rPr>
        <w:t> </w:t>
      </w:r>
      <w:r>
        <w:rPr>
          <w:spacing w:val="-4"/>
        </w:rPr>
        <w:t>金融负债在初始确认时划分为以下两类：以公允价值计量且其变动计入当期损益的金融负债</w:t>
      </w:r>
    </w:p>
    <w:p>
      <w:pPr>
        <w:pStyle w:val="BodyText"/>
        <w:spacing w:line="355" w:lineRule="auto" w:before="133"/>
        <w:ind w:left="137" w:right="0"/>
        <w:jc w:val="left"/>
      </w:pPr>
      <w:r>
        <w:rPr>
          <w:spacing w:val="-3"/>
          <w:w w:val="100"/>
        </w:rPr>
        <w:t>（包括交易性金融负债和在初始确认时指定为以公允价值计量且其变动计入当期损益的金融负债）、</w:t>
      </w:r>
      <w:r>
        <w:rPr>
          <w:spacing w:val="-90"/>
          <w:w w:val="100"/>
        </w:rPr>
        <w:t> </w:t>
      </w:r>
      <w:r>
        <w:rPr>
          <w:spacing w:val="-90"/>
          <w:w w:val="100"/>
        </w:rPr>
      </w:r>
      <w:r>
        <w:rPr/>
        <w:t>其他金融负债。</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1"/>
        </w:rPr>
        <w:t>公司成为金融工具合同的一方时，确认一项金融资产或金融负债。初始确认金融资产或金融负</w:t>
      </w:r>
    </w:p>
    <w:p>
      <w:pPr>
        <w:pStyle w:val="BodyText"/>
        <w:spacing w:line="357" w:lineRule="auto" w:before="32"/>
        <w:ind w:left="137" w:right="212"/>
        <w:jc w:val="both"/>
      </w:pPr>
      <w:r>
        <w:rPr>
          <w:spacing w:val="-1"/>
        </w:rPr>
        <w:t>债时，按照公允价值计量；对于以公允价值计量且其变动计入当期损益的金融资产和金融负债，相</w:t>
      </w:r>
      <w:r>
        <w:rPr>
          <w:spacing w:val="-20"/>
        </w:rPr>
        <w:t> </w:t>
      </w:r>
      <w:r>
        <w:rPr>
          <w:spacing w:val="-20"/>
        </w:rPr>
      </w:r>
      <w:r>
        <w:rPr>
          <w:spacing w:val="-1"/>
        </w:rPr>
        <w:t>关交易费用直接计入当期损益；对于其他类别的金融资产或金融负债，相关交易费用计入初始确认</w:t>
      </w:r>
      <w:r>
        <w:rPr>
          <w:spacing w:val="-20"/>
        </w:rPr>
        <w:t> </w:t>
      </w:r>
      <w:r>
        <w:rPr>
          <w:spacing w:val="-20"/>
        </w:rPr>
      </w:r>
      <w:r>
        <w:rPr/>
        <w:t>金额。</w:t>
      </w:r>
    </w:p>
    <w:p>
      <w:pPr>
        <w:pStyle w:val="BodyText"/>
        <w:spacing w:line="355" w:lineRule="auto" w:before="32"/>
        <w:ind w:left="137" w:right="209" w:firstLine="420"/>
        <w:jc w:val="both"/>
      </w:pPr>
      <w:r>
        <w:rPr/>
        <w:t>公司按照公允价值对金融资产进行后续计量，且不扣除将来处置该金融资产时可能发生的交易</w:t>
      </w:r>
      <w:r>
        <w:rPr>
          <w:w w:val="100"/>
        </w:rPr>
        <w:t> </w:t>
      </w:r>
      <w:r>
        <w:rPr>
          <w:spacing w:val="-16"/>
          <w:w w:val="100"/>
        </w:rPr>
        <w:t>费用，但下列情况除外：</w:t>
      </w:r>
      <w:r>
        <w:rPr>
          <w:rFonts w:ascii="宋体" w:hAnsi="宋体" w:cs="宋体" w:eastAsia="宋体" w:hint="default"/>
          <w:spacing w:val="-16"/>
          <w:w w:val="100"/>
        </w:rPr>
        <w:t>1)</w:t>
      </w:r>
      <w:r>
        <w:rPr>
          <w:rFonts w:ascii="宋体" w:hAnsi="宋体" w:cs="宋体" w:eastAsia="宋体" w:hint="default"/>
          <w:spacing w:val="28"/>
          <w:w w:val="100"/>
        </w:rPr>
        <w:t> </w:t>
      </w:r>
      <w:r>
        <w:rPr>
          <w:spacing w:val="-5"/>
          <w:w w:val="100"/>
        </w:rPr>
        <w:t>持有至到期投资以及贷款和应收款项采用实际利率法，按摊余成本计量；</w:t>
      </w:r>
      <w:r>
        <w:rPr>
          <w:spacing w:val="-100"/>
          <w:w w:val="100"/>
        </w:rPr>
        <w:t> </w:t>
      </w:r>
      <w:r>
        <w:rPr>
          <w:spacing w:val="-100"/>
          <w:w w:val="100"/>
        </w:rPr>
      </w:r>
      <w:r>
        <w:rPr>
          <w:rFonts w:ascii="宋体" w:hAnsi="宋体" w:cs="宋体" w:eastAsia="宋体" w:hint="default"/>
        </w:rPr>
        <w:t>2)</w:t>
      </w:r>
      <w:r>
        <w:rPr>
          <w:rFonts w:ascii="宋体" w:hAnsi="宋体" w:cs="宋体" w:eastAsia="宋体" w:hint="default"/>
          <w:spacing w:val="42"/>
        </w:rPr>
        <w:t> </w:t>
      </w:r>
      <w:r>
        <w:rPr>
          <w:spacing w:val="-3"/>
        </w:rPr>
        <w:t>在活跃市场中没有报价且其公允价值不能可靠计量的权益工具投资，以及与该权益工具挂钩并须</w:t>
      </w:r>
      <w:r>
        <w:rPr>
          <w:spacing w:val="-96"/>
        </w:rPr>
        <w:t> </w:t>
      </w:r>
      <w:r>
        <w:rPr>
          <w:spacing w:val="-96"/>
        </w:rPr>
      </w:r>
      <w:r>
        <w:rPr/>
        <w:t>通过交付该权益工具结算的衍生金融资产，按照成本计量。</w:t>
      </w:r>
    </w:p>
    <w:p>
      <w:pPr>
        <w:pStyle w:val="BodyText"/>
        <w:spacing w:line="357" w:lineRule="auto" w:before="34"/>
        <w:ind w:left="137" w:right="208" w:firstLine="420"/>
        <w:jc w:val="both"/>
      </w:pPr>
      <w:r>
        <w:rPr>
          <w:spacing w:val="-3"/>
        </w:rPr>
        <w:t>公司采用实际利率法，按摊余成本对金融负债进行后续计量，但下列情况除外：</w:t>
      </w:r>
      <w:r>
        <w:rPr>
          <w:rFonts w:ascii="宋体" w:hAnsi="宋体" w:cs="宋体" w:eastAsia="宋体" w:hint="default"/>
          <w:spacing w:val="-3"/>
        </w:rPr>
        <w:t>1)</w:t>
      </w:r>
      <w:r>
        <w:rPr>
          <w:rFonts w:ascii="宋体" w:hAnsi="宋体" w:cs="宋体" w:eastAsia="宋体" w:hint="default"/>
          <w:spacing w:val="34"/>
        </w:rPr>
        <w:t> </w:t>
      </w:r>
      <w:r>
        <w:rPr/>
        <w:t>以公允价值</w:t>
      </w:r>
      <w:r>
        <w:rPr>
          <w:w w:val="100"/>
        </w:rPr>
        <w:t> </w:t>
      </w:r>
      <w:r>
        <w:rPr>
          <w:spacing w:val="-1"/>
        </w:rPr>
        <w:t>计量且其变动计入当期损益的金融负债，按照公允价值计量，且不扣除将来结清金融负债时可能发</w:t>
      </w:r>
      <w:r>
        <w:rPr>
          <w:spacing w:val="-20"/>
        </w:rPr>
        <w:t> </w:t>
      </w:r>
      <w:r>
        <w:rPr>
          <w:spacing w:val="-20"/>
        </w:rPr>
      </w:r>
      <w:r>
        <w:rPr>
          <w:spacing w:val="-5"/>
        </w:rPr>
        <w:t>生的交易费用；</w:t>
      </w:r>
      <w:r>
        <w:rPr>
          <w:rFonts w:ascii="宋体" w:hAnsi="宋体" w:cs="宋体" w:eastAsia="宋体" w:hint="default"/>
          <w:spacing w:val="-5"/>
        </w:rPr>
        <w:t>2)</w:t>
      </w:r>
      <w:r>
        <w:rPr>
          <w:rFonts w:ascii="宋体" w:hAnsi="宋体" w:cs="宋体" w:eastAsia="宋体" w:hint="default"/>
          <w:spacing w:val="61"/>
        </w:rPr>
        <w:t> </w:t>
      </w:r>
      <w:r>
        <w:rPr>
          <w:spacing w:val="-3"/>
        </w:rPr>
        <w:t>与在活跃市场中没有报价、公允价值不能可靠计量的权益工具挂钩并须通过交付</w:t>
      </w:r>
      <w:r>
        <w:rPr>
          <w:spacing w:val="-91"/>
        </w:rPr>
        <w:t> </w:t>
      </w:r>
      <w:r>
        <w:rPr>
          <w:spacing w:val="-91"/>
        </w:rPr>
      </w:r>
      <w:r>
        <w:rPr>
          <w:spacing w:val="-4"/>
        </w:rPr>
        <w:t>该权益工具结算的衍生金融负债，按照成本计量；</w:t>
      </w:r>
      <w:r>
        <w:rPr>
          <w:rFonts w:ascii="宋体" w:hAnsi="宋体" w:cs="宋体" w:eastAsia="宋体" w:hint="default"/>
          <w:spacing w:val="-4"/>
        </w:rPr>
        <w:t>3)</w:t>
      </w:r>
      <w:r>
        <w:rPr>
          <w:rFonts w:ascii="宋体" w:hAnsi="宋体" w:cs="宋体" w:eastAsia="宋体" w:hint="default"/>
          <w:spacing w:val="20"/>
        </w:rPr>
        <w:t> </w:t>
      </w:r>
      <w:r>
        <w:rPr/>
        <w:t>不属于指定为以公允价值计量且其变动计入当</w:t>
      </w:r>
      <w:r>
        <w:rPr>
          <w:spacing w:val="-101"/>
        </w:rPr>
        <w:t> </w:t>
      </w:r>
      <w:r>
        <w:rPr>
          <w:spacing w:val="-101"/>
        </w:rPr>
      </w:r>
      <w:r>
        <w:rPr>
          <w:spacing w:val="-1"/>
        </w:rPr>
        <w:t>期损益的金融负债的财务担保合同，或没有指定为以公允价值计量且其变动计入当期损益并将以低</w:t>
      </w:r>
      <w:r>
        <w:rPr>
          <w:spacing w:val="-20"/>
        </w:rPr>
        <w:t> </w:t>
      </w:r>
      <w:r>
        <w:rPr>
          <w:spacing w:val="-20"/>
        </w:rPr>
      </w:r>
      <w:r>
        <w:rPr>
          <w:spacing w:val="-1"/>
        </w:rPr>
        <w:t>于市场利率贷款的贷款承诺，在初始确认后按照下列两项金额之中的较高者进行后续计量：①按照</w:t>
      </w:r>
    </w:p>
    <w:p>
      <w:pPr>
        <w:pStyle w:val="BodyText"/>
        <w:spacing w:line="355" w:lineRule="auto" w:before="30"/>
        <w:ind w:left="137" w:right="209"/>
        <w:jc w:val="left"/>
      </w:pPr>
      <w:r>
        <w:rPr/>
        <w:t>《企业会计准则第</w:t>
      </w:r>
      <w:r>
        <w:rPr>
          <w:spacing w:val="-36"/>
        </w:rPr>
        <w:t> </w:t>
      </w:r>
      <w:r>
        <w:rPr>
          <w:rFonts w:ascii="宋体" w:hAnsi="宋体" w:cs="宋体" w:eastAsia="宋体" w:hint="default"/>
        </w:rPr>
        <w:t>13</w:t>
      </w:r>
      <w:r>
        <w:rPr>
          <w:rFonts w:ascii="宋体" w:hAnsi="宋体" w:cs="宋体" w:eastAsia="宋体" w:hint="default"/>
          <w:spacing w:val="-35"/>
        </w:rPr>
        <w:t> </w:t>
      </w:r>
      <w:r>
        <w:rPr/>
        <w:t>号——或有事项》确定的金额；②</w:t>
      </w:r>
      <w:r>
        <w:rPr>
          <w:spacing w:val="-4"/>
        </w:rPr>
        <w:t> </w:t>
      </w:r>
      <w:r>
        <w:rPr/>
        <w:t>初始确认金额扣除按照《企业会计准则第</w:t>
      </w:r>
      <w:r>
        <w:rPr>
          <w:w w:val="100"/>
        </w:rPr>
        <w:t> </w:t>
      </w:r>
      <w:r>
        <w:rPr>
          <w:rFonts w:ascii="宋体" w:hAnsi="宋体" w:cs="宋体" w:eastAsia="宋体" w:hint="default"/>
        </w:rPr>
        <w:t>14</w:t>
      </w:r>
      <w:r>
        <w:rPr>
          <w:rFonts w:ascii="宋体" w:hAnsi="宋体" w:cs="宋体" w:eastAsia="宋体" w:hint="default"/>
          <w:spacing w:val="-59"/>
        </w:rPr>
        <w:t> </w:t>
      </w:r>
      <w:r>
        <w:rPr/>
        <w:t>号——收入》的原则确定的累积摊销额后的余额。</w:t>
      </w:r>
    </w:p>
    <w:p>
      <w:pPr>
        <w:pStyle w:val="BodyText"/>
        <w:spacing w:line="357" w:lineRule="auto" w:before="32"/>
        <w:ind w:left="137" w:right="208" w:firstLine="420"/>
        <w:jc w:val="both"/>
      </w:pPr>
      <w:r>
        <w:rPr>
          <w:spacing w:val="-2"/>
        </w:rPr>
        <w:t>金融资产或金融负债公允价值变动形成的利得或损失，除与套期保值有关外，按照如下方法处</w:t>
      </w:r>
      <w:r>
        <w:rPr>
          <w:w w:val="100"/>
        </w:rPr>
        <w:t> </w:t>
      </w:r>
      <w:r>
        <w:rPr>
          <w:spacing w:val="-17"/>
        </w:rPr>
        <w:t>理：</w:t>
      </w:r>
      <w:r>
        <w:rPr>
          <w:rFonts w:ascii="宋体" w:hAnsi="宋体" w:cs="宋体" w:eastAsia="宋体" w:hint="default"/>
          <w:spacing w:val="-17"/>
        </w:rPr>
        <w:t>1)</w:t>
      </w:r>
      <w:r>
        <w:rPr>
          <w:rFonts w:ascii="宋体" w:hAnsi="宋体" w:cs="宋体" w:eastAsia="宋体" w:hint="default"/>
          <w:spacing w:val="-3"/>
        </w:rPr>
        <w:t> </w:t>
      </w:r>
      <w:r>
        <w:rPr/>
        <w:t>以公允价值计量且其变动计入当期损益的金融资产或金融负债公允价值变动形成的利得或损</w:t>
      </w:r>
      <w:r>
        <w:rPr>
          <w:w w:val="100"/>
        </w:rPr>
        <w:t> </w:t>
      </w:r>
      <w:r>
        <w:rPr>
          <w:spacing w:val="-6"/>
        </w:rPr>
        <w:t>失，计入公允价值变动收益；在资产持有期间所取得的利息或现金股利，确认为投资收益；处置时，</w:t>
      </w:r>
      <w:r>
        <w:rPr>
          <w:spacing w:val="-20"/>
        </w:rPr>
        <w:t> </w:t>
      </w:r>
      <w:r>
        <w:rPr>
          <w:spacing w:val="-20"/>
        </w:rPr>
      </w:r>
      <w:r>
        <w:rPr>
          <w:spacing w:val="-3"/>
        </w:rPr>
        <w:t>将实际收到的金额与初始入账金额之间的差额确认为投资收益，同时调整公允价值变动收益。</w:t>
      </w:r>
      <w:r>
        <w:rPr>
          <w:rFonts w:ascii="宋体" w:hAnsi="宋体" w:cs="宋体" w:eastAsia="宋体" w:hint="default"/>
          <w:spacing w:val="-3"/>
        </w:rPr>
        <w:t>2)</w:t>
      </w:r>
      <w:r>
        <w:rPr>
          <w:rFonts w:ascii="宋体" w:hAnsi="宋体" w:cs="宋体" w:eastAsia="宋体" w:hint="default"/>
          <w:spacing w:val="48"/>
        </w:rPr>
        <w:t> </w:t>
      </w:r>
      <w:r>
        <w:rPr/>
        <w:t>可</w:t>
      </w:r>
      <w:r>
        <w:rPr>
          <w:spacing w:val="-96"/>
        </w:rPr>
        <w:t> </w:t>
      </w:r>
      <w:r>
        <w:rPr>
          <w:spacing w:val="-2"/>
        </w:rPr>
        <w:t>供出售金融资产的公允价值变动计入其他综合收益；持有期间按实际利率法计算的利息，计入投资</w:t>
      </w:r>
    </w:p>
    <w:p>
      <w:pPr>
        <w:spacing w:after="0" w:line="357" w:lineRule="auto"/>
        <w:jc w:val="both"/>
        <w:sectPr>
          <w:pgSz w:w="11910" w:h="16840"/>
          <w:pgMar w:header="882" w:footer="1195" w:top="1120" w:bottom="1380" w:left="1140" w:right="1340"/>
        </w:sectPr>
      </w:pPr>
    </w:p>
    <w:p>
      <w:pPr>
        <w:spacing w:line="240" w:lineRule="auto" w:before="9"/>
        <w:rPr>
          <w:rFonts w:ascii="宋体" w:hAnsi="宋体" w:cs="宋体" w:eastAsia="宋体" w:hint="default"/>
          <w:sz w:val="18"/>
          <w:szCs w:val="18"/>
        </w:rPr>
      </w:pPr>
    </w:p>
    <w:p>
      <w:pPr>
        <w:pStyle w:val="BodyText"/>
        <w:spacing w:line="355" w:lineRule="auto" w:before="36"/>
        <w:ind w:left="137" w:right="249"/>
        <w:jc w:val="both"/>
      </w:pPr>
      <w:r>
        <w:rPr>
          <w:spacing w:val="-2"/>
        </w:rPr>
        <w:t>收益；可供出售权益工具投资的现金股利，于被投资单位宣告发放股利时计入投资收益；处置时，</w:t>
      </w:r>
      <w:r>
        <w:rPr>
          <w:spacing w:val="-25"/>
        </w:rPr>
        <w:t> </w:t>
      </w:r>
      <w:r>
        <w:rPr>
          <w:spacing w:val="-25"/>
        </w:rPr>
      </w:r>
      <w:r>
        <w:rPr>
          <w:spacing w:val="-2"/>
        </w:rPr>
        <w:t>将实际收到的金额与账面价值扣除原直接计入其他综合收益的公允价值变动累计额之后的差额确认</w:t>
      </w:r>
      <w:r>
        <w:rPr>
          <w:spacing w:val="-25"/>
        </w:rPr>
        <w:t> </w:t>
      </w:r>
      <w:r>
        <w:rPr>
          <w:spacing w:val="-25"/>
        </w:rPr>
      </w:r>
      <w:r>
        <w:rPr/>
        <w:t>为投资收益。</w:t>
      </w:r>
    </w:p>
    <w:p>
      <w:pPr>
        <w:pStyle w:val="BodyText"/>
        <w:spacing w:line="355" w:lineRule="auto" w:before="34"/>
        <w:ind w:left="137" w:right="249" w:firstLine="420"/>
        <w:jc w:val="both"/>
      </w:pPr>
      <w:r>
        <w:rPr>
          <w:spacing w:val="-2"/>
        </w:rPr>
        <w:t>当收取某项金融资产现金流量的合同权利已终止或该金融资产所有权上几乎所有的风险和报酬</w:t>
      </w:r>
      <w:r>
        <w:rPr>
          <w:w w:val="100"/>
        </w:rPr>
        <w:t> </w:t>
      </w:r>
      <w:r>
        <w:rPr>
          <w:spacing w:val="-2"/>
        </w:rPr>
        <w:t>已转移时，终止确认该金融资产；当金融负债的现时义务全部或部分解除时，相应终止确认该金融</w:t>
      </w:r>
      <w:r>
        <w:rPr>
          <w:spacing w:val="-26"/>
        </w:rPr>
        <w:t> </w:t>
      </w:r>
      <w:r>
        <w:rPr>
          <w:spacing w:val="-26"/>
        </w:rPr>
      </w:r>
      <w:r>
        <w:rPr/>
        <w:t>负债或其一部分。</w:t>
      </w:r>
    </w:p>
    <w:p>
      <w:pPr>
        <w:pStyle w:val="BodyText"/>
        <w:spacing w:line="357" w:lineRule="auto" w:before="32"/>
        <w:ind w:left="557" w:right="0"/>
        <w:jc w:val="left"/>
      </w:pPr>
      <w:r>
        <w:rPr>
          <w:rFonts w:ascii="宋体" w:hAnsi="宋体" w:cs="宋体" w:eastAsia="宋体" w:hint="default"/>
        </w:rPr>
        <w:t>(3) </w:t>
      </w:r>
      <w:r>
        <w:rPr/>
        <w:t>金融资产转移的确认依据和计量方法</w:t>
      </w:r>
      <w:r>
        <w:rPr>
          <w:w w:val="100"/>
        </w:rPr>
        <w:t> </w:t>
      </w:r>
      <w:r>
        <w:rPr>
          <w:spacing w:val="-1"/>
        </w:rPr>
        <w:t>公司已将金融资产所有权上几乎所有的风险和报酬转移给了转入方的，终止确认该金融资产；</w:t>
      </w:r>
    </w:p>
    <w:p>
      <w:pPr>
        <w:pStyle w:val="BodyText"/>
        <w:spacing w:line="355" w:lineRule="auto" w:before="31"/>
        <w:ind w:left="137" w:right="211"/>
        <w:jc w:val="both"/>
      </w:pPr>
      <w:r>
        <w:rPr>
          <w:spacing w:val="-1"/>
        </w:rPr>
        <w:t>保留了金融资产所有权上几乎所有的风险和报酬的，继续确认所转移的金融资产，并将收到的对价</w:t>
      </w:r>
      <w:r>
        <w:rPr>
          <w:spacing w:val="-20"/>
        </w:rPr>
        <w:t> </w:t>
      </w:r>
      <w:r>
        <w:rPr>
          <w:spacing w:val="-20"/>
        </w:rPr>
      </w:r>
      <w:r>
        <w:rPr>
          <w:spacing w:val="-1"/>
        </w:rPr>
        <w:t>确认为一项金融负债。公司既没有转移也没有保留金融资产所有权上几乎所有的风险和报酬的，分</w:t>
      </w:r>
      <w:r>
        <w:rPr>
          <w:spacing w:val="-20"/>
        </w:rPr>
        <w:t> </w:t>
      </w:r>
      <w:r>
        <w:rPr>
          <w:spacing w:val="-20"/>
        </w:rPr>
      </w:r>
      <w:r>
        <w:rPr/>
        <w:t>别下列情况处理：</w:t>
      </w:r>
      <w:r>
        <w:rPr>
          <w:rFonts w:ascii="宋体" w:hAnsi="宋体" w:cs="宋体" w:eastAsia="宋体" w:hint="default"/>
        </w:rPr>
        <w:t>1)</w:t>
      </w:r>
      <w:r>
        <w:rPr>
          <w:rFonts w:ascii="宋体" w:hAnsi="宋体" w:cs="宋体" w:eastAsia="宋体" w:hint="default"/>
          <w:spacing w:val="20"/>
        </w:rPr>
        <w:t> </w:t>
      </w:r>
      <w:r>
        <w:rPr/>
        <w:t>放弃了对该金融资产控制的，终止确认该金融资产；</w:t>
      </w:r>
      <w:r>
        <w:rPr>
          <w:rFonts w:ascii="宋体" w:hAnsi="宋体" w:cs="宋体" w:eastAsia="宋体" w:hint="default"/>
        </w:rPr>
        <w:t>2)</w:t>
      </w:r>
      <w:r>
        <w:rPr>
          <w:rFonts w:ascii="宋体" w:hAnsi="宋体" w:cs="宋体" w:eastAsia="宋体" w:hint="default"/>
          <w:spacing w:val="18"/>
        </w:rPr>
        <w:t> </w:t>
      </w:r>
      <w:r>
        <w:rPr/>
        <w:t>未放弃对该金融资产</w:t>
      </w:r>
      <w:r>
        <w:rPr>
          <w:spacing w:val="-103"/>
        </w:rPr>
        <w:t> </w:t>
      </w:r>
      <w:r>
        <w:rPr/>
        <w:t>控制的，按照继续涉入所转移金融资产的程度确认有关金融资产，并相应确认有关负债。</w:t>
      </w:r>
    </w:p>
    <w:p>
      <w:pPr>
        <w:pStyle w:val="BodyText"/>
        <w:spacing w:line="357" w:lineRule="auto" w:before="34"/>
        <w:ind w:left="137" w:right="97" w:firstLine="420"/>
        <w:jc w:val="left"/>
      </w:pPr>
      <w:r>
        <w:rPr>
          <w:spacing w:val="-4"/>
        </w:rPr>
        <w:t>金融资产整体转移满足终止确认条件的，将下列两项金额的差额计入当期损益：</w:t>
      </w:r>
      <w:r>
        <w:rPr>
          <w:rFonts w:ascii="宋体" w:hAnsi="宋体" w:cs="宋体" w:eastAsia="宋体" w:hint="default"/>
          <w:spacing w:val="-4"/>
        </w:rPr>
        <w:t>1)</w:t>
      </w:r>
      <w:r>
        <w:rPr>
          <w:rFonts w:ascii="宋体" w:hAnsi="宋体" w:cs="宋体" w:eastAsia="宋体" w:hint="default"/>
          <w:spacing w:val="35"/>
        </w:rPr>
        <w:t> </w:t>
      </w:r>
      <w:r>
        <w:rPr/>
        <w:t>所转移金融</w:t>
      </w:r>
      <w:r>
        <w:rPr>
          <w:w w:val="100"/>
        </w:rPr>
        <w:t> </w:t>
      </w:r>
      <w:r>
        <w:rPr/>
        <w:t>资产的账面价值；</w:t>
      </w:r>
      <w:r>
        <w:rPr>
          <w:rFonts w:ascii="宋体" w:hAnsi="宋体" w:cs="宋体" w:eastAsia="宋体" w:hint="default"/>
        </w:rPr>
        <w:t>2)</w:t>
      </w:r>
      <w:r>
        <w:rPr>
          <w:rFonts w:ascii="宋体" w:hAnsi="宋体" w:cs="宋体" w:eastAsia="宋体" w:hint="default"/>
          <w:spacing w:val="37"/>
        </w:rPr>
        <w:t> </w:t>
      </w:r>
      <w:r>
        <w:rPr/>
        <w:t>因转移而收到的对价，与原直接计入所有者权益的公允价值变动累计额之和。</w:t>
      </w:r>
      <w:r>
        <w:rPr>
          <w:spacing w:val="-102"/>
        </w:rPr>
        <w:t> </w:t>
      </w:r>
      <w:r>
        <w:rPr>
          <w:spacing w:val="-102"/>
        </w:rPr>
      </w:r>
      <w:r>
        <w:rPr/>
        <w:t>金融资产部分转移满足终止确认条件的，将所转移金融资产整体的账面价值，在终止确认部分和未</w:t>
      </w:r>
      <w:r>
        <w:rPr>
          <w:spacing w:val="-63"/>
        </w:rPr>
        <w:t> </w:t>
      </w:r>
      <w:r>
        <w:rPr>
          <w:spacing w:val="-63"/>
        </w:rPr>
      </w:r>
      <w:r>
        <w:rPr/>
        <w:t>终止确认部分之间，按照各自的相对公允价值进行分摊，并将下列两项金额的差额计入当期损益：</w:t>
      </w:r>
      <w:r>
        <w:rPr>
          <w:spacing w:val="-63"/>
        </w:rPr>
        <w:t> </w:t>
      </w:r>
      <w:r>
        <w:rPr>
          <w:spacing w:val="-63"/>
        </w:rPr>
      </w:r>
      <w:r>
        <w:rPr>
          <w:rFonts w:ascii="宋体" w:hAnsi="宋体" w:cs="宋体" w:eastAsia="宋体" w:hint="default"/>
        </w:rPr>
        <w:t>1) </w:t>
      </w:r>
      <w:r>
        <w:rPr/>
        <w:t>终止确认部分的账面价值；</w:t>
      </w:r>
      <w:r>
        <w:rPr>
          <w:rFonts w:ascii="宋体" w:hAnsi="宋体" w:cs="宋体" w:eastAsia="宋体" w:hint="default"/>
        </w:rPr>
        <w:t>2) </w:t>
      </w:r>
      <w:r>
        <w:rPr/>
        <w:t>终止确认部分的对价，与原直接计入所有者权益的公允价值变动</w:t>
      </w:r>
      <w:r>
        <w:rPr>
          <w:spacing w:val="-64"/>
        </w:rPr>
        <w:t> </w:t>
      </w:r>
      <w:r>
        <w:rPr>
          <w:spacing w:val="-64"/>
        </w:rPr>
      </w:r>
      <w:r>
        <w:rPr/>
        <w:t>累计额中对应终止确认部分的金额之和。</w:t>
      </w:r>
    </w:p>
    <w:p>
      <w:pPr>
        <w:pStyle w:val="BodyText"/>
        <w:spacing w:line="355" w:lineRule="auto" w:before="30"/>
        <w:ind w:left="557" w:right="0"/>
        <w:jc w:val="left"/>
      </w:pPr>
      <w:r>
        <w:rPr>
          <w:rFonts w:ascii="宋体" w:hAnsi="宋体" w:cs="宋体" w:eastAsia="宋体" w:hint="default"/>
        </w:rPr>
        <w:t>(4) </w:t>
      </w:r>
      <w:r>
        <w:rPr/>
        <w:t>金融资产和金融负债的公允价值确定方法</w:t>
      </w:r>
      <w:r>
        <w:rPr>
          <w:w w:val="100"/>
        </w:rPr>
        <w:t> </w:t>
      </w:r>
      <w:r>
        <w:rPr>
          <w:spacing w:val="-1"/>
        </w:rPr>
        <w:t>公司采用在当前情况下适用并且有足够可利用数据和其他信息支持的估值技术确定相关金融资</w:t>
      </w:r>
    </w:p>
    <w:p>
      <w:pPr>
        <w:pStyle w:val="BodyText"/>
        <w:spacing w:line="240" w:lineRule="auto" w:before="32"/>
        <w:ind w:left="137" w:right="0"/>
        <w:jc w:val="both"/>
      </w:pPr>
      <w:r>
        <w:rPr/>
        <w:t>产和金融负债的公允价值。公司将估值技术使用的输入值分以下层级，并依次使用：</w:t>
      </w:r>
    </w:p>
    <w:p>
      <w:pPr>
        <w:pStyle w:val="BodyText"/>
        <w:spacing w:line="240" w:lineRule="auto" w:before="135"/>
        <w:ind w:left="557" w:right="0"/>
        <w:jc w:val="left"/>
      </w:pPr>
      <w:r>
        <w:rPr>
          <w:rFonts w:ascii="宋体" w:hAnsi="宋体" w:cs="宋体" w:eastAsia="宋体" w:hint="default"/>
        </w:rPr>
        <w:t>1)</w:t>
      </w:r>
      <w:r>
        <w:rPr>
          <w:rFonts w:ascii="宋体" w:hAnsi="宋体" w:cs="宋体" w:eastAsia="宋体" w:hint="default"/>
          <w:spacing w:val="-7"/>
        </w:rPr>
        <w:t> </w:t>
      </w:r>
      <w:r>
        <w:rPr/>
        <w:t>第一层次输入值是在计量日能够取得的相同资产或负债在活跃市场上未经调整的报价；</w:t>
      </w:r>
    </w:p>
    <w:p>
      <w:pPr>
        <w:pStyle w:val="BodyText"/>
        <w:spacing w:line="357" w:lineRule="auto" w:before="133"/>
        <w:ind w:left="137" w:right="97" w:firstLine="420"/>
        <w:jc w:val="left"/>
      </w:pPr>
      <w:r>
        <w:rPr>
          <w:rFonts w:ascii="宋体" w:hAnsi="宋体" w:cs="宋体" w:eastAsia="宋体" w:hint="default"/>
        </w:rPr>
        <w:t>2)</w:t>
      </w:r>
      <w:r>
        <w:rPr>
          <w:rFonts w:ascii="宋体" w:hAnsi="宋体" w:cs="宋体" w:eastAsia="宋体" w:hint="default"/>
          <w:spacing w:val="37"/>
        </w:rPr>
        <w:t> </w:t>
      </w:r>
      <w:r>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活跃市场中类似资产或负债的报价；非活跃市场中相同或类似资产或负债的报价；除报价以外的其</w:t>
      </w:r>
      <w:r>
        <w:rPr>
          <w:spacing w:val="-63"/>
        </w:rPr>
        <w:t> </w:t>
      </w:r>
      <w:r>
        <w:rPr>
          <w:spacing w:val="-63"/>
        </w:rPr>
      </w:r>
      <w:r>
        <w:rPr/>
        <w:t>他可观察输入值，如在正常报价间隔期间可观察的利率和收益率曲线等；市场验证的输入值等；</w:t>
      </w:r>
    </w:p>
    <w:p>
      <w:pPr>
        <w:pStyle w:val="BodyText"/>
        <w:spacing w:line="357" w:lineRule="auto" w:before="30"/>
        <w:ind w:left="137" w:right="211" w:firstLine="420"/>
        <w:jc w:val="both"/>
      </w:pPr>
      <w:r>
        <w:rPr>
          <w:rFonts w:ascii="宋体" w:hAnsi="宋体" w:cs="宋体" w:eastAsia="宋体" w:hint="default"/>
        </w:rPr>
        <w:t>3)</w:t>
      </w:r>
      <w:r>
        <w:rPr>
          <w:rFonts w:ascii="宋体" w:hAnsi="宋体" w:cs="宋体" w:eastAsia="宋体" w:hint="default"/>
          <w:spacing w:val="70"/>
        </w:rPr>
        <w:t> </w:t>
      </w:r>
      <w:r>
        <w:rPr>
          <w:spacing w:val="-4"/>
        </w:rPr>
        <w:t>第三层次输入值是相关资产或负债的不可观察输入值，包括不能直接观察或无法由可观察市</w:t>
      </w:r>
      <w:r>
        <w:rPr>
          <w:w w:val="100"/>
        </w:rPr>
        <w:t> </w:t>
      </w:r>
      <w:r>
        <w:rPr>
          <w:spacing w:val="-1"/>
        </w:rPr>
        <w:t>场数据验证的利率、股票波动率、企业合并中承担的弃置义务的未来现金流量、使用自身数据做出</w:t>
      </w:r>
      <w:r>
        <w:rPr>
          <w:spacing w:val="-20"/>
        </w:rPr>
        <w:t> </w:t>
      </w:r>
      <w:r>
        <w:rPr>
          <w:spacing w:val="-20"/>
        </w:rPr>
      </w:r>
      <w:r>
        <w:rPr/>
        <w:t>的财务预测等。</w:t>
      </w:r>
    </w:p>
    <w:p>
      <w:pPr>
        <w:pStyle w:val="BodyText"/>
        <w:spacing w:line="240" w:lineRule="auto" w:before="30"/>
        <w:ind w:left="557" w:right="0"/>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w:t>
      </w:r>
    </w:p>
    <w:p>
      <w:pPr>
        <w:pStyle w:val="BodyText"/>
        <w:spacing w:line="355" w:lineRule="auto" w:before="133"/>
        <w:ind w:left="137" w:right="209" w:firstLine="420"/>
        <w:jc w:val="both"/>
      </w:pPr>
      <w:r>
        <w:rPr>
          <w:rFonts w:ascii="宋体" w:hAnsi="宋体" w:cs="宋体" w:eastAsia="宋体" w:hint="default"/>
        </w:rPr>
        <w:t>1)</w:t>
      </w:r>
      <w:r>
        <w:rPr>
          <w:rFonts w:ascii="宋体" w:hAnsi="宋体" w:cs="宋体" w:eastAsia="宋体" w:hint="default"/>
          <w:spacing w:val="47"/>
        </w:rPr>
        <w:t> </w:t>
      </w:r>
      <w:r>
        <w:rPr>
          <w:spacing w:val="2"/>
        </w:rPr>
        <w:t>资产负债表日对以公允价值计量且其变动计入当期损益的金融资产以外的金融资产的账面</w:t>
      </w:r>
      <w:r>
        <w:rPr>
          <w:spacing w:val="2"/>
          <w:w w:val="100"/>
        </w:rPr>
        <w:t> </w:t>
      </w:r>
      <w:r>
        <w:rPr/>
        <w:t>价值进行检查，如有客观证据表明该金融资产发生减值的，计提减值准备。</w:t>
      </w:r>
    </w:p>
    <w:p>
      <w:pPr>
        <w:pStyle w:val="BodyText"/>
        <w:spacing w:line="357" w:lineRule="auto" w:before="34"/>
        <w:ind w:left="137" w:right="209" w:firstLine="420"/>
        <w:jc w:val="both"/>
      </w:pPr>
      <w:r>
        <w:rPr>
          <w:rFonts w:ascii="宋体" w:hAnsi="宋体" w:cs="宋体" w:eastAsia="宋体" w:hint="default"/>
        </w:rPr>
        <w:t>2)</w:t>
      </w:r>
      <w:r>
        <w:rPr>
          <w:rFonts w:ascii="宋体" w:hAnsi="宋体" w:cs="宋体" w:eastAsia="宋体" w:hint="default"/>
          <w:spacing w:val="41"/>
        </w:rPr>
        <w:t> </w:t>
      </w:r>
      <w:r>
        <w:rPr>
          <w:spacing w:val="-3"/>
        </w:rPr>
        <w:t>对于持有至到期投资、贷款和应收款，先将单项金额重大的金融资产区分开来，单独进行减</w:t>
      </w:r>
      <w:r>
        <w:rPr>
          <w:w w:val="100"/>
        </w:rPr>
        <w:t> </w:t>
      </w:r>
      <w:r>
        <w:rPr>
          <w:spacing w:val="-1"/>
        </w:rPr>
        <w:t>值测试；对单项金额不重大的金融资产，可以单独进行减值测试，或包括在具有类似信用风险特征</w:t>
      </w:r>
      <w:r>
        <w:rPr>
          <w:spacing w:val="-19"/>
        </w:rPr>
        <w:t> </w:t>
      </w:r>
      <w:r>
        <w:rPr>
          <w:spacing w:val="-19"/>
        </w:rPr>
      </w:r>
      <w:r>
        <w:rPr>
          <w:spacing w:val="-1"/>
        </w:rPr>
        <w:t>的金融资产组合中进行减值测试；单独测试未发生减值的金融资产（包括单项金额重大和不重大的</w:t>
      </w:r>
    </w:p>
    <w:p>
      <w:pPr>
        <w:spacing w:after="0" w:line="357" w:lineRule="auto"/>
        <w:jc w:val="both"/>
        <w:sectPr>
          <w:footerReference w:type="default" r:id="rId51"/>
          <w:pgSz w:w="11910" w:h="16840"/>
          <w:pgMar w:footer="1195" w:header="882" w:top="1120" w:bottom="1380" w:left="1140" w:right="1340"/>
          <w:pgNumType w:start="125"/>
        </w:sectPr>
      </w:pPr>
    </w:p>
    <w:p>
      <w:pPr>
        <w:spacing w:line="240" w:lineRule="auto" w:before="9"/>
        <w:rPr>
          <w:rFonts w:ascii="宋体" w:hAnsi="宋体" w:cs="宋体" w:eastAsia="宋体" w:hint="default"/>
          <w:sz w:val="18"/>
          <w:szCs w:val="18"/>
        </w:rPr>
      </w:pPr>
    </w:p>
    <w:p>
      <w:pPr>
        <w:pStyle w:val="BodyText"/>
        <w:spacing w:line="355" w:lineRule="auto" w:before="36"/>
        <w:ind w:left="217" w:right="0"/>
        <w:jc w:val="left"/>
      </w:pPr>
      <w:r>
        <w:rPr>
          <w:spacing w:val="-6"/>
          <w:w w:val="100"/>
        </w:rPr>
        <w:t>金融资产），包括在具有类似信用风险特征的金融资产组合中再进行减值测试。测试结果表明其发生</w:t>
      </w:r>
      <w:r>
        <w:rPr>
          <w:spacing w:val="-71"/>
          <w:w w:val="100"/>
        </w:rPr>
        <w:t> </w:t>
      </w:r>
      <w:r>
        <w:rPr>
          <w:spacing w:val="-71"/>
          <w:w w:val="100"/>
        </w:rPr>
      </w:r>
      <w:r>
        <w:rPr/>
        <w:t>了减值的，根据其账面价值高于预计未来现金流量现值的差额确认减值损失。</w:t>
      </w:r>
    </w:p>
    <w:p>
      <w:pPr>
        <w:pStyle w:val="BodyText"/>
        <w:spacing w:line="240" w:lineRule="auto" w:before="32"/>
        <w:ind w:left="637" w:right="0"/>
        <w:jc w:val="left"/>
      </w:pPr>
      <w:r>
        <w:rPr>
          <w:rFonts w:ascii="宋体" w:hAnsi="宋体" w:cs="宋体" w:eastAsia="宋体" w:hint="default"/>
        </w:rPr>
        <w:t>3)</w:t>
      </w:r>
      <w:r>
        <w:rPr>
          <w:rFonts w:ascii="宋体" w:hAnsi="宋体" w:cs="宋体" w:eastAsia="宋体" w:hint="default"/>
          <w:spacing w:val="-2"/>
        </w:rPr>
        <w:t> </w:t>
      </w:r>
      <w:r>
        <w:rPr/>
        <w:t>可供出售金融资产减值的客观证据</w:t>
      </w:r>
    </w:p>
    <w:p>
      <w:pPr>
        <w:pStyle w:val="BodyText"/>
        <w:spacing w:line="355" w:lineRule="auto" w:before="135"/>
        <w:ind w:left="637" w:right="3517"/>
        <w:jc w:val="left"/>
      </w:pPr>
      <w:r>
        <w:rPr/>
        <w:t>①</w:t>
      </w:r>
      <w:r>
        <w:rPr>
          <w:spacing w:val="-3"/>
        </w:rPr>
        <w:t> </w:t>
      </w:r>
      <w:r>
        <w:rPr/>
        <w:t>表明可供出售债务工具投资发生减值的客观证据包括：</w:t>
      </w:r>
      <w:r>
        <w:rPr>
          <w:w w:val="100"/>
        </w:rPr>
        <w:t> </w:t>
      </w:r>
      <w:r>
        <w:rPr>
          <w:rFonts w:ascii="宋体" w:hAnsi="宋体" w:cs="宋体" w:eastAsia="宋体" w:hint="default"/>
        </w:rPr>
        <w:t>A </w:t>
      </w:r>
      <w:r>
        <w:rPr/>
        <w:t>债务人发生严重财务困难；</w:t>
      </w:r>
    </w:p>
    <w:p>
      <w:pPr>
        <w:pStyle w:val="BodyText"/>
        <w:spacing w:line="240" w:lineRule="auto" w:before="32"/>
        <w:ind w:left="637" w:right="0"/>
        <w:jc w:val="left"/>
      </w:pPr>
      <w:r>
        <w:rPr>
          <w:rFonts w:ascii="宋体" w:hAnsi="宋体" w:cs="宋体" w:eastAsia="宋体" w:hint="default"/>
        </w:rPr>
        <w:t>B</w:t>
      </w:r>
      <w:r>
        <w:rPr>
          <w:rFonts w:ascii="宋体" w:hAnsi="宋体" w:cs="宋体" w:eastAsia="宋体" w:hint="default"/>
          <w:spacing w:val="-3"/>
        </w:rPr>
        <w:t> </w:t>
      </w:r>
      <w:r>
        <w:rPr/>
        <w:t>债务人违反了合同条款，如偿付利息或本金发生违约或逾期；</w:t>
      </w:r>
    </w:p>
    <w:p>
      <w:pPr>
        <w:pStyle w:val="BodyText"/>
        <w:spacing w:line="357" w:lineRule="auto" w:before="133"/>
        <w:ind w:left="637" w:right="1522"/>
        <w:jc w:val="left"/>
      </w:pPr>
      <w:r>
        <w:rPr>
          <w:rFonts w:ascii="宋体" w:hAnsi="宋体" w:cs="宋体" w:eastAsia="宋体" w:hint="default"/>
        </w:rPr>
        <w:t>C</w:t>
      </w:r>
      <w:r>
        <w:rPr>
          <w:rFonts w:ascii="宋体" w:hAnsi="宋体" w:cs="宋体" w:eastAsia="宋体" w:hint="default"/>
          <w:spacing w:val="-3"/>
        </w:rPr>
        <w:t> </w:t>
      </w:r>
      <w:r>
        <w:rPr/>
        <w:t>公司出于经济或法律等方面因素的考虑，对发生财务困难的债务人作出让步；</w:t>
      </w:r>
      <w:r>
        <w:rPr>
          <w:w w:val="100"/>
        </w:rPr>
        <w:t> </w:t>
      </w:r>
      <w:r>
        <w:rPr>
          <w:rFonts w:ascii="宋体" w:hAnsi="宋体" w:cs="宋体" w:eastAsia="宋体" w:hint="default"/>
        </w:rPr>
        <w:t>D</w:t>
      </w:r>
      <w:r>
        <w:rPr>
          <w:rFonts w:ascii="宋体" w:hAnsi="宋体" w:cs="宋体" w:eastAsia="宋体" w:hint="default"/>
          <w:spacing w:val="-2"/>
        </w:rPr>
        <w:t> </w:t>
      </w:r>
      <w:r>
        <w:rPr/>
        <w:t>债务人很可能倒闭或进行其他财务重组；</w:t>
      </w:r>
    </w:p>
    <w:p>
      <w:pPr>
        <w:pStyle w:val="BodyText"/>
        <w:spacing w:line="355" w:lineRule="auto" w:before="31"/>
        <w:ind w:left="637" w:right="2361"/>
        <w:jc w:val="left"/>
      </w:pPr>
      <w:r>
        <w:rPr>
          <w:rFonts w:ascii="宋体" w:hAnsi="宋体" w:cs="宋体" w:eastAsia="宋体" w:hint="default"/>
        </w:rPr>
        <w:t>E</w:t>
      </w:r>
      <w:r>
        <w:rPr>
          <w:rFonts w:ascii="宋体" w:hAnsi="宋体" w:cs="宋体" w:eastAsia="宋体" w:hint="default"/>
          <w:spacing w:val="-2"/>
        </w:rPr>
        <w:t> </w:t>
      </w:r>
      <w:r>
        <w:rPr/>
        <w:t>因债务人发生重大财务困难，该债务工具无法在活跃市场继续交易；</w:t>
      </w:r>
      <w:r>
        <w:rPr>
          <w:w w:val="100"/>
        </w:rPr>
        <w:t> </w:t>
      </w:r>
      <w:r>
        <w:rPr>
          <w:rFonts w:ascii="宋体" w:hAnsi="宋体" w:cs="宋体" w:eastAsia="宋体" w:hint="default"/>
        </w:rPr>
        <w:t>F</w:t>
      </w:r>
      <w:r>
        <w:rPr>
          <w:rFonts w:ascii="宋体" w:hAnsi="宋体" w:cs="宋体" w:eastAsia="宋体" w:hint="default"/>
          <w:spacing w:val="-3"/>
        </w:rPr>
        <w:t> </w:t>
      </w:r>
      <w:r>
        <w:rPr/>
        <w:t>其他表明可供出售债务工具已经发生减值的情况。</w:t>
      </w:r>
    </w:p>
    <w:p>
      <w:pPr>
        <w:pStyle w:val="BodyText"/>
        <w:spacing w:line="357" w:lineRule="auto" w:before="32"/>
        <w:ind w:left="217" w:right="232" w:firstLine="420"/>
        <w:jc w:val="both"/>
      </w:pPr>
      <w:r>
        <w:rPr/>
        <w:t>②</w:t>
      </w:r>
      <w:r>
        <w:rPr>
          <w:spacing w:val="5"/>
        </w:rPr>
        <w:t> </w:t>
      </w:r>
      <w:r>
        <w:rPr/>
        <w:t>表明可供出售权益工具投资发生减值的客观证据包括权益工具投资的公允价值发生严重或</w:t>
      </w:r>
      <w:r>
        <w:rPr>
          <w:w w:val="100"/>
        </w:rPr>
        <w:t> </w:t>
      </w:r>
      <w:r>
        <w:rPr>
          <w:spacing w:val="-1"/>
        </w:rPr>
        <w:t>非暂时性下跌，以及被投资单位经营所处的技术、市场、经济或法律环境等发生重大不利变化使公</w:t>
      </w:r>
      <w:r>
        <w:rPr>
          <w:spacing w:val="-20"/>
        </w:rPr>
        <w:t> </w:t>
      </w:r>
      <w:r>
        <w:rPr>
          <w:spacing w:val="-20"/>
        </w:rPr>
      </w:r>
      <w:r>
        <w:rPr/>
        <w:t>司可能无法收回投资成本。</w:t>
      </w:r>
    </w:p>
    <w:p>
      <w:pPr>
        <w:pStyle w:val="BodyText"/>
        <w:spacing w:line="357" w:lineRule="auto" w:before="30"/>
        <w:ind w:left="217" w:right="228" w:firstLine="420"/>
        <w:jc w:val="both"/>
        <w:rPr>
          <w:rFonts w:ascii="宋体" w:hAnsi="宋体" w:cs="宋体" w:eastAsia="宋体" w:hint="default"/>
        </w:rPr>
      </w:pPr>
      <w:r>
        <w:rPr/>
        <w:t>本公司于资产负债表日对各项可供出售权益工具投资单独进行检查。对于中国证券金融股份有</w:t>
      </w:r>
      <w:r>
        <w:rPr>
          <w:w w:val="100"/>
        </w:rPr>
        <w:t> </w:t>
      </w:r>
      <w:r>
        <w:rPr/>
        <w:t>限公司的收益互换产品，若其于资产负债表日的公允价值低于其成本超过</w:t>
      </w:r>
      <w:r>
        <w:rPr>
          <w:spacing w:val="-57"/>
        </w:rPr>
        <w:t> </w:t>
      </w:r>
      <w:r>
        <w:rPr>
          <w:rFonts w:ascii="宋体" w:hAnsi="宋体" w:cs="宋体" w:eastAsia="宋体" w:hint="default"/>
          <w:spacing w:val="-6"/>
        </w:rPr>
        <w:t>50%</w:t>
      </w:r>
      <w:r>
        <w:rPr>
          <w:spacing w:val="-6"/>
        </w:rPr>
        <w:t>（含</w:t>
      </w:r>
      <w:r>
        <w:rPr>
          <w:spacing w:val="-57"/>
        </w:rPr>
        <w:t> </w:t>
      </w:r>
      <w:r>
        <w:rPr>
          <w:rFonts w:ascii="宋体" w:hAnsi="宋体" w:cs="宋体" w:eastAsia="宋体" w:hint="default"/>
          <w:spacing w:val="-4"/>
        </w:rPr>
        <w:t>50%</w:t>
      </w:r>
      <w:r>
        <w:rPr>
          <w:spacing w:val="-4"/>
        </w:rPr>
        <w:t>）或低于其成</w:t>
      </w:r>
      <w:r>
        <w:rPr>
          <w:w w:val="100"/>
        </w:rPr>
        <w:t> </w:t>
      </w:r>
      <w:r>
        <w:rPr/>
        <w:t>本持续时间超过</w:t>
      </w:r>
      <w:r>
        <w:rPr>
          <w:spacing w:val="-44"/>
        </w:rPr>
        <w:t> </w:t>
      </w:r>
      <w:r>
        <w:rPr>
          <w:rFonts w:ascii="宋体" w:hAnsi="宋体" w:cs="宋体" w:eastAsia="宋体" w:hint="default"/>
        </w:rPr>
        <w:t>36</w:t>
      </w:r>
      <w:r>
        <w:rPr>
          <w:rFonts w:ascii="宋体" w:hAnsi="宋体" w:cs="宋体" w:eastAsia="宋体" w:hint="default"/>
          <w:spacing w:val="-46"/>
        </w:rPr>
        <w:t> </w:t>
      </w:r>
      <w:r>
        <w:rPr/>
        <w:t>个月（含</w:t>
      </w:r>
      <w:r>
        <w:rPr>
          <w:spacing w:val="-44"/>
        </w:rPr>
        <w:t> </w:t>
      </w:r>
      <w:r>
        <w:rPr>
          <w:rFonts w:ascii="宋体" w:hAnsi="宋体" w:cs="宋体" w:eastAsia="宋体" w:hint="default"/>
        </w:rPr>
        <w:t>36</w:t>
      </w:r>
      <w:r>
        <w:rPr>
          <w:rFonts w:ascii="宋体" w:hAnsi="宋体" w:cs="宋体" w:eastAsia="宋体" w:hint="default"/>
          <w:spacing w:val="-44"/>
        </w:rPr>
        <w:t> </w:t>
      </w:r>
      <w:r>
        <w:rPr/>
        <w:t>个月）的，则表明其发生减值。对于其他以公允价值计量的权益工</w:t>
      </w:r>
      <w:r>
        <w:rPr>
          <w:w w:val="100"/>
        </w:rPr>
        <w:t> </w:t>
      </w:r>
      <w:r>
        <w:rPr>
          <w:spacing w:val="-3"/>
        </w:rPr>
        <w:t>具投资，若其于资产负债表日的公允价值低于其成本超过</w:t>
      </w:r>
      <w:r>
        <w:rPr>
          <w:spacing w:val="-22"/>
        </w:rPr>
        <w:t> </w:t>
      </w:r>
      <w:r>
        <w:rPr>
          <w:rFonts w:ascii="宋体" w:hAnsi="宋体" w:cs="宋体" w:eastAsia="宋体" w:hint="default"/>
          <w:spacing w:val="-5"/>
        </w:rPr>
        <w:t>50%</w:t>
      </w:r>
      <w:r>
        <w:rPr>
          <w:spacing w:val="-5"/>
        </w:rPr>
        <w:t>（含</w:t>
      </w:r>
      <w:r>
        <w:rPr>
          <w:spacing w:val="-22"/>
        </w:rPr>
        <w:t> </w:t>
      </w:r>
      <w:r>
        <w:rPr>
          <w:rFonts w:ascii="宋体" w:hAnsi="宋体" w:cs="宋体" w:eastAsia="宋体" w:hint="default"/>
          <w:spacing w:val="-3"/>
        </w:rPr>
        <w:t>50%</w:t>
      </w:r>
      <w:r>
        <w:rPr>
          <w:spacing w:val="-3"/>
        </w:rPr>
        <w:t>）或低于其成本持续时间超过</w:t>
      </w:r>
      <w:r>
        <w:rPr>
          <w:spacing w:val="-92"/>
        </w:rPr>
        <w:t> </w:t>
      </w:r>
      <w:r>
        <w:rPr>
          <w:spacing w:val="-92"/>
        </w:rPr>
      </w:r>
      <w:r>
        <w:rPr>
          <w:rFonts w:ascii="宋体" w:hAnsi="宋体" w:cs="宋体" w:eastAsia="宋体" w:hint="default"/>
        </w:rPr>
        <w:t>12</w:t>
      </w:r>
      <w:r>
        <w:rPr>
          <w:rFonts w:ascii="宋体" w:hAnsi="宋体" w:cs="宋体" w:eastAsia="宋体" w:hint="default"/>
          <w:spacing w:val="-39"/>
        </w:rPr>
        <w:t> </w:t>
      </w:r>
      <w:r>
        <w:rPr>
          <w:spacing w:val="-5"/>
        </w:rPr>
        <w:t>个月（含</w:t>
      </w:r>
      <w:r>
        <w:rPr>
          <w:spacing w:val="-42"/>
        </w:rPr>
        <w:t> </w:t>
      </w:r>
      <w:r>
        <w:rPr>
          <w:rFonts w:ascii="宋体" w:hAnsi="宋体" w:cs="宋体" w:eastAsia="宋体" w:hint="default"/>
        </w:rPr>
        <w:t>12</w:t>
      </w:r>
      <w:r>
        <w:rPr>
          <w:rFonts w:ascii="宋体" w:hAnsi="宋体" w:cs="宋体" w:eastAsia="宋体" w:hint="default"/>
          <w:spacing w:val="-39"/>
        </w:rPr>
        <w:t> </w:t>
      </w:r>
      <w:r>
        <w:rPr>
          <w:spacing w:val="-3"/>
        </w:rPr>
        <w:t>个月）的，则表明其发生减值；若其于资产负债表日的公允价值低于其成本超过</w:t>
      </w:r>
      <w:r>
        <w:rPr>
          <w:spacing w:val="-38"/>
        </w:rPr>
        <w:t> </w:t>
      </w:r>
      <w:r>
        <w:rPr>
          <w:rFonts w:ascii="宋体" w:hAnsi="宋体" w:cs="宋体" w:eastAsia="宋体" w:hint="default"/>
        </w:rPr>
        <w:t>20%</w:t>
      </w:r>
    </w:p>
    <w:p>
      <w:pPr>
        <w:pStyle w:val="BodyText"/>
        <w:spacing w:line="357" w:lineRule="auto" w:before="30"/>
        <w:ind w:left="217" w:right="231"/>
        <w:jc w:val="both"/>
      </w:pPr>
      <w:r>
        <w:rPr/>
        <w:t>（含</w:t>
      </w:r>
      <w:r>
        <w:rPr>
          <w:spacing w:val="-48"/>
        </w:rPr>
        <w:t> </w:t>
      </w:r>
      <w:r>
        <w:rPr>
          <w:rFonts w:ascii="宋体" w:hAnsi="宋体" w:cs="宋体" w:eastAsia="宋体" w:hint="default"/>
          <w:spacing w:val="-6"/>
        </w:rPr>
        <w:t>20%</w:t>
      </w:r>
      <w:r>
        <w:rPr>
          <w:spacing w:val="-6"/>
        </w:rPr>
        <w:t>）但尚未达到</w:t>
      </w:r>
      <w:r>
        <w:rPr>
          <w:spacing w:val="-50"/>
        </w:rPr>
        <w:t> </w:t>
      </w:r>
      <w:r>
        <w:rPr>
          <w:rFonts w:ascii="宋体" w:hAnsi="宋体" w:cs="宋体" w:eastAsia="宋体" w:hint="default"/>
          <w:spacing w:val="-4"/>
        </w:rPr>
        <w:t>50%</w:t>
      </w:r>
      <w:r>
        <w:rPr>
          <w:spacing w:val="-4"/>
        </w:rPr>
        <w:t>的，或低于其成本持续时间超过</w:t>
      </w:r>
      <w:r>
        <w:rPr>
          <w:spacing w:val="-46"/>
        </w:rPr>
        <w:t> </w:t>
      </w:r>
      <w:r>
        <w:rPr>
          <w:rFonts w:ascii="宋体" w:hAnsi="宋体" w:cs="宋体" w:eastAsia="宋体" w:hint="default"/>
        </w:rPr>
        <w:t>6</w:t>
      </w:r>
      <w:r>
        <w:rPr>
          <w:rFonts w:ascii="宋体" w:hAnsi="宋体" w:cs="宋体" w:eastAsia="宋体" w:hint="default"/>
          <w:spacing w:val="-48"/>
        </w:rPr>
        <w:t> </w:t>
      </w:r>
      <w:r>
        <w:rPr>
          <w:spacing w:val="-13"/>
        </w:rPr>
        <w:t>个月（含</w:t>
      </w:r>
      <w:r>
        <w:rPr>
          <w:spacing w:val="-48"/>
        </w:rPr>
        <w:t> </w:t>
      </w:r>
      <w:r>
        <w:rPr>
          <w:rFonts w:ascii="宋体" w:hAnsi="宋体" w:cs="宋体" w:eastAsia="宋体" w:hint="default"/>
        </w:rPr>
        <w:t>6</w:t>
      </w:r>
      <w:r>
        <w:rPr>
          <w:rFonts w:ascii="宋体" w:hAnsi="宋体" w:cs="宋体" w:eastAsia="宋体" w:hint="default"/>
          <w:spacing w:val="-48"/>
        </w:rPr>
        <w:t> </w:t>
      </w:r>
      <w:r>
        <w:rPr>
          <w:spacing w:val="-8"/>
        </w:rPr>
        <w:t>个月）但未超过</w:t>
      </w:r>
      <w:r>
        <w:rPr>
          <w:spacing w:val="-46"/>
        </w:rPr>
        <w:t> </w:t>
      </w:r>
      <w:r>
        <w:rPr>
          <w:rFonts w:ascii="宋体" w:hAnsi="宋体" w:cs="宋体" w:eastAsia="宋体" w:hint="default"/>
        </w:rPr>
        <w:t>12</w:t>
      </w:r>
      <w:r>
        <w:rPr>
          <w:rFonts w:ascii="宋体" w:hAnsi="宋体" w:cs="宋体" w:eastAsia="宋体" w:hint="default"/>
          <w:spacing w:val="-48"/>
        </w:rPr>
        <w:t> </w:t>
      </w:r>
      <w:r>
        <w:rPr/>
        <w:t>个月的，</w:t>
      </w:r>
      <w:r>
        <w:rPr>
          <w:spacing w:val="-103"/>
        </w:rPr>
        <w:t> </w:t>
      </w:r>
      <w:r>
        <w:rPr>
          <w:spacing w:val="-103"/>
        </w:rPr>
      </w:r>
      <w:r>
        <w:rPr>
          <w:spacing w:val="-1"/>
        </w:rPr>
        <w:t>本公司会综合考虑其他相关因素，诸如价格波动率等，判断该权益工具投资是否发生减值。对于以</w:t>
      </w:r>
      <w:r>
        <w:rPr>
          <w:spacing w:val="-20"/>
        </w:rPr>
        <w:t> </w:t>
      </w:r>
      <w:r>
        <w:rPr>
          <w:spacing w:val="-20"/>
        </w:rPr>
      </w:r>
      <w:r>
        <w:rPr>
          <w:spacing w:val="-1"/>
        </w:rPr>
        <w:t>成本计量的权益工具投资，公司综合考虑被投资单位经营所处的技术、市场、经济或法律环境等是</w:t>
      </w:r>
      <w:r>
        <w:rPr>
          <w:spacing w:val="-20"/>
        </w:rPr>
        <w:t> </w:t>
      </w:r>
      <w:r>
        <w:rPr>
          <w:spacing w:val="-20"/>
        </w:rPr>
      </w:r>
      <w:r>
        <w:rPr/>
        <w:t>否发生重大不利变化，判断该权益工具是否发生减值。</w:t>
      </w:r>
    </w:p>
    <w:p>
      <w:pPr>
        <w:pStyle w:val="BodyText"/>
        <w:spacing w:line="357" w:lineRule="auto" w:before="30"/>
        <w:ind w:left="217" w:right="228" w:firstLine="420"/>
        <w:jc w:val="right"/>
      </w:pPr>
      <w:r>
        <w:rPr>
          <w:spacing w:val="-1"/>
        </w:rPr>
        <w:t>以公允价值计量的可供出售金融资产发生减值时，原直接计入其他综合收益的因公允价值下降</w:t>
      </w:r>
      <w:r>
        <w:rPr>
          <w:w w:val="100"/>
        </w:rPr>
        <w:t> </w:t>
      </w:r>
      <w:r>
        <w:rPr>
          <w:spacing w:val="-1"/>
        </w:rPr>
        <w:t>形成的累计损失予以转出并计入减值损失。对已确认减值损失的可供出售债务工具投资，在期后公</w:t>
      </w:r>
      <w:r>
        <w:rPr>
          <w:spacing w:val="-32"/>
        </w:rPr>
        <w:t> </w:t>
      </w:r>
      <w:r>
        <w:rPr>
          <w:spacing w:val="-32"/>
        </w:rPr>
      </w:r>
      <w:r>
        <w:rPr>
          <w:spacing w:val="-1"/>
        </w:rPr>
        <w:t>允价值回升且客观上与确认原减值损失后发生的事项有关的，原确认的减值损失予以转回并计入当</w:t>
      </w:r>
      <w:r>
        <w:rPr>
          <w:spacing w:val="-32"/>
        </w:rPr>
        <w:t> </w:t>
      </w:r>
      <w:r>
        <w:rPr>
          <w:spacing w:val="-32"/>
        </w:rPr>
      </w:r>
      <w:r>
        <w:rPr>
          <w:spacing w:val="-2"/>
        </w:rPr>
        <w:t>期损益。对已确认减值损失的可供出售权益工具投资，期后公允价值回升直接计入其他综合收益。</w:t>
      </w:r>
      <w:r>
        <w:rPr>
          <w:spacing w:val="-87"/>
        </w:rPr>
        <w:t> </w:t>
      </w:r>
      <w:r>
        <w:rPr>
          <w:spacing w:val="-87"/>
        </w:rPr>
      </w:r>
      <w:r>
        <w:rPr>
          <w:spacing w:val="-2"/>
        </w:rPr>
        <w:t>以成本计量的可供出售权益工具发生减值时，将该权益工具投资的账面价值，与按照类似金融</w:t>
      </w:r>
      <w:r>
        <w:rPr>
          <w:w w:val="100"/>
        </w:rPr>
        <w:t> </w:t>
      </w:r>
      <w:r>
        <w:rPr>
          <w:spacing w:val="-6"/>
          <w:w w:val="100"/>
        </w:rPr>
        <w:t>资产当时市场收益率对未来现金流量折现确定的现值之间的差额，确认为减值损失，计入当期损益，</w:t>
      </w:r>
    </w:p>
    <w:p>
      <w:pPr>
        <w:pStyle w:val="BodyText"/>
        <w:spacing w:line="240" w:lineRule="auto" w:before="30"/>
        <w:ind w:left="217" w:right="0"/>
        <w:jc w:val="both"/>
      </w:pPr>
      <w:r>
        <w:rPr/>
        <w:t>发生的减值损失一经确认，不予转回。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90" w:lineRule="auto"/>
        <w:ind w:left="217" w:right="464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0"/>
        <w:jc w:val="both"/>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05"/>
        <w:gridCol w:w="4585"/>
      </w:tblGrid>
      <w:tr>
        <w:trPr>
          <w:trHeight w:val="284"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283"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320"/>
        </w:sectPr>
      </w:pPr>
    </w:p>
    <w:p>
      <w:pPr>
        <w:spacing w:line="240" w:lineRule="auto" w:before="9"/>
        <w:rPr>
          <w:rFonts w:ascii="宋体" w:hAnsi="宋体" w:cs="宋体" w:eastAsia="宋体" w:hint="default"/>
          <w:sz w:val="23"/>
          <w:szCs w:val="23"/>
        </w:rPr>
      </w:pPr>
    </w:p>
    <w:p>
      <w:pPr>
        <w:spacing w:line="302" w:lineRule="exact"/>
        <w:ind w:left="10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5pt;height:15.15pt;mso-position-horizontal-relative:char;mso-position-vertical-relative:line" coordorigin="0,0" coordsize="9300,303">
            <v:group style="position:absolute;left:10;top:10;width:4696;height:2" coordorigin="10,10" coordsize="4696,2">
              <v:shape style="position:absolute;left:10;top:10;width:4696;height:2" coordorigin="10,10" coordsize="4696,0" path="m10,10l4705,10e" filled="false" stroked="true" strokeweight=".48pt" strokecolor="#000000">
                <v:path arrowok="t"/>
              </v:shape>
            </v:group>
            <v:group style="position:absolute;left:4715;top:10;width:4576;height:2" coordorigin="4715,10" coordsize="4576,2">
              <v:shape style="position:absolute;left:4715;top:10;width:4576;height:2" coordorigin="4715,10" coordsize="4576,0" path="m4715,10l929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4696;height:2" coordorigin="10,293" coordsize="4696,2">
              <v:shape style="position:absolute;left:10;top:293;width:4696;height:2" coordorigin="10,293" coordsize="4696,0" path="m10,293l4705,293e" filled="false" stroked="true" strokeweight=".48pt" strokecolor="#000000">
                <v:path arrowok="t"/>
              </v:shape>
            </v:group>
            <v:group style="position:absolute;left:4710;top:5;width:2;height:294" coordorigin="4710,5" coordsize="2,294">
              <v:shape style="position:absolute;left:4710;top:5;width:2;height:294" coordorigin="4710,5" coordsize="0,294" path="m4710,5l4710,298e" filled="false" stroked="true" strokeweight=".48001pt" strokecolor="#000000">
                <v:path arrowok="t"/>
              </v:shape>
            </v:group>
            <v:group style="position:absolute;left:4715;top:293;width:4576;height:2" coordorigin="4715,293" coordsize="4576,2">
              <v:shape style="position:absolute;left:4715;top:293;width:4576;height:2" coordorigin="4715,293" coordsize="4576,0" path="m4715,293l9290,293e" filled="false" stroked="true" strokeweight=".48pt" strokecolor="#000000">
                <v:path arrowok="t"/>
              </v:shape>
            </v:group>
            <v:group style="position:absolute;left:9295;top:5;width:2;height:294" coordorigin="9295,5" coordsize="2,294">
              <v:shape style="position:absolute;left:9295;top:5;width:2;height:294" coordorigin="9295,5" coordsize="0,294" path="m9295,5l9295,298e" filled="false" stroked="true" strokeweight=".48004pt" strokecolor="#000000">
                <v:path arrowok="t"/>
              </v:shape>
              <v:shape style="position:absolute;left:4710;top:10;width:4585;height:284" type="#_x0000_t202" filled="false" stroked="false">
                <v:textbox inset="0,0,0,0">
                  <w:txbxContent>
                    <w:p>
                      <w:pPr>
                        <w:spacing w:line="246" w:lineRule="exact" w:before="0"/>
                        <w:ind w:left="105" w:right="0" w:firstLine="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xbxContent>
                </v:textbox>
                <w10:wrap type="none"/>
              </v:shape>
            </v:group>
          </v:group>
        </w:pict>
      </w:r>
      <w:r>
        <w:rPr>
          <w:rFonts w:ascii="宋体" w:hAnsi="宋体" w:cs="宋体" w:eastAsia="宋体" w:hint="default"/>
          <w:position w:val="-5"/>
          <w:sz w:val="20"/>
          <w:szCs w:val="20"/>
        </w:rPr>
      </w:r>
    </w:p>
    <w:p>
      <w:pPr>
        <w:spacing w:line="240" w:lineRule="auto" w:before="7"/>
        <w:rPr>
          <w:rFonts w:ascii="宋体" w:hAnsi="宋体" w:cs="宋体" w:eastAsia="宋体" w:hint="default"/>
          <w:sz w:val="22"/>
          <w:szCs w:val="22"/>
        </w:rPr>
      </w:pPr>
    </w:p>
    <w:p>
      <w:pPr>
        <w:pStyle w:val="Heading5"/>
        <w:spacing w:line="240" w:lineRule="auto" w:before="36"/>
        <w:ind w:left="217"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05"/>
        <w:gridCol w:w="4585"/>
      </w:tblGrid>
      <w:tr>
        <w:trPr>
          <w:trHeight w:val="283" w:hRule="exact"/>
        </w:trPr>
        <w:tc>
          <w:tcPr>
            <w:tcW w:w="9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7"/>
        <w:rPr>
          <w:rFonts w:ascii="宋体" w:hAnsi="宋体" w:cs="宋体" w:eastAsia="宋体" w:hint="default"/>
          <w:sz w:val="15"/>
          <w:szCs w:val="15"/>
        </w:rPr>
      </w:pPr>
    </w:p>
    <w:p>
      <w:pPr>
        <w:pStyle w:val="BodyText"/>
        <w:spacing w:line="273" w:lineRule="exact" w:before="36"/>
        <w:ind w:left="217" w:right="0"/>
        <w:jc w:val="left"/>
      </w:pPr>
      <w:r>
        <w:rPr/>
        <w:t>组合中，采用账龄分析法计提坏账准备的</w:t>
      </w:r>
    </w:p>
    <w:p>
      <w:pPr>
        <w:pStyle w:val="BodyText"/>
        <w:spacing w:line="273" w:lineRule="exact"/>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05"/>
        <w:gridCol w:w="3041"/>
        <w:gridCol w:w="3044"/>
      </w:tblGrid>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2"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73" w:lineRule="exact" w:before="36"/>
        <w:ind w:left="217" w:right="0"/>
        <w:jc w:val="left"/>
      </w:pPr>
      <w:r>
        <w:rPr/>
        <w:t>组合中，采用余额百分比法计提坏账准备的</w:t>
      </w:r>
    </w:p>
    <w:p>
      <w:pPr>
        <w:pStyle w:val="BodyText"/>
        <w:spacing w:line="240" w:lineRule="auto"/>
        <w:ind w:left="217" w:right="4228"/>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2" w:lineRule="auto" w:before="0"/>
        <w:ind w:left="217" w:right="42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pStyle w:val="BodyText"/>
        <w:spacing w:line="240" w:lineRule="auto" w:before="10"/>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53"/>
        <w:gridCol w:w="4837"/>
      </w:tblGrid>
      <w:tr>
        <w:trPr>
          <w:trHeight w:val="283"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单项金额不重大但信用风险重大</w:t>
            </w:r>
          </w:p>
        </w:tc>
      </w:tr>
      <w:tr>
        <w:trPr>
          <w:trHeight w:val="554"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其账面价值的差额计提坏账准备</w:t>
            </w:r>
          </w:p>
        </w:tc>
      </w:tr>
    </w:tbl>
    <w:p>
      <w:pPr>
        <w:pStyle w:val="BodyText"/>
        <w:spacing w:line="241" w:lineRule="exact"/>
        <w:ind w:left="217" w:right="0"/>
        <w:jc w:val="left"/>
      </w:pPr>
      <w:r>
        <w:rPr/>
        <w:t>注：对应收利息等其他应收款项，根据其未来现金流量现值低于其账面价值的差额计提坏账准备。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217" w:right="0"/>
        <w:jc w:val="left"/>
        <w:rPr>
          <w:b w:val="0"/>
          <w:bCs w:val="0"/>
        </w:rPr>
      </w:pPr>
      <w:r>
        <w:rPr>
          <w:rFonts w:ascii="宋体" w:hAnsi="宋体" w:cs="宋体" w:eastAsia="宋体" w:hint="default"/>
        </w:rPr>
        <w:t>12.</w:t>
      </w:r>
      <w:r>
        <w:rPr>
          <w:rFonts w:ascii="宋体" w:hAnsi="宋体" w:cs="宋体" w:eastAsia="宋体" w:hint="default"/>
          <w:spacing w:val="3"/>
        </w:rPr>
        <w:t> </w:t>
      </w:r>
      <w:r>
        <w:rPr/>
        <w:t>长期股权投资</w:t>
      </w:r>
      <w:r>
        <w:rPr>
          <w:b w:val="0"/>
          <w:bCs w:val="0"/>
        </w:rPr>
      </w:r>
    </w:p>
    <w:p>
      <w:pPr>
        <w:pStyle w:val="BodyText"/>
        <w:spacing w:line="273" w:lineRule="exact" w:before="58"/>
        <w:ind w:left="217" w:right="0"/>
        <w:jc w:val="left"/>
      </w:pPr>
      <w:r>
        <w:rPr/>
        <w:t>√适用 □不适用</w:t>
      </w:r>
    </w:p>
    <w:p>
      <w:pPr>
        <w:pStyle w:val="BodyText"/>
        <w:spacing w:line="357" w:lineRule="auto"/>
        <w:ind w:left="637" w:right="0"/>
        <w:jc w:val="left"/>
      </w:pPr>
      <w:r>
        <w:rPr>
          <w:rFonts w:ascii="宋体" w:hAnsi="宋体" w:cs="宋体" w:eastAsia="宋体" w:hint="default"/>
        </w:rPr>
        <w:t>(1) </w:t>
      </w:r>
      <w:r>
        <w:rPr/>
        <w:t>共同控制、重要影响的判断</w:t>
      </w:r>
      <w:r>
        <w:rPr>
          <w:w w:val="100"/>
        </w:rPr>
        <w:t> </w:t>
      </w:r>
      <w:r>
        <w:rPr>
          <w:spacing w:val="-2"/>
        </w:rPr>
        <w:t>按照相关约定对某项安排存在共有的控制，并且该安排的相关活动必须经过分享控制权的参与</w:t>
      </w:r>
    </w:p>
    <w:p>
      <w:pPr>
        <w:pStyle w:val="BodyText"/>
        <w:spacing w:line="357" w:lineRule="auto" w:before="30"/>
        <w:ind w:left="217" w:right="0"/>
        <w:jc w:val="left"/>
      </w:pPr>
      <w:r>
        <w:rPr>
          <w:spacing w:val="-2"/>
        </w:rPr>
        <w:t>方一致同意后才能决策，认定为共同控制。对被投资单位的财务和经营政策有参与决策的权力，但</w:t>
      </w:r>
      <w:r>
        <w:rPr>
          <w:spacing w:val="-25"/>
        </w:rPr>
        <w:t> </w:t>
      </w:r>
      <w:r>
        <w:rPr>
          <w:spacing w:val="-25"/>
        </w:rPr>
      </w:r>
      <w:r>
        <w:rPr/>
        <w:t>并不能够控制或者与其他方一起共同控制这些政策的制定，认定为重大影响。</w:t>
      </w:r>
    </w:p>
    <w:p>
      <w:pPr>
        <w:pStyle w:val="BodyText"/>
        <w:spacing w:line="240" w:lineRule="auto" w:before="30"/>
        <w:ind w:left="637" w:right="0"/>
        <w:jc w:val="left"/>
      </w:pPr>
      <w:r>
        <w:rPr>
          <w:rFonts w:ascii="宋体" w:hAnsi="宋体" w:cs="宋体" w:eastAsia="宋体" w:hint="default"/>
        </w:rPr>
        <w:t>(2)</w:t>
      </w:r>
      <w:r>
        <w:rPr>
          <w:rFonts w:ascii="宋体" w:hAnsi="宋体" w:cs="宋体" w:eastAsia="宋体" w:hint="default"/>
          <w:spacing w:val="1"/>
        </w:rPr>
        <w:t> </w:t>
      </w:r>
      <w:r>
        <w:rPr/>
        <w:t>投资成本的确定</w:t>
      </w:r>
    </w:p>
    <w:p>
      <w:pPr>
        <w:pStyle w:val="BodyText"/>
        <w:spacing w:line="357" w:lineRule="auto" w:before="133"/>
        <w:ind w:left="217" w:right="231" w:firstLine="420"/>
        <w:jc w:val="both"/>
      </w:pPr>
      <w:r>
        <w:rPr>
          <w:rFonts w:ascii="宋体" w:hAnsi="宋体" w:cs="宋体" w:eastAsia="宋体" w:hint="default"/>
        </w:rPr>
        <w:t>1)</w:t>
      </w:r>
      <w:r>
        <w:rPr>
          <w:rFonts w:ascii="宋体" w:hAnsi="宋体" w:cs="宋体" w:eastAsia="宋体" w:hint="default"/>
          <w:spacing w:val="72"/>
        </w:rPr>
        <w:t> </w:t>
      </w:r>
      <w:r>
        <w:rPr>
          <w:spacing w:val="-4"/>
        </w:rPr>
        <w:t>同一控制下的企业合并形成的，合并方以支付现金、转让非现金资产、承担债务或发行权益</w:t>
      </w:r>
      <w:r>
        <w:rPr>
          <w:w w:val="100"/>
        </w:rPr>
        <w:t> </w:t>
      </w:r>
      <w:r>
        <w:rPr>
          <w:spacing w:val="-2"/>
        </w:rPr>
        <w:t>性证券作为合并对价的，在合并日按照取得被合并方所有者权益在最终控制方合并财务报表中的账</w:t>
      </w:r>
      <w:r>
        <w:rPr>
          <w:spacing w:val="-25"/>
        </w:rPr>
        <w:t> </w:t>
      </w:r>
      <w:r>
        <w:rPr>
          <w:spacing w:val="-25"/>
        </w:rPr>
      </w:r>
      <w:r>
        <w:rPr>
          <w:spacing w:val="-2"/>
        </w:rPr>
        <w:t>面价值的份额作为其初始投资成本。长期股权投资初始投资成本与支付的合并对价的账面价值或发</w:t>
      </w:r>
      <w:r>
        <w:rPr>
          <w:spacing w:val="-25"/>
        </w:rPr>
        <w:t> </w:t>
      </w:r>
      <w:r>
        <w:rPr>
          <w:spacing w:val="-25"/>
        </w:rPr>
      </w:r>
      <w:r>
        <w:rPr/>
        <w:t>行股份的面值总额之间的差额调整资本公积；资本公积不足冲减的，调整留存收益。</w:t>
      </w:r>
    </w:p>
    <w:p>
      <w:pPr>
        <w:pStyle w:val="BodyText"/>
        <w:spacing w:line="355" w:lineRule="auto" w:before="30"/>
        <w:ind w:left="217" w:right="229" w:firstLine="420"/>
        <w:jc w:val="both"/>
      </w:pPr>
      <w:r>
        <w:rPr>
          <w:spacing w:val="-2"/>
        </w:rPr>
        <w:t>公司通过多次交易分步实现同一控制下企业合并形成的长期股权投资，判断是否属于“一揽子</w:t>
      </w:r>
      <w:r>
        <w:rPr>
          <w:w w:val="100"/>
        </w:rPr>
        <w:t> </w:t>
      </w:r>
      <w:r>
        <w:rPr>
          <w:spacing w:val="-6"/>
        </w:rPr>
        <w:t>交易”。属于“一揽子交易”的，把各项交易作为一项取得控制权的交易进行会计处理。不属于“一</w:t>
      </w:r>
    </w:p>
    <w:p>
      <w:pPr>
        <w:spacing w:after="0" w:line="355" w:lineRule="auto"/>
        <w:jc w:val="both"/>
        <w:sectPr>
          <w:pgSz w:w="11910" w:h="16840"/>
          <w:pgMar w:header="882" w:footer="1195" w:top="1120" w:bottom="1380" w:left="1060" w:right="1320"/>
        </w:sectPr>
      </w:pPr>
    </w:p>
    <w:p>
      <w:pPr>
        <w:spacing w:line="240" w:lineRule="auto" w:before="9"/>
        <w:rPr>
          <w:rFonts w:ascii="宋体" w:hAnsi="宋体" w:cs="宋体" w:eastAsia="宋体" w:hint="default"/>
          <w:sz w:val="18"/>
          <w:szCs w:val="18"/>
        </w:rPr>
      </w:pPr>
    </w:p>
    <w:p>
      <w:pPr>
        <w:pStyle w:val="BodyText"/>
        <w:spacing w:line="357" w:lineRule="auto" w:before="36"/>
        <w:ind w:left="137" w:right="249"/>
        <w:jc w:val="both"/>
      </w:pPr>
      <w:r>
        <w:rPr>
          <w:spacing w:val="-2"/>
        </w:rPr>
        <w:t>揽子交易”的，在合并日，根据合并后应享有被合并方净资产在最终控制方合并财务报表中的账面</w:t>
      </w:r>
      <w:r>
        <w:rPr>
          <w:spacing w:val="-25"/>
        </w:rPr>
        <w:t> </w:t>
      </w:r>
      <w:r>
        <w:rPr>
          <w:spacing w:val="-25"/>
        </w:rPr>
      </w:r>
      <w:r>
        <w:rPr>
          <w:spacing w:val="-2"/>
        </w:rPr>
        <w:t>价值的份额确定初始投资成本。合并日长期股权投资的初始投资成本，与达到合并前的长期股权投</w:t>
      </w:r>
      <w:r>
        <w:rPr>
          <w:spacing w:val="-25"/>
        </w:rPr>
        <w:t> </w:t>
      </w:r>
      <w:r>
        <w:rPr>
          <w:spacing w:val="-25"/>
        </w:rPr>
      </w:r>
      <w:r>
        <w:rPr>
          <w:spacing w:val="-2"/>
        </w:rPr>
        <w:t>资账面价值加上合并日进一步取得股份新支付对价的账面价值之和的差额，调整资本公积；资本公</w:t>
      </w:r>
      <w:r>
        <w:rPr>
          <w:spacing w:val="-25"/>
        </w:rPr>
        <w:t> </w:t>
      </w:r>
      <w:r>
        <w:rPr>
          <w:spacing w:val="-25"/>
        </w:rPr>
      </w:r>
      <w:r>
        <w:rPr/>
        <w:t>积不足冲减的，调整留存收益。</w:t>
      </w:r>
    </w:p>
    <w:p>
      <w:pPr>
        <w:pStyle w:val="BodyText"/>
        <w:spacing w:line="355" w:lineRule="auto" w:before="30"/>
        <w:ind w:left="137" w:right="0" w:firstLine="420"/>
        <w:jc w:val="left"/>
      </w:pPr>
      <w:r>
        <w:rPr>
          <w:rFonts w:ascii="宋体" w:hAnsi="宋体" w:cs="宋体" w:eastAsia="宋体" w:hint="default"/>
        </w:rPr>
        <w:t>2)</w:t>
      </w:r>
      <w:r>
        <w:rPr>
          <w:rFonts w:ascii="宋体" w:hAnsi="宋体" w:cs="宋体" w:eastAsia="宋体" w:hint="default"/>
          <w:spacing w:val="72"/>
        </w:rPr>
        <w:t> </w:t>
      </w:r>
      <w:r>
        <w:rPr>
          <w:spacing w:val="-4"/>
        </w:rPr>
        <w:t>非同一控制下的企业合并形成的，在购买日按照支付的合并对价的公允价值作为其初始投资</w:t>
      </w:r>
      <w:r>
        <w:rPr>
          <w:w w:val="100"/>
        </w:rPr>
        <w:t> </w:t>
      </w:r>
      <w:r>
        <w:rPr/>
        <w:t>成本。</w:t>
      </w:r>
    </w:p>
    <w:p>
      <w:pPr>
        <w:pStyle w:val="BodyText"/>
        <w:spacing w:line="357" w:lineRule="auto" w:before="32"/>
        <w:ind w:left="137" w:right="0" w:firstLine="420"/>
        <w:jc w:val="left"/>
      </w:pPr>
      <w:r>
        <w:rPr>
          <w:spacing w:val="-2"/>
        </w:rPr>
        <w:t>公司通过多次交易分步实现非同一控制下企业合并形成的长期股权投资，区分个别财务报表和</w:t>
      </w:r>
      <w:r>
        <w:rPr>
          <w:w w:val="100"/>
        </w:rPr>
        <w:t> </w:t>
      </w:r>
      <w:r>
        <w:rPr/>
        <w:t>合并财务报表进行相关会计处理：</w:t>
      </w:r>
    </w:p>
    <w:p>
      <w:pPr>
        <w:pStyle w:val="BodyText"/>
        <w:spacing w:line="355" w:lineRule="auto" w:before="31"/>
        <w:ind w:left="137" w:right="0" w:firstLine="420"/>
        <w:jc w:val="left"/>
      </w:pPr>
      <w:r>
        <w:rPr/>
        <w:t>①</w:t>
      </w:r>
      <w:r>
        <w:rPr>
          <w:spacing w:val="41"/>
        </w:rPr>
        <w:t> </w:t>
      </w:r>
      <w:r>
        <w:rPr>
          <w:spacing w:val="-3"/>
        </w:rPr>
        <w:t>在个别财务报表中，按照原持有的股权投资的账面价值加上新增投资成本之和，作为改按成</w:t>
      </w:r>
      <w:r>
        <w:rPr>
          <w:w w:val="100"/>
        </w:rPr>
        <w:t> </w:t>
      </w:r>
      <w:r>
        <w:rPr/>
        <w:t>本法核算的初始投资成本。</w:t>
      </w:r>
    </w:p>
    <w:p>
      <w:pPr>
        <w:pStyle w:val="BodyText"/>
        <w:spacing w:line="357" w:lineRule="auto" w:before="32"/>
        <w:ind w:left="137" w:right="209" w:firstLine="420"/>
        <w:jc w:val="both"/>
      </w:pPr>
      <w:r>
        <w:rPr/>
        <w:t>②</w:t>
      </w:r>
      <w:r>
        <w:rPr>
          <w:spacing w:val="72"/>
        </w:rPr>
        <w:t> </w:t>
      </w:r>
      <w:r>
        <w:rPr>
          <w:spacing w:val="-4"/>
        </w:rPr>
        <w:t>在合并财务报表中，判断是否属于“一揽子交易”。属于“一揽子交易”的，把各项交易作</w:t>
      </w:r>
      <w:r>
        <w:rPr>
          <w:w w:val="100"/>
        </w:rPr>
        <w:t> </w:t>
      </w:r>
      <w:r>
        <w:rPr>
          <w:spacing w:val="-2"/>
        </w:rPr>
        <w:t>为一项取得控制权的交易进行会计处理。不属于“一揽子交易”的，对于购买日之前持有的被购买</w:t>
      </w:r>
      <w:r>
        <w:rPr>
          <w:spacing w:val="-26"/>
        </w:rPr>
        <w:t> </w:t>
      </w:r>
      <w:r>
        <w:rPr>
          <w:spacing w:val="-26"/>
        </w:rPr>
      </w:r>
      <w:r>
        <w:rPr>
          <w:spacing w:val="-2"/>
        </w:rPr>
        <w:t>方的股权，按照该股权在购买日的公允价值进行重新计量，公允价值与其账面价值的差额计入当期</w:t>
      </w:r>
      <w:r>
        <w:rPr>
          <w:spacing w:val="-25"/>
        </w:rPr>
        <w:t> </w:t>
      </w:r>
      <w:r>
        <w:rPr>
          <w:spacing w:val="-25"/>
        </w:rPr>
      </w:r>
      <w:r>
        <w:rPr>
          <w:spacing w:val="-2"/>
        </w:rPr>
        <w:t>投资收益；购买日之前持有的被购买方的股权涉及权益法核算下的其他综合收益等的，与其相关的</w:t>
      </w:r>
      <w:r>
        <w:rPr>
          <w:spacing w:val="-25"/>
        </w:rPr>
        <w:t> </w:t>
      </w:r>
      <w:r>
        <w:rPr>
          <w:spacing w:val="-25"/>
        </w:rPr>
      </w:r>
      <w:r>
        <w:rPr>
          <w:spacing w:val="-2"/>
        </w:rPr>
        <w:t>其他综合收益等转为购买日所属当期收益。但由于被投资方重新计量设定受益计划净负债或净资产</w:t>
      </w:r>
      <w:r>
        <w:rPr>
          <w:spacing w:val="-25"/>
        </w:rPr>
        <w:t> </w:t>
      </w:r>
      <w:r>
        <w:rPr>
          <w:spacing w:val="-25"/>
        </w:rPr>
      </w:r>
      <w:r>
        <w:rPr/>
        <w:t>变动而产生的其他综合收益除外。</w:t>
      </w:r>
    </w:p>
    <w:p>
      <w:pPr>
        <w:pStyle w:val="BodyText"/>
        <w:spacing w:line="357" w:lineRule="auto" w:before="30"/>
        <w:ind w:left="137" w:right="0" w:firstLine="420"/>
        <w:jc w:val="left"/>
      </w:pPr>
      <w:r>
        <w:rPr>
          <w:rFonts w:ascii="宋体" w:hAnsi="宋体" w:cs="宋体" w:eastAsia="宋体" w:hint="default"/>
          <w:w w:val="100"/>
        </w:rPr>
        <w:t>3)</w:t>
      </w:r>
      <w:r>
        <w:rPr>
          <w:rFonts w:ascii="宋体" w:hAnsi="宋体" w:cs="宋体" w:eastAsia="宋体" w:hint="default"/>
          <w:spacing w:val="12"/>
          <w:w w:val="100"/>
        </w:rPr>
        <w:t> </w:t>
      </w:r>
      <w:r>
        <w:rPr>
          <w:spacing w:val="-6"/>
          <w:w w:val="100"/>
        </w:rPr>
        <w:t>除企业合并形成以外的：以支付现金取得的，按照实际支付的购买价款作为其初始投资成本；</w:t>
      </w:r>
      <w:r>
        <w:rPr>
          <w:w w:val="100"/>
        </w:rPr>
        <w:t> </w:t>
      </w:r>
      <w:r>
        <w:rPr/>
        <w:t>以发行权益性证券取得的，按照发行权益性证券的公允价值作为其初始投资成本；以债务重组方式</w:t>
      </w:r>
      <w:r>
        <w:rPr>
          <w:w w:val="100"/>
        </w:rPr>
        <w:t> </w:t>
      </w:r>
      <w:r>
        <w:rPr>
          <w:spacing w:val="-4"/>
        </w:rPr>
        <w:t>取得的，按《企业会计准则第 </w:t>
      </w:r>
      <w:r>
        <w:rPr>
          <w:rFonts w:ascii="宋体" w:hAnsi="宋体" w:cs="宋体" w:eastAsia="宋体" w:hint="default"/>
        </w:rPr>
        <w:t>12</w:t>
      </w:r>
      <w:r>
        <w:rPr>
          <w:rFonts w:ascii="宋体" w:hAnsi="宋体" w:cs="宋体" w:eastAsia="宋体" w:hint="default"/>
          <w:spacing w:val="-36"/>
        </w:rPr>
        <w:t> </w:t>
      </w:r>
      <w:r>
        <w:rPr>
          <w:spacing w:val="-3"/>
        </w:rPr>
        <w:t>号——债务重组》确定其初始投资成本；以非货币性资产交换取得</w:t>
      </w:r>
    </w:p>
    <w:p>
      <w:pPr>
        <w:pStyle w:val="BodyText"/>
        <w:spacing w:line="240" w:lineRule="auto" w:before="30"/>
        <w:ind w:left="137" w:right="0"/>
        <w:jc w:val="both"/>
      </w:pPr>
      <w:r>
        <w:rPr/>
        <w:t>的，按《企业会计准则第</w:t>
      </w:r>
      <w:r>
        <w:rPr>
          <w:spacing w:val="-59"/>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7" w:lineRule="auto" w:before="133"/>
        <w:ind w:left="557" w:right="0"/>
        <w:jc w:val="left"/>
      </w:pPr>
      <w:r>
        <w:rPr>
          <w:rFonts w:ascii="宋体" w:hAnsi="宋体" w:cs="宋体" w:eastAsia="宋体" w:hint="default"/>
        </w:rPr>
        <w:t>(3) </w:t>
      </w:r>
      <w:r>
        <w:rPr/>
        <w:t>后续计量及损益确认方法</w:t>
      </w:r>
      <w:r>
        <w:rPr>
          <w:w w:val="100"/>
        </w:rPr>
        <w:t> </w:t>
      </w:r>
      <w:r>
        <w:rPr>
          <w:spacing w:val="-2"/>
        </w:rPr>
        <w:t>对被投资单位实施控制的长期股权投资采用成本法核算；对联营企业和合营企业的长期股权投</w:t>
      </w:r>
    </w:p>
    <w:p>
      <w:pPr>
        <w:pStyle w:val="BodyText"/>
        <w:spacing w:line="240" w:lineRule="auto" w:before="30"/>
        <w:ind w:left="137" w:right="0"/>
        <w:jc w:val="both"/>
      </w:pPr>
      <w:r>
        <w:rPr/>
        <w:t>资，采用权益法核算。</w:t>
      </w:r>
    </w:p>
    <w:p>
      <w:pPr>
        <w:pStyle w:val="BodyText"/>
        <w:spacing w:line="240" w:lineRule="auto" w:before="133"/>
        <w:ind w:left="557" w:right="0"/>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通过多次交易分步处置对子公司投资至丧失控制权的处理方法</w:t>
      </w:r>
    </w:p>
    <w:p>
      <w:pPr>
        <w:pStyle w:val="BodyText"/>
        <w:spacing w:line="355" w:lineRule="auto" w:before="133"/>
        <w:ind w:left="557"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对处置的股权，其账面价值与实际取得价款之间的差额，计入当期损益。对于剩余股权，对被</w:t>
      </w:r>
    </w:p>
    <w:p>
      <w:pPr>
        <w:pStyle w:val="BodyText"/>
        <w:spacing w:line="355" w:lineRule="auto" w:before="34"/>
        <w:ind w:left="137" w:right="211"/>
        <w:jc w:val="both"/>
      </w:pPr>
      <w:r>
        <w:rPr>
          <w:spacing w:val="-2"/>
        </w:rPr>
        <w:t>投资单位仍具有重大影响或者与其他方一起实施共同控制的，转为权益法核算；不能再对被投资单</w:t>
      </w:r>
      <w:r>
        <w:rPr>
          <w:spacing w:val="-25"/>
        </w:rPr>
        <w:t> </w:t>
      </w:r>
      <w:r>
        <w:rPr>
          <w:spacing w:val="-25"/>
        </w:rPr>
      </w:r>
      <w:r>
        <w:rPr>
          <w:spacing w:val="-4"/>
        </w:rPr>
        <w:t>位实施控制、共同控制或重大影响的，确认为可供出售金融资产，按照《企业会计准则第</w:t>
      </w:r>
      <w:r>
        <w:rPr>
          <w:spacing w:val="-17"/>
        </w:rPr>
        <w:t> </w:t>
      </w:r>
      <w:r>
        <w:rPr>
          <w:rFonts w:ascii="宋体" w:hAnsi="宋体" w:cs="宋体" w:eastAsia="宋体" w:hint="default"/>
        </w:rPr>
        <w:t>22</w:t>
      </w:r>
      <w:r>
        <w:rPr>
          <w:rFonts w:ascii="宋体" w:hAnsi="宋体" w:cs="宋体" w:eastAsia="宋体" w:hint="default"/>
          <w:spacing w:val="-19"/>
        </w:rPr>
        <w:t> </w:t>
      </w:r>
      <w:r>
        <w:rPr/>
        <w:t>号——</w:t>
      </w:r>
      <w:r>
        <w:rPr>
          <w:spacing w:val="-92"/>
        </w:rPr>
        <w:t> </w:t>
      </w:r>
      <w:r>
        <w:rPr>
          <w:spacing w:val="-92"/>
        </w:rPr>
      </w:r>
      <w:r>
        <w:rPr/>
        <w:t>金融工具确认和计量》的相关规定进行核算。</w:t>
      </w:r>
    </w:p>
    <w:p>
      <w:pPr>
        <w:pStyle w:val="BodyText"/>
        <w:spacing w:line="240"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7" w:lineRule="auto" w:before="133"/>
        <w:ind w:left="557" w:right="0"/>
        <w:jc w:val="left"/>
      </w:pPr>
      <w:r>
        <w:rPr/>
        <w:t>①</w:t>
      </w:r>
      <w:r>
        <w:rPr>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在丧失控制权之前，处置价款与处置长期股权投资相对应享有子公司自购买日或合并日开始持</w:t>
      </w:r>
    </w:p>
    <w:p>
      <w:pPr>
        <w:pStyle w:val="BodyText"/>
        <w:spacing w:line="355" w:lineRule="auto" w:before="30"/>
        <w:ind w:left="137" w:right="249"/>
        <w:jc w:val="both"/>
      </w:pPr>
      <w:r>
        <w:rPr>
          <w:spacing w:val="-2"/>
        </w:rPr>
        <w:t>续计算的净资产份额之间的差额，调整资本公积（资本溢价），资本溢价不足冲减的，冲减留存收</w:t>
      </w:r>
      <w:r>
        <w:rPr>
          <w:spacing w:val="-25"/>
        </w:rPr>
        <w:t> </w:t>
      </w:r>
      <w:r>
        <w:rPr>
          <w:spacing w:val="-25"/>
        </w:rPr>
      </w:r>
      <w:r>
        <w:rPr/>
        <w:t>益。</w:t>
      </w:r>
    </w:p>
    <w:p>
      <w:pPr>
        <w:spacing w:after="0" w:line="355" w:lineRule="auto"/>
        <w:jc w:val="both"/>
        <w:sectPr>
          <w:footerReference w:type="default" r:id="rId52"/>
          <w:pgSz w:w="11910" w:h="16840"/>
          <w:pgMar w:footer="1195" w:header="882" w:top="1120" w:bottom="1380" w:left="1140" w:right="1340"/>
          <w:pgNumType w:start="128"/>
        </w:sectPr>
      </w:pPr>
    </w:p>
    <w:p>
      <w:pPr>
        <w:spacing w:line="240" w:lineRule="auto" w:before="9"/>
        <w:rPr>
          <w:rFonts w:ascii="宋体" w:hAnsi="宋体" w:cs="宋体" w:eastAsia="宋体" w:hint="default"/>
          <w:sz w:val="18"/>
          <w:szCs w:val="18"/>
        </w:rPr>
      </w:pPr>
    </w:p>
    <w:p>
      <w:pPr>
        <w:pStyle w:val="BodyText"/>
        <w:spacing w:line="357" w:lineRule="auto" w:before="36"/>
        <w:ind w:left="217" w:right="269" w:firstLine="420"/>
        <w:jc w:val="both"/>
      </w:pPr>
      <w:r>
        <w:rPr>
          <w:spacing w:val="-2"/>
        </w:rPr>
        <w:t>丧失对原子公司控制权时，对于剩余股权，按照其在丧失控制权日的公允价值进行重新计量。</w:t>
      </w:r>
      <w:r>
        <w:rPr>
          <w:w w:val="100"/>
        </w:rPr>
        <w:t> </w:t>
      </w:r>
      <w:r>
        <w:rPr>
          <w:spacing w:val="-2"/>
        </w:rPr>
        <w:t>处置股权取得的对价与剩余股权公允价值之和，减去按原持股比例计算应享有原有子公司自购买日</w:t>
      </w:r>
      <w:r>
        <w:rPr>
          <w:spacing w:val="-25"/>
        </w:rPr>
        <w:t> </w:t>
      </w:r>
      <w:r>
        <w:rPr>
          <w:spacing w:val="-25"/>
        </w:rPr>
      </w:r>
      <w:r>
        <w:rPr>
          <w:spacing w:val="-2"/>
        </w:rPr>
        <w:t>或合并日开始持续计算的净资产的份额之间的差额，计入丧失控制权当期的投资收益，同时冲减商</w:t>
      </w:r>
      <w:r>
        <w:rPr>
          <w:spacing w:val="-25"/>
        </w:rPr>
        <w:t> </w:t>
      </w:r>
      <w:r>
        <w:rPr>
          <w:spacing w:val="-25"/>
        </w:rPr>
      </w:r>
      <w:r>
        <w:rPr/>
        <w:t>誉。与原有子公司股权投资相关的其他综合收益等，应当在丧失控制权时转为当期投资收益。</w:t>
      </w:r>
    </w:p>
    <w:p>
      <w:pPr>
        <w:pStyle w:val="BodyText"/>
        <w:spacing w:line="355" w:lineRule="auto" w:before="30"/>
        <w:ind w:left="637" w:right="0"/>
        <w:jc w:val="left"/>
      </w:pPr>
      <w:r>
        <w:rPr/>
        <w:t>②</w:t>
      </w:r>
      <w:r>
        <w:rPr>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将各项交易作为一项处置子公司并丧失控制权的交易进行会计处理。但是，在丧失控制权之前</w:t>
      </w:r>
    </w:p>
    <w:p>
      <w:pPr>
        <w:pStyle w:val="BodyText"/>
        <w:spacing w:line="357" w:lineRule="auto" w:before="32"/>
        <w:ind w:left="217" w:right="0"/>
        <w:jc w:val="left"/>
      </w:pPr>
      <w:r>
        <w:rPr>
          <w:spacing w:val="-2"/>
        </w:rPr>
        <w:t>每一次处置价款与处置投资对应的享有该子公司净资产份额的差额，在合并财务报表中确认为其他</w:t>
      </w:r>
      <w:r>
        <w:rPr>
          <w:spacing w:val="-25"/>
        </w:rPr>
        <w:t> </w:t>
      </w:r>
      <w:r>
        <w:rPr>
          <w:spacing w:val="-25"/>
        </w:rPr>
      </w:r>
      <w:r>
        <w:rPr/>
        <w:t>综合收益，在丧失控制权时一并转入丧失控制权当期的损益。</w:t>
      </w:r>
    </w:p>
    <w:p>
      <w:pPr>
        <w:spacing w:line="240" w:lineRule="auto" w:before="9"/>
        <w:rPr>
          <w:rFonts w:ascii="宋体" w:hAnsi="宋体" w:cs="宋体" w:eastAsia="宋体" w:hint="default"/>
          <w:sz w:val="27"/>
          <w:szCs w:val="27"/>
        </w:rPr>
      </w:pPr>
    </w:p>
    <w:p>
      <w:pPr>
        <w:pStyle w:val="Heading5"/>
        <w:spacing w:line="290" w:lineRule="auto"/>
        <w:ind w:left="217" w:right="6336"/>
        <w:jc w:val="left"/>
        <w:rPr>
          <w:rFonts w:ascii="宋体" w:hAnsi="宋体" w:cs="宋体" w:eastAsia="宋体" w:hint="default"/>
          <w:b w:val="0"/>
          <w:bCs w:val="0"/>
        </w:rPr>
      </w:pPr>
      <w:r>
        <w:rPr>
          <w:rFonts w:ascii="宋体" w:hAnsi="宋体" w:cs="宋体" w:eastAsia="宋体" w:hint="default"/>
        </w:rPr>
        <w:t>13.</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9" w:lineRule="exact"/>
        <w:ind w:left="637" w:right="0"/>
        <w:jc w:val="left"/>
      </w:pPr>
      <w:r>
        <w:rPr/>
        <w:t>公司投资性房地产按照成本进行初始计量，采用成本模式进行后续计量，并采用与固定资产和</w:t>
      </w:r>
    </w:p>
    <w:p>
      <w:pPr>
        <w:pStyle w:val="BodyText"/>
        <w:spacing w:line="240" w:lineRule="auto" w:before="133"/>
        <w:ind w:left="217" w:right="0"/>
        <w:jc w:val="left"/>
      </w:pPr>
      <w:r>
        <w:rPr/>
        <w:t>无形资产相同的方法计提折旧或进行摊销。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90" w:lineRule="auto"/>
        <w:ind w:left="217" w:right="8020"/>
        <w:jc w:val="left"/>
        <w:rPr>
          <w:b w:val="0"/>
          <w:bCs w:val="0"/>
        </w:rPr>
      </w:pPr>
      <w:r>
        <w:rPr>
          <w:rFonts w:ascii="宋体" w:hAnsi="宋体" w:cs="宋体" w:eastAsia="宋体" w:hint="default"/>
        </w:rPr>
        <w:t>14.</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37" w:right="0" w:hanging="420"/>
        <w:jc w:val="left"/>
      </w:pPr>
      <w:r>
        <w:rPr/>
        <w:t>√适用</w:t>
      </w:r>
      <w:r>
        <w:rPr>
          <w:spacing w:val="-2"/>
        </w:rPr>
        <w:t> </w:t>
      </w:r>
      <w:r>
        <w:rPr/>
        <w:t>□不适用</w:t>
      </w:r>
      <w:r>
        <w:rPr>
          <w:spacing w:val="-103"/>
        </w:rPr>
        <w:t> </w:t>
      </w:r>
      <w:r>
        <w:rPr>
          <w:spacing w:val="-103"/>
        </w:rPr>
      </w:r>
      <w:r>
        <w:rPr>
          <w:spacing w:val="-1"/>
        </w:rPr>
        <w:t>固定资产是指为生产商品、提供劳务、出租或经营管理而持有的，使用年限超过一个会计年度</w:t>
      </w:r>
    </w:p>
    <w:p>
      <w:pPr>
        <w:pStyle w:val="BodyText"/>
        <w:spacing w:line="240" w:lineRule="auto" w:before="133"/>
        <w:ind w:left="217" w:right="0"/>
        <w:jc w:val="left"/>
      </w:pPr>
      <w:r>
        <w:rPr/>
        <w:t>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217"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2"/>
        <w:gridCol w:w="1882"/>
        <w:gridCol w:w="1882"/>
        <w:gridCol w:w="1882"/>
        <w:gridCol w:w="1882"/>
      </w:tblGrid>
      <w:tr>
        <w:trPr>
          <w:trHeight w:val="281"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30-45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3.23-2.16</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24.25-16.17</w:t>
            </w:r>
          </w:p>
        </w:tc>
      </w:tr>
      <w:tr>
        <w:trPr>
          <w:trHeight w:val="281"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50.00-19.40</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5-11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19.40-8.82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before="36"/>
        <w:ind w:left="217" w:right="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58"/>
        <w:ind w:left="21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7" w:right="0"/>
        <w:jc w:val="left"/>
        <w:rPr>
          <w:b w:val="0"/>
          <w:bCs w:val="0"/>
        </w:rPr>
      </w:pPr>
      <w:r>
        <w:rPr>
          <w:rFonts w:ascii="宋体" w:hAnsi="宋体" w:cs="宋体" w:eastAsia="宋体" w:hint="default"/>
        </w:rPr>
        <w:t>15.</w:t>
      </w:r>
      <w:r>
        <w:rPr>
          <w:rFonts w:ascii="宋体" w:hAnsi="宋体" w:cs="宋体" w:eastAsia="宋体" w:hint="default"/>
          <w:spacing w:val="2"/>
        </w:rPr>
        <w:t> </w:t>
      </w:r>
      <w:r>
        <w:rPr/>
        <w:t>在建工程</w:t>
      </w:r>
      <w:r>
        <w:rPr>
          <w:b w:val="0"/>
          <w:bCs w:val="0"/>
        </w:rPr>
      </w:r>
    </w:p>
    <w:p>
      <w:pPr>
        <w:pStyle w:val="BodyText"/>
        <w:spacing w:line="274" w:lineRule="exact" w:before="56"/>
        <w:ind w:left="217" w:right="0"/>
        <w:jc w:val="left"/>
      </w:pPr>
      <w:r>
        <w:rPr/>
        <w:t>√适用 □不适用</w:t>
      </w:r>
    </w:p>
    <w:p>
      <w:pPr>
        <w:pStyle w:val="BodyText"/>
        <w:spacing w:line="355" w:lineRule="auto"/>
        <w:ind w:left="217" w:right="217" w:firstLine="420"/>
        <w:jc w:val="left"/>
      </w:pPr>
      <w:r>
        <w:rPr>
          <w:rFonts w:ascii="宋体" w:hAnsi="宋体" w:cs="宋体" w:eastAsia="宋体" w:hint="default"/>
        </w:rPr>
        <w:t>(1)</w:t>
      </w:r>
      <w:r>
        <w:rPr>
          <w:rFonts w:ascii="宋体" w:hAnsi="宋体" w:cs="宋体" w:eastAsia="宋体" w:hint="default"/>
          <w:spacing w:val="42"/>
        </w:rPr>
        <w:t> </w:t>
      </w:r>
      <w:r>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7" w:lineRule="auto" w:before="32"/>
        <w:ind w:left="217" w:right="217" w:firstLine="420"/>
        <w:jc w:val="left"/>
      </w:pPr>
      <w:r>
        <w:rPr>
          <w:rFonts w:ascii="宋体" w:hAnsi="宋体" w:cs="宋体" w:eastAsia="宋体" w:hint="default"/>
        </w:rPr>
        <w:t>(2)</w:t>
      </w:r>
      <w:r>
        <w:rPr>
          <w:rFonts w:ascii="宋体" w:hAnsi="宋体" w:cs="宋体" w:eastAsia="宋体" w:hint="default"/>
          <w:spacing w:val="42"/>
        </w:rPr>
        <w:t> </w:t>
      </w:r>
      <w:r>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但尚未办理竣工决算的，先按估计价值转入固定资产，待办理竣工决算后再按实际成本调整原暂估</w:t>
      </w:r>
    </w:p>
    <w:p>
      <w:pPr>
        <w:spacing w:after="0" w:line="357" w:lineRule="auto"/>
        <w:jc w:val="left"/>
        <w:sectPr>
          <w:pgSz w:w="11910" w:h="16840"/>
          <w:pgMar w:header="882" w:footer="1195" w:top="1120" w:bottom="1380" w:left="1060" w:right="132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价值，但不再调整原已计提的折旧。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137" w:right="0"/>
        <w:jc w:val="both"/>
        <w:rPr>
          <w:b w:val="0"/>
          <w:bCs w:val="0"/>
        </w:rPr>
      </w:pPr>
      <w:r>
        <w:rPr>
          <w:rFonts w:ascii="宋体" w:hAnsi="宋体" w:cs="宋体" w:eastAsia="宋体" w:hint="default"/>
        </w:rPr>
        <w:t>16.</w:t>
      </w:r>
      <w:r>
        <w:rPr>
          <w:rFonts w:ascii="宋体" w:hAnsi="宋体" w:cs="宋体" w:eastAsia="宋体" w:hint="default"/>
          <w:spacing w:val="2"/>
        </w:rPr>
        <w:t> </w:t>
      </w:r>
      <w:r>
        <w:rPr/>
        <w:t>借款费用</w:t>
      </w:r>
      <w:r>
        <w:rPr>
          <w:b w:val="0"/>
          <w:bCs w:val="0"/>
        </w:rPr>
      </w:r>
    </w:p>
    <w:p>
      <w:pPr>
        <w:pStyle w:val="BodyText"/>
        <w:spacing w:line="274" w:lineRule="exact" w:before="56"/>
        <w:ind w:left="137" w:right="0"/>
        <w:jc w:val="both"/>
      </w:pPr>
      <w:r>
        <w:rPr/>
        <w:t>√适用 □不适用</w:t>
      </w:r>
    </w:p>
    <w:p>
      <w:pPr>
        <w:pStyle w:val="BodyText"/>
        <w:spacing w:line="355" w:lineRule="auto"/>
        <w:ind w:left="557" w:right="0"/>
        <w:jc w:val="left"/>
      </w:pPr>
      <w:r>
        <w:rPr>
          <w:rFonts w:ascii="宋体" w:hAnsi="宋体" w:cs="宋体" w:eastAsia="宋体" w:hint="default"/>
        </w:rPr>
        <w:t>(1) </w:t>
      </w:r>
      <w:r>
        <w:rPr/>
        <w:t>借款费用资本化的确认原则</w:t>
      </w:r>
      <w:r>
        <w:rPr>
          <w:w w:val="100"/>
        </w:rPr>
        <w:t> </w:t>
      </w:r>
      <w:r>
        <w:rPr>
          <w:spacing w:val="-2"/>
        </w:rPr>
        <w:t>公司发生的借款费用，可直接归属于符合资本化条件的资产的购建或者生产的，予以资本化，</w:t>
      </w:r>
    </w:p>
    <w:p>
      <w:pPr>
        <w:pStyle w:val="BodyText"/>
        <w:spacing w:line="355" w:lineRule="auto" w:before="32"/>
        <w:ind w:left="557" w:right="2225"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pStyle w:val="BodyText"/>
        <w:spacing w:line="357" w:lineRule="auto" w:before="34"/>
        <w:ind w:left="137" w:right="110" w:firstLine="420"/>
        <w:jc w:val="both"/>
      </w:pPr>
      <w:r>
        <w:rPr>
          <w:rFonts w:ascii="宋体" w:hAnsi="宋体" w:cs="宋体" w:eastAsia="宋体" w:hint="default"/>
        </w:rPr>
        <w:t>1) </w:t>
      </w:r>
      <w:r>
        <w:rPr>
          <w:spacing w:val="-4"/>
        </w:rPr>
        <w:t>当借款费用同时满足下列条件时，开始资本化：① 资产支出已经发生；②</w:t>
      </w:r>
      <w:r>
        <w:rPr>
          <w:spacing w:val="55"/>
        </w:rPr>
        <w:t> </w:t>
      </w:r>
      <w:r>
        <w:rPr/>
        <w:t>借款费用已经发</w:t>
      </w:r>
      <w:r>
        <w:rPr>
          <w:w w:val="100"/>
        </w:rPr>
        <w:t> </w:t>
      </w:r>
      <w:r>
        <w:rPr/>
        <w:t>生；③</w:t>
      </w:r>
      <w:r>
        <w:rPr>
          <w:spacing w:val="-6"/>
        </w:rPr>
        <w:t> </w:t>
      </w:r>
      <w:r>
        <w:rPr/>
        <w:t>为使资产达到预定可使用或可销售状态所必要的购建或者生产活动已经开始。</w:t>
      </w:r>
    </w:p>
    <w:p>
      <w:pPr>
        <w:pStyle w:val="BodyText"/>
        <w:spacing w:line="355" w:lineRule="auto" w:before="30"/>
        <w:ind w:left="137" w:right="111" w:firstLine="420"/>
        <w:jc w:val="both"/>
      </w:pPr>
      <w:r>
        <w:rPr>
          <w:rFonts w:ascii="宋体" w:hAnsi="宋体" w:cs="宋体" w:eastAsia="宋体" w:hint="default"/>
        </w:rPr>
        <w:t>2) </w:t>
      </w:r>
      <w:r>
        <w:rPr/>
        <w:t>若符合资本化条件的资产在购建或者生产过程中发生非正常中断，并且中断时间连续超过</w:t>
      </w:r>
      <w:r>
        <w:rPr>
          <w:spacing w:val="-72"/>
        </w:rPr>
        <w:t> </w:t>
      </w:r>
      <w:r>
        <w:rPr>
          <w:rFonts w:ascii="宋体" w:hAnsi="宋体" w:cs="宋体" w:eastAsia="宋体" w:hint="default"/>
        </w:rPr>
        <w:t>3</w:t>
      </w:r>
      <w:r>
        <w:rPr>
          <w:rFonts w:ascii="宋体" w:hAnsi="宋体" w:cs="宋体" w:eastAsia="宋体" w:hint="default"/>
          <w:w w:val="100"/>
        </w:rPr>
        <w:t> </w:t>
      </w:r>
      <w:r>
        <w:rPr>
          <w:spacing w:val="-2"/>
        </w:rPr>
        <w:t>个月，暂停借款费用的资本化；中断期间发生的借款费用确认为当期费用，直至资产的购建或者生</w:t>
      </w:r>
      <w:r>
        <w:rPr>
          <w:spacing w:val="-25"/>
        </w:rPr>
        <w:t> </w:t>
      </w:r>
      <w:r>
        <w:rPr>
          <w:spacing w:val="-25"/>
        </w:rPr>
      </w:r>
      <w:r>
        <w:rPr/>
        <w:t>产活动重新开始。</w:t>
      </w:r>
    </w:p>
    <w:p>
      <w:pPr>
        <w:pStyle w:val="BodyText"/>
        <w:spacing w:line="355" w:lineRule="auto" w:before="34"/>
        <w:ind w:left="137" w:right="108" w:firstLine="420"/>
        <w:jc w:val="both"/>
      </w:pPr>
      <w:r>
        <w:rPr>
          <w:rFonts w:ascii="宋体" w:hAnsi="宋体" w:cs="宋体" w:eastAsia="宋体" w:hint="default"/>
        </w:rPr>
        <w:t>3)</w:t>
      </w:r>
      <w:r>
        <w:rPr>
          <w:rFonts w:ascii="宋体" w:hAnsi="宋体" w:cs="宋体" w:eastAsia="宋体" w:hint="default"/>
          <w:spacing w:val="41"/>
        </w:rPr>
        <w:t> </w:t>
      </w:r>
      <w:r>
        <w:rPr>
          <w:spacing w:val="-3"/>
        </w:rPr>
        <w:t>当所购建或者生产符合资本化条件的资产达到预定可使用或可销售状态时，借款费用停止资</w:t>
      </w:r>
      <w:r>
        <w:rPr>
          <w:w w:val="100"/>
        </w:rPr>
        <w:t> </w:t>
      </w:r>
      <w:r>
        <w:rPr/>
        <w:t>本化。</w:t>
      </w:r>
    </w:p>
    <w:p>
      <w:pPr>
        <w:pStyle w:val="BodyText"/>
        <w:spacing w:line="355" w:lineRule="auto" w:before="32"/>
        <w:ind w:left="557" w:right="0"/>
        <w:jc w:val="left"/>
      </w:pPr>
      <w:r>
        <w:rPr>
          <w:rFonts w:ascii="宋体" w:hAnsi="宋体" w:cs="宋体" w:eastAsia="宋体" w:hint="default"/>
        </w:rPr>
        <w:t>(3) </w:t>
      </w:r>
      <w:r>
        <w:rPr/>
        <w:t>借款费用资本化金额</w:t>
      </w:r>
      <w:r>
        <w:rPr>
          <w:w w:val="100"/>
        </w:rPr>
        <w:t> </w:t>
      </w:r>
      <w:r>
        <w:rPr>
          <w:spacing w:val="-1"/>
        </w:rPr>
        <w:t>为购建或者生产符合资本化条件的资产而借入专门借款的，以专门借款当期实际发生的利息费</w:t>
      </w:r>
    </w:p>
    <w:p>
      <w:pPr>
        <w:pStyle w:val="BodyText"/>
        <w:spacing w:line="357" w:lineRule="auto" w:before="32"/>
        <w:ind w:left="137" w:right="112"/>
        <w:jc w:val="both"/>
      </w:pPr>
      <w:r>
        <w:rPr>
          <w:spacing w:val="-6"/>
          <w:w w:val="100"/>
        </w:rPr>
        <w:t>用（包括按照实际利率法确定的折价或溢价的摊销），减去将尚未动用的借款资金存入银行取得的利</w:t>
      </w:r>
      <w:r>
        <w:rPr>
          <w:spacing w:val="-77"/>
          <w:w w:val="100"/>
        </w:rPr>
        <w:t> </w:t>
      </w:r>
      <w:r>
        <w:rPr>
          <w:spacing w:val="-77"/>
          <w:w w:val="100"/>
        </w:rPr>
      </w:r>
      <w:r>
        <w:rPr>
          <w:spacing w:val="-1"/>
        </w:rPr>
        <w:t>息收入或进行暂时性投资取得的投资收益后的金额，确定应予资本化的利息金额；为购建或者生产</w:t>
      </w:r>
      <w:r>
        <w:rPr>
          <w:spacing w:val="-20"/>
        </w:rPr>
        <w:t> </w:t>
      </w:r>
      <w:r>
        <w:rPr>
          <w:spacing w:val="-20"/>
        </w:rPr>
      </w:r>
      <w:r>
        <w:rPr>
          <w:spacing w:val="-1"/>
        </w:rPr>
        <w:t>符合资本化条件的资产占用了一般借款的，根据累计资产支出超过专门借款的资产支出加权平均数</w:t>
      </w:r>
      <w:r>
        <w:rPr>
          <w:spacing w:val="-20"/>
        </w:rPr>
        <w:t> </w:t>
      </w:r>
      <w:r>
        <w:rPr>
          <w:spacing w:val="-20"/>
        </w:rPr>
      </w:r>
      <w:r>
        <w:rPr/>
        <w:t>乘以占用一般借款的资本化率，计算确定一般借款应予资本化的利息金额。</w:t>
      </w:r>
    </w:p>
    <w:p>
      <w:pPr>
        <w:spacing w:line="240" w:lineRule="auto" w:before="11"/>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17.</w:t>
      </w:r>
      <w:r>
        <w:rPr>
          <w:rFonts w:ascii="宋体" w:hAnsi="宋体" w:cs="宋体" w:eastAsia="宋体" w:hint="default"/>
          <w:spacing w:val="2"/>
        </w:rPr>
        <w:t> </w:t>
      </w:r>
      <w:r>
        <w:rPr/>
        <w:t>无形资产</w:t>
      </w:r>
      <w:r>
        <w:rPr>
          <w:b w:val="0"/>
          <w:bCs w:val="0"/>
        </w:rPr>
      </w:r>
    </w:p>
    <w:p>
      <w:pPr>
        <w:pStyle w:val="Heading5"/>
        <w:spacing w:line="240" w:lineRule="auto" w:before="56"/>
        <w:ind w:left="137"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exact" w:before="58"/>
        <w:ind w:left="137" w:right="0"/>
        <w:jc w:val="both"/>
      </w:pPr>
      <w:r>
        <w:rPr/>
        <w:t>√适用 □不适用</w:t>
      </w:r>
    </w:p>
    <w:p>
      <w:pPr>
        <w:pStyle w:val="BodyText"/>
        <w:spacing w:line="273" w:lineRule="exact"/>
        <w:ind w:left="557" w:right="0"/>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57" w:lineRule="auto" w:before="133"/>
        <w:ind w:left="137" w:right="111" w:firstLine="420"/>
        <w:jc w:val="both"/>
      </w:pPr>
      <w:r>
        <w:rPr>
          <w:rFonts w:ascii="宋体" w:hAnsi="宋体" w:cs="宋体" w:eastAsia="宋体" w:hint="default"/>
        </w:rPr>
        <w:t>2)</w:t>
      </w:r>
      <w:r>
        <w:rPr>
          <w:rFonts w:ascii="宋体" w:hAnsi="宋体" w:cs="宋体" w:eastAsia="宋体" w:hint="default"/>
          <w:spacing w:val="73"/>
        </w:rPr>
        <w:t> </w:t>
      </w:r>
      <w:r>
        <w:rPr>
          <w:spacing w:val="-4"/>
        </w:rPr>
        <w:t>使用寿命有限的无形资产，在使用寿命内按照与该项无形资产有关的经济利益的预期实现方</w:t>
      </w:r>
      <w:r>
        <w:rPr>
          <w:w w:val="100"/>
        </w:rPr>
        <w:t> </w:t>
      </w:r>
      <w:r>
        <w:rPr/>
        <w:t>式系统合理地摊销，无法可靠确定预期实现方式的，采用直线法摊销。具体年限如下：</w:t>
      </w:r>
    </w:p>
    <w:p>
      <w:pPr>
        <w:spacing w:line="240" w:lineRule="auto" w:before="12"/>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28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86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283"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869"/>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413" w:right="0"/>
              <w:jc w:val="center"/>
              <w:rPr>
                <w:rFonts w:ascii="宋体" w:hAnsi="宋体" w:cs="宋体" w:eastAsia="宋体" w:hint="default"/>
                <w:sz w:val="21"/>
                <w:szCs w:val="21"/>
              </w:rPr>
            </w:pPr>
            <w:r>
              <w:rPr>
                <w:rFonts w:ascii="宋体"/>
                <w:sz w:val="21"/>
              </w:rPr>
              <w:t>40</w:t>
            </w:r>
          </w:p>
        </w:tc>
      </w:tr>
      <w:tr>
        <w:trPr>
          <w:trHeight w:val="283"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869"/>
              <w:jc w:val="center"/>
              <w:rPr>
                <w:rFonts w:ascii="宋体" w:hAnsi="宋体" w:cs="宋体" w:eastAsia="宋体" w:hint="default"/>
                <w:sz w:val="21"/>
                <w:szCs w:val="21"/>
              </w:rPr>
            </w:pPr>
            <w:r>
              <w:rPr>
                <w:rFonts w:ascii="宋体" w:hAnsi="宋体" w:cs="宋体" w:eastAsia="宋体" w:hint="default"/>
                <w:sz w:val="21"/>
                <w:szCs w:val="21"/>
              </w:rPr>
              <w:t>软件使用权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13" w:right="0"/>
              <w:jc w:val="center"/>
              <w:rPr>
                <w:rFonts w:ascii="宋体" w:hAnsi="宋体" w:cs="宋体" w:eastAsia="宋体" w:hint="default"/>
                <w:sz w:val="21"/>
                <w:szCs w:val="21"/>
              </w:rPr>
            </w:pPr>
            <w:r>
              <w:rPr>
                <w:rFonts w:ascii="宋体"/>
                <w:w w:val="100"/>
                <w:sz w:val="21"/>
              </w:rPr>
              <w:t>3</w:t>
            </w:r>
          </w:p>
        </w:tc>
      </w:tr>
      <w:tr>
        <w:trPr>
          <w:trHeight w:val="283"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869"/>
              <w:jc w:val="center"/>
              <w:rPr>
                <w:rFonts w:ascii="宋体" w:hAnsi="宋体" w:cs="宋体" w:eastAsia="宋体" w:hint="default"/>
                <w:sz w:val="21"/>
                <w:szCs w:val="21"/>
              </w:rPr>
            </w:pPr>
            <w:r>
              <w:rPr>
                <w:rFonts w:ascii="宋体" w:hAnsi="宋体" w:cs="宋体" w:eastAsia="宋体" w:hint="default"/>
                <w:sz w:val="21"/>
                <w:szCs w:val="21"/>
              </w:rPr>
              <w:t>交易席位费</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13" w:right="0"/>
              <w:jc w:val="center"/>
              <w:rPr>
                <w:rFonts w:ascii="宋体" w:hAnsi="宋体" w:cs="宋体" w:eastAsia="宋体" w:hint="default"/>
                <w:sz w:val="21"/>
                <w:szCs w:val="21"/>
              </w:rPr>
            </w:pPr>
            <w:r>
              <w:rPr>
                <w:rFonts w:ascii="宋体"/>
                <w:sz w:val="21"/>
              </w:rPr>
              <w:t>10</w:t>
            </w:r>
          </w:p>
        </w:tc>
      </w:tr>
    </w:tbl>
    <w:p>
      <w:pPr>
        <w:spacing w:line="240" w:lineRule="auto" w:before="12"/>
        <w:rPr>
          <w:rFonts w:ascii="宋体" w:hAnsi="宋体" w:cs="宋体" w:eastAsia="宋体" w:hint="default"/>
          <w:sz w:val="19"/>
          <w:szCs w:val="19"/>
        </w:rPr>
      </w:pPr>
    </w:p>
    <w:p>
      <w:pPr>
        <w:pStyle w:val="Heading5"/>
        <w:spacing w:line="240" w:lineRule="auto" w:before="36"/>
        <w:ind w:left="137"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72" w:lineRule="exact" w:before="86"/>
        <w:ind w:left="557" w:right="0"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内部研究开发项目研究阶段的支出，于发生时计入当期损益。内部研究开发项目开发阶段的支</w:t>
      </w:r>
    </w:p>
    <w:p>
      <w:pPr>
        <w:pStyle w:val="BodyText"/>
        <w:spacing w:line="240" w:lineRule="auto" w:before="108"/>
        <w:ind w:left="137" w:right="0"/>
        <w:jc w:val="left"/>
      </w:pPr>
      <w:r>
        <w:rPr>
          <w:spacing w:val="-5"/>
        </w:rPr>
        <w:t>出，同时满足下列条件的，确认为无形资产：</w:t>
      </w:r>
      <w:r>
        <w:rPr>
          <w:rFonts w:ascii="宋体" w:hAnsi="宋体" w:cs="宋体" w:eastAsia="宋体" w:hint="default"/>
          <w:spacing w:val="-5"/>
        </w:rPr>
        <w:t>1)</w:t>
      </w:r>
      <w:r>
        <w:rPr>
          <w:rFonts w:ascii="宋体" w:hAnsi="宋体" w:cs="宋体" w:eastAsia="宋体" w:hint="default"/>
          <w:spacing w:val="39"/>
        </w:rPr>
        <w:t> </w:t>
      </w:r>
      <w:r>
        <w:rPr/>
        <w:t>完成该无形资产以使其能够使用或出售在技术上具</w:t>
      </w:r>
    </w:p>
    <w:p>
      <w:pPr>
        <w:spacing w:after="0" w:line="240" w:lineRule="auto"/>
        <w:jc w:val="left"/>
        <w:sectPr>
          <w:footerReference w:type="default" r:id="rId53"/>
          <w:pgSz w:w="11910" w:h="16840"/>
          <w:pgMar w:footer="1195" w:header="882" w:top="1120" w:bottom="1380" w:left="1140" w:right="1440"/>
        </w:sectPr>
      </w:pPr>
    </w:p>
    <w:p>
      <w:pPr>
        <w:spacing w:line="240" w:lineRule="auto" w:before="9"/>
        <w:rPr>
          <w:rFonts w:ascii="宋体" w:hAnsi="宋体" w:cs="宋体" w:eastAsia="宋体" w:hint="default"/>
          <w:sz w:val="18"/>
          <w:szCs w:val="18"/>
        </w:rPr>
      </w:pPr>
    </w:p>
    <w:p>
      <w:pPr>
        <w:pStyle w:val="BodyText"/>
        <w:spacing w:line="357" w:lineRule="auto" w:before="36"/>
        <w:ind w:left="137" w:right="0"/>
        <w:jc w:val="left"/>
      </w:pPr>
      <w:r>
        <w:rPr/>
        <w:t>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6"/>
        </w:rPr>
        <w:t> </w:t>
      </w:r>
      <w:r>
        <w:rPr/>
        <w:t>无形资产产生经济利益的方式，包括</w:t>
      </w:r>
      <w:r>
        <w:rPr>
          <w:w w:val="100"/>
        </w:rPr>
        <w:t> </w:t>
      </w:r>
      <w:r>
        <w:rPr>
          <w:spacing w:val="-3"/>
        </w:rPr>
        <w:t>能够证明运用该无形资产生产的产品存在市场或无形资产自身存在市场，无形资产将在内部使用的，</w:t>
      </w:r>
      <w:r>
        <w:rPr>
          <w:spacing w:val="-43"/>
        </w:rPr>
        <w:t> </w:t>
      </w:r>
      <w:r>
        <w:rPr>
          <w:spacing w:val="-43"/>
        </w:rPr>
      </w:r>
      <w:r>
        <w:rPr>
          <w:spacing w:val="-3"/>
        </w:rPr>
        <w:t>能证明其有用性；</w:t>
      </w:r>
      <w:r>
        <w:rPr>
          <w:rFonts w:ascii="宋体" w:hAnsi="宋体" w:cs="宋体" w:eastAsia="宋体" w:hint="default"/>
          <w:spacing w:val="-3"/>
        </w:rPr>
        <w:t>4) </w:t>
      </w:r>
      <w:r>
        <w:rPr>
          <w:spacing w:val="-3"/>
        </w:rPr>
        <w:t>有足够的技术、财务资源和其他资源支持，以完成该无形资产的开发，并有能</w:t>
      </w:r>
      <w:r>
        <w:rPr>
          <w:spacing w:val="-41"/>
        </w:rPr>
        <w:t> </w:t>
      </w:r>
      <w:r>
        <w:rPr>
          <w:spacing w:val="-41"/>
        </w:rPr>
      </w:r>
      <w:r>
        <w:rPr>
          <w:spacing w:val="-4"/>
        </w:rPr>
        <w:t>力使用或出售该无形资产；</w:t>
      </w:r>
      <w:r>
        <w:rPr>
          <w:rFonts w:ascii="宋体" w:hAnsi="宋体" w:cs="宋体" w:eastAsia="宋体" w:hint="default"/>
          <w:spacing w:val="-4"/>
        </w:rPr>
        <w:t>5) </w:t>
      </w:r>
      <w:r>
        <w:rPr>
          <w:spacing w:val="-3"/>
        </w:rPr>
        <w:t>归属于该无形资产开发阶段的支出能够可靠地计量。无法区分研究阶</w:t>
      </w:r>
      <w:r>
        <w:rPr>
          <w:spacing w:val="-27"/>
        </w:rPr>
        <w:t> </w:t>
      </w:r>
      <w:r>
        <w:rPr>
          <w:spacing w:val="-27"/>
        </w:rPr>
      </w:r>
      <w:r>
        <w:rPr/>
        <w:t>段支出和开发阶段支出的，将发生的研发支出全部计入当期损益。</w:t>
      </w:r>
    </w:p>
    <w:p>
      <w:pPr>
        <w:spacing w:line="240" w:lineRule="auto" w:before="11"/>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18.</w:t>
      </w:r>
      <w:r>
        <w:rPr>
          <w:rFonts w:ascii="宋体" w:hAnsi="宋体" w:cs="宋体" w:eastAsia="宋体" w:hint="default"/>
          <w:spacing w:val="3"/>
        </w:rPr>
        <w:t> </w:t>
      </w:r>
      <w:r>
        <w:rPr/>
        <w:t>长期资产减值</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spacing w:val="-1"/>
        </w:rPr>
        <w:t>对长期股权投资、采用成本模式计量的投资性房地产、固定资产、在建工程和使用寿命有限的</w:t>
      </w:r>
    </w:p>
    <w:p>
      <w:pPr>
        <w:pStyle w:val="BodyText"/>
        <w:spacing w:line="355" w:lineRule="auto" w:before="133"/>
        <w:ind w:left="137" w:right="210"/>
        <w:jc w:val="both"/>
      </w:pPr>
      <w:r>
        <w:rPr>
          <w:spacing w:val="-3"/>
        </w:rPr>
        <w:t>无形资产等长期资产</w:t>
      </w:r>
      <w:r>
        <w:rPr>
          <w:rFonts w:ascii="宋体" w:hAnsi="宋体" w:cs="宋体" w:eastAsia="宋体" w:hint="default"/>
          <w:spacing w:val="-3"/>
        </w:rPr>
        <w:t>,</w:t>
      </w:r>
      <w:r>
        <w:rPr>
          <w:spacing w:val="-3"/>
        </w:rPr>
        <w:t>在资产负债表日有迹象表明发生减值的，估计其可收回金额。对因企业合并所</w:t>
      </w:r>
      <w:r>
        <w:rPr>
          <w:spacing w:val="-47"/>
        </w:rPr>
        <w:t> </w:t>
      </w:r>
      <w:r>
        <w:rPr>
          <w:spacing w:val="-47"/>
        </w:rPr>
      </w:r>
      <w:r>
        <w:rPr>
          <w:spacing w:val="-1"/>
        </w:rPr>
        <w:t>形成的商誉和使用寿命不确定的无形资产，无论是否存在减值迹象，每年都进行减值测试。商誉结</w:t>
      </w:r>
      <w:r>
        <w:rPr>
          <w:spacing w:val="-20"/>
        </w:rPr>
        <w:t> </w:t>
      </w:r>
      <w:r>
        <w:rPr>
          <w:spacing w:val="-20"/>
        </w:rPr>
      </w:r>
      <w:r>
        <w:rPr/>
        <w:t>合与其相关的资产组或者资产组组合进行减值测试。</w:t>
      </w:r>
    </w:p>
    <w:p>
      <w:pPr>
        <w:pStyle w:val="BodyText"/>
        <w:spacing w:line="240" w:lineRule="auto" w:before="32"/>
        <w:ind w:left="557" w:right="0"/>
        <w:jc w:val="left"/>
      </w:pPr>
      <w:r>
        <w:rPr>
          <w:spacing w:val="-3"/>
        </w:rPr>
        <w:t>若上述长期资产的可收回金额低于其账面价值的，按其差额确认资产减值准备并计入当期损益。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137" w:right="0"/>
        <w:jc w:val="left"/>
        <w:rPr>
          <w:b w:val="0"/>
          <w:bCs w:val="0"/>
        </w:rPr>
      </w:pPr>
      <w:r>
        <w:rPr>
          <w:rFonts w:ascii="宋体" w:hAnsi="宋体" w:cs="宋体" w:eastAsia="宋体" w:hint="default"/>
        </w:rPr>
        <w:t>19.</w:t>
      </w:r>
      <w:r>
        <w:rPr>
          <w:rFonts w:ascii="宋体" w:hAnsi="宋体" w:cs="宋体" w:eastAsia="宋体" w:hint="default"/>
          <w:spacing w:val="3"/>
        </w:rPr>
        <w:t> </w:t>
      </w:r>
      <w:r>
        <w:rPr/>
        <w:t>长期待摊费用</w:t>
      </w:r>
      <w:r>
        <w:rPr>
          <w:b w:val="0"/>
          <w:bCs w:val="0"/>
        </w:rPr>
      </w:r>
    </w:p>
    <w:p>
      <w:pPr>
        <w:pStyle w:val="BodyText"/>
        <w:spacing w:line="273" w:lineRule="exact" w:before="58"/>
        <w:ind w:left="137" w:right="0"/>
        <w:jc w:val="left"/>
      </w:pPr>
      <w:r>
        <w:rPr/>
        <w:t>√适用 □不适用</w:t>
      </w:r>
    </w:p>
    <w:p>
      <w:pPr>
        <w:pStyle w:val="BodyText"/>
        <w:spacing w:line="357" w:lineRule="auto"/>
        <w:ind w:left="137" w:right="210" w:firstLine="420"/>
        <w:jc w:val="both"/>
      </w:pPr>
      <w:r>
        <w:rPr/>
        <w:t>长期待摊费用核算已经支出，摊销期限在</w:t>
      </w:r>
      <w:r>
        <w:rPr>
          <w:spacing w:val="-44"/>
        </w:rPr>
        <w:t> </w:t>
      </w:r>
      <w:r>
        <w:rPr>
          <w:rFonts w:ascii="宋体" w:hAnsi="宋体" w:cs="宋体" w:eastAsia="宋体" w:hint="default"/>
        </w:rPr>
        <w:t>1</w:t>
      </w:r>
      <w:r>
        <w:rPr>
          <w:rFonts w:ascii="宋体" w:hAnsi="宋体" w:cs="宋体" w:eastAsia="宋体" w:hint="default"/>
          <w:spacing w:val="-46"/>
        </w:rPr>
        <w:t> </w:t>
      </w:r>
      <w:r>
        <w:rPr/>
        <w:t>年以上（不含</w:t>
      </w:r>
      <w:r>
        <w:rPr>
          <w:spacing w:val="-44"/>
        </w:rPr>
        <w:t> </w:t>
      </w:r>
      <w:r>
        <w:rPr>
          <w:rFonts w:ascii="宋体" w:hAnsi="宋体" w:cs="宋体" w:eastAsia="宋体" w:hint="default"/>
        </w:rPr>
        <w:t>1</w:t>
      </w:r>
      <w:r>
        <w:rPr>
          <w:rFonts w:ascii="宋体" w:hAnsi="宋体" w:cs="宋体" w:eastAsia="宋体" w:hint="default"/>
          <w:spacing w:val="-46"/>
        </w:rPr>
        <w:t> </w:t>
      </w:r>
      <w:r>
        <w:rPr/>
        <w:t>年）的各项费用。长期待摊费用按</w:t>
      </w:r>
      <w:r>
        <w:rPr>
          <w:w w:val="100"/>
        </w:rPr>
        <w:t> </w:t>
      </w:r>
      <w:r>
        <w:rPr>
          <w:spacing w:val="-1"/>
        </w:rPr>
        <w:t>实际发生额入账，在受益期或规定的期限内分期平均摊销。如果长期待摊的费用项目不能使以后会</w:t>
      </w:r>
      <w:r>
        <w:rPr>
          <w:spacing w:val="-20"/>
        </w:rPr>
        <w:t> </w:t>
      </w:r>
      <w:r>
        <w:rPr>
          <w:spacing w:val="-20"/>
        </w:rPr>
      </w:r>
      <w:r>
        <w:rPr/>
        <w:t>计期间受益则将尚未摊销的该项目的摊余价值全部转入当期损益。</w:t>
      </w:r>
    </w:p>
    <w:p>
      <w:pPr>
        <w:spacing w:line="240" w:lineRule="auto" w:before="11"/>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20.</w:t>
      </w:r>
      <w:r>
        <w:rPr>
          <w:rFonts w:ascii="宋体" w:hAnsi="宋体" w:cs="宋体" w:eastAsia="宋体" w:hint="default"/>
          <w:spacing w:val="2"/>
        </w:rPr>
        <w:t> </w:t>
      </w:r>
      <w:r>
        <w:rPr/>
        <w:t>附回购条件的资产转让</w:t>
      </w:r>
      <w:r>
        <w:rPr>
          <w:b w:val="0"/>
          <w:bCs w:val="0"/>
        </w:rPr>
      </w:r>
    </w:p>
    <w:p>
      <w:pPr>
        <w:pStyle w:val="BodyText"/>
        <w:spacing w:line="240" w:lineRule="auto" w:before="58"/>
        <w:ind w:left="137" w:right="0"/>
        <w:jc w:val="left"/>
      </w:pPr>
      <w:r>
        <w:rPr/>
        <w:t>□适用 √不适用</w:t>
      </w:r>
    </w:p>
    <w:p>
      <w:pPr>
        <w:spacing w:line="240" w:lineRule="auto" w:before="3"/>
        <w:rPr>
          <w:rFonts w:ascii="宋体" w:hAnsi="宋体" w:cs="宋体" w:eastAsia="宋体" w:hint="default"/>
          <w:sz w:val="25"/>
          <w:szCs w:val="25"/>
        </w:rPr>
      </w:pPr>
    </w:p>
    <w:p>
      <w:pPr>
        <w:pStyle w:val="Heading5"/>
        <w:spacing w:line="290" w:lineRule="auto"/>
        <w:ind w:left="137" w:right="6422"/>
        <w:jc w:val="left"/>
        <w:rPr>
          <w:b w:val="0"/>
          <w:bCs w:val="0"/>
        </w:rPr>
      </w:pPr>
      <w:r>
        <w:rPr>
          <w:rFonts w:ascii="宋体" w:hAnsi="宋体" w:cs="宋体" w:eastAsia="宋体" w:hint="default"/>
        </w:rPr>
        <w:t>21.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2" w:lineRule="exact" w:before="42"/>
        <w:ind w:left="557" w:right="0" w:hanging="420"/>
        <w:jc w:val="left"/>
      </w:pPr>
      <w:r>
        <w:rPr/>
        <w:t>√适用</w:t>
      </w:r>
      <w:r>
        <w:rPr>
          <w:spacing w:val="-2"/>
        </w:rPr>
        <w:t> </w:t>
      </w:r>
      <w:r>
        <w:rPr/>
        <w:t>□不适用</w:t>
      </w:r>
      <w:r>
        <w:rPr>
          <w:spacing w:val="-103"/>
        </w:rPr>
        <w:t> </w:t>
      </w:r>
      <w:r>
        <w:rPr>
          <w:spacing w:val="-103"/>
        </w:rPr>
      </w:r>
      <w:r>
        <w:rPr>
          <w:spacing w:val="-1"/>
        </w:rPr>
        <w:t>在职工为公司提供服务的会计期间，将实际发生的短期薪酬确认为负债，并计入当期损益或相</w:t>
      </w:r>
    </w:p>
    <w:p>
      <w:pPr>
        <w:pStyle w:val="BodyText"/>
        <w:spacing w:line="240" w:lineRule="auto" w:before="109"/>
        <w:ind w:left="137" w:right="0"/>
        <w:jc w:val="left"/>
      </w:pPr>
      <w:r>
        <w:rPr/>
        <w:t>关资产成本。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spacing w:val="-1"/>
        </w:rPr>
        <w:t>离职后福利分为设定提存计划和设定受益计划。本公司的职工参加由当地政府管理的养老保险</w:t>
      </w:r>
    </w:p>
    <w:p>
      <w:pPr>
        <w:pStyle w:val="BodyText"/>
        <w:spacing w:line="240" w:lineRule="auto" w:before="133"/>
        <w:ind w:left="137" w:right="0"/>
        <w:jc w:val="left"/>
      </w:pPr>
      <w:r>
        <w:rPr/>
        <w:t>和失业保险，还参加了企业年金。</w:t>
      </w:r>
    </w:p>
    <w:p>
      <w:pPr>
        <w:pStyle w:val="BodyText"/>
        <w:spacing w:line="355" w:lineRule="auto" w:before="133"/>
        <w:ind w:left="137" w:right="211" w:firstLine="420"/>
        <w:jc w:val="both"/>
      </w:pPr>
      <w:r>
        <w:rPr>
          <w:rFonts w:ascii="宋体" w:hAnsi="宋体" w:cs="宋体" w:eastAsia="宋体" w:hint="default"/>
        </w:rPr>
        <w:t>1)</w:t>
      </w:r>
      <w:r>
        <w:rPr>
          <w:rFonts w:ascii="宋体" w:hAnsi="宋体" w:cs="宋体" w:eastAsia="宋体" w:hint="default"/>
          <w:spacing w:val="73"/>
        </w:rPr>
        <w:t> </w:t>
      </w:r>
      <w:r>
        <w:rPr>
          <w:spacing w:val="-4"/>
        </w:rPr>
        <w:t>在职工为公司提供服务的会计期间，根据设定提存计划计算的应缴存金额确认为负债，并计</w:t>
      </w:r>
      <w:r>
        <w:rPr>
          <w:w w:val="100"/>
        </w:rPr>
        <w:t> </w:t>
      </w:r>
      <w:r>
        <w:rPr/>
        <w:t>入当期损益或相关资产成本。</w:t>
      </w:r>
    </w:p>
    <w:p>
      <w:pPr>
        <w:pStyle w:val="BodyText"/>
        <w:spacing w:line="240" w:lineRule="auto" w:before="34"/>
        <w:ind w:left="557" w:right="0"/>
        <w:jc w:val="left"/>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p>
    <w:p>
      <w:pPr>
        <w:pStyle w:val="BodyText"/>
        <w:spacing w:line="355" w:lineRule="auto" w:before="133"/>
        <w:ind w:left="137" w:right="211" w:firstLine="420"/>
        <w:jc w:val="both"/>
      </w:pPr>
      <w:r>
        <w:rPr/>
        <w:t>①</w:t>
      </w:r>
      <w:r>
        <w:rPr>
          <w:spacing w:val="73"/>
        </w:rPr>
        <w:t> </w:t>
      </w:r>
      <w:r>
        <w:rPr>
          <w:spacing w:val="-4"/>
        </w:rPr>
        <w:t>根据预期累计福利单位法，采用无偏且相互一致的精算假设对有关人口统计变量和财务变量</w:t>
      </w:r>
      <w:r>
        <w:rPr>
          <w:w w:val="100"/>
        </w:rPr>
        <w:t> </w:t>
      </w:r>
      <w:r>
        <w:rPr>
          <w:spacing w:val="-1"/>
        </w:rPr>
        <w:t>等作出估计，计量设定受益计划所产生的义务，并确定相关义务的所属期间。同时，对设定受益计</w:t>
      </w:r>
    </w:p>
    <w:p>
      <w:pPr>
        <w:spacing w:after="0" w:line="355" w:lineRule="auto"/>
        <w:jc w:val="both"/>
        <w:sectPr>
          <w:footerReference w:type="default" r:id="rId54"/>
          <w:pgSz w:w="11910" w:h="16840"/>
          <w:pgMar w:footer="1195" w:header="882" w:top="1120" w:bottom="1380" w:left="1140" w:right="1340"/>
          <w:pgNumType w:start="131"/>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left"/>
      </w:pPr>
      <w:r>
        <w:rPr/>
        <w:t>划所产生的义务予以折现，以确定设定受益计划义务的现值和当期服务成本；</w:t>
      </w:r>
    </w:p>
    <w:p>
      <w:pPr>
        <w:pStyle w:val="BodyText"/>
        <w:spacing w:line="357" w:lineRule="auto" w:before="133"/>
        <w:ind w:left="137" w:right="111" w:firstLine="420"/>
        <w:jc w:val="both"/>
      </w:pPr>
      <w:r>
        <w:rPr/>
        <w:t>②</w:t>
      </w:r>
      <w:r>
        <w:rPr>
          <w:spacing w:val="73"/>
        </w:rPr>
        <w:t> </w:t>
      </w:r>
      <w:r>
        <w:rPr>
          <w:spacing w:val="-4"/>
        </w:rPr>
        <w:t>设定受益计划存在资产的，将设定受益计划义务现值减去设定受益计划资产公允价值所形成</w:t>
      </w:r>
      <w:r>
        <w:rPr>
          <w:w w:val="100"/>
        </w:rPr>
        <w:t> </w:t>
      </w:r>
      <w:r>
        <w:rPr>
          <w:spacing w:val="-1"/>
        </w:rPr>
        <w:t>的赤字或盈余确认为一项设定受益计划净负债或净资产。设定受益计划存在盈余的，以设定受益计</w:t>
      </w:r>
      <w:r>
        <w:rPr>
          <w:spacing w:val="-20"/>
        </w:rPr>
        <w:t> </w:t>
      </w:r>
      <w:r>
        <w:rPr>
          <w:spacing w:val="-20"/>
        </w:rPr>
      </w:r>
      <w:r>
        <w:rPr/>
        <w:t>划的盈余和资产上限两项的孰低者计量设定受益计划净资产；</w:t>
      </w:r>
    </w:p>
    <w:p>
      <w:pPr>
        <w:pStyle w:val="BodyText"/>
        <w:spacing w:line="357" w:lineRule="auto" w:before="30"/>
        <w:ind w:left="137" w:right="111" w:firstLine="420"/>
        <w:jc w:val="both"/>
      </w:pPr>
      <w:r>
        <w:rPr/>
        <w:t>③</w:t>
      </w:r>
      <w:r>
        <w:rPr>
          <w:spacing w:val="73"/>
        </w:rPr>
        <w:t> </w:t>
      </w:r>
      <w:r>
        <w:rPr>
          <w:spacing w:val="-4"/>
        </w:rPr>
        <w:t>期末，将设定受益计划产生的职工薪酬成本确认为服务成本、设定受益计划净负债或净资产</w:t>
      </w:r>
      <w:r>
        <w:rPr>
          <w:w w:val="100"/>
        </w:rPr>
        <w:t> </w:t>
      </w:r>
      <w:r>
        <w:rPr>
          <w:spacing w:val="-1"/>
        </w:rPr>
        <w:t>的利息净额以及重新计量设定受益计划净负债或净资产所产生的变动等三部分，其中服务成本和设</w:t>
      </w:r>
      <w:r>
        <w:rPr>
          <w:spacing w:val="-20"/>
        </w:rPr>
        <w:t> </w:t>
      </w:r>
      <w:r>
        <w:rPr>
          <w:spacing w:val="-20"/>
        </w:rPr>
      </w:r>
      <w:r>
        <w:rPr>
          <w:spacing w:val="-1"/>
        </w:rPr>
        <w:t>定受益计划净负债或净资产的利息净额计入当期损益或相关资产成本，重新计量设定受益计划净负</w:t>
      </w:r>
      <w:r>
        <w:rPr>
          <w:spacing w:val="-20"/>
        </w:rPr>
        <w:t> </w:t>
      </w:r>
      <w:r>
        <w:rPr>
          <w:spacing w:val="-20"/>
        </w:rPr>
      </w:r>
      <w:r>
        <w:rPr>
          <w:spacing w:val="-1"/>
        </w:rPr>
        <w:t>债或净资产所产生的变动计入其他综合收益，并且在后续会计期间不允许转回至损益，但可以在权</w:t>
      </w:r>
      <w:r>
        <w:rPr>
          <w:spacing w:val="-20"/>
        </w:rPr>
        <w:t> </w:t>
      </w:r>
      <w:r>
        <w:rPr>
          <w:spacing w:val="-20"/>
        </w:rPr>
      </w:r>
      <w:r>
        <w:rPr/>
        <w:t>益范围内转移这些在其他综合收益确认的金额。</w:t>
      </w:r>
    </w:p>
    <w:p>
      <w:pPr>
        <w:spacing w:line="240" w:lineRule="auto" w:before="8"/>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(3)</w:t>
      </w:r>
      <w:r>
        <w:rPr/>
        <w:t>、辞退福利的会计处理方法</w:t>
      </w:r>
      <w:r>
        <w:rPr>
          <w:b w:val="0"/>
          <w:bCs w:val="0"/>
        </w:rPr>
      </w:r>
    </w:p>
    <w:p>
      <w:pPr>
        <w:pStyle w:val="BodyText"/>
        <w:spacing w:line="272" w:lineRule="exact" w:before="86"/>
        <w:ind w:left="557" w:right="0" w:hanging="420"/>
        <w:jc w:val="left"/>
      </w:pPr>
      <w:r>
        <w:rPr/>
        <w:t>√适用</w:t>
      </w:r>
      <w:r>
        <w:rPr>
          <w:spacing w:val="-2"/>
        </w:rPr>
        <w:t> </w:t>
      </w:r>
      <w:r>
        <w:rPr/>
        <w:t>□不适用</w:t>
      </w:r>
      <w:r>
        <w:rPr>
          <w:spacing w:val="-103"/>
        </w:rPr>
        <w:t> </w:t>
      </w:r>
      <w:r>
        <w:rPr>
          <w:spacing w:val="-103"/>
        </w:rPr>
      </w:r>
      <w:r>
        <w:rPr>
          <w:spacing w:val="-1"/>
        </w:rPr>
        <w:t>向职工提供的辞退福利，在下列两者孰早日确认辞退福利产生的职工薪酬负债，并计入当期损</w:t>
      </w:r>
    </w:p>
    <w:p>
      <w:pPr>
        <w:pStyle w:val="BodyText"/>
        <w:spacing w:line="355" w:lineRule="auto" w:before="110"/>
        <w:ind w:left="137" w:right="111"/>
        <w:jc w:val="both"/>
      </w:pPr>
      <w:r>
        <w:rPr/>
        <w:t>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40"/>
        </w:rPr>
        <w:t> </w:t>
      </w:r>
      <w:r>
        <w:rPr/>
        <w:t>公司确认与</w:t>
      </w:r>
      <w:r>
        <w:rPr>
          <w:w w:val="100"/>
        </w:rPr>
        <w:t> </w:t>
      </w:r>
      <w:r>
        <w:rPr/>
        <w:t>涉及支付辞退福利的重组相关的成本或费用时。</w:t>
      </w:r>
    </w:p>
    <w:p>
      <w:pPr>
        <w:spacing w:line="240" w:lineRule="auto" w:before="10"/>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72" w:lineRule="exact" w:before="87"/>
        <w:ind w:left="557" w:right="0" w:hanging="420"/>
        <w:jc w:val="left"/>
      </w:pPr>
      <w:r>
        <w:rPr/>
        <w:t>√适用</w:t>
      </w:r>
      <w:r>
        <w:rPr>
          <w:spacing w:val="-2"/>
        </w:rPr>
        <w:t> </w:t>
      </w:r>
      <w:r>
        <w:rPr/>
        <w:t>□不适用</w:t>
      </w:r>
      <w:r>
        <w:rPr>
          <w:spacing w:val="-103"/>
        </w:rPr>
        <w:t> </w:t>
      </w:r>
      <w:r>
        <w:rPr>
          <w:spacing w:val="-103"/>
        </w:rPr>
      </w:r>
      <w:r>
        <w:rPr>
          <w:spacing w:val="-1"/>
        </w:rPr>
        <w:t>向职工提供的其他长期福利，符合设定提存计划条件的，按照设定提存计划的有关规定进行会</w:t>
      </w:r>
    </w:p>
    <w:p>
      <w:pPr>
        <w:pStyle w:val="BodyText"/>
        <w:spacing w:line="355" w:lineRule="auto" w:before="110"/>
        <w:ind w:left="137" w:right="111"/>
        <w:jc w:val="both"/>
      </w:pPr>
      <w:r>
        <w:rPr>
          <w:spacing w:val="-1"/>
        </w:rPr>
        <w:t>计处理；除此之外的其他长期福利，按照设定受益计划的有关规定进行会计处理，为简化相关会计</w:t>
      </w:r>
      <w:r>
        <w:rPr>
          <w:spacing w:val="-20"/>
        </w:rPr>
        <w:t> </w:t>
      </w:r>
      <w:r>
        <w:rPr>
          <w:spacing w:val="-20"/>
        </w:rPr>
      </w:r>
      <w:r>
        <w:rPr>
          <w:spacing w:val="-1"/>
        </w:rPr>
        <w:t>处理，将其产生的职工薪酬成本确认为服务成本、其他长期职工福利净负债或净资产的利息净额以</w:t>
      </w:r>
      <w:r>
        <w:rPr>
          <w:spacing w:val="-20"/>
        </w:rPr>
        <w:t> </w:t>
      </w:r>
      <w:r>
        <w:rPr>
          <w:spacing w:val="-20"/>
        </w:rPr>
      </w:r>
      <w:r>
        <w:rPr>
          <w:spacing w:val="-1"/>
        </w:rPr>
        <w:t>及重新计量其他长期职工福利净负债或净资产所产生的变动等组成项目的总净额计入当期损益或相</w:t>
      </w:r>
      <w:r>
        <w:rPr>
          <w:spacing w:val="-20"/>
        </w:rPr>
        <w:t> </w:t>
      </w:r>
      <w:r>
        <w:rPr>
          <w:spacing w:val="-20"/>
        </w:rPr>
      </w:r>
      <w:r>
        <w:rPr/>
        <w:t>关资产成本。</w:t>
      </w:r>
    </w:p>
    <w:p>
      <w:pPr>
        <w:spacing w:line="240" w:lineRule="auto" w:before="13"/>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22.</w:t>
      </w:r>
      <w:r>
        <w:rPr>
          <w:rFonts w:ascii="宋体" w:hAnsi="宋体" w:cs="宋体" w:eastAsia="宋体" w:hint="default"/>
          <w:spacing w:val="2"/>
        </w:rPr>
        <w:t> </w:t>
      </w:r>
      <w:r>
        <w:rPr/>
        <w:t>预计负债</w:t>
      </w:r>
      <w:r>
        <w:rPr>
          <w:b w:val="0"/>
          <w:bCs w:val="0"/>
        </w:rPr>
      </w:r>
    </w:p>
    <w:p>
      <w:pPr>
        <w:pStyle w:val="BodyText"/>
        <w:spacing w:line="240" w:lineRule="auto" w:before="56"/>
        <w:ind w:left="557" w:right="0" w:hanging="420"/>
        <w:jc w:val="left"/>
      </w:pPr>
      <w:r>
        <w:rPr/>
        <w:t>√适用</w:t>
      </w:r>
      <w:r>
        <w:rPr>
          <w:spacing w:val="-2"/>
        </w:rPr>
        <w:t> </w:t>
      </w:r>
      <w:r>
        <w:rPr/>
        <w:t>□不适用</w:t>
      </w:r>
      <w:r>
        <w:rPr>
          <w:spacing w:val="-103"/>
        </w:rPr>
        <w:t> </w:t>
      </w:r>
      <w:r>
        <w:rPr>
          <w:spacing w:val="-103"/>
        </w:rPr>
      </w:r>
      <w:r>
        <w:rPr>
          <w:rFonts w:ascii="宋体" w:hAnsi="宋体" w:cs="宋体" w:eastAsia="宋体" w:hint="default"/>
          <w:spacing w:val="-3"/>
        </w:rPr>
        <w:t>(1)</w:t>
      </w:r>
      <w:r>
        <w:rPr>
          <w:spacing w:val="-3"/>
        </w:rPr>
        <w:t>因对外提供担保、诉讼事项、产品质量保证、亏损合同等或有事项形成的义务成为公司承担</w:t>
      </w:r>
    </w:p>
    <w:p>
      <w:pPr>
        <w:pStyle w:val="BodyText"/>
        <w:spacing w:line="357" w:lineRule="auto" w:before="133"/>
        <w:ind w:left="137" w:right="108"/>
        <w:jc w:val="both"/>
      </w:pPr>
      <w:r>
        <w:rPr>
          <w:spacing w:val="-2"/>
        </w:rPr>
        <w:t>的现时义务，履行该义务很可能导致经济利益流出公司，且该义务的金额能够可靠的计量时，公司</w:t>
      </w:r>
      <w:r>
        <w:rPr>
          <w:spacing w:val="-25"/>
        </w:rPr>
        <w:t> </w:t>
      </w:r>
      <w:r>
        <w:rPr>
          <w:spacing w:val="-25"/>
        </w:rPr>
      </w:r>
      <w:r>
        <w:rPr>
          <w:spacing w:val="-3"/>
        </w:rPr>
        <w:t>将该项义务确认为预计负债。</w:t>
      </w:r>
      <w:r>
        <w:rPr>
          <w:rFonts w:ascii="宋体" w:hAnsi="宋体" w:cs="宋体" w:eastAsia="宋体" w:hint="default"/>
          <w:spacing w:val="-3"/>
        </w:rPr>
        <w:t>(2)</w:t>
      </w:r>
      <w:r>
        <w:rPr>
          <w:spacing w:val="-3"/>
        </w:rPr>
        <w:t>公司按照履行相关现时义务所需支出的最佳估计数对预计负债进行</w:t>
      </w:r>
      <w:r>
        <w:rPr>
          <w:spacing w:val="-41"/>
        </w:rPr>
        <w:t> </w:t>
      </w:r>
      <w:r>
        <w:rPr>
          <w:spacing w:val="-41"/>
        </w:rPr>
      </w:r>
      <w:r>
        <w:rPr/>
        <w:t>初始计量，并在资产负债表日对预计负债的账面价值进行复核。</w:t>
      </w:r>
    </w:p>
    <w:p>
      <w:pPr>
        <w:spacing w:line="240" w:lineRule="auto" w:before="8"/>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23.</w:t>
      </w:r>
      <w:r>
        <w:rPr>
          <w:rFonts w:ascii="宋体" w:hAnsi="宋体" w:cs="宋体" w:eastAsia="宋体" w:hint="default"/>
          <w:spacing w:val="2"/>
        </w:rPr>
        <w:t> </w:t>
      </w:r>
      <w:r>
        <w:rPr/>
        <w:t>股份支付</w:t>
      </w:r>
      <w:r>
        <w:rPr>
          <w:b w:val="0"/>
          <w:bCs w:val="0"/>
        </w:rPr>
      </w:r>
    </w:p>
    <w:p>
      <w:pPr>
        <w:pStyle w:val="BodyText"/>
        <w:spacing w:line="240" w:lineRule="auto" w:before="58"/>
        <w:ind w:left="13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137" w:right="0"/>
        <w:jc w:val="left"/>
        <w:rPr>
          <w:b w:val="0"/>
          <w:bCs w:val="0"/>
        </w:rPr>
      </w:pPr>
      <w:r>
        <w:rPr>
          <w:rFonts w:ascii="宋体" w:hAnsi="宋体" w:cs="宋体" w:eastAsia="宋体" w:hint="default"/>
        </w:rPr>
        <w:t>24. </w:t>
      </w:r>
      <w:r>
        <w:rPr/>
        <w:t>优先股、永续债等其他金融工具</w:t>
      </w:r>
      <w:r>
        <w:rPr>
          <w:b w:val="0"/>
          <w:bCs w:val="0"/>
        </w:rPr>
      </w:r>
    </w:p>
    <w:p>
      <w:pPr>
        <w:pStyle w:val="BodyText"/>
        <w:spacing w:line="240" w:lineRule="auto" w:before="56"/>
        <w:ind w:left="557" w:right="0" w:hanging="420"/>
        <w:jc w:val="left"/>
        <w:rPr>
          <w:rFonts w:ascii="宋体" w:hAnsi="宋体" w:cs="宋体" w:eastAsia="宋体" w:hint="default"/>
        </w:rPr>
      </w:pPr>
      <w:r>
        <w:rPr/>
        <w:t>√适用</w:t>
      </w:r>
      <w:r>
        <w:rPr>
          <w:spacing w:val="-2"/>
        </w:rPr>
        <w:t> </w:t>
      </w:r>
      <w:r>
        <w:rPr/>
        <w:t>□不适用</w:t>
      </w:r>
      <w:r>
        <w:rPr>
          <w:spacing w:val="-103"/>
        </w:rPr>
        <w:t> </w:t>
      </w:r>
      <w:r>
        <w:rPr>
          <w:spacing w:val="-103"/>
        </w:rPr>
      </w:r>
      <w:r>
        <w:rPr>
          <w:spacing w:val="-6"/>
          <w:w w:val="100"/>
        </w:rPr>
        <w:t>根据金融工具相关准则和《金融负债与权益工具的区分及相关会计处理规定》（财会〔</w:t>
      </w:r>
      <w:r>
        <w:rPr>
          <w:rFonts w:ascii="宋体" w:hAnsi="宋体" w:cs="宋体" w:eastAsia="宋体" w:hint="default"/>
          <w:spacing w:val="-6"/>
          <w:w w:val="100"/>
        </w:rPr>
        <w:t>2014</w:t>
      </w:r>
      <w:r>
        <w:rPr>
          <w:spacing w:val="-6"/>
          <w:w w:val="100"/>
        </w:rPr>
        <w:t>〕</w:t>
      </w:r>
      <w:r>
        <w:rPr>
          <w:rFonts w:ascii="宋体" w:hAnsi="宋体" w:cs="宋体" w:eastAsia="宋体" w:hint="default"/>
          <w:spacing w:val="-6"/>
          <w:w w:val="100"/>
        </w:rPr>
        <w:t>13</w:t>
      </w:r>
      <w:r>
        <w:rPr>
          <w:rFonts w:ascii="宋体" w:hAnsi="宋体" w:cs="宋体" w:eastAsia="宋体" w:hint="default"/>
          <w:w w:val="100"/>
        </w:rPr>
      </w:r>
    </w:p>
    <w:p>
      <w:pPr>
        <w:spacing w:after="0" w:line="240" w:lineRule="auto"/>
        <w:jc w:val="left"/>
        <w:rPr>
          <w:rFonts w:ascii="宋体" w:hAnsi="宋体" w:cs="宋体" w:eastAsia="宋体" w:hint="default"/>
        </w:rPr>
        <w:sectPr>
          <w:pgSz w:w="11910" w:h="16840"/>
          <w:pgMar w:header="882" w:footer="1195" w:top="1120" w:bottom="1380" w:left="1140" w:right="1440"/>
        </w:sectPr>
      </w:pPr>
    </w:p>
    <w:p>
      <w:pPr>
        <w:spacing w:line="240" w:lineRule="auto" w:before="9"/>
        <w:rPr>
          <w:rFonts w:ascii="宋体" w:hAnsi="宋体" w:cs="宋体" w:eastAsia="宋体" w:hint="default"/>
          <w:sz w:val="18"/>
          <w:szCs w:val="18"/>
        </w:rPr>
      </w:pPr>
    </w:p>
    <w:p>
      <w:pPr>
        <w:pStyle w:val="BodyText"/>
        <w:spacing w:line="355" w:lineRule="auto" w:before="36"/>
        <w:ind w:left="137" w:right="211"/>
        <w:jc w:val="both"/>
      </w:pPr>
      <w:r>
        <w:rPr>
          <w:spacing w:val="-6"/>
          <w:w w:val="100"/>
        </w:rPr>
        <w:t>号），对发行的永续债等金融工具，公司依据所发行金融工具的合同条款及其所反映的经济实质而非</w:t>
      </w:r>
      <w:r>
        <w:rPr>
          <w:spacing w:val="-73"/>
          <w:w w:val="100"/>
        </w:rPr>
        <w:t> </w:t>
      </w:r>
      <w:r>
        <w:rPr>
          <w:spacing w:val="-73"/>
          <w:w w:val="100"/>
        </w:rPr>
      </w:r>
      <w:r>
        <w:rPr>
          <w:spacing w:val="-1"/>
        </w:rPr>
        <w:t>仅以法律形式，结合金融资产、金融负债和权益工具的定义，在初始确认时将该等金融工具或其组</w:t>
      </w:r>
      <w:r>
        <w:rPr>
          <w:spacing w:val="-20"/>
        </w:rPr>
        <w:t> </w:t>
      </w:r>
      <w:r>
        <w:rPr>
          <w:spacing w:val="-20"/>
        </w:rPr>
      </w:r>
      <w:r>
        <w:rPr/>
        <w:t>成部分分类为金融资产、金融负债或权益工具。</w:t>
      </w:r>
    </w:p>
    <w:p>
      <w:pPr>
        <w:pStyle w:val="BodyText"/>
        <w:spacing w:line="355" w:lineRule="auto" w:before="34"/>
        <w:ind w:left="137" w:right="212" w:firstLine="420"/>
        <w:jc w:val="both"/>
      </w:pPr>
      <w:r>
        <w:rPr>
          <w:spacing w:val="-1"/>
        </w:rPr>
        <w:t>在资产负债表日，对于归类为权益工具的金融工具，其利息支出或股利分配作为公司的利润分</w:t>
      </w:r>
      <w:r>
        <w:rPr>
          <w:w w:val="100"/>
        </w:rPr>
        <w:t> </w:t>
      </w:r>
      <w:r>
        <w:rPr>
          <w:spacing w:val="-1"/>
        </w:rPr>
        <w:t>配，其回购、注销等作为权益的变动处理；对于归类为金融负债的金融工具，其利息支出或股利分</w:t>
      </w:r>
      <w:r>
        <w:rPr>
          <w:spacing w:val="-20"/>
        </w:rPr>
        <w:t> </w:t>
      </w:r>
      <w:r>
        <w:rPr>
          <w:spacing w:val="-20"/>
        </w:rPr>
      </w:r>
      <w:r>
        <w:rPr/>
        <w:t>配按照借款费用进行处理，其回购或赎回产生的利得或损失等计入当期损益。</w:t>
      </w:r>
    </w:p>
    <w:p>
      <w:pPr>
        <w:spacing w:line="240" w:lineRule="auto" w:before="13"/>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25.</w:t>
      </w:r>
      <w:r>
        <w:rPr>
          <w:rFonts w:ascii="宋体" w:hAnsi="宋体" w:cs="宋体" w:eastAsia="宋体" w:hint="default"/>
          <w:spacing w:val="3"/>
        </w:rPr>
        <w:t> </w:t>
      </w:r>
      <w:r>
        <w:rPr/>
        <w:t>回购本公司股份</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5"/>
        <w:spacing w:line="240" w:lineRule="auto"/>
        <w:ind w:left="137" w:right="0"/>
        <w:jc w:val="both"/>
        <w:rPr>
          <w:b w:val="0"/>
          <w:bCs w:val="0"/>
        </w:rPr>
      </w:pPr>
      <w:r>
        <w:rPr>
          <w:rFonts w:ascii="宋体" w:hAnsi="宋体" w:cs="宋体" w:eastAsia="宋体" w:hint="default"/>
        </w:rPr>
        <w:t>26.</w:t>
      </w:r>
      <w:r>
        <w:rPr>
          <w:rFonts w:ascii="宋体" w:hAnsi="宋体" w:cs="宋体" w:eastAsia="宋体" w:hint="default"/>
          <w:spacing w:val="2"/>
        </w:rPr>
        <w:t> </w:t>
      </w:r>
      <w:r>
        <w:rPr/>
        <w:t>收入</w:t>
      </w:r>
      <w:r>
        <w:rPr>
          <w:b w:val="0"/>
          <w:bCs w:val="0"/>
        </w:rPr>
      </w:r>
    </w:p>
    <w:p>
      <w:pPr>
        <w:pStyle w:val="BodyText"/>
        <w:spacing w:line="273" w:lineRule="exact" w:before="58"/>
        <w:ind w:left="137" w:right="0"/>
        <w:jc w:val="both"/>
      </w:pPr>
      <w:r>
        <w:rPr/>
        <w:t>√适用 □不适用</w:t>
      </w:r>
    </w:p>
    <w:p>
      <w:pPr>
        <w:pStyle w:val="BodyText"/>
        <w:spacing w:line="273" w:lineRule="exact"/>
        <w:ind w:left="557" w:right="0"/>
        <w:jc w:val="left"/>
      </w:pPr>
      <w:r>
        <w:rPr>
          <w:rFonts w:ascii="宋体" w:hAnsi="宋体" w:cs="宋体" w:eastAsia="宋体" w:hint="default"/>
        </w:rPr>
        <w:t>(1)</w:t>
      </w:r>
      <w:r>
        <w:rPr>
          <w:rFonts w:ascii="宋体" w:hAnsi="宋体" w:cs="宋体" w:eastAsia="宋体" w:hint="default"/>
          <w:spacing w:val="-1"/>
        </w:rPr>
        <w:t> </w:t>
      </w:r>
      <w:r>
        <w:rPr/>
        <w:t>手续费及佣金收入</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5"/>
        </w:rPr>
        <w:t> </w:t>
      </w:r>
      <w:r>
        <w:rPr/>
        <w:t>代理买卖证券业务收入，在代买卖证券交易日确认收入。</w:t>
      </w:r>
    </w:p>
    <w:p>
      <w:pPr>
        <w:pStyle w:val="BodyText"/>
        <w:spacing w:line="355" w:lineRule="auto" w:before="135"/>
        <w:ind w:left="137" w:right="211" w:firstLine="420"/>
        <w:jc w:val="both"/>
      </w:pPr>
      <w:r>
        <w:rPr>
          <w:rFonts w:ascii="宋体" w:hAnsi="宋体" w:cs="宋体" w:eastAsia="宋体" w:hint="default"/>
        </w:rPr>
        <w:t>2) </w:t>
      </w:r>
      <w:r>
        <w:rPr/>
        <w:t>证券承销业务收入，按承销方式分别确认收入：①</w:t>
      </w:r>
      <w:r>
        <w:rPr>
          <w:spacing w:val="41"/>
        </w:rPr>
        <w:t> </w:t>
      </w:r>
      <w:r>
        <w:rPr/>
        <w:t>采用全额包销方式的，将证券转售给投</w:t>
      </w:r>
      <w:r>
        <w:rPr>
          <w:w w:val="100"/>
        </w:rPr>
        <w:t> </w:t>
      </w:r>
      <w:r>
        <w:rPr>
          <w:spacing w:val="-3"/>
        </w:rPr>
        <w:t>资者时，按发行价格抵减承购价确认收入；②</w:t>
      </w:r>
      <w:r>
        <w:rPr>
          <w:spacing w:val="47"/>
        </w:rPr>
        <w:t> </w:t>
      </w:r>
      <w:r>
        <w:rPr>
          <w:spacing w:val="-3"/>
        </w:rPr>
        <w:t>采用余额包销、代销方式的，代发行证券的手续费收</w:t>
      </w:r>
      <w:r>
        <w:rPr>
          <w:spacing w:val="-96"/>
        </w:rPr>
        <w:t> </w:t>
      </w:r>
      <w:r>
        <w:rPr>
          <w:spacing w:val="-96"/>
        </w:rPr>
      </w:r>
      <w:r>
        <w:rPr/>
        <w:t>入在发行期结束后，与发行人结算发行价款时确认。</w:t>
      </w:r>
    </w:p>
    <w:p>
      <w:pPr>
        <w:pStyle w:val="BodyText"/>
        <w:spacing w:line="357" w:lineRule="auto" w:before="32"/>
        <w:ind w:left="137" w:right="98" w:firstLine="420"/>
        <w:jc w:val="left"/>
      </w:pPr>
      <w:r>
        <w:rPr>
          <w:rFonts w:ascii="宋体" w:hAnsi="宋体" w:cs="宋体" w:eastAsia="宋体" w:hint="default"/>
        </w:rPr>
        <w:t>3)</w:t>
      </w:r>
      <w:r>
        <w:rPr>
          <w:rFonts w:ascii="宋体" w:hAnsi="宋体" w:cs="宋体" w:eastAsia="宋体" w:hint="default"/>
          <w:spacing w:val="36"/>
        </w:rPr>
        <w:t> </w:t>
      </w:r>
      <w:r>
        <w:rPr/>
        <w:t>受托客户资产管理业务收入，在资产管理合同到期或者定期与委托单位结算收益或损失时，</w:t>
      </w:r>
      <w:r>
        <w:rPr>
          <w:w w:val="100"/>
        </w:rPr>
        <w:t> </w:t>
      </w:r>
      <w:r>
        <w:rPr/>
        <w:t>按合同规定收益分成方式和比例计算的应该享有的收益，确认为受托投资管理手续费及佣金收入。</w:t>
      </w:r>
    </w:p>
    <w:p>
      <w:pPr>
        <w:pStyle w:val="BodyText"/>
        <w:spacing w:line="355" w:lineRule="auto" w:before="32"/>
        <w:ind w:left="557" w:right="0"/>
        <w:jc w:val="left"/>
      </w:pPr>
      <w:r>
        <w:rPr>
          <w:rFonts w:ascii="宋体" w:hAnsi="宋体" w:cs="宋体" w:eastAsia="宋体" w:hint="default"/>
        </w:rPr>
        <w:t>(2) </w:t>
      </w:r>
      <w:r>
        <w:rPr/>
        <w:t>利息收入</w:t>
      </w:r>
      <w:r>
        <w:rPr>
          <w:w w:val="100"/>
        </w:rPr>
        <w:t> </w:t>
      </w:r>
      <w:r>
        <w:rPr>
          <w:spacing w:val="-1"/>
        </w:rPr>
        <w:t>在相关的收入能够可靠计量，相关的经济利益能够收到时，按资金使用时间和约定的利率确认</w:t>
      </w:r>
    </w:p>
    <w:p>
      <w:pPr>
        <w:pStyle w:val="BodyText"/>
        <w:spacing w:line="240" w:lineRule="auto" w:before="32"/>
        <w:ind w:left="137" w:right="0"/>
        <w:jc w:val="both"/>
      </w:pPr>
      <w:r>
        <w:rPr/>
        <w:t>利息收入。</w:t>
      </w:r>
    </w:p>
    <w:p>
      <w:pPr>
        <w:pStyle w:val="BodyText"/>
        <w:spacing w:line="357" w:lineRule="auto" w:before="133"/>
        <w:ind w:left="137" w:right="214" w:firstLine="420"/>
        <w:jc w:val="both"/>
      </w:pPr>
      <w:r>
        <w:rPr>
          <w:spacing w:val="-1"/>
        </w:rPr>
        <w:t>买入返售金融资产在当期到期返售的，按返售价格与买入价格的差额确认当期利息收入；在当</w:t>
      </w:r>
      <w:r>
        <w:rPr>
          <w:w w:val="100"/>
        </w:rPr>
        <w:t> </w:t>
      </w:r>
      <w:r>
        <w:rPr/>
        <w:t>期没有到期的，期末按权责发生制原则计提利息，确认为当期利息收入。</w:t>
      </w:r>
    </w:p>
    <w:p>
      <w:pPr>
        <w:pStyle w:val="BodyText"/>
        <w:spacing w:line="355" w:lineRule="auto" w:before="30"/>
        <w:ind w:left="557" w:right="2126"/>
        <w:jc w:val="left"/>
      </w:pPr>
      <w:r>
        <w:rPr>
          <w:spacing w:val="-2"/>
        </w:rPr>
        <w:t>融出资金、融出证券按资金使用时间和约定的利率确认当期利息收入。</w:t>
      </w:r>
      <w:r>
        <w:rPr>
          <w:spacing w:val="-45"/>
        </w:rPr>
        <w:t> </w:t>
      </w:r>
      <w:r>
        <w:rPr>
          <w:spacing w:val="-45"/>
        </w:rPr>
      </w:r>
      <w:r>
        <w:rPr>
          <w:rFonts w:ascii="宋体" w:hAnsi="宋体" w:cs="宋体" w:eastAsia="宋体" w:hint="default"/>
        </w:rPr>
        <w:t>(3) </w:t>
      </w:r>
      <w:r>
        <w:rPr/>
        <w:t>其他业务收入</w:t>
      </w:r>
    </w:p>
    <w:p>
      <w:pPr>
        <w:pStyle w:val="BodyText"/>
        <w:spacing w:line="357" w:lineRule="auto" w:before="33"/>
        <w:ind w:left="137" w:right="249" w:firstLine="420"/>
        <w:jc w:val="both"/>
      </w:pPr>
      <w:r>
        <w:rPr>
          <w:spacing w:val="-2"/>
        </w:rPr>
        <w:t>其他业务收入反映公司从事除证券经营业务以外的其他业务实现的收入，主要为出租投资性房</w:t>
      </w:r>
      <w:r>
        <w:rPr>
          <w:w w:val="100"/>
        </w:rPr>
        <w:t> </w:t>
      </w:r>
      <w:r>
        <w:rPr>
          <w:spacing w:val="-2"/>
        </w:rPr>
        <w:t>地产取得的租金收入，该等收入于劳务已提供、资产已转让、收到价款或取得款项的证据时确认收</w:t>
      </w:r>
      <w:r>
        <w:rPr>
          <w:spacing w:val="-25"/>
        </w:rPr>
        <w:t> </w:t>
      </w:r>
      <w:r>
        <w:rPr>
          <w:spacing w:val="-25"/>
        </w:rPr>
      </w:r>
      <w:r>
        <w:rPr/>
        <w:t>入。</w:t>
      </w:r>
    </w:p>
    <w:p>
      <w:pPr>
        <w:spacing w:line="240" w:lineRule="auto" w:before="8"/>
        <w:rPr>
          <w:rFonts w:ascii="宋体" w:hAnsi="宋体" w:cs="宋体" w:eastAsia="宋体" w:hint="default"/>
          <w:sz w:val="27"/>
          <w:szCs w:val="27"/>
        </w:rPr>
      </w:pPr>
    </w:p>
    <w:p>
      <w:pPr>
        <w:pStyle w:val="Heading5"/>
        <w:spacing w:line="290" w:lineRule="auto"/>
        <w:ind w:left="137" w:right="4069"/>
        <w:jc w:val="left"/>
        <w:rPr>
          <w:b w:val="0"/>
          <w:bCs w:val="0"/>
        </w:rPr>
      </w:pPr>
      <w:r>
        <w:rPr>
          <w:rFonts w:ascii="宋体" w:hAnsi="宋体" w:cs="宋体" w:eastAsia="宋体" w:hint="default"/>
        </w:rPr>
        <w:t>27.</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40" w:lineRule="auto" w:before="12"/>
        <w:ind w:left="557" w:right="0" w:hanging="420"/>
        <w:jc w:val="left"/>
      </w:pPr>
      <w:r>
        <w:rPr/>
        <w:t>√适用</w:t>
      </w:r>
      <w:r>
        <w:rPr>
          <w:spacing w:val="-2"/>
        </w:rPr>
        <w:t> </w:t>
      </w:r>
      <w:r>
        <w:rPr/>
        <w:t>□不适用</w:t>
      </w:r>
      <w:r>
        <w:rPr>
          <w:spacing w:val="-103"/>
        </w:rPr>
        <w:t> </w:t>
      </w:r>
      <w:r>
        <w:rPr>
          <w:spacing w:val="-103"/>
        </w:rPr>
      </w:r>
      <w:r>
        <w:rPr>
          <w:spacing w:val="-1"/>
        </w:rPr>
        <w:t>政府文件规定用于购建或以其他方式形成长期资产的政府补助划分为与资产相关的政府补助。</w:t>
      </w:r>
    </w:p>
    <w:p>
      <w:pPr>
        <w:pStyle w:val="BodyText"/>
        <w:spacing w:line="357" w:lineRule="auto" w:before="133"/>
        <w:ind w:left="137" w:right="0"/>
        <w:jc w:val="left"/>
      </w:pPr>
      <w:r>
        <w:rPr>
          <w:spacing w:val="-1"/>
        </w:rPr>
        <w:t>政府文件不明确的，以取得该补助必须具备的基本条件为基础进行判断，以购建或其他方式形成长</w:t>
      </w:r>
      <w:r>
        <w:rPr>
          <w:spacing w:val="-20"/>
        </w:rPr>
        <w:t> </w:t>
      </w:r>
      <w:r>
        <w:rPr>
          <w:spacing w:val="-20"/>
        </w:rPr>
      </w:r>
      <w:r>
        <w:rPr>
          <w:spacing w:val="-1"/>
        </w:rPr>
        <w:t>期资产为基本条件的作为与资产相关的政府补助。与资产相关的政府补助，冲减相关资产的账面价</w:t>
      </w:r>
    </w:p>
    <w:p>
      <w:pPr>
        <w:spacing w:after="0" w:line="357" w:lineRule="auto"/>
        <w:jc w:val="left"/>
        <w:sectPr>
          <w:pgSz w:w="11910" w:h="16840"/>
          <w:pgMar w:header="882" w:footer="1195" w:top="1120" w:bottom="1380" w:left="1140" w:right="1340"/>
        </w:sectPr>
      </w:pPr>
    </w:p>
    <w:p>
      <w:pPr>
        <w:spacing w:line="240" w:lineRule="auto" w:before="9"/>
        <w:rPr>
          <w:rFonts w:ascii="宋体" w:hAnsi="宋体" w:cs="宋体" w:eastAsia="宋体" w:hint="default"/>
          <w:sz w:val="18"/>
          <w:szCs w:val="18"/>
        </w:rPr>
      </w:pPr>
    </w:p>
    <w:p>
      <w:pPr>
        <w:pStyle w:val="BodyText"/>
        <w:spacing w:line="357" w:lineRule="auto" w:before="36"/>
        <w:ind w:left="137" w:right="208"/>
        <w:jc w:val="both"/>
      </w:pPr>
      <w:r>
        <w:rPr>
          <w:spacing w:val="-6"/>
          <w:w w:val="100"/>
        </w:rPr>
        <w:t>值或确认为递延收益。与资产相关的政府补助确认为递延收益的，在相关资产使用寿命内按照合理、</w:t>
      </w:r>
      <w:r>
        <w:rPr>
          <w:spacing w:val="-71"/>
          <w:w w:val="100"/>
        </w:rPr>
        <w:t> </w:t>
      </w:r>
      <w:r>
        <w:rPr>
          <w:spacing w:val="-71"/>
          <w:w w:val="100"/>
        </w:rPr>
      </w:r>
      <w:r>
        <w:rPr>
          <w:spacing w:val="-1"/>
        </w:rPr>
        <w:t>系统的方法分期计入损益。按照名义金额计量的政府补助，直接计入当期损益。相关资产在使用寿</w:t>
      </w:r>
      <w:r>
        <w:rPr>
          <w:spacing w:val="-21"/>
        </w:rPr>
        <w:t> </w:t>
      </w:r>
      <w:r>
        <w:rPr>
          <w:spacing w:val="-21"/>
        </w:rPr>
      </w:r>
      <w:r>
        <w:rPr>
          <w:spacing w:val="-1"/>
        </w:rPr>
        <w:t>命结束前被出售、转让、报废或发生毁损的，将尚未分配的相关递延收益余额转入资产处置当期的</w:t>
      </w:r>
      <w:r>
        <w:rPr>
          <w:spacing w:val="-20"/>
        </w:rPr>
        <w:t> </w:t>
      </w:r>
      <w:r>
        <w:rPr>
          <w:spacing w:val="-20"/>
        </w:rPr>
      </w:r>
      <w:r>
        <w:rPr/>
        <w:t>损益。</w:t>
      </w:r>
    </w:p>
    <w:p>
      <w:pPr>
        <w:spacing w:line="240" w:lineRule="auto" w:before="8"/>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6"/>
        <w:ind w:left="557" w:right="0" w:hanging="420"/>
        <w:jc w:val="left"/>
      </w:pPr>
      <w:r>
        <w:rPr/>
        <w:t>√适用</w:t>
      </w:r>
      <w:r>
        <w:rPr>
          <w:spacing w:val="-2"/>
        </w:rPr>
        <w:t> </w:t>
      </w:r>
      <w:r>
        <w:rPr/>
        <w:t>□不适用</w:t>
      </w:r>
      <w:r>
        <w:rPr>
          <w:spacing w:val="-103"/>
        </w:rPr>
        <w:t> </w:t>
      </w:r>
      <w:r>
        <w:rPr>
          <w:spacing w:val="-103"/>
        </w:rPr>
      </w:r>
      <w:r>
        <w:rPr>
          <w:spacing w:val="-1"/>
        </w:rPr>
        <w:t>除与资产相关的政府补助之外的政府补助划分为与收益相关的政府补助。对于同时包含与资产</w:t>
      </w:r>
    </w:p>
    <w:p>
      <w:pPr>
        <w:pStyle w:val="BodyText"/>
        <w:spacing w:line="357" w:lineRule="auto" w:before="110"/>
        <w:ind w:left="137" w:right="211"/>
        <w:jc w:val="both"/>
      </w:pPr>
      <w:r>
        <w:rPr>
          <w:spacing w:val="-1"/>
        </w:rPr>
        <w:t>相关部分和与收益相关部分的政府补助，难以区分与资产相关或与收益相关的，整体归类为与收益</w:t>
      </w:r>
      <w:r>
        <w:rPr>
          <w:spacing w:val="-20"/>
        </w:rPr>
        <w:t> </w:t>
      </w:r>
      <w:r>
        <w:rPr>
          <w:spacing w:val="-20"/>
        </w:rPr>
      </w:r>
      <w:r>
        <w:rPr>
          <w:spacing w:val="-1"/>
        </w:rPr>
        <w:t>相关的政府补助。与收益相关的政府补助，用于补偿以后期间的相关成本费用或损失的，确认为递</w:t>
      </w:r>
      <w:r>
        <w:rPr>
          <w:spacing w:val="-21"/>
        </w:rPr>
        <w:t> </w:t>
      </w:r>
      <w:r>
        <w:rPr>
          <w:spacing w:val="-21"/>
        </w:rPr>
      </w:r>
      <w:r>
        <w:rPr>
          <w:spacing w:val="-1"/>
        </w:rPr>
        <w:t>延收益，在确认相关成本费用或损失的期间，计入当期损益或冲减相关成本；用于补偿已发生的相</w:t>
      </w:r>
      <w:r>
        <w:rPr>
          <w:spacing w:val="-21"/>
        </w:rPr>
        <w:t> </w:t>
      </w:r>
      <w:r>
        <w:rPr>
          <w:spacing w:val="-21"/>
        </w:rPr>
      </w:r>
      <w:r>
        <w:rPr/>
        <w:t>关成本费用或损失的，直接计入当期损益或冲减相关成本。</w:t>
      </w:r>
    </w:p>
    <w:p>
      <w:pPr>
        <w:spacing w:line="240" w:lineRule="auto" w:before="11"/>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28.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4" w:lineRule="exact" w:before="29"/>
        <w:ind w:left="137" w:right="0"/>
        <w:jc w:val="both"/>
      </w:pPr>
      <w:r>
        <w:rPr/>
        <w:t>√适用 □不适用</w:t>
      </w:r>
    </w:p>
    <w:p>
      <w:pPr>
        <w:pStyle w:val="BodyText"/>
        <w:spacing w:line="355" w:lineRule="auto"/>
        <w:ind w:left="137" w:right="209" w:firstLine="420"/>
        <w:jc w:val="both"/>
      </w:pPr>
      <w:r>
        <w:rPr>
          <w:rFonts w:ascii="宋体" w:hAnsi="宋体" w:cs="宋体" w:eastAsia="宋体" w:hint="default"/>
        </w:rPr>
        <w:t>(1)</w:t>
      </w:r>
      <w:r>
        <w:rPr>
          <w:rFonts w:ascii="宋体" w:hAnsi="宋体" w:cs="宋体" w:eastAsia="宋体" w:hint="default"/>
          <w:spacing w:val="42"/>
        </w:rPr>
        <w:t> </w:t>
      </w:r>
      <w:r>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税法规定可以确定其计税基础的，该计税基础与其账面数之间的差额），按照预期收回该资产或清偿</w:t>
      </w:r>
      <w:r>
        <w:rPr>
          <w:spacing w:val="-73"/>
          <w:w w:val="100"/>
        </w:rPr>
        <w:t> </w:t>
      </w:r>
      <w:r>
        <w:rPr>
          <w:spacing w:val="-73"/>
          <w:w w:val="100"/>
        </w:rPr>
      </w:r>
      <w:r>
        <w:rPr/>
        <w:t>该负债期间的适用税率计算确认递延所得税资产或递延所得税负债。</w:t>
      </w:r>
    </w:p>
    <w:p>
      <w:pPr>
        <w:pStyle w:val="BodyText"/>
        <w:spacing w:line="357" w:lineRule="auto" w:before="32"/>
        <w:ind w:left="137" w:right="0" w:firstLine="420"/>
        <w:jc w:val="left"/>
      </w:pPr>
      <w:r>
        <w:rPr>
          <w:rFonts w:ascii="宋体" w:hAnsi="宋体" w:cs="宋体" w:eastAsia="宋体" w:hint="default"/>
        </w:rPr>
        <w:t>(2)</w:t>
      </w:r>
      <w:r>
        <w:rPr>
          <w:rFonts w:ascii="宋体" w:hAnsi="宋体" w:cs="宋体" w:eastAsia="宋体" w:hint="default"/>
          <w:spacing w:val="21"/>
        </w:rPr>
        <w:t> </w:t>
      </w:r>
      <w:r>
        <w:rPr/>
        <w:t>确认递延所得税资产以很可能取得用来抵扣可抵扣暂时性差异的应纳税所得额为限。资产</w:t>
      </w:r>
      <w:r>
        <w:rPr>
          <w:w w:val="100"/>
        </w:rPr>
        <w:t> </w:t>
      </w:r>
      <w:r>
        <w:rPr>
          <w:spacing w:val="-3"/>
        </w:rPr>
        <w:t>负债表日，有确凿证据表明未来期间很可能获得足够的应纳税所得额用来抵扣可抵扣暂时性差异的，</w:t>
      </w:r>
      <w:r>
        <w:rPr>
          <w:spacing w:val="-43"/>
        </w:rPr>
        <w:t> </w:t>
      </w:r>
      <w:r>
        <w:rPr>
          <w:spacing w:val="-43"/>
        </w:rPr>
      </w:r>
      <w:r>
        <w:rPr/>
        <w:t>确认以前会计期间未确认的递延所得税资产。</w:t>
      </w:r>
    </w:p>
    <w:p>
      <w:pPr>
        <w:pStyle w:val="BodyText"/>
        <w:spacing w:line="357" w:lineRule="auto" w:before="30"/>
        <w:ind w:left="137" w:right="210" w:firstLine="420"/>
        <w:jc w:val="both"/>
      </w:pPr>
      <w:r>
        <w:rPr>
          <w:rFonts w:ascii="宋体" w:hAnsi="宋体" w:cs="宋体" w:eastAsia="宋体" w:hint="default"/>
        </w:rPr>
        <w:t>(3)</w:t>
      </w:r>
      <w:r>
        <w:rPr>
          <w:rFonts w:ascii="宋体" w:hAnsi="宋体" w:cs="宋体" w:eastAsia="宋体" w:hint="default"/>
          <w:spacing w:val="42"/>
        </w:rPr>
        <w:t> </w:t>
      </w:r>
      <w:r>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够的应纳税所得额用以抵扣递延所得税资产的利益，则减记递延所得税资产的账面价值。在很可能</w:t>
      </w:r>
      <w:r>
        <w:rPr>
          <w:spacing w:val="-21"/>
        </w:rPr>
        <w:t> </w:t>
      </w:r>
      <w:r>
        <w:rPr>
          <w:spacing w:val="-21"/>
        </w:rPr>
      </w:r>
      <w:r>
        <w:rPr/>
        <w:t>获得足够的应纳税所得额时，转回减记的金额。</w:t>
      </w:r>
    </w:p>
    <w:p>
      <w:pPr>
        <w:pStyle w:val="BodyText"/>
        <w:spacing w:line="355" w:lineRule="auto" w:before="30"/>
        <w:ind w:left="137" w:right="210" w:firstLine="420"/>
        <w:jc w:val="both"/>
      </w:pPr>
      <w:r>
        <w:rPr>
          <w:rFonts w:ascii="宋体" w:hAnsi="宋体" w:cs="宋体" w:eastAsia="宋体" w:hint="default"/>
        </w:rPr>
        <w:t>(4)</w:t>
      </w:r>
      <w:r>
        <w:rPr>
          <w:rFonts w:ascii="宋体" w:hAnsi="宋体" w:cs="宋体" w:eastAsia="宋体" w:hint="default"/>
          <w:spacing w:val="42"/>
        </w:rPr>
        <w:t> </w:t>
      </w:r>
      <w:r>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9"/>
        </w:rPr>
        <w:t> </w:t>
      </w:r>
      <w:r>
        <w:rPr/>
        <w:t>直接在所有者权益中确认的交易或者事项。</w:t>
      </w:r>
    </w:p>
    <w:p>
      <w:pPr>
        <w:spacing w:line="240" w:lineRule="auto" w:before="0"/>
        <w:rPr>
          <w:rFonts w:ascii="宋体" w:hAnsi="宋体" w:cs="宋体" w:eastAsia="宋体" w:hint="default"/>
          <w:sz w:val="28"/>
          <w:szCs w:val="28"/>
        </w:rPr>
      </w:pPr>
    </w:p>
    <w:p>
      <w:pPr>
        <w:pStyle w:val="Heading5"/>
        <w:spacing w:line="290" w:lineRule="auto"/>
        <w:ind w:left="137" w:right="6422"/>
        <w:jc w:val="left"/>
        <w:rPr>
          <w:b w:val="0"/>
          <w:bCs w:val="0"/>
        </w:rPr>
      </w:pPr>
      <w:r>
        <w:rPr>
          <w:rFonts w:ascii="宋体" w:hAnsi="宋体" w:cs="宋体" w:eastAsia="宋体" w:hint="default"/>
        </w:rPr>
        <w:t>29.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2" w:lineRule="exact" w:before="42"/>
        <w:ind w:left="557" w:right="0" w:hanging="420"/>
        <w:jc w:val="left"/>
      </w:pPr>
      <w:r>
        <w:rPr/>
        <w:t>√适用</w:t>
      </w:r>
      <w:r>
        <w:rPr>
          <w:spacing w:val="-2"/>
        </w:rPr>
        <w:t> </w:t>
      </w:r>
      <w:r>
        <w:rPr/>
        <w:t>□不适用</w:t>
      </w:r>
      <w:r>
        <w:rPr>
          <w:spacing w:val="-103"/>
        </w:rPr>
        <w:t> </w:t>
      </w:r>
      <w:r>
        <w:rPr>
          <w:spacing w:val="-103"/>
        </w:rPr>
      </w:r>
      <w:r>
        <w:rPr>
          <w:spacing w:val="-3"/>
        </w:rPr>
        <w:t>公司为承租人时，在租赁期内各个期间按照直线法将租金计入相关资产成本或确认为当期损益，</w:t>
      </w:r>
    </w:p>
    <w:p>
      <w:pPr>
        <w:pStyle w:val="BodyText"/>
        <w:spacing w:line="355" w:lineRule="auto" w:before="108"/>
        <w:ind w:left="557" w:right="0" w:hanging="420"/>
        <w:jc w:val="left"/>
      </w:pPr>
      <w:r>
        <w:rPr/>
        <w:t>发生的初始直接费用，直接计入当期损益。或有租金在实际发生时计入当期损益。</w:t>
      </w:r>
      <w:r>
        <w:rPr>
          <w:w w:val="100"/>
        </w:rPr>
        <w:t> </w:t>
      </w:r>
      <w:r>
        <w:rPr>
          <w:spacing w:val="-1"/>
        </w:rPr>
        <w:t>公司为出租人时，在租赁期内各个期间按照直线法将租金确认为当期损益，发生的初始直接费</w:t>
      </w:r>
    </w:p>
    <w:p>
      <w:pPr>
        <w:pStyle w:val="BodyText"/>
        <w:spacing w:line="355" w:lineRule="auto" w:before="34"/>
        <w:ind w:left="137" w:right="212"/>
        <w:jc w:val="both"/>
      </w:pPr>
      <w:r>
        <w:rPr>
          <w:spacing w:val="-1"/>
        </w:rPr>
        <w:t>用，除金额较大的予以资本化并分期计入损益外，均直接计入当期损益。或有租金在实际发生时计</w:t>
      </w:r>
      <w:r>
        <w:rPr>
          <w:spacing w:val="-20"/>
        </w:rPr>
        <w:t> </w:t>
      </w:r>
      <w:r>
        <w:rPr>
          <w:spacing w:val="-20"/>
        </w:rPr>
      </w:r>
      <w:r>
        <w:rPr/>
        <w:t>入当期损益。</w:t>
      </w:r>
    </w:p>
    <w:p>
      <w:pPr>
        <w:spacing w:after="0" w:line="355" w:lineRule="auto"/>
        <w:jc w:val="both"/>
        <w:sectPr>
          <w:pgSz w:w="11910" w:h="16840"/>
          <w:pgMar w:header="882" w:footer="1195" w:top="1120" w:bottom="1380" w:left="1140" w:right="1340"/>
        </w:sectPr>
      </w:pPr>
    </w:p>
    <w:p>
      <w:pPr>
        <w:spacing w:line="240" w:lineRule="auto" w:before="9"/>
        <w:rPr>
          <w:rFonts w:ascii="宋体" w:hAnsi="宋体" w:cs="宋体" w:eastAsia="宋体" w:hint="default"/>
          <w:sz w:val="18"/>
          <w:szCs w:val="18"/>
        </w:rPr>
      </w:pPr>
    </w:p>
    <w:p>
      <w:pPr>
        <w:pStyle w:val="Heading5"/>
        <w:spacing w:line="240" w:lineRule="auto" w:before="36"/>
        <w:ind w:left="137" w:right="0"/>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6"/>
        <w:ind w:left="137" w:right="0"/>
        <w:jc w:val="left"/>
      </w:pPr>
      <w:r>
        <w:rPr/>
        <w:t>□适用</w:t>
      </w:r>
      <w:r>
        <w:rPr>
          <w:spacing w:val="9"/>
        </w:rPr>
        <w:t> </w:t>
      </w:r>
      <w:r>
        <w:rPr>
          <w:spacing w:val="-3"/>
        </w:rPr>
        <w:t>√不适用</w:t>
      </w:r>
      <w:r>
        <w:rPr/>
      </w:r>
    </w:p>
    <w:p>
      <w:pPr>
        <w:spacing w:line="240" w:lineRule="auto" w:before="3"/>
        <w:rPr>
          <w:rFonts w:ascii="宋体" w:hAnsi="宋体" w:cs="宋体" w:eastAsia="宋体" w:hint="default"/>
          <w:sz w:val="25"/>
          <w:szCs w:val="25"/>
        </w:rPr>
      </w:pPr>
    </w:p>
    <w:p>
      <w:pPr>
        <w:pStyle w:val="Heading5"/>
        <w:spacing w:line="240" w:lineRule="auto"/>
        <w:ind w:left="137" w:right="0"/>
        <w:jc w:val="left"/>
        <w:rPr>
          <w:b w:val="0"/>
          <w:bCs w:val="0"/>
        </w:rPr>
      </w:pPr>
      <w:r>
        <w:rPr>
          <w:rFonts w:ascii="宋体" w:hAnsi="宋体" w:cs="宋体" w:eastAsia="宋体" w:hint="default"/>
        </w:rPr>
        <w:t>30.</w:t>
      </w:r>
      <w:r>
        <w:rPr>
          <w:rFonts w:ascii="宋体" w:hAnsi="宋体" w:cs="宋体" w:eastAsia="宋体" w:hint="default"/>
          <w:spacing w:val="3"/>
        </w:rPr>
        <w:t> </w:t>
      </w:r>
      <w:r>
        <w:rPr/>
        <w:t>融资融券业务</w:t>
      </w:r>
      <w:r>
        <w:rPr>
          <w:b w:val="0"/>
          <w:bCs w:val="0"/>
        </w:rPr>
      </w:r>
    </w:p>
    <w:p>
      <w:pPr>
        <w:pStyle w:val="BodyText"/>
        <w:spacing w:line="272" w:lineRule="exact" w:before="86"/>
        <w:ind w:left="557" w:right="0" w:hanging="420"/>
        <w:jc w:val="left"/>
      </w:pPr>
      <w:r>
        <w:rPr/>
        <w:t>√适用</w:t>
      </w:r>
      <w:r>
        <w:rPr>
          <w:spacing w:val="-2"/>
        </w:rPr>
        <w:t> </w:t>
      </w:r>
      <w:r>
        <w:rPr/>
        <w:t>□不适用</w:t>
      </w:r>
      <w:r>
        <w:rPr>
          <w:spacing w:val="-103"/>
        </w:rPr>
        <w:t> </w:t>
      </w:r>
      <w:r>
        <w:rPr>
          <w:spacing w:val="-103"/>
        </w:rPr>
      </w:r>
      <w:r>
        <w:rPr>
          <w:spacing w:val="-2"/>
        </w:rPr>
        <w:t>融资融券业务，是指公司向客户出借资金供其买入证券或者出借证券供其卖出，并由客户交存</w:t>
      </w:r>
    </w:p>
    <w:p>
      <w:pPr>
        <w:pStyle w:val="BodyText"/>
        <w:spacing w:line="355" w:lineRule="auto" w:before="110"/>
        <w:ind w:left="557" w:right="110" w:hanging="420"/>
        <w:jc w:val="left"/>
      </w:pPr>
      <w:r>
        <w:rPr/>
        <w:t>相应担保物的经营活动。公司发生的融资融券业务，分为融资业务和融券业务两类。</w:t>
      </w:r>
      <w:r>
        <w:rPr>
          <w:w w:val="100"/>
        </w:rPr>
        <w:t> </w:t>
      </w:r>
      <w:r>
        <w:rPr>
          <w:spacing w:val="-4"/>
        </w:rPr>
        <w:t>融资业务，按照《企业会计准则第 </w:t>
      </w:r>
      <w:r>
        <w:rPr>
          <w:rFonts w:ascii="宋体" w:hAnsi="宋体" w:cs="宋体" w:eastAsia="宋体" w:hint="default"/>
        </w:rPr>
        <w:t>22</w:t>
      </w:r>
      <w:r>
        <w:rPr>
          <w:rFonts w:ascii="宋体" w:hAnsi="宋体" w:cs="宋体" w:eastAsia="宋体" w:hint="default"/>
          <w:spacing w:val="-42"/>
        </w:rPr>
        <w:t> </w:t>
      </w:r>
      <w:r>
        <w:rPr>
          <w:spacing w:val="-3"/>
        </w:rPr>
        <w:t>号——金融工具确认和计量》有关规定进行会计处理。公</w:t>
      </w:r>
    </w:p>
    <w:p>
      <w:pPr>
        <w:pStyle w:val="BodyText"/>
        <w:spacing w:line="355" w:lineRule="auto" w:before="32"/>
        <w:ind w:left="557" w:right="107" w:hanging="420"/>
        <w:jc w:val="left"/>
      </w:pPr>
      <w:r>
        <w:rPr/>
        <w:t>司融出的资金，确认应收债权，并确认相应利息收入。</w:t>
      </w:r>
      <w:r>
        <w:rPr>
          <w:w w:val="100"/>
        </w:rPr>
        <w:t> </w:t>
      </w:r>
      <w:r>
        <w:rPr>
          <w:spacing w:val="-3"/>
        </w:rPr>
        <w:t>融券业务，融出的证券按照《企业会计准则第 </w:t>
      </w:r>
      <w:r>
        <w:rPr>
          <w:rFonts w:ascii="宋体" w:hAnsi="宋体" w:cs="宋体" w:eastAsia="宋体" w:hint="default"/>
        </w:rPr>
        <w:t>23</w:t>
      </w:r>
      <w:r>
        <w:rPr>
          <w:rFonts w:ascii="宋体" w:hAnsi="宋体" w:cs="宋体" w:eastAsia="宋体" w:hint="default"/>
          <w:spacing w:val="-55"/>
        </w:rPr>
        <w:t> </w:t>
      </w:r>
      <w:r>
        <w:rPr>
          <w:spacing w:val="-3"/>
        </w:rPr>
        <w:t>号——金融资产转移》有关规定，不终止确认</w:t>
      </w:r>
    </w:p>
    <w:p>
      <w:pPr>
        <w:pStyle w:val="BodyText"/>
        <w:spacing w:line="357" w:lineRule="auto" w:before="33"/>
        <w:ind w:left="557" w:right="0" w:hanging="420"/>
        <w:jc w:val="left"/>
      </w:pPr>
      <w:r>
        <w:rPr/>
        <w:t>该证券，并确认相应利息收入。</w:t>
      </w:r>
      <w:r>
        <w:rPr>
          <w:w w:val="100"/>
        </w:rPr>
        <w:t> </w:t>
      </w:r>
      <w:r>
        <w:rPr>
          <w:spacing w:val="-2"/>
        </w:rPr>
        <w:t>公司对融资融券业务采用个别计提结合组合计提的方法计量减值准备。对有确凿证据表明可收</w:t>
      </w:r>
    </w:p>
    <w:p>
      <w:pPr>
        <w:pStyle w:val="BodyText"/>
        <w:spacing w:line="355" w:lineRule="auto" w:before="30"/>
        <w:ind w:left="137" w:right="149"/>
        <w:jc w:val="both"/>
      </w:pPr>
      <w:r>
        <w:rPr>
          <w:spacing w:val="-2"/>
        </w:rPr>
        <w:t>回性存在明显差异的融资融券业务，单独进行减值测试并根据其未来现金流量现值低于其账面价值</w:t>
      </w:r>
      <w:r>
        <w:rPr>
          <w:spacing w:val="-25"/>
        </w:rPr>
        <w:t> </w:t>
      </w:r>
      <w:r>
        <w:rPr>
          <w:spacing w:val="-25"/>
        </w:rPr>
      </w:r>
      <w:r>
        <w:rPr>
          <w:spacing w:val="-2"/>
        </w:rPr>
        <w:t>的差额计提减值准备；对未有确凿证据表明可收回性存在明显差异的融资融券业务及虽然进行单独</w:t>
      </w:r>
      <w:r>
        <w:rPr>
          <w:spacing w:val="-25"/>
        </w:rPr>
        <w:t> </w:t>
      </w:r>
      <w:r>
        <w:rPr>
          <w:spacing w:val="-25"/>
        </w:rPr>
      </w:r>
      <w:r>
        <w:rPr/>
        <w:t>减值测试但并未发现减值的融资融券业务，按照一定比例组合计提减值准备。</w:t>
      </w:r>
    </w:p>
    <w:p>
      <w:pPr>
        <w:pStyle w:val="BodyText"/>
        <w:spacing w:line="240" w:lineRule="auto" w:before="34"/>
        <w:ind w:left="557" w:right="0"/>
        <w:jc w:val="left"/>
      </w:pPr>
      <w:r>
        <w:rPr/>
        <w:t>公司对客户融资融券并代客户买卖证券时，作为证券经纪业务进行会计处理。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ind w:left="137" w:right="0"/>
        <w:jc w:val="left"/>
        <w:rPr>
          <w:b w:val="0"/>
          <w:bCs w:val="0"/>
        </w:rPr>
      </w:pPr>
      <w:r>
        <w:rPr>
          <w:rFonts w:ascii="宋体" w:hAnsi="宋体" w:cs="宋体" w:eastAsia="宋体" w:hint="default"/>
        </w:rPr>
        <w:t>31.</w:t>
      </w:r>
      <w:r>
        <w:rPr>
          <w:rFonts w:ascii="宋体" w:hAnsi="宋体" w:cs="宋体" w:eastAsia="宋体" w:hint="default"/>
          <w:spacing w:val="3"/>
        </w:rPr>
        <w:t> </w:t>
      </w:r>
      <w:r>
        <w:rPr/>
        <w:t>持有待售资产</w:t>
      </w:r>
      <w:r>
        <w:rPr>
          <w:b w:val="0"/>
          <w:bCs w:val="0"/>
        </w:rPr>
      </w:r>
    </w:p>
    <w:p>
      <w:pPr>
        <w:pStyle w:val="BodyText"/>
        <w:spacing w:line="273" w:lineRule="exact" w:before="59"/>
        <w:ind w:left="137" w:right="0"/>
        <w:jc w:val="left"/>
      </w:pPr>
      <w:r>
        <w:rPr/>
        <w:t>√适用 □不适用</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持有待售的非流动资产或处置组的分类</w:t>
      </w:r>
      <w:r>
        <w:rPr>
          <w:w w:val="100"/>
        </w:rPr>
        <w:t> </w:t>
      </w:r>
      <w:r>
        <w:rPr>
          <w:spacing w:val="-3"/>
        </w:rPr>
        <w:t>公司将同时满足下列条件的非流动资产或处置组划分为持有待售的资产：</w:t>
      </w:r>
      <w:r>
        <w:rPr>
          <w:rFonts w:ascii="宋体" w:hAnsi="宋体" w:cs="宋体" w:eastAsia="宋体" w:hint="default"/>
          <w:spacing w:val="-3"/>
        </w:rPr>
        <w:t>1</w:t>
      </w:r>
      <w:r>
        <w:rPr>
          <w:spacing w:val="-3"/>
        </w:rPr>
        <w:t>）根据类似交易中出</w:t>
      </w:r>
    </w:p>
    <w:p>
      <w:pPr>
        <w:pStyle w:val="BodyText"/>
        <w:spacing w:line="355" w:lineRule="auto" w:before="34"/>
        <w:ind w:left="137" w:right="0"/>
        <w:jc w:val="left"/>
      </w:pPr>
      <w:r>
        <w:rPr>
          <w:spacing w:val="-3"/>
        </w:rPr>
        <w:t>售此类资产或处置组的惯例，在当前状况下即可立即出售；</w:t>
      </w:r>
      <w:r>
        <w:rPr>
          <w:rFonts w:ascii="宋体" w:hAnsi="宋体" w:cs="宋体" w:eastAsia="宋体" w:hint="default"/>
          <w:spacing w:val="-3"/>
        </w:rPr>
        <w:t>2</w:t>
      </w:r>
      <w:r>
        <w:rPr>
          <w:spacing w:val="-3"/>
        </w:rPr>
        <w:t>）出售极可能发生，即公司已经就出售</w:t>
      </w:r>
      <w:r>
        <w:rPr>
          <w:spacing w:val="-43"/>
        </w:rPr>
        <w:t> </w:t>
      </w:r>
      <w:r>
        <w:rPr>
          <w:spacing w:val="-43"/>
        </w:rPr>
      </w:r>
      <w:r>
        <w:rPr/>
        <w:t>计划作出决议且获得确定的购买承诺，预计出售将在一年内完成。</w:t>
      </w:r>
    </w:p>
    <w:p>
      <w:pPr>
        <w:pStyle w:val="BodyText"/>
        <w:spacing w:line="355" w:lineRule="auto" w:before="32"/>
        <w:ind w:left="137" w:right="109" w:firstLine="420"/>
        <w:jc w:val="both"/>
      </w:pPr>
      <w:r>
        <w:rPr/>
        <w:t>公司专为转售而取得的非流动资产或处置组，在取得日满足“预计出售将在一年内完成”的条</w:t>
      </w:r>
      <w:r>
        <w:rPr>
          <w:w w:val="100"/>
        </w:rPr>
        <w:t> </w:t>
      </w:r>
      <w:r>
        <w:rPr/>
        <w:t>件，且短期（通常为 </w:t>
      </w:r>
      <w:r>
        <w:rPr>
          <w:rFonts w:ascii="宋体" w:hAnsi="宋体" w:cs="宋体" w:eastAsia="宋体" w:hint="default"/>
        </w:rPr>
        <w:t>3</w:t>
      </w:r>
      <w:r>
        <w:rPr>
          <w:rFonts w:ascii="宋体" w:hAnsi="宋体" w:cs="宋体" w:eastAsia="宋体" w:hint="default"/>
          <w:spacing w:val="-70"/>
        </w:rPr>
        <w:t> </w:t>
      </w:r>
      <w:r>
        <w:rPr/>
        <w:t>个月）内很可能满足持有待售类别的其他划分条件的，在取得日将其划分为</w:t>
      </w:r>
      <w:r>
        <w:rPr>
          <w:w w:val="100"/>
        </w:rPr>
        <w:t> </w:t>
      </w:r>
      <w:r>
        <w:rPr/>
        <w:t>持有待售类别。</w:t>
      </w:r>
    </w:p>
    <w:p>
      <w:pPr>
        <w:pStyle w:val="BodyText"/>
        <w:spacing w:line="357" w:lineRule="auto" w:before="35"/>
        <w:ind w:left="137" w:right="108" w:firstLine="420"/>
        <w:jc w:val="both"/>
      </w:pPr>
      <w:r>
        <w:rPr/>
        <w:t>因公司无法控制的下列原因之一，导致非关联方之间的交易未能在一年内完成，且公司仍然承</w:t>
      </w:r>
      <w:r>
        <w:rPr>
          <w:w w:val="100"/>
        </w:rPr>
        <w:t> </w:t>
      </w:r>
      <w:r>
        <w:rPr>
          <w:spacing w:val="-3"/>
        </w:rPr>
        <w:t>诺出售非流动资产或处置组的，继续将非流动资产或处置组划分为持有待售类别：</w:t>
      </w:r>
      <w:r>
        <w:rPr>
          <w:rFonts w:ascii="宋体" w:hAnsi="宋体" w:cs="宋体" w:eastAsia="宋体" w:hint="default"/>
          <w:spacing w:val="-3"/>
        </w:rPr>
        <w:t>1</w:t>
      </w:r>
      <w:r>
        <w:rPr>
          <w:spacing w:val="-3"/>
        </w:rPr>
        <w:t>）买方或其他方</w:t>
      </w:r>
      <w:r>
        <w:rPr>
          <w:spacing w:val="-43"/>
        </w:rPr>
        <w:t> </w:t>
      </w:r>
      <w:r>
        <w:rPr>
          <w:spacing w:val="-43"/>
        </w:rPr>
      </w:r>
      <w:r>
        <w:rPr>
          <w:spacing w:val="-1"/>
        </w:rPr>
        <w:t>意外设定导致出售延期的条件，公司针对这些条件已经及时采取行动，且预计能够自设定导致出售</w:t>
      </w:r>
      <w:r>
        <w:rPr>
          <w:spacing w:val="-20"/>
        </w:rPr>
        <w:t> </w:t>
      </w:r>
      <w:r>
        <w:rPr>
          <w:spacing w:val="-20"/>
        </w:rPr>
      </w:r>
      <w:r>
        <w:rPr>
          <w:spacing w:val="-3"/>
        </w:rPr>
        <w:t>延期的条件起一年内顺利化解延期因素；</w:t>
      </w:r>
      <w:r>
        <w:rPr>
          <w:rFonts w:ascii="宋体" w:hAnsi="宋体" w:cs="宋体" w:eastAsia="宋体" w:hint="default"/>
          <w:spacing w:val="-3"/>
        </w:rPr>
        <w:t>2</w:t>
      </w:r>
      <w:r>
        <w:rPr>
          <w:spacing w:val="-3"/>
        </w:rPr>
        <w:t>）因发生罕见情况，导致持有待售的非流动资产或处置组</w:t>
      </w:r>
      <w:r>
        <w:rPr>
          <w:spacing w:val="-44"/>
        </w:rPr>
        <w:t> </w:t>
      </w:r>
      <w:r>
        <w:rPr>
          <w:spacing w:val="-44"/>
        </w:rPr>
      </w:r>
      <w:r>
        <w:rPr>
          <w:spacing w:val="-1"/>
        </w:rPr>
        <w:t>未能在一年内完成出售，公司在最初一年内已经针对这些新情况采取必要措施且重新满足了持有待</w:t>
      </w:r>
      <w:r>
        <w:rPr>
          <w:spacing w:val="-20"/>
        </w:rPr>
        <w:t> </w:t>
      </w:r>
      <w:r>
        <w:rPr>
          <w:spacing w:val="-20"/>
        </w:rPr>
      </w:r>
      <w:r>
        <w:rPr/>
        <w:t>售类别的划分条件。</w:t>
      </w:r>
    </w:p>
    <w:p>
      <w:pPr>
        <w:pStyle w:val="BodyText"/>
        <w:spacing w:line="240" w:lineRule="auto" w:before="30"/>
        <w:ind w:left="557" w:right="0"/>
        <w:jc w:val="left"/>
      </w:pPr>
      <w:r>
        <w:rPr>
          <w:rFonts w:ascii="宋体" w:hAnsi="宋体" w:cs="宋体" w:eastAsia="宋体" w:hint="default"/>
        </w:rPr>
        <w:t>(2)</w:t>
      </w:r>
      <w:r>
        <w:rPr>
          <w:rFonts w:ascii="宋体" w:hAnsi="宋体" w:cs="宋体" w:eastAsia="宋体" w:hint="default"/>
          <w:spacing w:val="-2"/>
        </w:rPr>
        <w:t> </w:t>
      </w:r>
      <w:r>
        <w:rPr/>
        <w:t>持有待售的非流动资产或处置组的计量</w:t>
      </w:r>
    </w:p>
    <w:p>
      <w:pPr>
        <w:pStyle w:val="BodyText"/>
        <w:spacing w:line="357" w:lineRule="auto" w:before="133"/>
        <w:ind w:left="557" w:right="0"/>
        <w:jc w:val="left"/>
      </w:pPr>
      <w:r>
        <w:rPr>
          <w:rFonts w:ascii="宋体" w:hAnsi="宋体" w:cs="宋体" w:eastAsia="宋体" w:hint="default"/>
        </w:rPr>
        <w:t>1) </w:t>
      </w:r>
      <w:r>
        <w:rPr/>
        <w:t>初始计量和后续计量</w:t>
      </w:r>
      <w:r>
        <w:rPr>
          <w:w w:val="100"/>
        </w:rPr>
        <w:t> </w:t>
      </w:r>
      <w:r>
        <w:rPr>
          <w:spacing w:val="-1"/>
        </w:rPr>
        <w:t>初始计量和在资产负债表日重新计量持有待售的非流动资产或处置组时，其账面价值高于公允</w:t>
      </w:r>
    </w:p>
    <w:p>
      <w:pPr>
        <w:pStyle w:val="BodyText"/>
        <w:spacing w:line="240" w:lineRule="auto" w:before="32"/>
        <w:ind w:left="137" w:right="0"/>
        <w:jc w:val="left"/>
      </w:pPr>
      <w:r>
        <w:rPr/>
        <w:t>价值减去出售费用后的净额的，将账面价值减记至公允价值减去出售费用后的净额，减记的金额确</w:t>
      </w:r>
    </w:p>
    <w:p>
      <w:pPr>
        <w:spacing w:after="0" w:line="240" w:lineRule="auto"/>
        <w:jc w:val="left"/>
        <w:sectPr>
          <w:pgSz w:w="11910" w:h="16840"/>
          <w:pgMar w:header="882" w:footer="1195" w:top="1120" w:bottom="1380" w:left="1140" w:right="1440"/>
        </w:sectPr>
      </w:pPr>
    </w:p>
    <w:p>
      <w:pPr>
        <w:spacing w:line="240" w:lineRule="auto" w:before="9"/>
        <w:rPr>
          <w:rFonts w:ascii="宋体" w:hAnsi="宋体" w:cs="宋体" w:eastAsia="宋体" w:hint="default"/>
          <w:sz w:val="18"/>
          <w:szCs w:val="18"/>
        </w:rPr>
      </w:pPr>
    </w:p>
    <w:p>
      <w:pPr>
        <w:pStyle w:val="BodyText"/>
        <w:spacing w:line="355" w:lineRule="auto" w:before="36"/>
        <w:ind w:left="557" w:right="0" w:hanging="420"/>
        <w:jc w:val="left"/>
      </w:pPr>
      <w:r>
        <w:rPr/>
        <w:t>认为资产减值损失，计入当期损益，同时计提持有待售资产减值准备。</w:t>
      </w:r>
      <w:r>
        <w:rPr>
          <w:w w:val="100"/>
        </w:rPr>
        <w:t> </w:t>
      </w:r>
      <w:r>
        <w:rPr>
          <w:spacing w:val="-1"/>
        </w:rPr>
        <w:t>对于取得日划分为持有待售类别的非流动资产或处置组，在初始计量时比较假定其不划分为持</w:t>
      </w:r>
    </w:p>
    <w:p>
      <w:pPr>
        <w:pStyle w:val="BodyText"/>
        <w:spacing w:line="357" w:lineRule="auto" w:before="32"/>
        <w:ind w:left="137" w:right="112"/>
        <w:jc w:val="both"/>
      </w:pPr>
      <w:r>
        <w:rPr>
          <w:spacing w:val="-1"/>
        </w:rPr>
        <w:t>有待售类别情况下的初始计量金额和公允价值减去出售费用后的净额，以两者孰低计量。除企业合</w:t>
      </w:r>
      <w:r>
        <w:rPr>
          <w:spacing w:val="-20"/>
        </w:rPr>
        <w:t> </w:t>
      </w:r>
      <w:r>
        <w:rPr>
          <w:spacing w:val="-20"/>
        </w:rPr>
      </w:r>
      <w:r>
        <w:rPr>
          <w:spacing w:val="-1"/>
        </w:rPr>
        <w:t>并中取得的非流动资产或处置组外，由非流动资产或处置组以公允价值减去出售费用后的净额作为</w:t>
      </w:r>
      <w:r>
        <w:rPr>
          <w:spacing w:val="-20"/>
        </w:rPr>
        <w:t> </w:t>
      </w:r>
      <w:r>
        <w:rPr>
          <w:spacing w:val="-20"/>
        </w:rPr>
      </w:r>
      <w:r>
        <w:rPr/>
        <w:t>初始计量金额而产生的差额，计入当期损益。</w:t>
      </w:r>
    </w:p>
    <w:p>
      <w:pPr>
        <w:pStyle w:val="BodyText"/>
        <w:spacing w:line="355" w:lineRule="auto" w:before="30"/>
        <w:ind w:left="137" w:right="114" w:firstLine="420"/>
        <w:jc w:val="both"/>
      </w:pPr>
      <w:r>
        <w:rPr>
          <w:spacing w:val="-1"/>
        </w:rPr>
        <w:t>对于持有待售的处置组确认的资产减值损失金额，先抵减处置组中商誉的账面价值，再根据处</w:t>
      </w:r>
      <w:r>
        <w:rPr>
          <w:w w:val="100"/>
        </w:rPr>
        <w:t> </w:t>
      </w:r>
      <w:r>
        <w:rPr/>
        <w:t>置组中的各项非流动资产账面价值所占比重，按比例抵减其账面价值。</w:t>
      </w:r>
    </w:p>
    <w:p>
      <w:pPr>
        <w:pStyle w:val="BodyText"/>
        <w:spacing w:line="357" w:lineRule="auto" w:before="34"/>
        <w:ind w:left="137" w:right="114" w:firstLine="420"/>
        <w:jc w:val="both"/>
      </w:pPr>
      <w:r>
        <w:rPr>
          <w:spacing w:val="-1"/>
        </w:rPr>
        <w:t>持有待售的非流动资产或处置组中的非流动资产不计提折旧或摊销，持有待售的处置组中负债</w:t>
      </w:r>
      <w:r>
        <w:rPr>
          <w:w w:val="100"/>
        </w:rPr>
        <w:t> </w:t>
      </w:r>
      <w:r>
        <w:rPr/>
        <w:t>的利息和其他费用继续予以确认。</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资产减值损失转回的会计处理</w:t>
      </w:r>
      <w:r>
        <w:rPr>
          <w:w w:val="100"/>
        </w:rPr>
        <w:t> </w:t>
      </w:r>
      <w:r>
        <w:rPr>
          <w:spacing w:val="-1"/>
        </w:rPr>
        <w:t>后续资产负债表日持有待售的非流动资产公允价值减去出售费用后的净额增加的，以前减记的</w:t>
      </w:r>
    </w:p>
    <w:p>
      <w:pPr>
        <w:pStyle w:val="BodyText"/>
        <w:spacing w:line="357" w:lineRule="auto" w:before="32"/>
        <w:ind w:left="137" w:right="0"/>
        <w:jc w:val="left"/>
      </w:pPr>
      <w:r>
        <w:rPr>
          <w:spacing w:val="-1"/>
        </w:rPr>
        <w:t>金额予以恢复，并在划分为持有待售类别后确认的资产减值损失金额内转回，转回金额计入当期损</w:t>
      </w:r>
      <w:r>
        <w:rPr>
          <w:spacing w:val="-20"/>
        </w:rPr>
        <w:t> </w:t>
      </w:r>
      <w:r>
        <w:rPr>
          <w:spacing w:val="-20"/>
        </w:rPr>
      </w:r>
      <w:r>
        <w:rPr/>
        <w:t>益。划分为持有待售类别前确认的资产减值损失不转回。</w:t>
      </w:r>
    </w:p>
    <w:p>
      <w:pPr>
        <w:pStyle w:val="BodyText"/>
        <w:spacing w:line="357" w:lineRule="auto" w:before="30"/>
        <w:ind w:left="137" w:right="112" w:firstLine="420"/>
        <w:jc w:val="both"/>
      </w:pPr>
      <w:r>
        <w:rPr>
          <w:spacing w:val="-1"/>
        </w:rPr>
        <w:t>后续资产负债表日持有待售的处置组公允价值减去出售费用后的净额增加的，以前减记的金额</w:t>
      </w:r>
      <w:r>
        <w:rPr>
          <w:w w:val="100"/>
        </w:rPr>
        <w:t> </w:t>
      </w:r>
      <w:r>
        <w:rPr>
          <w:spacing w:val="-1"/>
        </w:rPr>
        <w:t>予以恢复，并在划分为持有待售类别后非流动资产确认的资产减值损失金额内转回，转回金额计入</w:t>
      </w:r>
      <w:r>
        <w:rPr>
          <w:spacing w:val="-20"/>
        </w:rPr>
        <w:t> </w:t>
      </w:r>
      <w:r>
        <w:rPr>
          <w:spacing w:val="-20"/>
        </w:rPr>
      </w:r>
      <w:r>
        <w:rPr>
          <w:spacing w:val="-1"/>
        </w:rPr>
        <w:t>当期损益。已抵减的商誉账面价值，以及非流动资产在划分为持有待售类别前确认的资产减值损失</w:t>
      </w:r>
      <w:r>
        <w:rPr>
          <w:spacing w:val="-20"/>
        </w:rPr>
        <w:t> </w:t>
      </w:r>
      <w:r>
        <w:rPr>
          <w:spacing w:val="-20"/>
        </w:rPr>
      </w:r>
      <w:r>
        <w:rPr/>
        <w:t>不转回。</w:t>
      </w:r>
    </w:p>
    <w:p>
      <w:pPr>
        <w:pStyle w:val="BodyText"/>
        <w:spacing w:line="355" w:lineRule="auto" w:before="32"/>
        <w:ind w:left="137" w:right="114" w:firstLine="420"/>
        <w:jc w:val="both"/>
      </w:pPr>
      <w:r>
        <w:rPr>
          <w:spacing w:val="-1"/>
        </w:rPr>
        <w:t>持有待售的处置组确认的资产减值损失后续转回金额，根据处置组中除商誉外各项非流动资产</w:t>
      </w:r>
      <w:r>
        <w:rPr>
          <w:w w:val="100"/>
        </w:rPr>
        <w:t> </w:t>
      </w:r>
      <w:r>
        <w:rPr/>
        <w:t>账面价值所占比重，按比例增加其账面价值。</w:t>
      </w:r>
    </w:p>
    <w:p>
      <w:pPr>
        <w:pStyle w:val="BodyText"/>
        <w:spacing w:line="355"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1"/>
        </w:rPr>
        <w:t>非流动资产或处置组因不再满足持有待售类别的划分条件而不再继续划分为持有待售类别或非</w:t>
      </w:r>
    </w:p>
    <w:p>
      <w:pPr>
        <w:pStyle w:val="BodyText"/>
        <w:spacing w:line="355" w:lineRule="auto" w:before="34"/>
        <w:ind w:left="137" w:right="0"/>
        <w:jc w:val="left"/>
      </w:pPr>
      <w:r>
        <w:rPr>
          <w:spacing w:val="-4"/>
        </w:rPr>
        <w:t>流动资产从持有待售的处置组中移除时，按照以下两者孰低计量：①</w:t>
      </w:r>
      <w:r>
        <w:rPr>
          <w:spacing w:val="37"/>
        </w:rPr>
        <w:t> </w:t>
      </w:r>
      <w:r>
        <w:rPr/>
        <w:t>划分为持有待售类别前的账面</w:t>
      </w:r>
      <w:r>
        <w:rPr>
          <w:spacing w:val="-97"/>
        </w:rPr>
        <w:t> </w:t>
      </w:r>
      <w:r>
        <w:rPr>
          <w:spacing w:val="-97"/>
        </w:rPr>
      </w:r>
      <w:r>
        <w:rPr>
          <w:spacing w:val="-1"/>
        </w:rPr>
        <w:t>价值，按照假定不划分为持有待售类别情况下本应确认的折旧、摊销或减值等进行调整后的金额；</w:t>
      </w:r>
    </w:p>
    <w:p>
      <w:pPr>
        <w:pStyle w:val="BodyText"/>
        <w:spacing w:line="357" w:lineRule="auto" w:before="32"/>
        <w:ind w:left="557" w:right="0" w:hanging="420"/>
        <w:jc w:val="left"/>
      </w:pPr>
      <w:r>
        <w:rPr/>
        <w:t>② 可收回金额。</w:t>
      </w:r>
      <w:r>
        <w:rPr>
          <w:w w:val="100"/>
        </w:rPr>
        <w:t> </w:t>
      </w:r>
      <w:r>
        <w:rPr>
          <w:spacing w:val="-2"/>
        </w:rPr>
        <w:t>终止确认持有待售的非流动资产或处置组时，将尚未确认的利得或损失计入当期损益。</w:t>
      </w:r>
    </w:p>
    <w:p>
      <w:pPr>
        <w:spacing w:line="240" w:lineRule="auto" w:before="11"/>
        <w:rPr>
          <w:rFonts w:ascii="宋体" w:hAnsi="宋体" w:cs="宋体" w:eastAsia="宋体" w:hint="default"/>
          <w:sz w:val="27"/>
          <w:szCs w:val="27"/>
        </w:rPr>
      </w:pPr>
    </w:p>
    <w:p>
      <w:pPr>
        <w:pStyle w:val="Heading5"/>
        <w:spacing w:line="240" w:lineRule="auto"/>
        <w:ind w:left="137" w:right="0"/>
        <w:jc w:val="left"/>
        <w:rPr>
          <w:b w:val="0"/>
          <w:bCs w:val="0"/>
        </w:rPr>
      </w:pPr>
      <w:r>
        <w:rPr>
          <w:rFonts w:ascii="宋体" w:hAnsi="宋体" w:cs="宋体" w:eastAsia="宋体" w:hint="default"/>
        </w:rPr>
        <w:t>32.</w:t>
      </w:r>
      <w:r>
        <w:rPr>
          <w:rFonts w:ascii="宋体" w:hAnsi="宋体" w:cs="宋体" w:eastAsia="宋体" w:hint="default"/>
          <w:spacing w:val="4"/>
        </w:rPr>
        <w:t> </w:t>
      </w:r>
      <w:r>
        <w:rPr/>
        <w:t>资产证券化业务</w:t>
      </w:r>
      <w:r>
        <w:rPr>
          <w:b w:val="0"/>
          <w:bCs w:val="0"/>
        </w:rPr>
      </w:r>
    </w:p>
    <w:p>
      <w:pPr>
        <w:pStyle w:val="BodyText"/>
        <w:spacing w:line="240" w:lineRule="auto" w:before="56"/>
        <w:ind w:left="13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137" w:right="0"/>
        <w:jc w:val="left"/>
        <w:rPr>
          <w:b w:val="0"/>
          <w:bCs w:val="0"/>
        </w:rPr>
      </w:pPr>
      <w:r>
        <w:rPr>
          <w:rFonts w:ascii="宋体" w:hAnsi="宋体" w:cs="宋体" w:eastAsia="宋体" w:hint="default"/>
        </w:rPr>
        <w:t>33.</w:t>
      </w:r>
      <w:r>
        <w:rPr>
          <w:rFonts w:ascii="宋体" w:hAnsi="宋体" w:cs="宋体" w:eastAsia="宋体" w:hint="default"/>
          <w:spacing w:val="2"/>
        </w:rPr>
        <w:t> </w:t>
      </w:r>
      <w:r>
        <w:rPr/>
        <w:t>套期会计</w:t>
      </w:r>
      <w:r>
        <w:rPr>
          <w:b w:val="0"/>
          <w:bCs w:val="0"/>
        </w:rPr>
      </w:r>
    </w:p>
    <w:p>
      <w:pPr>
        <w:pStyle w:val="BodyText"/>
        <w:spacing w:line="240" w:lineRule="auto" w:before="58"/>
        <w:ind w:left="13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137" w:right="0"/>
        <w:jc w:val="left"/>
        <w:rPr>
          <w:b w:val="0"/>
          <w:bCs w:val="0"/>
        </w:rPr>
      </w:pPr>
      <w:r>
        <w:rPr>
          <w:rFonts w:ascii="宋体" w:hAnsi="宋体" w:cs="宋体" w:eastAsia="宋体" w:hint="default"/>
        </w:rPr>
        <w:t>34. </w:t>
      </w:r>
      <w:r>
        <w:rPr/>
        <w:t>其他重要的会计政策和会计估计</w:t>
      </w:r>
      <w:r>
        <w:rPr>
          <w:b w:val="0"/>
          <w:bCs w:val="0"/>
        </w:rPr>
      </w:r>
    </w:p>
    <w:p>
      <w:pPr>
        <w:pStyle w:val="BodyText"/>
        <w:spacing w:line="274" w:lineRule="exact" w:before="56"/>
        <w:ind w:left="137" w:right="0"/>
        <w:jc w:val="left"/>
      </w:pPr>
      <w:r>
        <w:rPr/>
        <w:t>√适用 □不适用</w:t>
      </w:r>
    </w:p>
    <w:p>
      <w:pPr>
        <w:pStyle w:val="BodyText"/>
        <w:spacing w:line="355" w:lineRule="auto"/>
        <w:ind w:left="557" w:right="0"/>
        <w:jc w:val="left"/>
      </w:pPr>
      <w:r>
        <w:rPr>
          <w:rFonts w:ascii="宋体" w:hAnsi="宋体" w:cs="宋体" w:eastAsia="宋体" w:hint="default"/>
        </w:rPr>
        <w:t>(1) </w:t>
      </w:r>
      <w:r>
        <w:rPr/>
        <w:t>客户交易结算资金</w:t>
      </w:r>
      <w:r>
        <w:rPr>
          <w:w w:val="100"/>
        </w:rPr>
        <w:t> </w:t>
      </w:r>
      <w:r>
        <w:rPr>
          <w:spacing w:val="-1"/>
        </w:rPr>
        <w:t>本公司收到的客户交易结算资金存放在存管银行的专门账户上，与自有资金分开管理，为代理</w:t>
      </w:r>
    </w:p>
    <w:p>
      <w:pPr>
        <w:spacing w:after="0" w:line="355" w:lineRule="auto"/>
        <w:jc w:val="left"/>
        <w:sectPr>
          <w:footerReference w:type="default" r:id="rId55"/>
          <w:pgSz w:w="11910" w:h="16840"/>
          <w:pgMar w:footer="1195" w:header="882" w:top="1120" w:bottom="1380" w:left="1140" w:right="1440"/>
          <w:pgNumType w:start="136"/>
        </w:sectPr>
      </w:pPr>
    </w:p>
    <w:p>
      <w:pPr>
        <w:spacing w:line="240" w:lineRule="auto" w:before="9"/>
        <w:rPr>
          <w:rFonts w:ascii="宋体" w:hAnsi="宋体" w:cs="宋体" w:eastAsia="宋体" w:hint="default"/>
          <w:sz w:val="18"/>
          <w:szCs w:val="18"/>
        </w:rPr>
      </w:pPr>
    </w:p>
    <w:p>
      <w:pPr>
        <w:pStyle w:val="BodyText"/>
        <w:spacing w:line="357" w:lineRule="auto" w:before="36"/>
        <w:ind w:left="137" w:right="0"/>
        <w:jc w:val="left"/>
      </w:pPr>
      <w:r>
        <w:rPr>
          <w:spacing w:val="-3"/>
        </w:rPr>
        <w:t>客户证券交易而进行资金清算与交收的款项存入交易所指定的清算代理机构，在结算备付金中核算。</w:t>
      </w:r>
      <w:r>
        <w:rPr>
          <w:spacing w:val="-44"/>
        </w:rPr>
        <w:t> </w:t>
      </w:r>
      <w:r>
        <w:rPr>
          <w:spacing w:val="-44"/>
        </w:rPr>
      </w:r>
      <w:r>
        <w:rPr/>
        <w:t>公司在收到代理客户买卖证券款的同时确认为资产及负债，公司代理客户买卖证券的款项在与清算</w:t>
      </w:r>
      <w:r>
        <w:rPr>
          <w:spacing w:val="-63"/>
        </w:rPr>
        <w:t> </w:t>
      </w:r>
      <w:r>
        <w:rPr>
          <w:spacing w:val="-63"/>
        </w:rPr>
      </w:r>
      <w:r>
        <w:rPr>
          <w:spacing w:val="-6"/>
        </w:rPr>
        <w:t>代理机构清算时，按规定交纳的经手费、证管费、证券结算风险基金等相关费用确认为手续费支出，</w:t>
      </w:r>
      <w:r>
        <w:rPr>
          <w:spacing w:val="-21"/>
        </w:rPr>
        <w:t> </w:t>
      </w:r>
      <w:r>
        <w:rPr>
          <w:spacing w:val="-21"/>
        </w:rPr>
      </w:r>
      <w:r>
        <w:rPr/>
        <w:t>按规定向客户收取的手续费，在与客户办理买卖证券款项清算时确认为手续费收入。</w:t>
      </w:r>
    </w:p>
    <w:p>
      <w:pPr>
        <w:pStyle w:val="BodyText"/>
        <w:spacing w:line="355" w:lineRule="auto" w:before="30"/>
        <w:ind w:left="557" w:right="0"/>
        <w:jc w:val="left"/>
      </w:pPr>
      <w:r>
        <w:rPr>
          <w:rFonts w:ascii="宋体" w:hAnsi="宋体" w:cs="宋体" w:eastAsia="宋体" w:hint="default"/>
        </w:rPr>
        <w:t>(2) </w:t>
      </w:r>
      <w:r>
        <w:rPr/>
        <w:t>证券承销业务核算方法</w:t>
      </w:r>
      <w:r>
        <w:rPr>
          <w:w w:val="100"/>
        </w:rPr>
        <w:t> </w:t>
      </w:r>
      <w:r>
        <w:rPr>
          <w:spacing w:val="-1"/>
        </w:rPr>
        <w:t>公司证券承销的方式包括余额包销和代销，于承销业务提供的相关服务完成时确认收入。在余</w:t>
      </w:r>
    </w:p>
    <w:p>
      <w:pPr>
        <w:pStyle w:val="BodyText"/>
        <w:spacing w:line="357" w:lineRule="auto" w:before="32"/>
        <w:ind w:left="137" w:right="0"/>
        <w:jc w:val="left"/>
      </w:pPr>
      <w:r>
        <w:rPr>
          <w:spacing w:val="-1"/>
        </w:rPr>
        <w:t>额包销方式下，对发行期结束后未售出的证券按约定的发行价格转为以公允价值计量且其变动计入</w:t>
      </w:r>
      <w:r>
        <w:rPr>
          <w:spacing w:val="-20"/>
        </w:rPr>
        <w:t> </w:t>
      </w:r>
      <w:r>
        <w:rPr>
          <w:spacing w:val="-20"/>
        </w:rPr>
      </w:r>
      <w:r>
        <w:rPr/>
        <w:t>当期损益的金融资产、可供出售金融资产等。</w:t>
      </w:r>
    </w:p>
    <w:p>
      <w:pPr>
        <w:pStyle w:val="BodyText"/>
        <w:spacing w:line="355" w:lineRule="auto" w:before="31"/>
        <w:ind w:left="557" w:right="0"/>
        <w:jc w:val="left"/>
      </w:pPr>
      <w:r>
        <w:rPr>
          <w:rFonts w:ascii="宋体" w:hAnsi="宋体" w:cs="宋体" w:eastAsia="宋体" w:hint="default"/>
        </w:rPr>
        <w:t>(3) </w:t>
      </w:r>
      <w:r>
        <w:rPr/>
        <w:t>代兑付债券业务核算方法</w:t>
      </w:r>
      <w:r>
        <w:rPr>
          <w:w w:val="100"/>
        </w:rPr>
        <w:t> </w:t>
      </w:r>
      <w:r>
        <w:rPr>
          <w:spacing w:val="-1"/>
        </w:rPr>
        <w:t>公司接受委托对委托方发行的债券到期进行兑付时，在代兑付债券业务提供的相关服务完成时</w:t>
      </w:r>
    </w:p>
    <w:p>
      <w:pPr>
        <w:pStyle w:val="BodyText"/>
        <w:spacing w:line="240" w:lineRule="auto" w:before="32"/>
        <w:ind w:left="137" w:right="0"/>
        <w:jc w:val="left"/>
      </w:pPr>
      <w:r>
        <w:rPr/>
        <w:t>确认收入。</w:t>
      </w:r>
    </w:p>
    <w:p>
      <w:pPr>
        <w:pStyle w:val="BodyText"/>
        <w:spacing w:line="357" w:lineRule="auto" w:before="133"/>
        <w:ind w:left="557" w:right="0"/>
        <w:jc w:val="left"/>
      </w:pPr>
      <w:r>
        <w:rPr>
          <w:rFonts w:ascii="宋体" w:hAnsi="宋体" w:cs="宋体" w:eastAsia="宋体" w:hint="default"/>
        </w:rPr>
        <w:t>(4) </w:t>
      </w:r>
      <w:r>
        <w:rPr/>
        <w:t>买入返售与卖出回购款项的核算方法</w:t>
      </w:r>
      <w:r>
        <w:rPr>
          <w:w w:val="100"/>
        </w:rPr>
        <w:t> </w:t>
      </w:r>
      <w:r>
        <w:rPr>
          <w:spacing w:val="-1"/>
        </w:rPr>
        <w:t>买入返售交易是指按照合同或协议以一定的价格向交易对手买入相关资产（包括债券、股票及</w:t>
      </w:r>
    </w:p>
    <w:p>
      <w:pPr>
        <w:pStyle w:val="BodyText"/>
        <w:spacing w:line="355" w:lineRule="auto" w:before="30"/>
        <w:ind w:left="137" w:right="0"/>
        <w:jc w:val="left"/>
      </w:pPr>
      <w:r>
        <w:rPr>
          <w:spacing w:val="-6"/>
          <w:w w:val="100"/>
        </w:rPr>
        <w:t>票据等），合同或协议到期日再以约定价格返售相同之金融产品。买入返售按买入返售相关资产时实</w:t>
      </w:r>
      <w:r>
        <w:rPr>
          <w:spacing w:val="-73"/>
          <w:w w:val="100"/>
        </w:rPr>
        <w:t> </w:t>
      </w:r>
      <w:r>
        <w:rPr>
          <w:spacing w:val="-73"/>
          <w:w w:val="100"/>
        </w:rPr>
      </w:r>
      <w:r>
        <w:rPr/>
        <w:t>际支付的款项入账，在资产负债表“买入返售金融资产”项目列示。</w:t>
      </w:r>
    </w:p>
    <w:p>
      <w:pPr>
        <w:pStyle w:val="BodyText"/>
        <w:spacing w:line="357" w:lineRule="auto" w:before="32"/>
        <w:ind w:left="137" w:right="212" w:firstLine="420"/>
        <w:jc w:val="both"/>
      </w:pPr>
      <w:r>
        <w:rPr>
          <w:spacing w:val="-1"/>
        </w:rPr>
        <w:t>公司对买入返售交易中的约定购回业务及股票质押回购业务采用个别计提结合组合计提的方法</w:t>
      </w:r>
      <w:r>
        <w:rPr>
          <w:w w:val="100"/>
        </w:rPr>
        <w:t> </w:t>
      </w:r>
      <w:r>
        <w:rPr>
          <w:spacing w:val="-1"/>
        </w:rPr>
        <w:t>计量减值准备。对有确凿证据表明可收回性存在明显差异的约定购回业务及股票质押回购业务，单</w:t>
      </w:r>
      <w:r>
        <w:rPr>
          <w:spacing w:val="-20"/>
        </w:rPr>
        <w:t> </w:t>
      </w:r>
      <w:r>
        <w:rPr>
          <w:spacing w:val="-20"/>
        </w:rPr>
      </w:r>
      <w:r>
        <w:rPr>
          <w:spacing w:val="-1"/>
        </w:rPr>
        <w:t>独进行减值测试并根据其未来现金流量现值低于其账面价值的差额计提减值准备；对未有确凿证据</w:t>
      </w:r>
      <w:r>
        <w:rPr>
          <w:spacing w:val="-20"/>
        </w:rPr>
        <w:t> </w:t>
      </w:r>
      <w:r>
        <w:rPr>
          <w:spacing w:val="-20"/>
        </w:rPr>
      </w:r>
      <w:r>
        <w:rPr>
          <w:spacing w:val="-1"/>
        </w:rPr>
        <w:t>表明可收回性存在明显差异的约定购回业务及股票质押回购业务及虽然进行单独减值测试但并未发</w:t>
      </w:r>
      <w:r>
        <w:rPr>
          <w:spacing w:val="-20"/>
        </w:rPr>
        <w:t> </w:t>
      </w:r>
      <w:r>
        <w:rPr>
          <w:spacing w:val="-20"/>
        </w:rPr>
      </w:r>
      <w:r>
        <w:rPr/>
        <w:t>现减值的约定购回业务及股票质押回购业务，按照一定的比例组合计提减值准备。</w:t>
      </w:r>
    </w:p>
    <w:p>
      <w:pPr>
        <w:pStyle w:val="BodyText"/>
        <w:spacing w:line="357" w:lineRule="auto" w:before="30"/>
        <w:ind w:left="137" w:right="212" w:firstLine="420"/>
        <w:jc w:val="both"/>
      </w:pPr>
      <w:r>
        <w:rPr>
          <w:spacing w:val="-1"/>
        </w:rPr>
        <w:t>卖出回购交易是指按照合同或协议以一定的价格将相关的资产（包括债券、票据等）出售给交</w:t>
      </w:r>
      <w:r>
        <w:rPr>
          <w:w w:val="100"/>
        </w:rPr>
        <w:t> </w:t>
      </w:r>
      <w:r>
        <w:rPr>
          <w:spacing w:val="-1"/>
        </w:rPr>
        <w:t>易对手，到合同或协议到期日，再以约定价格回购相同之金融产品。卖出回购按卖出回购相关资产</w:t>
      </w:r>
      <w:r>
        <w:rPr>
          <w:spacing w:val="-20"/>
        </w:rPr>
        <w:t> </w:t>
      </w:r>
      <w:r>
        <w:rPr>
          <w:spacing w:val="-20"/>
        </w:rPr>
      </w:r>
      <w:r>
        <w:rPr>
          <w:spacing w:val="-1"/>
        </w:rPr>
        <w:t>时实际收到的款项入账，在资产负债表“卖出回购金融资产款”项目列示。卖出的金融产品仍按原</w:t>
      </w:r>
      <w:r>
        <w:rPr>
          <w:spacing w:val="-20"/>
        </w:rPr>
        <w:t> </w:t>
      </w:r>
      <w:r>
        <w:rPr>
          <w:spacing w:val="-20"/>
        </w:rPr>
      </w:r>
      <w:r>
        <w:rPr/>
        <w:t>分类列于公司的资产负债表内，并按照相关的会计政策核算。</w:t>
      </w:r>
    </w:p>
    <w:p>
      <w:pPr>
        <w:pStyle w:val="BodyText"/>
        <w:spacing w:line="355" w:lineRule="auto" w:before="31"/>
        <w:ind w:left="137" w:right="214" w:firstLine="420"/>
        <w:jc w:val="both"/>
      </w:pPr>
      <w:r>
        <w:rPr>
          <w:spacing w:val="-1"/>
        </w:rPr>
        <w:t>买入返售及卖出回购的利息收支，在返售或回购期间内以实际利率确认。实际利率与合同约定</w:t>
      </w:r>
      <w:r>
        <w:rPr>
          <w:w w:val="100"/>
        </w:rPr>
        <w:t> </w:t>
      </w:r>
      <w:r>
        <w:rPr/>
        <w:t>利率差别较小的，按合同约定利率计算利息收支。</w:t>
      </w:r>
    </w:p>
    <w:p>
      <w:pPr>
        <w:pStyle w:val="BodyText"/>
        <w:spacing w:line="355" w:lineRule="auto" w:before="34"/>
        <w:ind w:left="557" w:right="0"/>
        <w:jc w:val="left"/>
      </w:pPr>
      <w:r>
        <w:rPr>
          <w:rFonts w:ascii="宋体" w:hAnsi="宋体" w:cs="宋体" w:eastAsia="宋体" w:hint="default"/>
        </w:rPr>
        <w:t>(5) </w:t>
      </w:r>
      <w:r>
        <w:rPr/>
        <w:t>客户资产管理业务核算方法</w:t>
      </w:r>
      <w:r>
        <w:rPr>
          <w:w w:val="100"/>
        </w:rPr>
        <w:t> </w:t>
      </w:r>
      <w:r>
        <w:rPr>
          <w:spacing w:val="-1"/>
        </w:rPr>
        <w:t>公司客户资产管理业务分为定向资产管理业务、集合资产管理业务、专项资产管理业务及公募</w:t>
      </w:r>
    </w:p>
    <w:p>
      <w:pPr>
        <w:pStyle w:val="BodyText"/>
        <w:spacing w:line="240" w:lineRule="auto" w:before="32"/>
        <w:ind w:left="137" w:right="0"/>
        <w:jc w:val="left"/>
      </w:pPr>
      <w:r>
        <w:rPr/>
        <w:t>基金业务。</w:t>
      </w:r>
    </w:p>
    <w:p>
      <w:pPr>
        <w:pStyle w:val="BodyText"/>
        <w:spacing w:line="357" w:lineRule="auto" w:before="133"/>
        <w:ind w:left="137" w:right="211" w:firstLine="420"/>
        <w:jc w:val="right"/>
      </w:pPr>
      <w:r>
        <w:rPr>
          <w:spacing w:val="-1"/>
        </w:rPr>
        <w:t>公司对所管理的不同资产管理计划以每个产品为会计核算主体，单独建账、独立核算，单独编</w:t>
      </w:r>
      <w:r>
        <w:rPr>
          <w:w w:val="100"/>
        </w:rPr>
        <w:t> </w:t>
      </w:r>
      <w:r>
        <w:rPr>
          <w:spacing w:val="-6"/>
        </w:rPr>
        <w:t>制财务报告。不同资产管理计划之间在名册登记、账户设置、资金划拨、账簿记录等方面相互独立。</w:t>
      </w:r>
      <w:r>
        <w:rPr>
          <w:spacing w:val="-39"/>
        </w:rPr>
        <w:t> </w:t>
      </w:r>
      <w:r>
        <w:rPr>
          <w:spacing w:val="-39"/>
        </w:rPr>
      </w:r>
      <w:r>
        <w:rPr>
          <w:spacing w:val="-1"/>
        </w:rPr>
        <w:t>资产管理业务形成的资产和负债不在公司资产负债表内反映，在财务报表附注中列示，详见本</w:t>
      </w:r>
    </w:p>
    <w:p>
      <w:pPr>
        <w:pStyle w:val="BodyText"/>
        <w:spacing w:line="355" w:lineRule="auto" w:before="30"/>
        <w:ind w:left="557" w:right="4069" w:hanging="420"/>
        <w:jc w:val="left"/>
      </w:pPr>
      <w:r>
        <w:rPr>
          <w:spacing w:val="-2"/>
        </w:rPr>
        <w:t>财务报表附注其他重要事项之受托客户资产管理业务。</w:t>
      </w:r>
      <w:r>
        <w:rPr>
          <w:spacing w:val="-59"/>
        </w:rPr>
        <w:t> </w:t>
      </w:r>
      <w:r>
        <w:rPr>
          <w:spacing w:val="-59"/>
        </w:rPr>
      </w:r>
      <w:r>
        <w:rPr>
          <w:rFonts w:ascii="宋体" w:hAnsi="宋体" w:cs="宋体" w:eastAsia="宋体" w:hint="default"/>
        </w:rPr>
        <w:t>(6) </w:t>
      </w:r>
      <w:r>
        <w:rPr/>
        <w:t>转融通业务核算方法</w:t>
      </w:r>
    </w:p>
    <w:p>
      <w:pPr>
        <w:spacing w:after="0" w:line="355" w:lineRule="auto"/>
        <w:jc w:val="left"/>
        <w:sectPr>
          <w:footerReference w:type="default" r:id="rId56"/>
          <w:pgSz w:w="11910" w:h="16840"/>
          <w:pgMar w:footer="1195" w:header="882" w:top="1120" w:bottom="1380" w:left="1140" w:right="1340"/>
          <w:pgNumType w:start="137"/>
        </w:sectPr>
      </w:pPr>
    </w:p>
    <w:p>
      <w:pPr>
        <w:spacing w:line="240" w:lineRule="auto" w:before="9"/>
        <w:rPr>
          <w:rFonts w:ascii="宋体" w:hAnsi="宋体" w:cs="宋体" w:eastAsia="宋体" w:hint="default"/>
          <w:sz w:val="18"/>
          <w:szCs w:val="18"/>
        </w:rPr>
      </w:pPr>
    </w:p>
    <w:p>
      <w:pPr>
        <w:pStyle w:val="BodyText"/>
        <w:spacing w:line="355" w:lineRule="auto" w:before="36"/>
        <w:ind w:left="137" w:right="112" w:firstLine="420"/>
        <w:jc w:val="both"/>
      </w:pPr>
      <w:r>
        <w:rPr>
          <w:spacing w:val="-1"/>
        </w:rPr>
        <w:t>公司通过证券金融公司转融通业务融入资金或证券的，对融入的资金确认为一项资产，同时确</w:t>
      </w:r>
      <w:r>
        <w:rPr>
          <w:w w:val="100"/>
        </w:rPr>
        <w:t> </w:t>
      </w:r>
      <w:r>
        <w:rPr>
          <w:spacing w:val="-1"/>
        </w:rPr>
        <w:t>认一项对借出方的负债，转融通业务产生的利息费用计入当期损益；对融入的证券，由于其主要收</w:t>
      </w:r>
      <w:r>
        <w:rPr>
          <w:spacing w:val="-20"/>
        </w:rPr>
        <w:t> </w:t>
      </w:r>
      <w:r>
        <w:rPr>
          <w:spacing w:val="-20"/>
        </w:rPr>
      </w:r>
      <w:r>
        <w:rPr/>
        <w:t>益或风险不由公司享有或承担，不将其计入资产负债表。</w:t>
      </w:r>
    </w:p>
    <w:p>
      <w:pPr>
        <w:pStyle w:val="BodyText"/>
        <w:spacing w:line="355" w:lineRule="auto" w:before="34"/>
        <w:ind w:left="557" w:right="0"/>
        <w:jc w:val="left"/>
      </w:pPr>
      <w:r>
        <w:rPr>
          <w:rFonts w:ascii="宋体" w:hAnsi="宋体" w:cs="宋体" w:eastAsia="宋体" w:hint="default"/>
        </w:rPr>
        <w:t>(7) </w:t>
      </w:r>
      <w:r>
        <w:rPr/>
        <w:t>协议安排业务核算方法</w:t>
      </w:r>
      <w:r>
        <w:rPr>
          <w:w w:val="100"/>
        </w:rPr>
        <w:t> </w:t>
      </w:r>
      <w:r>
        <w:rPr>
          <w:spacing w:val="-1"/>
        </w:rPr>
        <w:t>公司通过协议安排将自身所持有证券价格波动的风险和报酬转移给他方的，根据《企业会计准</w:t>
      </w:r>
    </w:p>
    <w:p>
      <w:pPr>
        <w:pStyle w:val="BodyText"/>
        <w:spacing w:line="357" w:lineRule="auto" w:before="32"/>
        <w:ind w:left="137" w:right="111"/>
        <w:jc w:val="both"/>
      </w:pPr>
      <w:r>
        <w:rPr/>
        <w:t>则第</w:t>
      </w:r>
      <w:r>
        <w:rPr>
          <w:spacing w:val="-18"/>
        </w:rPr>
        <w:t> </w:t>
      </w:r>
      <w:r>
        <w:rPr>
          <w:rFonts w:ascii="宋体" w:hAnsi="宋体" w:cs="宋体" w:eastAsia="宋体" w:hint="default"/>
        </w:rPr>
        <w:t>23</w:t>
      </w:r>
      <w:r>
        <w:rPr>
          <w:rFonts w:ascii="宋体" w:hAnsi="宋体" w:cs="宋体" w:eastAsia="宋体" w:hint="default"/>
          <w:spacing w:val="-18"/>
        </w:rPr>
        <w:t> </w:t>
      </w:r>
      <w:r>
        <w:rPr>
          <w:spacing w:val="-4"/>
        </w:rPr>
        <w:t>号——金融资产转移》的相关规定判断是否应终止确认相关证券；反之，公司虽然名义上未</w:t>
      </w:r>
      <w:r>
        <w:rPr>
          <w:spacing w:val="-90"/>
        </w:rPr>
        <w:t> </w:t>
      </w:r>
      <w:r>
        <w:rPr>
          <w:spacing w:val="-90"/>
        </w:rPr>
      </w:r>
      <w:r>
        <w:rPr>
          <w:spacing w:val="-1"/>
        </w:rPr>
        <w:t>持有证券，但通过协议安排在实质上承担了该证券价格波动的风险和报酬的，根据《企业会计准则</w:t>
      </w:r>
      <w:r>
        <w:rPr>
          <w:spacing w:val="-20"/>
        </w:rPr>
        <w:t> </w:t>
      </w:r>
      <w:r>
        <w:rPr>
          <w:spacing w:val="-20"/>
        </w:rPr>
      </w:r>
      <w:r>
        <w:rPr/>
        <w:t>第</w:t>
      </w:r>
      <w:r>
        <w:rPr>
          <w:spacing w:val="-56"/>
        </w:rPr>
        <w:t> </w:t>
      </w:r>
      <w:r>
        <w:rPr>
          <w:rFonts w:ascii="宋体" w:hAnsi="宋体" w:cs="宋体" w:eastAsia="宋体" w:hint="default"/>
        </w:rPr>
        <w:t>22</w:t>
      </w:r>
      <w:r>
        <w:rPr>
          <w:rFonts w:ascii="宋体" w:hAnsi="宋体" w:cs="宋体" w:eastAsia="宋体" w:hint="default"/>
          <w:spacing w:val="-58"/>
        </w:rPr>
        <w:t> </w:t>
      </w:r>
      <w:r>
        <w:rPr/>
        <w:t>号——金融工具确认和计量》的相关规定判断是否应确认一项金融资产或负债。</w:t>
      </w:r>
    </w:p>
    <w:p>
      <w:pPr>
        <w:pStyle w:val="BodyText"/>
        <w:spacing w:line="355" w:lineRule="auto" w:before="31"/>
        <w:ind w:left="557" w:right="0"/>
        <w:jc w:val="left"/>
      </w:pPr>
      <w:r>
        <w:rPr>
          <w:rFonts w:ascii="宋体" w:hAnsi="宋体" w:cs="宋体" w:eastAsia="宋体" w:hint="default"/>
        </w:rPr>
        <w:t>(8)</w:t>
      </w:r>
      <w:r>
        <w:rPr>
          <w:rFonts w:ascii="宋体" w:hAnsi="宋体" w:cs="宋体" w:eastAsia="宋体" w:hint="default"/>
          <w:spacing w:val="-1"/>
        </w:rPr>
        <w:t> </w:t>
      </w:r>
      <w:r>
        <w:rPr/>
        <w:t>发起设立或发行产品业务核算方法</w:t>
      </w:r>
      <w:r>
        <w:rPr>
          <w:w w:val="100"/>
        </w:rPr>
        <w:t> </w:t>
      </w:r>
      <w:r>
        <w:rPr>
          <w:spacing w:val="-1"/>
        </w:rPr>
        <w:t>公司发起设立资产管理分级产品，并以自有资金认购次级部分，依据管理层持有意图，通过相</w:t>
      </w:r>
    </w:p>
    <w:p>
      <w:pPr>
        <w:pStyle w:val="BodyText"/>
        <w:spacing w:line="355" w:lineRule="auto" w:before="32"/>
        <w:ind w:left="557" w:right="0" w:hanging="420"/>
        <w:jc w:val="left"/>
      </w:pPr>
      <w:r>
        <w:rPr/>
        <w:t>关金融资产科目核算自有资金认购部分，并根据承担风险的程度，确认相应的预计负债。</w:t>
      </w:r>
      <w:r>
        <w:rPr>
          <w:w w:val="100"/>
        </w:rPr>
        <w:t> </w:t>
      </w:r>
      <w:r>
        <w:rPr>
          <w:spacing w:val="-6"/>
          <w:w w:val="100"/>
        </w:rPr>
        <w:t>向客户发行的各类产品（非资产管理产品），通过产品销售合同等文件或交易模式等方法，承诺</w:t>
      </w:r>
    </w:p>
    <w:p>
      <w:pPr>
        <w:pStyle w:val="BodyText"/>
        <w:spacing w:line="355" w:lineRule="auto" w:before="34"/>
        <w:ind w:left="557" w:right="990" w:hanging="420"/>
        <w:jc w:val="left"/>
      </w:pPr>
      <w:r>
        <w:rPr>
          <w:spacing w:val="-2"/>
        </w:rPr>
        <w:t>或保证本金安全的，判断该项业务的实质，如属于融资业务的，纳入资产负债表核算。</w:t>
      </w:r>
      <w:r>
        <w:rPr>
          <w:spacing w:val="-32"/>
        </w:rPr>
        <w:t> </w:t>
      </w:r>
      <w:r>
        <w:rPr>
          <w:spacing w:val="-32"/>
        </w:rPr>
      </w:r>
      <w:r>
        <w:rPr>
          <w:rFonts w:ascii="宋体" w:hAnsi="宋体" w:cs="宋体" w:eastAsia="宋体" w:hint="default"/>
        </w:rPr>
        <w:t>(9)</w:t>
      </w:r>
      <w:r>
        <w:rPr>
          <w:rFonts w:ascii="宋体" w:hAnsi="宋体" w:cs="宋体" w:eastAsia="宋体" w:hint="default"/>
          <w:spacing w:val="-2"/>
        </w:rPr>
        <w:t> </w:t>
      </w:r>
      <w:r>
        <w:rPr/>
        <w:t>一般风险准备金和交易风险准备金</w:t>
      </w:r>
    </w:p>
    <w:p>
      <w:pPr>
        <w:pStyle w:val="BodyText"/>
        <w:spacing w:line="355" w:lineRule="auto" w:before="32"/>
        <w:ind w:left="137" w:right="0" w:firstLine="420"/>
        <w:jc w:val="left"/>
      </w:pPr>
      <w:r>
        <w:rPr>
          <w:spacing w:val="-1"/>
        </w:rPr>
        <w:t>本公司按当年实现净利润的一定比例分别计提一般风险准备和交易风险准备金，按公募基金管</w:t>
      </w:r>
      <w:r>
        <w:rPr>
          <w:w w:val="100"/>
        </w:rPr>
        <w:t> </w:t>
      </w:r>
      <w:r>
        <w:rPr/>
        <w:t>理费收入的一定比例计提一般风险准备。</w:t>
      </w:r>
    </w:p>
    <w:p>
      <w:pPr>
        <w:pStyle w:val="BodyText"/>
        <w:spacing w:line="357" w:lineRule="auto" w:before="32"/>
        <w:ind w:left="557" w:right="0"/>
        <w:jc w:val="left"/>
      </w:pPr>
      <w:r>
        <w:rPr>
          <w:rFonts w:ascii="宋体" w:hAnsi="宋体" w:cs="宋体" w:eastAsia="宋体" w:hint="default"/>
        </w:rPr>
        <w:t>(10) </w:t>
      </w:r>
      <w:r>
        <w:rPr/>
        <w:t>分部报告</w:t>
      </w:r>
      <w:r>
        <w:rPr>
          <w:spacing w:val="-104"/>
        </w:rPr>
        <w:t> </w:t>
      </w:r>
      <w:r>
        <w:rPr>
          <w:spacing w:val="-104"/>
        </w:rPr>
      </w:r>
      <w:r>
        <w:rPr>
          <w:spacing w:val="-1"/>
        </w:rPr>
        <w:t>本公司以内部组织结构、管理要求、内部报告制度为依据确定经营分部，本公司的经营分部是</w:t>
      </w:r>
    </w:p>
    <w:p>
      <w:pPr>
        <w:pStyle w:val="BodyText"/>
        <w:spacing w:line="240" w:lineRule="auto" w:before="30"/>
        <w:ind w:left="137" w:right="0"/>
        <w:jc w:val="left"/>
      </w:pPr>
      <w:r>
        <w:rPr/>
        <w:t>指同时满足下列条件的组成部分：</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3"/>
        <w:ind w:left="557" w:right="0"/>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355" w:lineRule="auto" w:before="135"/>
        <w:ind w:left="557" w:right="0"/>
        <w:jc w:val="left"/>
      </w:pPr>
      <w:r>
        <w:rPr>
          <w:rFonts w:ascii="宋体" w:hAnsi="宋体" w:cs="宋体" w:eastAsia="宋体" w:hint="default"/>
        </w:rPr>
        <w:t>3)</w:t>
      </w:r>
      <w:r>
        <w:rPr>
          <w:rFonts w:ascii="宋体" w:hAnsi="宋体" w:cs="宋体" w:eastAsia="宋体" w:hint="default"/>
          <w:spacing w:val="-1"/>
        </w:rPr>
        <w:t> </w:t>
      </w:r>
      <w:r>
        <w:rPr/>
        <w:t>能够取得该组成部分的财务状况、经营成果和现金流量等有关会计信息。</w:t>
      </w:r>
      <w:r>
        <w:rPr>
          <w:w w:val="100"/>
        </w:rPr>
        <w:t> </w:t>
      </w:r>
      <w:r>
        <w:rPr>
          <w:spacing w:val="-6"/>
          <w:w w:val="100"/>
        </w:rPr>
        <w:t>当存在相似经济特征的两个或多个经营分部，同时满足下列条件的，可以合并为一个经营分部：</w:t>
      </w:r>
      <w:r>
        <w:rPr>
          <w:spacing w:val="-85"/>
          <w:w w:val="100"/>
        </w:rPr>
        <w:t> </w:t>
      </w:r>
      <w:r>
        <w:rPr>
          <w:spacing w:val="-85"/>
          <w:w w:val="100"/>
        </w:rPr>
      </w:r>
      <w:r>
        <w:rPr>
          <w:rFonts w:ascii="宋体" w:hAnsi="宋体" w:cs="宋体" w:eastAsia="宋体" w:hint="default"/>
        </w:rPr>
        <w:t>1)</w:t>
      </w:r>
      <w:r>
        <w:rPr>
          <w:rFonts w:ascii="宋体" w:hAnsi="宋体" w:cs="宋体" w:eastAsia="宋体" w:hint="default"/>
          <w:spacing w:val="-3"/>
        </w:rPr>
        <w:t> </w:t>
      </w:r>
      <w:r>
        <w:rPr/>
        <w:t>各单项产品或劳务的性质相同或相似；</w:t>
      </w:r>
    </w:p>
    <w:p>
      <w:pPr>
        <w:pStyle w:val="BodyText"/>
        <w:spacing w:line="240" w:lineRule="auto" w:before="33"/>
        <w:ind w:left="557" w:right="0"/>
        <w:jc w:val="left"/>
      </w:pPr>
      <w:r>
        <w:rPr>
          <w:rFonts w:ascii="宋体" w:hAnsi="宋体" w:cs="宋体" w:eastAsia="宋体" w:hint="default"/>
        </w:rPr>
        <w:t>2)</w:t>
      </w:r>
      <w:r>
        <w:rPr>
          <w:rFonts w:ascii="宋体" w:hAnsi="宋体" w:cs="宋体" w:eastAsia="宋体" w:hint="default"/>
          <w:spacing w:val="-2"/>
        </w:rPr>
        <w:t> </w:t>
      </w:r>
      <w:r>
        <w:rPr/>
        <w:t>生产过程的性质相同或相似；</w:t>
      </w:r>
    </w:p>
    <w:p>
      <w:pPr>
        <w:pStyle w:val="BodyText"/>
        <w:spacing w:line="240" w:lineRule="auto" w:before="133"/>
        <w:ind w:left="557" w:right="0"/>
        <w:jc w:val="left"/>
      </w:pPr>
      <w:r>
        <w:rPr>
          <w:rFonts w:ascii="宋体" w:hAnsi="宋体" w:cs="宋体" w:eastAsia="宋体" w:hint="default"/>
        </w:rPr>
        <w:t>3)</w:t>
      </w:r>
      <w:r>
        <w:rPr>
          <w:rFonts w:ascii="宋体" w:hAnsi="宋体" w:cs="宋体" w:eastAsia="宋体" w:hint="default"/>
          <w:spacing w:val="-4"/>
        </w:rPr>
        <w:t> </w:t>
      </w:r>
      <w:r>
        <w:rPr/>
        <w:t>产品或劳务的客户类型相同或相似；</w:t>
      </w:r>
    </w:p>
    <w:p>
      <w:pPr>
        <w:pStyle w:val="BodyText"/>
        <w:spacing w:line="240" w:lineRule="auto" w:before="135"/>
        <w:ind w:left="557" w:right="0"/>
        <w:jc w:val="left"/>
      </w:pPr>
      <w:r>
        <w:rPr>
          <w:rFonts w:ascii="宋体" w:hAnsi="宋体" w:cs="宋体" w:eastAsia="宋体" w:hint="default"/>
        </w:rPr>
        <w:t>4)</w:t>
      </w:r>
      <w:r>
        <w:rPr>
          <w:rFonts w:ascii="宋体" w:hAnsi="宋体" w:cs="宋体" w:eastAsia="宋体" w:hint="default"/>
          <w:spacing w:val="-5"/>
        </w:rPr>
        <w:t> </w:t>
      </w:r>
      <w:r>
        <w:rPr/>
        <w:t>销售产品或提供劳务的方式相同或相似；</w:t>
      </w:r>
    </w:p>
    <w:p>
      <w:pPr>
        <w:pStyle w:val="BodyText"/>
        <w:spacing w:line="355" w:lineRule="auto" w:before="133"/>
        <w:ind w:left="557" w:right="0"/>
        <w:jc w:val="left"/>
      </w:pPr>
      <w:r>
        <w:rPr>
          <w:rFonts w:ascii="宋体" w:hAnsi="宋体" w:cs="宋体" w:eastAsia="宋体" w:hint="default"/>
        </w:rPr>
        <w:t>5)</w:t>
      </w:r>
      <w:r>
        <w:rPr>
          <w:rFonts w:ascii="宋体" w:hAnsi="宋体" w:cs="宋体" w:eastAsia="宋体" w:hint="default"/>
          <w:spacing w:val="-1"/>
        </w:rPr>
        <w:t> </w:t>
      </w:r>
      <w:r>
        <w:rPr/>
        <w:t>生产产品或提供劳务受法律、行政法规的影响相同或相似。</w:t>
      </w:r>
      <w:r>
        <w:rPr>
          <w:w w:val="100"/>
        </w:rPr>
        <w:t> </w:t>
      </w:r>
      <w:r>
        <w:rPr>
          <w:spacing w:val="-1"/>
        </w:rPr>
        <w:t>本公司以经营分部为基础确定报告分部，分部会计政策与合并财务报表会计政策一致。分部间</w:t>
      </w:r>
    </w:p>
    <w:p>
      <w:pPr>
        <w:pStyle w:val="BodyText"/>
        <w:spacing w:line="355" w:lineRule="auto" w:before="32"/>
        <w:ind w:left="137" w:right="112"/>
        <w:jc w:val="both"/>
      </w:pPr>
      <w:r>
        <w:rPr>
          <w:spacing w:val="-1"/>
        </w:rPr>
        <w:t>转移价格参照市场价格确定，与各分部共同使用的资产、相关的费用按照收入比例在不同的分部之</w:t>
      </w:r>
      <w:r>
        <w:rPr>
          <w:spacing w:val="-20"/>
        </w:rPr>
        <w:t> </w:t>
      </w:r>
      <w:r>
        <w:rPr>
          <w:spacing w:val="-20"/>
        </w:rPr>
      </w:r>
      <w:r>
        <w:rPr/>
        <w:t>间分配。</w:t>
      </w:r>
    </w:p>
    <w:p>
      <w:pPr>
        <w:spacing w:after="0" w:line="355" w:lineRule="auto"/>
        <w:jc w:val="both"/>
        <w:sectPr>
          <w:pgSz w:w="11910" w:h="16840"/>
          <w:pgMar w:header="882" w:footer="1195" w:top="1120" w:bottom="1380" w:left="1140" w:right="1440"/>
        </w:sectPr>
      </w:pPr>
    </w:p>
    <w:p>
      <w:pPr>
        <w:spacing w:line="240" w:lineRule="auto" w:before="9"/>
        <w:rPr>
          <w:rFonts w:ascii="宋体" w:hAnsi="宋体" w:cs="宋体" w:eastAsia="宋体" w:hint="default"/>
          <w:sz w:val="18"/>
          <w:szCs w:val="18"/>
        </w:rPr>
      </w:pPr>
    </w:p>
    <w:p>
      <w:pPr>
        <w:pStyle w:val="Heading5"/>
        <w:spacing w:line="290" w:lineRule="auto" w:before="36"/>
        <w:ind w:left="217" w:right="5915"/>
        <w:jc w:val="left"/>
        <w:rPr>
          <w:b w:val="0"/>
          <w:bCs w:val="0"/>
        </w:rPr>
      </w:pPr>
      <w:r>
        <w:rPr>
          <w:rFonts w:ascii="宋体" w:hAnsi="宋体" w:cs="宋体" w:eastAsia="宋体" w:hint="default"/>
        </w:rPr>
        <w:t>35.</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3"/>
        <w:gridCol w:w="2912"/>
        <w:gridCol w:w="3065"/>
      </w:tblGrid>
      <w:tr>
        <w:trPr>
          <w:trHeight w:val="557"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称和金额</w:t>
            </w:r>
            <w:r>
              <w:rPr>
                <w:rFonts w:ascii="宋体" w:hAnsi="宋体" w:cs="宋体" w:eastAsia="宋体" w:hint="default"/>
                <w:sz w:val="21"/>
                <w:szCs w:val="21"/>
              </w:rPr>
              <w:t>)</w:t>
            </w:r>
          </w:p>
        </w:tc>
      </w:tr>
      <w:tr>
        <w:trPr>
          <w:trHeight w:val="2461"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本公司参照《财政部关于修订印发</w:t>
            </w:r>
          </w:p>
          <w:p>
            <w:pPr>
              <w:pStyle w:val="TableParagraph"/>
              <w:spacing w:line="357" w:lineRule="auto" w:before="133"/>
              <w:ind w:left="103" w:right="149"/>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年度一般企业财务报表格式</w:t>
            </w:r>
            <w:r>
              <w:rPr>
                <w:rFonts w:ascii="宋体" w:hAnsi="宋体" w:cs="宋体" w:eastAsia="宋体" w:hint="default"/>
                <w:w w:val="100"/>
                <w:sz w:val="21"/>
                <w:szCs w:val="21"/>
              </w:rPr>
              <w:t> </w:t>
            </w:r>
            <w:r>
              <w:rPr>
                <w:rFonts w:ascii="宋体" w:hAnsi="宋体" w:cs="宋体" w:eastAsia="宋体" w:hint="default"/>
                <w:sz w:val="21"/>
                <w:szCs w:val="21"/>
              </w:rPr>
              <w:t>的通知》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其解读和企业会计准则的要求编</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年度财务报表，此项会计</w:t>
            </w:r>
            <w:r>
              <w:rPr>
                <w:rFonts w:ascii="宋体" w:hAnsi="宋体" w:cs="宋体" w:eastAsia="宋体" w:hint="default"/>
                <w:w w:val="100"/>
                <w:sz w:val="21"/>
                <w:szCs w:val="21"/>
              </w:rPr>
              <w:t> </w:t>
            </w:r>
            <w:r>
              <w:rPr>
                <w:rFonts w:ascii="宋体" w:hAnsi="宋体" w:cs="宋体" w:eastAsia="宋体" w:hint="default"/>
                <w:sz w:val="21"/>
                <w:szCs w:val="21"/>
              </w:rPr>
              <w:t>政策变更采用追溯调整法。</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5"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第二届董事会第十八次会议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审议通过</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本次变更将</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年可比报表中</w:t>
            </w:r>
          </w:p>
          <w:p>
            <w:pPr>
              <w:pStyle w:val="TableParagraph"/>
              <w:spacing w:line="355" w:lineRule="auto" w:before="133"/>
              <w:ind w:left="103" w:right="98"/>
              <w:jc w:val="both"/>
              <w:rPr>
                <w:rFonts w:ascii="宋体" w:hAnsi="宋体" w:cs="宋体" w:eastAsia="宋体" w:hint="default"/>
                <w:sz w:val="21"/>
                <w:szCs w:val="21"/>
              </w:rPr>
            </w:pPr>
            <w:r>
              <w:rPr>
                <w:rFonts w:ascii="宋体" w:hAnsi="宋体" w:cs="宋体" w:eastAsia="宋体" w:hint="default"/>
                <w:spacing w:val="6"/>
                <w:sz w:val="21"/>
                <w:szCs w:val="21"/>
              </w:rPr>
              <w:t>收到的个税手续费返还从营业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外收入调整至其他收益，相应调</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增其他收益</w:t>
            </w:r>
            <w:r>
              <w:rPr>
                <w:rFonts w:ascii="宋体" w:hAnsi="宋体" w:cs="宋体" w:eastAsia="宋体" w:hint="default"/>
                <w:spacing w:val="-46"/>
                <w:sz w:val="21"/>
                <w:szCs w:val="21"/>
              </w:rPr>
              <w:t> </w:t>
            </w:r>
            <w:r>
              <w:rPr>
                <w:rFonts w:ascii="宋体" w:hAnsi="宋体" w:cs="宋体" w:eastAsia="宋体" w:hint="default"/>
                <w:sz w:val="21"/>
                <w:szCs w:val="21"/>
              </w:rPr>
              <w:t>5,333,100.70</w:t>
            </w:r>
            <w:r>
              <w:rPr>
                <w:rFonts w:ascii="宋体" w:hAnsi="宋体" w:cs="宋体" w:eastAsia="宋体" w:hint="default"/>
                <w:spacing w:val="-48"/>
                <w:sz w:val="21"/>
                <w:szCs w:val="21"/>
              </w:rPr>
              <w:t> </w:t>
            </w:r>
            <w:r>
              <w:rPr>
                <w:rFonts w:ascii="宋体" w:hAnsi="宋体" w:cs="宋体" w:eastAsia="宋体" w:hint="default"/>
                <w:sz w:val="21"/>
                <w:szCs w:val="21"/>
              </w:rPr>
              <w:t>元，</w:t>
            </w:r>
          </w:p>
          <w:p>
            <w:pPr>
              <w:pStyle w:val="TableParagraph"/>
              <w:spacing w:line="357" w:lineRule="auto" w:before="34"/>
              <w:ind w:left="103" w:right="98"/>
              <w:jc w:val="both"/>
              <w:rPr>
                <w:rFonts w:ascii="宋体" w:hAnsi="宋体" w:cs="宋体" w:eastAsia="宋体" w:hint="default"/>
                <w:sz w:val="21"/>
                <w:szCs w:val="21"/>
              </w:rPr>
            </w:pPr>
            <w:r>
              <w:rPr>
                <w:rFonts w:ascii="宋体" w:hAnsi="宋体" w:cs="宋体" w:eastAsia="宋体" w:hint="default"/>
                <w:sz w:val="21"/>
                <w:szCs w:val="21"/>
              </w:rPr>
              <w:t>调减营业外收入</w:t>
            </w:r>
            <w:r>
              <w:rPr>
                <w:rFonts w:ascii="宋体" w:hAnsi="宋体" w:cs="宋体" w:eastAsia="宋体" w:hint="default"/>
                <w:spacing w:val="13"/>
                <w:sz w:val="21"/>
                <w:szCs w:val="21"/>
              </w:rPr>
              <w:t> </w:t>
            </w:r>
            <w:r>
              <w:rPr>
                <w:rFonts w:ascii="宋体" w:hAnsi="宋体" w:cs="宋体" w:eastAsia="宋体" w:hint="default"/>
                <w:sz w:val="21"/>
                <w:szCs w:val="21"/>
              </w:rPr>
              <w:t>5,333,100.70</w:t>
            </w:r>
            <w:r>
              <w:rPr>
                <w:rFonts w:ascii="宋体" w:hAnsi="宋体" w:cs="宋体" w:eastAsia="宋体" w:hint="default"/>
                <w:w w:val="100"/>
                <w:sz w:val="21"/>
                <w:szCs w:val="21"/>
              </w:rPr>
              <w:t> </w:t>
            </w:r>
            <w:r>
              <w:rPr>
                <w:rFonts w:ascii="宋体" w:hAnsi="宋体" w:cs="宋体" w:eastAsia="宋体" w:hint="default"/>
                <w:sz w:val="21"/>
                <w:szCs w:val="21"/>
              </w:rPr>
              <w:t>元。</w:t>
            </w:r>
          </w:p>
        </w:tc>
      </w:tr>
      <w:tr>
        <w:trPr>
          <w:trHeight w:val="4913"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年度颁布了《企业</w:t>
            </w:r>
          </w:p>
          <w:p>
            <w:pPr>
              <w:pStyle w:val="TableParagraph"/>
              <w:spacing w:line="357" w:lineRule="auto" w:before="133"/>
              <w:ind w:left="103" w:right="43"/>
              <w:jc w:val="left"/>
              <w:rPr>
                <w:rFonts w:ascii="宋体" w:hAnsi="宋体" w:cs="宋体" w:eastAsia="宋体" w:hint="default"/>
                <w:sz w:val="21"/>
                <w:szCs w:val="21"/>
              </w:rPr>
            </w:pPr>
            <w:r>
              <w:rPr>
                <w:rFonts w:ascii="宋体" w:hAnsi="宋体" w:cs="宋体" w:eastAsia="宋体" w:hint="default"/>
                <w:sz w:val="21"/>
                <w:szCs w:val="21"/>
              </w:rPr>
              <w:t>会计准则解释第</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号——关于权</w:t>
            </w:r>
            <w:r>
              <w:rPr>
                <w:rFonts w:ascii="宋体" w:hAnsi="宋体" w:cs="宋体" w:eastAsia="宋体" w:hint="default"/>
                <w:w w:val="100"/>
                <w:sz w:val="21"/>
                <w:szCs w:val="21"/>
              </w:rPr>
              <w:t> </w:t>
            </w:r>
            <w:r>
              <w:rPr>
                <w:rFonts w:ascii="宋体" w:hAnsi="宋体" w:cs="宋体" w:eastAsia="宋体" w:hint="default"/>
                <w:spacing w:val="-2"/>
                <w:sz w:val="21"/>
                <w:szCs w:val="21"/>
              </w:rPr>
              <w:t>益法下投资净损失的会计处理》、</w:t>
            </w:r>
          </w:p>
          <w:p>
            <w:pPr>
              <w:pStyle w:val="TableParagraph"/>
              <w:spacing w:line="357" w:lineRule="auto" w:before="30"/>
              <w:ind w:left="103" w:right="98"/>
              <w:jc w:val="left"/>
              <w:rPr>
                <w:rFonts w:ascii="宋体" w:hAnsi="宋体" w:cs="宋体" w:eastAsia="宋体" w:hint="default"/>
                <w:sz w:val="21"/>
                <w:szCs w:val="21"/>
              </w:rPr>
            </w:pPr>
            <w:r>
              <w:rPr>
                <w:rFonts w:ascii="宋体" w:hAnsi="宋体" w:cs="宋体" w:eastAsia="宋体" w:hint="default"/>
                <w:sz w:val="21"/>
                <w:szCs w:val="21"/>
              </w:rPr>
              <w:t>《企业会计准则解释第</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关于以使用固定资产产生的收入</w:t>
            </w:r>
            <w:r>
              <w:rPr>
                <w:rFonts w:ascii="宋体" w:hAnsi="宋体" w:cs="宋体" w:eastAsia="宋体" w:hint="default"/>
                <w:w w:val="100"/>
                <w:sz w:val="21"/>
                <w:szCs w:val="21"/>
              </w:rPr>
              <w:t> </w:t>
            </w:r>
            <w:r>
              <w:rPr>
                <w:rFonts w:ascii="宋体" w:hAnsi="宋体" w:cs="宋体" w:eastAsia="宋体" w:hint="default"/>
                <w:spacing w:val="-5"/>
                <w:sz w:val="21"/>
                <w:szCs w:val="21"/>
              </w:rPr>
              <w:t>为基础的折旧方法》、《企业会计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准则解释第</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号——关于以使用</w:t>
            </w:r>
            <w:r>
              <w:rPr>
                <w:rFonts w:ascii="宋体" w:hAnsi="宋体" w:cs="宋体" w:eastAsia="宋体" w:hint="default"/>
                <w:w w:val="100"/>
                <w:sz w:val="21"/>
                <w:szCs w:val="21"/>
              </w:rPr>
              <w:t> </w:t>
            </w:r>
            <w:r>
              <w:rPr>
                <w:rFonts w:ascii="宋体" w:hAnsi="宋体" w:cs="宋体" w:eastAsia="宋体" w:hint="default"/>
                <w:sz w:val="21"/>
                <w:szCs w:val="21"/>
              </w:rPr>
              <w:t>无形资产产生的收入为基础的摊</w:t>
            </w:r>
            <w:r>
              <w:rPr>
                <w:rFonts w:ascii="宋体" w:hAnsi="宋体" w:cs="宋体" w:eastAsia="宋体" w:hint="default"/>
                <w:w w:val="100"/>
                <w:sz w:val="21"/>
                <w:szCs w:val="21"/>
              </w:rPr>
              <w:t> </w:t>
            </w:r>
            <w:r>
              <w:rPr>
                <w:rFonts w:ascii="宋体" w:hAnsi="宋体" w:cs="宋体" w:eastAsia="宋体" w:hint="default"/>
                <w:spacing w:val="-5"/>
                <w:sz w:val="21"/>
                <w:szCs w:val="21"/>
              </w:rPr>
              <w:t>销方法》及《企业会计准则解释第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号——关于关键管理人员服务</w:t>
            </w:r>
            <w:r>
              <w:rPr>
                <w:rFonts w:ascii="宋体" w:hAnsi="宋体" w:cs="宋体" w:eastAsia="宋体" w:hint="default"/>
                <w:w w:val="100"/>
                <w:sz w:val="21"/>
                <w:szCs w:val="21"/>
              </w:rPr>
              <w:t> </w:t>
            </w:r>
            <w:r>
              <w:rPr>
                <w:rFonts w:ascii="宋体" w:hAnsi="宋体" w:cs="宋体" w:eastAsia="宋体" w:hint="default"/>
                <w:sz w:val="21"/>
                <w:szCs w:val="21"/>
              </w:rPr>
              <w:t>的提供方与接受方是否为关联</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2912"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57" w:lineRule="auto"/>
              <w:ind w:left="103" w:right="98"/>
              <w:jc w:val="both"/>
              <w:rPr>
                <w:rFonts w:ascii="宋体" w:hAnsi="宋体" w:cs="宋体" w:eastAsia="宋体" w:hint="default"/>
                <w:sz w:val="21"/>
                <w:szCs w:val="21"/>
              </w:rPr>
            </w:pPr>
            <w:r>
              <w:rPr>
                <w:rFonts w:ascii="宋体" w:hAnsi="宋体" w:cs="宋体" w:eastAsia="宋体" w:hint="default"/>
                <w:sz w:val="21"/>
                <w:szCs w:val="21"/>
              </w:rPr>
              <w:t>公司自</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日起执行</w:t>
            </w:r>
            <w:r>
              <w:rPr>
                <w:rFonts w:ascii="宋体" w:hAnsi="宋体" w:cs="宋体" w:eastAsia="宋体" w:hint="default"/>
                <w:w w:val="100"/>
                <w:sz w:val="21"/>
                <w:szCs w:val="21"/>
              </w:rPr>
              <w:t> </w:t>
            </w:r>
            <w:r>
              <w:rPr>
                <w:rFonts w:ascii="宋体" w:hAnsi="宋体" w:cs="宋体" w:eastAsia="宋体" w:hint="default"/>
                <w:spacing w:val="-8"/>
                <w:w w:val="100"/>
                <w:sz w:val="21"/>
                <w:szCs w:val="21"/>
              </w:rPr>
              <w:t>上述企业会计准则解释，执行上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6"/>
                <w:sz w:val="21"/>
                <w:szCs w:val="21"/>
              </w:rPr>
              <w:t>述解释对公司期初财务数据无</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影响。</w:t>
            </w:r>
          </w:p>
        </w:tc>
      </w:tr>
    </w:tbl>
    <w:p>
      <w:pPr>
        <w:pStyle w:val="BodyText"/>
        <w:spacing w:line="241" w:lineRule="exact"/>
        <w:ind w:left="217" w:right="0"/>
        <w:jc w:val="left"/>
      </w:pPr>
      <w:r>
        <w:rPr/>
        <w:t>其他说明</w:t>
      </w:r>
    </w:p>
    <w:p>
      <w:pPr>
        <w:pStyle w:val="BodyText"/>
        <w:spacing w:line="240" w:lineRule="auto" w:before="133"/>
        <w:ind w:left="217" w:right="0"/>
        <w:jc w:val="left"/>
      </w:pPr>
      <w:r>
        <w:rPr>
          <w:w w:val="100"/>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217"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7"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5"/>
        <w:gridCol w:w="1898"/>
        <w:gridCol w:w="1892"/>
        <w:gridCol w:w="2485"/>
      </w:tblGrid>
      <w:tr>
        <w:trPr>
          <w:trHeight w:val="55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2"/>
              <w:jc w:val="right"/>
              <w:rPr>
                <w:rFonts w:ascii="宋体" w:hAnsi="宋体" w:cs="宋体" w:eastAsia="宋体" w:hint="default"/>
                <w:sz w:val="21"/>
                <w:szCs w:val="21"/>
              </w:rPr>
            </w:pPr>
            <w:r>
              <w:rPr>
                <w:rFonts w:ascii="宋体" w:hAnsi="宋体" w:cs="宋体" w:eastAsia="宋体" w:hint="default"/>
                <w:spacing w:val="-1"/>
                <w:sz w:val="21"/>
                <w:szCs w:val="21"/>
              </w:rPr>
              <w:t>开始适用的时点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项目名称和金额</w:t>
            </w:r>
            <w:r>
              <w:rPr>
                <w:rFonts w:ascii="宋体" w:hAnsi="宋体" w:cs="宋体" w:eastAsia="宋体" w:hint="default"/>
                <w:sz w:val="21"/>
                <w:szCs w:val="21"/>
              </w:rPr>
              <w:t>)</w:t>
            </w:r>
          </w:p>
        </w:tc>
      </w:tr>
      <w:tr>
        <w:trPr>
          <w:trHeight w:val="246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对合并范围内关联方往来，公</w:t>
            </w:r>
          </w:p>
          <w:p>
            <w:pPr>
              <w:pStyle w:val="TableParagraph"/>
              <w:spacing w:line="357" w:lineRule="auto" w:before="133"/>
              <w:ind w:left="103" w:right="166"/>
              <w:jc w:val="both"/>
              <w:rPr>
                <w:rFonts w:ascii="宋体" w:hAnsi="宋体" w:cs="宋体" w:eastAsia="宋体" w:hint="default"/>
                <w:sz w:val="21"/>
                <w:szCs w:val="21"/>
              </w:rPr>
            </w:pPr>
            <w:r>
              <w:rPr>
                <w:rFonts w:ascii="宋体" w:hAnsi="宋体" w:cs="宋体" w:eastAsia="宋体" w:hint="default"/>
                <w:spacing w:val="-2"/>
                <w:sz w:val="21"/>
                <w:szCs w:val="21"/>
              </w:rPr>
              <w:t>司由按账龄分析法计提坏账准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备变更为根据其未来现金流量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现值低于其账面价值的差额计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提坏账准备。此项会计估计变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更采用未来适用法。</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7" w:lineRule="auto"/>
              <w:ind w:left="103" w:right="98"/>
              <w:jc w:val="left"/>
              <w:rPr>
                <w:rFonts w:ascii="宋体" w:hAnsi="宋体" w:cs="宋体" w:eastAsia="宋体" w:hint="default"/>
                <w:sz w:val="21"/>
                <w:szCs w:val="21"/>
              </w:rPr>
            </w:pPr>
            <w:r>
              <w:rPr>
                <w:rFonts w:ascii="宋体" w:hAnsi="宋体" w:cs="宋体" w:eastAsia="宋体" w:hint="default"/>
                <w:sz w:val="21"/>
                <w:szCs w:val="21"/>
              </w:rPr>
              <w:t>第二届董事会第十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二次会议审议通过</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57" w:lineRule="auto"/>
              <w:ind w:left="103" w:right="98"/>
              <w:jc w:val="both"/>
              <w:rPr>
                <w:rFonts w:ascii="宋体" w:hAnsi="宋体" w:cs="宋体" w:eastAsia="宋体" w:hint="default"/>
                <w:sz w:val="21"/>
                <w:szCs w:val="21"/>
              </w:rPr>
            </w:pPr>
            <w:r>
              <w:rPr>
                <w:rFonts w:ascii="宋体" w:hAnsi="宋体" w:cs="宋体" w:eastAsia="宋体" w:hint="default"/>
                <w:spacing w:val="14"/>
                <w:sz w:val="21"/>
                <w:szCs w:val="21"/>
              </w:rPr>
              <w:t>本次会计估计变更对公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 </w:t>
            </w: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年度合并财务报</w:t>
            </w:r>
            <w:r>
              <w:rPr>
                <w:rFonts w:ascii="宋体" w:hAnsi="宋体" w:cs="宋体" w:eastAsia="宋体" w:hint="default"/>
                <w:w w:val="100"/>
                <w:sz w:val="21"/>
                <w:szCs w:val="21"/>
              </w:rPr>
              <w:t> </w:t>
            </w:r>
            <w:r>
              <w:rPr>
                <w:rFonts w:ascii="宋体" w:hAnsi="宋体" w:cs="宋体" w:eastAsia="宋体" w:hint="default"/>
                <w:sz w:val="21"/>
                <w:szCs w:val="21"/>
              </w:rPr>
              <w:t>表无影响。</w:t>
            </w:r>
          </w:p>
        </w:tc>
      </w:tr>
    </w:tbl>
    <w:p>
      <w:pPr>
        <w:spacing w:after="0" w:line="357" w:lineRule="auto"/>
        <w:jc w:val="both"/>
        <w:rPr>
          <w:rFonts w:ascii="宋体" w:hAnsi="宋体" w:cs="宋体" w:eastAsia="宋体" w:hint="default"/>
          <w:sz w:val="21"/>
          <w:szCs w:val="21"/>
        </w:rPr>
        <w:sectPr>
          <w:pgSz w:w="11910" w:h="16840"/>
          <w:pgMar w:header="882" w:footer="1195" w:top="1120" w:bottom="1380" w:left="1060" w:right="13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5"/>
        <w:gridCol w:w="1898"/>
        <w:gridCol w:w="1892"/>
        <w:gridCol w:w="2485"/>
      </w:tblGrid>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7" w:right="0"/>
        <w:jc w:val="left"/>
      </w:pPr>
      <w:r>
        <w:rPr/>
        <w:t>其他说明</w:t>
      </w:r>
    </w:p>
    <w:p>
      <w:pPr>
        <w:pStyle w:val="BodyText"/>
        <w:spacing w:line="273" w:lineRule="exact"/>
        <w:ind w:left="217" w:right="0"/>
        <w:jc w:val="left"/>
      </w:pPr>
      <w:r>
        <w:rPr>
          <w:w w:val="100"/>
        </w:rPr>
        <w:t>无</w:t>
      </w:r>
    </w:p>
    <w:p>
      <w:pPr>
        <w:spacing w:line="240" w:lineRule="auto" w:before="3"/>
        <w:rPr>
          <w:rFonts w:ascii="宋体" w:hAnsi="宋体" w:cs="宋体" w:eastAsia="宋体" w:hint="default"/>
          <w:sz w:val="25"/>
          <w:szCs w:val="25"/>
        </w:rPr>
      </w:pPr>
    </w:p>
    <w:p>
      <w:pPr>
        <w:pStyle w:val="Heading5"/>
        <w:spacing w:line="240" w:lineRule="auto"/>
        <w:ind w:left="217" w:right="0"/>
        <w:jc w:val="left"/>
        <w:rPr>
          <w:b w:val="0"/>
          <w:bCs w:val="0"/>
        </w:rPr>
      </w:pPr>
      <w:r>
        <w:rPr>
          <w:rFonts w:ascii="宋体" w:hAnsi="宋体" w:cs="宋体" w:eastAsia="宋体" w:hint="default"/>
        </w:rPr>
        <w:t>36.</w:t>
      </w:r>
      <w:r>
        <w:rPr>
          <w:rFonts w:ascii="宋体" w:hAnsi="宋体" w:cs="宋体" w:eastAsia="宋体" w:hint="default"/>
          <w:spacing w:val="2"/>
        </w:rPr>
        <w:t> </w:t>
      </w:r>
      <w:r>
        <w:rPr/>
        <w:t>其他</w:t>
      </w:r>
      <w:r>
        <w:rPr>
          <w:b w:val="0"/>
          <w:bCs w:val="0"/>
        </w:rPr>
      </w:r>
    </w:p>
    <w:p>
      <w:pPr>
        <w:pStyle w:val="BodyText"/>
        <w:spacing w:line="240" w:lineRule="auto" w:before="58"/>
        <w:ind w:left="21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7" w:right="0"/>
        <w:jc w:val="left"/>
        <w:rPr>
          <w:b w:val="0"/>
          <w:bCs w:val="0"/>
        </w:rPr>
      </w:pPr>
      <w:r>
        <w:rPr/>
        <w:t>六、税项</w:t>
      </w:r>
      <w:r>
        <w:rPr>
          <w:b w:val="0"/>
          <w:bCs w:val="0"/>
        </w:rPr>
      </w:r>
    </w:p>
    <w:p>
      <w:pPr>
        <w:tabs>
          <w:tab w:pos="641" w:val="left" w:leader="none"/>
        </w:tabs>
        <w:spacing w:line="290" w:lineRule="auto" w:before="56"/>
        <w:ind w:left="217" w:right="740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7"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48"/>
        <w:gridCol w:w="3783"/>
        <w:gridCol w:w="3358"/>
      </w:tblGrid>
      <w:tr>
        <w:trPr>
          <w:trHeight w:val="28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20"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w:t>
            </w:r>
          </w:p>
        </w:tc>
      </w:tr>
      <w:tr>
        <w:trPr>
          <w:trHeight w:val="123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54"/>
                <w:sz w:val="21"/>
                <w:szCs w:val="21"/>
              </w:rPr>
              <w:t> </w:t>
            </w:r>
            <w:r>
              <w:rPr>
                <w:rFonts w:ascii="宋体" w:hAnsi="宋体" w:cs="宋体" w:eastAsia="宋体" w:hint="default"/>
                <w:sz w:val="21"/>
                <w:szCs w:val="21"/>
              </w:rPr>
              <w:t>30%</w:t>
            </w:r>
          </w:p>
          <w:p>
            <w:pPr>
              <w:pStyle w:val="TableParagraph"/>
              <w:spacing w:line="355" w:lineRule="auto" w:before="133"/>
              <w:ind w:left="100" w:right="98"/>
              <w:jc w:val="left"/>
              <w:rPr>
                <w:rFonts w:ascii="宋体" w:hAnsi="宋体" w:cs="宋体" w:eastAsia="宋体" w:hint="default"/>
                <w:sz w:val="21"/>
                <w:szCs w:val="21"/>
              </w:rPr>
            </w:pPr>
            <w:r>
              <w:rPr>
                <w:rFonts w:ascii="宋体" w:hAnsi="宋体" w:cs="宋体" w:eastAsia="宋体" w:hint="default"/>
                <w:sz w:val="21"/>
                <w:szCs w:val="21"/>
              </w:rPr>
              <w:t>后余值的</w:t>
            </w:r>
            <w:r>
              <w:rPr>
                <w:rFonts w:ascii="宋体" w:hAnsi="宋体" w:cs="宋体" w:eastAsia="宋体" w:hint="default"/>
                <w:spacing w:val="-39"/>
                <w:sz w:val="21"/>
                <w:szCs w:val="21"/>
              </w:rPr>
              <w:t> </w:t>
            </w:r>
            <w:r>
              <w:rPr>
                <w:rFonts w:ascii="宋体" w:hAnsi="宋体" w:cs="宋体" w:eastAsia="宋体" w:hint="default"/>
                <w:spacing w:val="-5"/>
                <w:sz w:val="21"/>
                <w:szCs w:val="21"/>
              </w:rPr>
              <w:t>1.2%</w:t>
            </w:r>
            <w:r>
              <w:rPr>
                <w:rFonts w:ascii="宋体" w:hAnsi="宋体" w:cs="宋体" w:eastAsia="宋体" w:hint="default"/>
                <w:spacing w:val="-5"/>
                <w:sz w:val="21"/>
                <w:szCs w:val="21"/>
              </w:rPr>
              <w:t>计缴；从租计征的，按租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金收入的</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420"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418"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3%</w:t>
            </w:r>
          </w:p>
        </w:tc>
      </w:tr>
      <w:tr>
        <w:trPr>
          <w:trHeight w:val="420"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sz w:val="21"/>
              </w:rPr>
              <w:t>2%</w:t>
            </w:r>
          </w:p>
        </w:tc>
      </w:tr>
      <w:tr>
        <w:trPr>
          <w:trHeight w:val="418"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16.50%</w:t>
            </w:r>
            <w:r>
              <w:rPr>
                <w:rFonts w:ascii="宋体" w:hAnsi="宋体" w:cs="宋体" w:eastAsia="宋体" w:hint="default"/>
                <w:sz w:val="21"/>
                <w:szCs w:val="21"/>
              </w:rPr>
              <w:t>、</w:t>
            </w:r>
            <w:r>
              <w:rPr>
                <w:rFonts w:ascii="宋体" w:hAnsi="宋体" w:cs="宋体" w:eastAsia="宋体" w:hint="default"/>
                <w:sz w:val="21"/>
                <w:szCs w:val="21"/>
              </w:rPr>
              <w:t>25%</w:t>
            </w:r>
          </w:p>
        </w:tc>
      </w:tr>
    </w:tbl>
    <w:p>
      <w:pPr>
        <w:spacing w:line="240" w:lineRule="auto" w:before="7"/>
        <w:rPr>
          <w:rFonts w:ascii="宋体" w:hAnsi="宋体" w:cs="宋体" w:eastAsia="宋体" w:hint="default"/>
          <w:sz w:val="15"/>
          <w:szCs w:val="15"/>
        </w:rPr>
      </w:pPr>
    </w:p>
    <w:p>
      <w:pPr>
        <w:pStyle w:val="BodyText"/>
        <w:spacing w:line="273" w:lineRule="exact" w:before="36"/>
        <w:ind w:left="217" w:right="0"/>
        <w:jc w:val="left"/>
      </w:pPr>
      <w:r>
        <w:rPr/>
        <w:t>存在不同企业所得税税率纳税主体的，披露情况说明</w:t>
      </w:r>
    </w:p>
    <w:p>
      <w:pPr>
        <w:pStyle w:val="BodyText"/>
        <w:spacing w:line="273" w:lineRule="exact"/>
        <w:ind w:left="217"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497"/>
        <w:gridCol w:w="3793"/>
      </w:tblGrid>
      <w:tr>
        <w:trPr>
          <w:trHeight w:val="283" w:hRule="exact"/>
        </w:trPr>
        <w:tc>
          <w:tcPr>
            <w:tcW w:w="549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379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财通香港</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财通国际证券</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w:t>
            </w:r>
          </w:p>
        </w:tc>
      </w:tr>
      <w:tr>
        <w:trPr>
          <w:trHeight w:val="286"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财通国际资管</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财通国际投资</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16.50</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财通国际资本</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财通国际融资有限公司</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w:t>
            </w:r>
          </w:p>
        </w:tc>
      </w:tr>
      <w:tr>
        <w:trPr>
          <w:trHeight w:val="286"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Caitong Diversified Income</w:t>
            </w:r>
            <w:r>
              <w:rPr>
                <w:rFonts w:ascii="宋体"/>
                <w:spacing w:val="-5"/>
                <w:sz w:val="21"/>
              </w:rPr>
              <w:t> </w:t>
            </w:r>
            <w:r>
              <w:rPr>
                <w:rFonts w:ascii="宋体"/>
                <w:sz w:val="21"/>
              </w:rPr>
              <w:t>Ltd</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16.50</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合伙企业及纳入合并范围的结构化主体</w:t>
            </w:r>
          </w:p>
        </w:tc>
        <w:tc>
          <w:tcPr>
            <w:tcW w:w="37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r>
      <w:tr>
        <w:trPr>
          <w:trHeight w:val="286" w:hRule="exact"/>
        </w:trPr>
        <w:tc>
          <w:tcPr>
            <w:tcW w:w="549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379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25</w:t>
            </w:r>
          </w:p>
        </w:tc>
      </w:tr>
    </w:tbl>
    <w:p>
      <w:pPr>
        <w:spacing w:line="240" w:lineRule="auto" w:before="1"/>
        <w:rPr>
          <w:rFonts w:ascii="宋体" w:hAnsi="宋体" w:cs="宋体" w:eastAsia="宋体" w:hint="default"/>
          <w:sz w:val="23"/>
          <w:szCs w:val="23"/>
        </w:rPr>
      </w:pPr>
    </w:p>
    <w:p>
      <w:pPr>
        <w:pStyle w:val="Heading5"/>
        <w:tabs>
          <w:tab w:pos="641" w:val="left" w:leader="none"/>
        </w:tabs>
        <w:spacing w:line="240" w:lineRule="auto" w:before="36"/>
        <w:ind w:left="217"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6"/>
        <w:ind w:left="217" w:right="0"/>
        <w:jc w:val="left"/>
      </w:pPr>
      <w:r>
        <w:rPr/>
        <w:t>□适用 √不适用</w:t>
      </w:r>
    </w:p>
    <w:p>
      <w:pPr>
        <w:spacing w:line="240" w:lineRule="auto" w:before="3"/>
        <w:rPr>
          <w:rFonts w:ascii="宋体" w:hAnsi="宋体" w:cs="宋体" w:eastAsia="宋体" w:hint="default"/>
          <w:sz w:val="25"/>
          <w:szCs w:val="25"/>
        </w:rPr>
      </w:pPr>
    </w:p>
    <w:p>
      <w:pPr>
        <w:pStyle w:val="Heading5"/>
        <w:tabs>
          <w:tab w:pos="641" w:val="left" w:leader="none"/>
        </w:tabs>
        <w:spacing w:line="240" w:lineRule="auto"/>
        <w:ind w:left="217" w:right="0"/>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6"/>
        <w:ind w:left="217" w:right="0"/>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7"/>
          <w:pgSz w:w="11910" w:h="16840"/>
          <w:pgMar w:footer="1195" w:header="882" w:top="1120" w:bottom="1380" w:left="1060" w:right="1320"/>
        </w:sectPr>
      </w:pPr>
    </w:p>
    <w:p>
      <w:pPr>
        <w:pStyle w:val="Heading5"/>
        <w:spacing w:line="290" w:lineRule="auto" w:before="36"/>
        <w:ind w:left="21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217" w:right="0"/>
        <w:jc w:val="left"/>
      </w:pPr>
      <w:r>
        <w:rPr/>
        <w:t>单位：元</w:t>
      </w:r>
    </w:p>
    <w:p>
      <w:pPr>
        <w:spacing w:after="0" w:line="240" w:lineRule="auto"/>
        <w:jc w:val="left"/>
        <w:sectPr>
          <w:type w:val="continuous"/>
          <w:pgSz w:w="11910" w:h="16840"/>
          <w:pgMar w:top="1060" w:bottom="1380" w:left="1060" w:right="1320"/>
          <w:cols w:num="2" w:equalWidth="0">
            <w:col w:w="2752" w:space="5481"/>
            <w:col w:w="1297"/>
          </w:cols>
        </w:sectPr>
      </w:pPr>
    </w:p>
    <w:p>
      <w:pPr>
        <w:spacing w:line="240" w:lineRule="auto" w:before="0"/>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685"/>
        <w:gridCol w:w="1664"/>
        <w:gridCol w:w="874"/>
        <w:gridCol w:w="1829"/>
        <w:gridCol w:w="1517"/>
        <w:gridCol w:w="1162"/>
        <w:gridCol w:w="1894"/>
      </w:tblGrid>
      <w:tr>
        <w:trPr>
          <w:trHeight w:val="284"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5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612" w:hRule="exact"/>
        </w:trPr>
        <w:tc>
          <w:tcPr>
            <w:tcW w:w="1685" w:type="dxa"/>
            <w:vMerge/>
            <w:tcBorders>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0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15"/>
              <w:jc w:val="right"/>
              <w:rPr>
                <w:rFonts w:ascii="宋体" w:hAnsi="宋体" w:cs="宋体" w:eastAsia="宋体" w:hint="default"/>
                <w:sz w:val="21"/>
                <w:szCs w:val="21"/>
              </w:rPr>
            </w:pPr>
            <w:r>
              <w:rPr>
                <w:rFonts w:ascii="宋体" w:hAnsi="宋体" w:cs="宋体" w:eastAsia="宋体" w:hint="default"/>
                <w:sz w:val="21"/>
                <w:szCs w:val="21"/>
              </w:rPr>
              <w:t>折算率</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727" w:right="459" w:hanging="212"/>
              <w:jc w:val="left"/>
              <w:rPr>
                <w:rFonts w:ascii="宋体" w:hAnsi="宋体" w:cs="宋体" w:eastAsia="宋体" w:hint="default"/>
                <w:sz w:val="21"/>
                <w:szCs w:val="21"/>
              </w:rPr>
            </w:pPr>
            <w:r>
              <w:rPr>
                <w:rFonts w:ascii="宋体" w:hAnsi="宋体" w:cs="宋体" w:eastAsia="宋体" w:hint="default"/>
                <w:sz w:val="21"/>
                <w:szCs w:val="21"/>
              </w:rPr>
              <w:t>折人民币</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31"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5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732" w:right="518" w:hanging="212"/>
              <w:jc w:val="left"/>
              <w:rPr>
                <w:rFonts w:ascii="宋体" w:hAnsi="宋体" w:cs="宋体" w:eastAsia="宋体" w:hint="default"/>
                <w:sz w:val="21"/>
                <w:szCs w:val="21"/>
              </w:rPr>
            </w:pPr>
            <w:r>
              <w:rPr>
                <w:rFonts w:ascii="宋体" w:hAnsi="宋体" w:cs="宋体" w:eastAsia="宋体" w:hint="default"/>
                <w:sz w:val="21"/>
                <w:szCs w:val="21"/>
              </w:rPr>
              <w:t>折人民币</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28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167.26</w:t>
            </w:r>
          </w:p>
        </w:tc>
      </w:tr>
      <w:tr>
        <w:trPr>
          <w:trHeight w:val="28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7.26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167.26</w:t>
            </w:r>
          </w:p>
        </w:tc>
      </w:tr>
      <w:tr>
        <w:trPr>
          <w:trHeight w:val="28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10,100,664,994.20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10,401,348,188.13</w:t>
            </w:r>
          </w:p>
        </w:tc>
      </w:tr>
      <w:tr>
        <w:trPr>
          <w:trHeight w:val="28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其中：自有资金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1,828,411,378.13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1,849,625,900.70</w:t>
            </w:r>
          </w:p>
        </w:tc>
      </w:tr>
      <w:tr>
        <w:trPr>
          <w:trHeight w:val="28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1,693,720,597.66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1,711,501,663.48</w:t>
            </w: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14,554,325.09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6.8632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99,889,243.96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15,008,898.84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6.5342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98,071,146.80</w:t>
            </w: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5"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39,718,713.20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0.8762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34,801,536.51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47,916,126.84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0.8359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40,053,090.42</w:t>
            </w:r>
          </w:p>
        </w:tc>
      </w:tr>
      <w:tr>
        <w:trPr>
          <w:trHeight w:val="28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客户资金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8,272,253,616.07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8,551,722,287.43</w:t>
            </w:r>
          </w:p>
        </w:tc>
      </w:tr>
      <w:tr>
        <w:trPr>
          <w:trHeight w:val="28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7,971,939,435.02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8,293,873,290.42</w:t>
            </w:r>
          </w:p>
        </w:tc>
      </w:tr>
      <w:tr>
        <w:trPr>
          <w:trHeight w:val="28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10,620,004.42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6.8632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72,887,214.34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9,029,332.54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6.5342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58,999,464.68</w:t>
            </w:r>
          </w:p>
        </w:tc>
      </w:tr>
      <w:tr>
        <w:trPr>
          <w:trHeight w:val="28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259,560,564.62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0.8762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227,426,966.71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237,886,747.61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0.8359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198,849,532.33</w:t>
            </w:r>
          </w:p>
        </w:tc>
      </w:tr>
      <w:tr>
        <w:trPr>
          <w:trHeight w:val="28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10,100,665,001.46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10,401,348,355.39</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8"/>
          <w:pgSz w:w="11910" w:h="16840"/>
          <w:pgMar w:footer="1195" w:header="882" w:top="1120" w:bottom="1380" w:left="600" w:right="460"/>
          <w:pgNumType w:start="141"/>
        </w:sectPr>
      </w:pPr>
    </w:p>
    <w:p>
      <w:pPr>
        <w:pStyle w:val="BodyText"/>
        <w:spacing w:line="273" w:lineRule="exact" w:before="36"/>
        <w:ind w:left="677" w:right="0"/>
        <w:jc w:val="left"/>
      </w:pPr>
      <w:r>
        <w:rPr>
          <w:spacing w:val="-2"/>
        </w:rPr>
        <w:t>其中，融资融券业务：</w:t>
      </w:r>
    </w:p>
    <w:p>
      <w:pPr>
        <w:pStyle w:val="BodyText"/>
        <w:spacing w:line="273" w:lineRule="exact"/>
        <w:ind w:left="6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677" w:right="0"/>
        <w:jc w:val="left"/>
      </w:pPr>
      <w:r>
        <w:rPr/>
        <w:t>单位</w:t>
      </w:r>
      <w:r>
        <w:rPr>
          <w:rFonts w:ascii="宋体" w:hAnsi="宋体" w:cs="宋体" w:eastAsia="宋体" w:hint="default"/>
        </w:rPr>
        <w:t>:</w:t>
      </w:r>
      <w:r>
        <w:rPr/>
        <w:t>元</w:t>
      </w:r>
    </w:p>
    <w:p>
      <w:pPr>
        <w:spacing w:after="0" w:line="240" w:lineRule="auto"/>
        <w:jc w:val="left"/>
        <w:sectPr>
          <w:type w:val="continuous"/>
          <w:pgSz w:w="11910" w:h="16840"/>
          <w:pgMar w:top="1060" w:bottom="1380" w:left="600" w:right="460"/>
          <w:cols w:num="2" w:equalWidth="0">
            <w:col w:w="2780" w:space="5559"/>
            <w:col w:w="2511"/>
          </w:cols>
        </w:sectPr>
      </w:pPr>
    </w:p>
    <w:p>
      <w:pPr>
        <w:spacing w:line="240" w:lineRule="auto" w:before="4"/>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1568"/>
        <w:gridCol w:w="1018"/>
        <w:gridCol w:w="1021"/>
        <w:gridCol w:w="1745"/>
        <w:gridCol w:w="1018"/>
        <w:gridCol w:w="1166"/>
        <w:gridCol w:w="1755"/>
      </w:tblGrid>
      <w:tr>
        <w:trPr>
          <w:trHeight w:val="286" w:hRule="exact"/>
        </w:trPr>
        <w:tc>
          <w:tcPr>
            <w:tcW w:w="1568"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3"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939" w:type="dxa"/>
            <w:gridSpan w:val="3"/>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98" w:hRule="exact"/>
        </w:trPr>
        <w:tc>
          <w:tcPr>
            <w:tcW w:w="1568" w:type="dxa"/>
            <w:vMerge/>
            <w:tcBorders>
              <w:left w:val="single" w:sz="4"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1"/>
              <w:ind w:left="393" w:right="185" w:hanging="212"/>
              <w:jc w:val="left"/>
              <w:rPr>
                <w:rFonts w:ascii="宋体" w:hAnsi="宋体" w:cs="宋体" w:eastAsia="宋体" w:hint="default"/>
                <w:sz w:val="21"/>
                <w:szCs w:val="21"/>
              </w:rPr>
            </w:pPr>
            <w:r>
              <w:rPr>
                <w:rFonts w:ascii="宋体" w:hAnsi="宋体" w:cs="宋体" w:eastAsia="宋体" w:hint="default"/>
                <w:sz w:val="21"/>
                <w:szCs w:val="21"/>
              </w:rPr>
              <w:t>外币金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1"/>
              <w:ind w:left="681" w:right="415" w:hanging="212"/>
              <w:jc w:val="left"/>
              <w:rPr>
                <w:rFonts w:ascii="宋体" w:hAnsi="宋体" w:cs="宋体" w:eastAsia="宋体" w:hint="default"/>
                <w:sz w:val="21"/>
                <w:szCs w:val="21"/>
              </w:rPr>
            </w:pPr>
            <w:r>
              <w:rPr>
                <w:rFonts w:ascii="宋体" w:hAnsi="宋体" w:cs="宋体" w:eastAsia="宋体" w:hint="default"/>
                <w:sz w:val="21"/>
                <w:szCs w:val="21"/>
              </w:rPr>
              <w:t>折人民币</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1"/>
              <w:ind w:left="395" w:right="182" w:hanging="212"/>
              <w:jc w:val="left"/>
              <w:rPr>
                <w:rFonts w:ascii="宋体" w:hAnsi="宋体" w:cs="宋体" w:eastAsia="宋体" w:hint="default"/>
                <w:sz w:val="21"/>
                <w:szCs w:val="21"/>
              </w:rPr>
            </w:pPr>
            <w:r>
              <w:rPr>
                <w:rFonts w:ascii="宋体" w:hAnsi="宋体" w:cs="宋体" w:eastAsia="宋体" w:hint="default"/>
                <w:sz w:val="21"/>
                <w:szCs w:val="21"/>
              </w:rPr>
              <w:t>外币金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75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before="11"/>
              <w:ind w:left="658" w:right="451" w:hanging="212"/>
              <w:jc w:val="left"/>
              <w:rPr>
                <w:rFonts w:ascii="宋体" w:hAnsi="宋体" w:cs="宋体" w:eastAsia="宋体" w:hint="default"/>
                <w:sz w:val="21"/>
                <w:szCs w:val="21"/>
              </w:rPr>
            </w:pPr>
            <w:r>
              <w:rPr>
                <w:rFonts w:ascii="宋体" w:hAnsi="宋体" w:cs="宋体" w:eastAsia="宋体" w:hint="default"/>
                <w:sz w:val="21"/>
                <w:szCs w:val="21"/>
              </w:rPr>
              <w:t>折人民币</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288" w:hRule="exact"/>
        </w:trPr>
        <w:tc>
          <w:tcPr>
            <w:tcW w:w="15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自有信用资金</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
              <w:jc w:val="center"/>
              <w:rPr>
                <w:rFonts w:ascii="宋体" w:hAnsi="宋体" w:cs="宋体" w:eastAsia="宋体" w:hint="default"/>
                <w:sz w:val="21"/>
                <w:szCs w:val="21"/>
              </w:rPr>
            </w:pPr>
            <w:r>
              <w:rPr>
                <w:rFonts w:ascii="宋体"/>
                <w:w w:val="100"/>
                <w:sz w:val="21"/>
              </w:rPr>
              <w:t>/</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145,371.72</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46"/>
              <w:jc w:val="right"/>
              <w:rPr>
                <w:rFonts w:ascii="宋体" w:hAnsi="宋体" w:cs="宋体" w:eastAsia="宋体" w:hint="default"/>
                <w:sz w:val="21"/>
                <w:szCs w:val="21"/>
              </w:rPr>
            </w:pPr>
            <w:r>
              <w:rPr>
                <w:rFonts w:ascii="宋体"/>
                <w:w w:val="100"/>
                <w:sz w:val="21"/>
              </w:rPr>
              <w:t>/</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175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153,724.94</w:t>
            </w:r>
          </w:p>
        </w:tc>
      </w:tr>
      <w:tr>
        <w:trPr>
          <w:trHeight w:val="288" w:hRule="exact"/>
        </w:trPr>
        <w:tc>
          <w:tcPr>
            <w:tcW w:w="1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145,371.72</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6"/>
              <w:jc w:val="right"/>
              <w:rPr>
                <w:rFonts w:ascii="宋体" w:hAnsi="宋体" w:cs="宋体" w:eastAsia="宋体" w:hint="default"/>
                <w:sz w:val="21"/>
                <w:szCs w:val="21"/>
              </w:rPr>
            </w:pPr>
            <w:r>
              <w:rPr>
                <w:rFonts w:ascii="宋体"/>
                <w:w w:val="100"/>
                <w:sz w:val="21"/>
              </w:rPr>
              <w:t>/</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7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153,724.94</w:t>
            </w:r>
          </w:p>
        </w:tc>
      </w:tr>
      <w:tr>
        <w:trPr>
          <w:trHeight w:val="288" w:hRule="exact"/>
        </w:trPr>
        <w:tc>
          <w:tcPr>
            <w:tcW w:w="1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客户信用资金</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681,169,027.39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6"/>
              <w:jc w:val="right"/>
              <w:rPr>
                <w:rFonts w:ascii="宋体" w:hAnsi="宋体" w:cs="宋体" w:eastAsia="宋体" w:hint="default"/>
                <w:sz w:val="21"/>
                <w:szCs w:val="21"/>
              </w:rPr>
            </w:pPr>
            <w:r>
              <w:rPr>
                <w:rFonts w:ascii="宋体"/>
                <w:w w:val="100"/>
                <w:sz w:val="21"/>
              </w:rPr>
              <w:t>/</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7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806,292,919.75</w:t>
            </w:r>
          </w:p>
        </w:tc>
      </w:tr>
      <w:tr>
        <w:trPr>
          <w:trHeight w:val="288" w:hRule="exact"/>
        </w:trPr>
        <w:tc>
          <w:tcPr>
            <w:tcW w:w="1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681,169,027.39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6"/>
              <w:jc w:val="right"/>
              <w:rPr>
                <w:rFonts w:ascii="宋体" w:hAnsi="宋体" w:cs="宋体" w:eastAsia="宋体" w:hint="default"/>
                <w:sz w:val="21"/>
                <w:szCs w:val="21"/>
              </w:rPr>
            </w:pPr>
            <w:r>
              <w:rPr>
                <w:rFonts w:ascii="宋体"/>
                <w:w w:val="100"/>
                <w:sz w:val="21"/>
              </w:rPr>
              <w:t>/</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7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806,292,919.75</w:t>
            </w:r>
          </w:p>
        </w:tc>
      </w:tr>
    </w:tbl>
    <w:p>
      <w:pPr>
        <w:spacing w:line="240" w:lineRule="auto" w:before="4"/>
        <w:rPr>
          <w:rFonts w:ascii="宋体" w:hAnsi="宋体" w:cs="宋体" w:eastAsia="宋体" w:hint="default"/>
          <w:sz w:val="18"/>
          <w:szCs w:val="18"/>
        </w:rPr>
      </w:pPr>
    </w:p>
    <w:p>
      <w:pPr>
        <w:pStyle w:val="BodyText"/>
        <w:spacing w:line="274" w:lineRule="exact" w:before="36"/>
        <w:ind w:left="677" w:right="1171"/>
        <w:jc w:val="left"/>
      </w:pPr>
      <w:r>
        <w:rPr/>
        <w:t>货币资金的说明：</w:t>
      </w:r>
    </w:p>
    <w:p>
      <w:pPr>
        <w:pStyle w:val="BodyText"/>
        <w:spacing w:line="272" w:lineRule="exact"/>
        <w:ind w:left="677" w:right="1171"/>
        <w:jc w:val="left"/>
      </w:pPr>
      <w:r>
        <w:rPr/>
        <w:t>√适用 □不适用</w:t>
      </w:r>
    </w:p>
    <w:p>
      <w:pPr>
        <w:pStyle w:val="BodyText"/>
        <w:spacing w:line="355" w:lineRule="auto"/>
        <w:ind w:left="677" w:right="1171" w:firstLine="480"/>
        <w:jc w:val="left"/>
      </w:pPr>
      <w:r>
        <w:rPr/>
        <w:t>期末，本公司以存放在永隆银行上海分行的人民币存款</w:t>
      </w:r>
      <w:r>
        <w:rPr>
          <w:spacing w:val="-56"/>
        </w:rPr>
        <w:t> </w:t>
      </w:r>
      <w:r>
        <w:rPr>
          <w:rFonts w:ascii="宋体" w:hAnsi="宋体" w:cs="宋体" w:eastAsia="宋体" w:hint="default"/>
        </w:rPr>
        <w:t>223,530,000.00</w:t>
      </w:r>
      <w:r>
        <w:rPr>
          <w:rFonts w:ascii="宋体" w:hAnsi="宋体" w:cs="宋体" w:eastAsia="宋体" w:hint="default"/>
          <w:spacing w:val="-56"/>
        </w:rPr>
        <w:t> </w:t>
      </w:r>
      <w:r>
        <w:rPr/>
        <w:t>元作为保证金，为子</w:t>
      </w:r>
      <w:r>
        <w:rPr>
          <w:w w:val="100"/>
        </w:rPr>
        <w:t> </w:t>
      </w:r>
      <w:r>
        <w:rPr/>
        <w:t>公司财通香港向永隆银行申请贷款提供担保。</w:t>
      </w:r>
    </w:p>
    <w:p>
      <w:pPr>
        <w:pStyle w:val="BodyText"/>
        <w:spacing w:line="240" w:lineRule="auto" w:before="34"/>
        <w:ind w:left="1097" w:right="1171"/>
        <w:jc w:val="left"/>
      </w:pPr>
      <w:r>
        <w:rPr/>
        <w:t>子公司财通证券资管期末银行存款</w:t>
      </w:r>
      <w:r>
        <w:rPr>
          <w:spacing w:val="-53"/>
        </w:rPr>
        <w:t> </w:t>
      </w:r>
      <w:r>
        <w:rPr>
          <w:rFonts w:ascii="宋体" w:hAnsi="宋体" w:cs="宋体" w:eastAsia="宋体" w:hint="default"/>
        </w:rPr>
        <w:t>21,496,188.87</w:t>
      </w:r>
      <w:r>
        <w:rPr>
          <w:rFonts w:ascii="宋体" w:hAnsi="宋体" w:cs="宋体" w:eastAsia="宋体" w:hint="default"/>
          <w:spacing w:val="-56"/>
        </w:rPr>
        <w:t> </w:t>
      </w:r>
      <w:r>
        <w:rPr/>
        <w:t>元为风险准备金，使用受限。</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600" w:right="460"/>
        </w:sectPr>
      </w:pPr>
    </w:p>
    <w:p>
      <w:pPr>
        <w:pStyle w:val="Heading5"/>
        <w:spacing w:line="240" w:lineRule="auto" w:before="36"/>
        <w:ind w:left="677" w:right="-18"/>
        <w:jc w:val="left"/>
        <w:rPr>
          <w:b w:val="0"/>
          <w:bCs w:val="0"/>
        </w:rPr>
      </w:pPr>
      <w:r>
        <w:rPr>
          <w:rFonts w:ascii="宋体" w:hAnsi="宋体" w:cs="宋体" w:eastAsia="宋体" w:hint="default"/>
        </w:rPr>
        <w:t>2</w:t>
      </w:r>
      <w:r>
        <w:rPr/>
        <w:t>、</w:t>
      </w:r>
      <w:r>
        <w:rPr>
          <w:spacing w:val="-2"/>
        </w:rPr>
        <w:t> </w:t>
      </w:r>
      <w:r>
        <w:rPr/>
        <w:t>结算备付金</w:t>
      </w:r>
      <w:r>
        <w:rPr>
          <w:b w:val="0"/>
          <w:bCs w:val="0"/>
        </w:rPr>
      </w:r>
    </w:p>
    <w:p>
      <w:pPr>
        <w:pStyle w:val="BodyText"/>
        <w:spacing w:line="240" w:lineRule="auto" w:before="56"/>
        <w:ind w:left="6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677" w:right="0"/>
        <w:jc w:val="left"/>
      </w:pPr>
      <w:r>
        <w:rPr/>
        <w:t>单位：元</w:t>
      </w:r>
    </w:p>
    <w:p>
      <w:pPr>
        <w:spacing w:after="0" w:line="240" w:lineRule="auto"/>
        <w:jc w:val="left"/>
        <w:sectPr>
          <w:type w:val="continuous"/>
          <w:pgSz w:w="11910" w:h="16840"/>
          <w:pgMar w:top="1060" w:bottom="1380" w:left="600" w:right="460"/>
          <w:cols w:num="2" w:equalWidth="0">
            <w:col w:w="2255" w:space="5979"/>
            <w:col w:w="261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0"/>
        <w:gridCol w:w="1514"/>
        <w:gridCol w:w="1023"/>
        <w:gridCol w:w="2038"/>
        <w:gridCol w:w="1601"/>
        <w:gridCol w:w="1165"/>
        <w:gridCol w:w="2184"/>
      </w:tblGrid>
      <w:tr>
        <w:trPr>
          <w:trHeight w:val="310" w:hRule="exact"/>
        </w:trPr>
        <w:tc>
          <w:tcPr>
            <w:tcW w:w="1100" w:type="dxa"/>
            <w:vMerge w:val="restart"/>
            <w:tcBorders>
              <w:top w:val="single" w:sz="4" w:space="0" w:color="000000"/>
              <w:left w:val="single" w:sz="4" w:space="0" w:color="000000"/>
              <w:right w:val="single" w:sz="4" w:space="0" w:color="000000"/>
            </w:tcBorders>
          </w:tcPr>
          <w:p>
            <w:pPr>
              <w:pStyle w:val="TableParagraph"/>
              <w:spacing w:line="240" w:lineRule="auto" w:before="136"/>
              <w:ind w:left="3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12" w:hRule="exact"/>
        </w:trPr>
        <w:tc>
          <w:tcPr>
            <w:tcW w:w="1100"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31"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9"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83"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76"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55"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r>
        <w:trPr>
          <w:trHeight w:val="55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自有备付</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300,099,554.14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100,948,084.48</w:t>
            </w:r>
          </w:p>
        </w:tc>
      </w:tr>
      <w:tr>
        <w:trPr>
          <w:trHeight w:val="32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292,856,513.24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95,020,743.22</w:t>
            </w:r>
          </w:p>
        </w:tc>
      </w:tr>
      <w:tr>
        <w:trPr>
          <w:trHeight w:val="30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848,685.52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6.8632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pacing w:val="-1"/>
                <w:sz w:val="21"/>
              </w:rPr>
              <w:t>5,824,698.46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718,921.84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6.5342</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pacing w:val="-1"/>
                <w:sz w:val="21"/>
              </w:rPr>
              <w:t>4,697,579.09</w:t>
            </w:r>
          </w:p>
        </w:tc>
      </w:tr>
      <w:tr>
        <w:trPr>
          <w:trHeight w:val="30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8"/>
              <w:jc w:val="right"/>
              <w:rPr>
                <w:rFonts w:ascii="宋体" w:hAnsi="宋体" w:cs="宋体" w:eastAsia="宋体" w:hint="default"/>
                <w:sz w:val="21"/>
                <w:szCs w:val="21"/>
              </w:rPr>
            </w:pPr>
            <w:r>
              <w:rPr>
                <w:rFonts w:ascii="宋体"/>
                <w:spacing w:val="-1"/>
                <w:sz w:val="21"/>
              </w:rPr>
              <w:t>1,618,742.80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9"/>
              <w:jc w:val="right"/>
              <w:rPr>
                <w:rFonts w:ascii="宋体" w:hAnsi="宋体" w:cs="宋体" w:eastAsia="宋体" w:hint="default"/>
                <w:sz w:val="21"/>
                <w:szCs w:val="21"/>
              </w:rPr>
            </w:pPr>
            <w:r>
              <w:rPr>
                <w:rFonts w:ascii="宋体"/>
                <w:sz w:val="21"/>
              </w:rPr>
              <w:t>0.8762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9"/>
              <w:jc w:val="right"/>
              <w:rPr>
                <w:rFonts w:ascii="宋体" w:hAnsi="宋体" w:cs="宋体" w:eastAsia="宋体" w:hint="default"/>
                <w:sz w:val="21"/>
                <w:szCs w:val="21"/>
              </w:rPr>
            </w:pPr>
            <w:r>
              <w:rPr>
                <w:rFonts w:ascii="宋体"/>
                <w:spacing w:val="-1"/>
                <w:sz w:val="21"/>
              </w:rPr>
              <w:t>1,418,342.44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6"/>
              <w:jc w:val="right"/>
              <w:rPr>
                <w:rFonts w:ascii="宋体" w:hAnsi="宋体" w:cs="宋体" w:eastAsia="宋体" w:hint="default"/>
                <w:sz w:val="21"/>
                <w:szCs w:val="21"/>
              </w:rPr>
            </w:pPr>
            <w:r>
              <w:rPr>
                <w:rFonts w:ascii="宋体"/>
                <w:spacing w:val="-1"/>
                <w:sz w:val="21"/>
              </w:rPr>
              <w:t>1,471,183.36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9"/>
              <w:jc w:val="right"/>
              <w:rPr>
                <w:rFonts w:ascii="宋体" w:hAnsi="宋体" w:cs="宋体" w:eastAsia="宋体" w:hint="default"/>
                <w:sz w:val="21"/>
                <w:szCs w:val="21"/>
              </w:rPr>
            </w:pPr>
            <w:r>
              <w:rPr>
                <w:rFonts w:ascii="宋体"/>
                <w:sz w:val="21"/>
              </w:rPr>
              <w:t>0.8359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1"/>
                <w:szCs w:val="21"/>
              </w:rPr>
            </w:pPr>
            <w:r>
              <w:rPr>
                <w:rFonts w:ascii="宋体"/>
                <w:spacing w:val="-1"/>
                <w:sz w:val="21"/>
              </w:rPr>
              <w:t>1,229,762.17</w:t>
            </w:r>
          </w:p>
        </w:tc>
      </w:tr>
      <w:tr>
        <w:trPr>
          <w:trHeight w:val="55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客户备付</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1,992,327,544.11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2,277,232,887.37</w:t>
            </w:r>
          </w:p>
        </w:tc>
      </w:tr>
    </w:tbl>
    <w:p>
      <w:pPr>
        <w:spacing w:after="0" w:line="240" w:lineRule="auto"/>
        <w:jc w:val="right"/>
        <w:rPr>
          <w:rFonts w:ascii="宋体" w:hAnsi="宋体" w:cs="宋体" w:eastAsia="宋体" w:hint="default"/>
          <w:sz w:val="21"/>
          <w:szCs w:val="21"/>
        </w:rPr>
        <w:sectPr>
          <w:type w:val="continuous"/>
          <w:pgSz w:w="11910" w:h="16840"/>
          <w:pgMar w:top="1060" w:bottom="1380" w:left="600" w:right="460"/>
        </w:sectPr>
      </w:pPr>
    </w:p>
    <w:p>
      <w:pPr>
        <w:spacing w:line="240" w:lineRule="auto" w:before="0"/>
        <w:rPr>
          <w:rFonts w:ascii="宋体" w:hAnsi="宋体" w:cs="宋体" w:eastAsia="宋体" w:hint="default"/>
          <w:sz w:val="24"/>
          <w:szCs w:val="24"/>
        </w:rPr>
      </w:pPr>
    </w:p>
    <w:tbl>
      <w:tblPr>
        <w:tblW w:w="0" w:type="auto"/>
        <w:jc w:val="left"/>
        <w:tblInd w:w="205" w:type="dxa"/>
        <w:tblLayout w:type="fixed"/>
        <w:tblCellMar>
          <w:top w:w="0" w:type="dxa"/>
          <w:left w:w="0" w:type="dxa"/>
          <w:bottom w:w="0" w:type="dxa"/>
          <w:right w:w="0" w:type="dxa"/>
        </w:tblCellMar>
        <w:tblLook w:val="01E0"/>
      </w:tblPr>
      <w:tblGrid>
        <w:gridCol w:w="1100"/>
        <w:gridCol w:w="1514"/>
        <w:gridCol w:w="1023"/>
        <w:gridCol w:w="2038"/>
        <w:gridCol w:w="1601"/>
        <w:gridCol w:w="1165"/>
        <w:gridCol w:w="2184"/>
      </w:tblGrid>
      <w:tr>
        <w:trPr>
          <w:trHeight w:val="3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宋体" w:hAnsi="宋体" w:cs="宋体" w:eastAsia="宋体" w:hint="default"/>
                <w:sz w:val="21"/>
                <w:szCs w:val="21"/>
              </w:rPr>
            </w:pPr>
            <w:r>
              <w:rPr>
                <w:rFonts w:ascii="宋体"/>
                <w:spacing w:val="-1"/>
                <w:sz w:val="21"/>
              </w:rPr>
              <w:t>1,952,348,788.06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2,233,932,638.85</w:t>
            </w:r>
          </w:p>
        </w:tc>
      </w:tr>
      <w:tr>
        <w:trPr>
          <w:trHeight w:val="31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 w:right="0"/>
              <w:jc w:val="center"/>
              <w:rPr>
                <w:rFonts w:ascii="宋体" w:hAnsi="宋体" w:cs="宋体" w:eastAsia="宋体" w:hint="default"/>
                <w:sz w:val="21"/>
                <w:szCs w:val="21"/>
              </w:rPr>
            </w:pPr>
            <w:r>
              <w:rPr>
                <w:rFonts w:ascii="宋体"/>
                <w:sz w:val="21"/>
              </w:rPr>
              <w:t>5,385,392.00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z w:val="21"/>
              </w:rPr>
              <w:t>6.8632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36,961,022.38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6,203,774.24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z w:val="21"/>
              </w:rPr>
              <w:t>6.5342</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40,536,701.64</w:t>
            </w:r>
          </w:p>
        </w:tc>
      </w:tr>
      <w:tr>
        <w:trPr>
          <w:trHeight w:val="31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 w:right="0"/>
              <w:jc w:val="center"/>
              <w:rPr>
                <w:rFonts w:ascii="宋体" w:hAnsi="宋体" w:cs="宋体" w:eastAsia="宋体" w:hint="default"/>
                <w:sz w:val="21"/>
                <w:szCs w:val="21"/>
              </w:rPr>
            </w:pPr>
            <w:r>
              <w:rPr>
                <w:rFonts w:ascii="宋体"/>
                <w:sz w:val="21"/>
              </w:rPr>
              <w:t>3,444,115.12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z w:val="21"/>
              </w:rPr>
              <w:t>0.8762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3,017,733.67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3,306,073.55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z w:val="21"/>
              </w:rPr>
              <w:t>0.8359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2,763,546.88</w:t>
            </w:r>
          </w:p>
        </w:tc>
      </w:tr>
      <w:tr>
        <w:trPr>
          <w:trHeight w:val="55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信用备付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69,249,017.28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3,308,980.85</w:t>
            </w:r>
          </w:p>
        </w:tc>
      </w:tr>
      <w:tr>
        <w:trPr>
          <w:trHeight w:val="31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宋体" w:hAnsi="宋体" w:cs="宋体" w:eastAsia="宋体" w:hint="default"/>
                <w:sz w:val="21"/>
                <w:szCs w:val="21"/>
              </w:rPr>
            </w:pPr>
            <w:r>
              <w:rPr>
                <w:rFonts w:ascii="宋体"/>
                <w:spacing w:val="-1"/>
                <w:sz w:val="21"/>
              </w:rPr>
              <w:t>69,249,017.28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3,308,980.85</w:t>
            </w:r>
          </w:p>
        </w:tc>
      </w:tr>
      <w:tr>
        <w:trPr>
          <w:trHeight w:val="30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w w:val="100"/>
                <w:sz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2,361,676,115.53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w w:val="100"/>
                <w:sz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w w:val="100"/>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1"/>
                <w:szCs w:val="21"/>
              </w:rPr>
            </w:pPr>
            <w:r>
              <w:rPr>
                <w:rFonts w:ascii="宋体"/>
                <w:spacing w:val="-1"/>
                <w:sz w:val="21"/>
              </w:rPr>
              <w:t>2,381,489,952.70</w:t>
            </w:r>
          </w:p>
        </w:tc>
      </w:tr>
    </w:tbl>
    <w:p>
      <w:pPr>
        <w:pStyle w:val="BodyText"/>
        <w:spacing w:line="241" w:lineRule="exact"/>
        <w:ind w:left="777" w:right="0"/>
        <w:jc w:val="left"/>
      </w:pPr>
      <w:r>
        <w:rPr/>
        <w:t>结算备付金的说明：</w:t>
      </w:r>
    </w:p>
    <w:p>
      <w:pPr>
        <w:pStyle w:val="BodyText"/>
        <w:spacing w:line="357" w:lineRule="auto" w:before="135"/>
        <w:ind w:left="777" w:right="1129" w:firstLine="420"/>
        <w:jc w:val="both"/>
      </w:pPr>
      <w:r>
        <w:rPr>
          <w:spacing w:val="-2"/>
        </w:rPr>
        <w:t>期末无抵押、质押或冻结等对使用有限制、有潜在回收风险的款项。自有备付金为公司信用业</w:t>
      </w:r>
      <w:r>
        <w:rPr>
          <w:w w:val="100"/>
        </w:rPr>
        <w:t> </w:t>
      </w:r>
      <w:r>
        <w:rPr>
          <w:spacing w:val="-2"/>
        </w:rPr>
        <w:t>务以外的其他自有备付金；客户备付金为客户普通备付金、客户信用备付金与客户股票期权备付金</w:t>
      </w:r>
      <w:r>
        <w:rPr>
          <w:spacing w:val="-25"/>
        </w:rPr>
        <w:t> </w:t>
      </w:r>
      <w:r>
        <w:rPr>
          <w:spacing w:val="-25"/>
        </w:rPr>
      </w:r>
      <w:r>
        <w:rPr/>
        <w:t>之和；信用备付金为公司信用备付金。</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500" w:right="460"/>
        </w:sectPr>
      </w:pPr>
    </w:p>
    <w:p>
      <w:pPr>
        <w:pStyle w:val="Heading5"/>
        <w:spacing w:line="240" w:lineRule="auto" w:before="36"/>
        <w:ind w:left="777" w:right="-18"/>
        <w:jc w:val="left"/>
        <w:rPr>
          <w:b w:val="0"/>
          <w:bCs w:val="0"/>
        </w:rPr>
      </w:pPr>
      <w:r>
        <w:rPr>
          <w:rFonts w:ascii="宋体" w:hAnsi="宋体" w:cs="宋体" w:eastAsia="宋体" w:hint="default"/>
        </w:rPr>
        <w:t>3</w:t>
      </w:r>
      <w:r>
        <w:rPr/>
        <w:t>、</w:t>
      </w:r>
      <w:r>
        <w:rPr>
          <w:spacing w:val="-2"/>
        </w:rPr>
        <w:t> </w:t>
      </w:r>
      <w:r>
        <w:rPr/>
        <w:t>融出资金</w:t>
      </w:r>
      <w:r>
        <w:rPr>
          <w:b w:val="0"/>
          <w:bCs w:val="0"/>
        </w:rPr>
      </w:r>
    </w:p>
    <w:p>
      <w:pPr>
        <w:pStyle w:val="BodyText"/>
        <w:spacing w:line="240" w:lineRule="auto" w:before="56"/>
        <w:ind w:left="7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777" w:right="0"/>
        <w:jc w:val="left"/>
      </w:pPr>
      <w:r>
        <w:rPr/>
        <w:t>单位：元币种：人民币</w:t>
      </w:r>
    </w:p>
    <w:p>
      <w:pPr>
        <w:spacing w:after="0" w:line="240" w:lineRule="auto"/>
        <w:jc w:val="left"/>
        <w:sectPr>
          <w:type w:val="continuous"/>
          <w:pgSz w:w="11910" w:h="16840"/>
          <w:pgMar w:top="1060" w:bottom="1380" w:left="500" w:right="460"/>
          <w:cols w:num="2" w:equalWidth="0">
            <w:col w:w="2355" w:space="4618"/>
            <w:col w:w="3977"/>
          </w:cols>
        </w:sectPr>
      </w:pPr>
    </w:p>
    <w:p>
      <w:pPr>
        <w:spacing w:line="240" w:lineRule="auto" w:before="4"/>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3099"/>
        <w:gridCol w:w="3094"/>
        <w:gridCol w:w="3097"/>
      </w:tblGrid>
      <w:tr>
        <w:trPr>
          <w:trHeight w:val="358"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330"/>
              <w:jc w:val="right"/>
              <w:rPr>
                <w:rFonts w:ascii="宋体" w:hAnsi="宋体" w:cs="宋体" w:eastAsia="宋体" w:hint="default"/>
                <w:sz w:val="21"/>
                <w:szCs w:val="21"/>
              </w:rPr>
            </w:pPr>
            <w:r>
              <w:rPr>
                <w:rFonts w:ascii="宋体" w:hAnsi="宋体" w:cs="宋体" w:eastAsia="宋体" w:hint="default"/>
                <w:sz w:val="21"/>
                <w:szCs w:val="21"/>
              </w:rPr>
              <w:t>项目</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0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1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6,204,678,992.15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9,729,717,041.15</w:t>
            </w:r>
          </w:p>
        </w:tc>
      </w:tr>
      <w:tr>
        <w:trPr>
          <w:trHeight w:val="281"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497,680,917.70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1,005,652,111.42</w:t>
            </w:r>
          </w:p>
        </w:tc>
      </w:tr>
      <w:tr>
        <w:trPr>
          <w:trHeight w:val="322"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55,256,876.50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66,366,879.08</w:t>
            </w: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0"/>
              <w:jc w:val="right"/>
              <w:rPr>
                <w:rFonts w:ascii="宋体" w:hAnsi="宋体" w:cs="宋体" w:eastAsia="宋体" w:hint="default"/>
                <w:sz w:val="21"/>
                <w:szCs w:val="21"/>
              </w:rPr>
            </w:pPr>
            <w:r>
              <w:rPr>
                <w:rFonts w:ascii="宋体" w:hAnsi="宋体" w:cs="宋体" w:eastAsia="宋体" w:hint="default"/>
                <w:sz w:val="21"/>
                <w:szCs w:val="21"/>
              </w:rPr>
              <w:t>合计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6,647,103,033.35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10,669,002,273.49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500" w:right="460"/>
        </w:sectPr>
      </w:pPr>
    </w:p>
    <w:p>
      <w:pPr>
        <w:pStyle w:val="BodyText"/>
        <w:spacing w:line="274" w:lineRule="exact" w:before="36"/>
        <w:ind w:left="777" w:right="0"/>
        <w:jc w:val="left"/>
      </w:pPr>
      <w:r>
        <w:rPr>
          <w:spacing w:val="-2"/>
        </w:rPr>
        <w:t>客户因融资融券业务向公司提供的担保物公允价值情况：</w:t>
      </w:r>
    </w:p>
    <w:p>
      <w:pPr>
        <w:pStyle w:val="BodyText"/>
        <w:spacing w:line="274" w:lineRule="exact"/>
        <w:ind w:left="7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29" w:val="left" w:leader="none"/>
        </w:tabs>
        <w:spacing w:line="240" w:lineRule="auto"/>
        <w:ind w:left="777" w:right="0"/>
        <w:jc w:val="left"/>
      </w:pPr>
      <w:r>
        <w:rPr>
          <w:spacing w:val="-1"/>
        </w:rPr>
        <w:t>单位：元</w:t>
        <w:tab/>
      </w:r>
      <w:r>
        <w:rPr>
          <w:spacing w:val="-2"/>
        </w:rPr>
        <w:t>币种：人民币</w:t>
      </w:r>
    </w:p>
    <w:p>
      <w:pPr>
        <w:spacing w:after="0" w:line="240" w:lineRule="auto"/>
        <w:jc w:val="left"/>
        <w:sectPr>
          <w:type w:val="continuous"/>
          <w:pgSz w:w="11910" w:h="16840"/>
          <w:pgMar w:top="1060" w:bottom="1380" w:left="500" w:right="460"/>
          <w:cols w:num="2" w:equalWidth="0">
            <w:col w:w="6035" w:space="727"/>
            <w:col w:w="4188"/>
          </w:cols>
        </w:sectPr>
      </w:pPr>
    </w:p>
    <w:p>
      <w:pPr>
        <w:spacing w:line="240" w:lineRule="auto" w:before="7"/>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3099"/>
        <w:gridCol w:w="3094"/>
        <w:gridCol w:w="3097"/>
      </w:tblGrid>
      <w:tr>
        <w:trPr>
          <w:trHeight w:val="358"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8" w:right="0"/>
              <w:jc w:val="left"/>
              <w:rPr>
                <w:rFonts w:ascii="宋体" w:hAnsi="宋体" w:cs="宋体" w:eastAsia="宋体" w:hint="default"/>
                <w:sz w:val="21"/>
                <w:szCs w:val="21"/>
              </w:rPr>
            </w:pPr>
            <w:r>
              <w:rPr>
                <w:rFonts w:ascii="宋体" w:hAnsi="宋体" w:cs="宋体" w:eastAsia="宋体" w:hint="default"/>
                <w:sz w:val="21"/>
                <w:szCs w:val="21"/>
              </w:rPr>
              <w:t>担保物类别</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09"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1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1"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963,625,326.79</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1,058,982,055.08</w:t>
            </w: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3,927,128.76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17,659,252.17</w:t>
            </w:r>
          </w:p>
        </w:tc>
      </w:tr>
      <w:tr>
        <w:trPr>
          <w:trHeight w:val="281"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18,199,802,801.21</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30,661,376,776.01</w:t>
            </w: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608,276,692.53</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522,284,589.02</w:t>
            </w:r>
          </w:p>
        </w:tc>
      </w:tr>
      <w:tr>
        <w:trPr>
          <w:trHeight w:val="283"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19,775,631,949.29</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32,260,302,672.28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74" w:lineRule="exact" w:before="36"/>
        <w:ind w:left="777" w:right="0"/>
        <w:jc w:val="left"/>
      </w:pPr>
      <w:r>
        <w:rPr/>
        <w:t>融出资金的说明</w:t>
      </w:r>
    </w:p>
    <w:p>
      <w:pPr>
        <w:pStyle w:val="BodyText"/>
        <w:spacing w:line="516" w:lineRule="auto"/>
        <w:ind w:left="649" w:right="8575" w:firstLine="127"/>
        <w:jc w:val="left"/>
      </w:pPr>
      <w:r>
        <w:rPr/>
        <w:pict>
          <v:shape style="position:absolute;margin-left:30.84pt;margin-top:45.143688pt;width:519.9500pt;height:109.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9"/>
                    <w:gridCol w:w="1454"/>
                    <w:gridCol w:w="826"/>
                    <w:gridCol w:w="1426"/>
                    <w:gridCol w:w="542"/>
                    <w:gridCol w:w="1820"/>
                    <w:gridCol w:w="727"/>
                    <w:gridCol w:w="1457"/>
                    <w:gridCol w:w="773"/>
                  </w:tblGrid>
                  <w:tr>
                    <w:trPr>
                      <w:trHeight w:val="295" w:hRule="exact"/>
                    </w:trPr>
                    <w:tc>
                      <w:tcPr>
                        <w:tcW w:w="13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95" w:hRule="exact"/>
                    </w:trPr>
                    <w:tc>
                      <w:tcPr>
                        <w:tcW w:w="1359" w:type="dxa"/>
                        <w:vMerge/>
                        <w:tcBorders>
                          <w:left w:val="single" w:sz="4" w:space="0" w:color="000000"/>
                          <w:right w:val="single" w:sz="4" w:space="0" w:color="000000"/>
                        </w:tcBorders>
                      </w:tcPr>
                      <w:p>
                        <w:pP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6" w:hRule="exact"/>
                    </w:trPr>
                    <w:tc>
                      <w:tcPr>
                        <w:tcW w:w="1359"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19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108" w:right="107"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9" w:right="14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17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47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756,846,476.6</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3,784,232.39</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1,794,353,628.36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 w:right="0"/>
                          <w:jc w:val="center"/>
                          <w:rPr>
                            <w:rFonts w:ascii="宋体" w:hAnsi="宋体" w:cs="宋体" w:eastAsia="宋体" w:hint="default"/>
                            <w:sz w:val="18"/>
                            <w:szCs w:val="18"/>
                          </w:rPr>
                        </w:pPr>
                        <w:r>
                          <w:rPr>
                            <w:rFonts w:ascii="宋体"/>
                            <w:sz w:val="18"/>
                          </w:rPr>
                          <w:t>16.71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8,971,768.14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0.50</w:t>
                        </w:r>
                      </w:p>
                    </w:tc>
                  </w:tr>
                  <w:tr>
                    <w:trPr>
                      <w:trHeight w:val="29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7" w:right="0"/>
                          <w:jc w:val="center"/>
                          <w:rPr>
                            <w:rFonts w:ascii="宋体" w:hAnsi="宋体" w:cs="宋体" w:eastAsia="宋体" w:hint="default"/>
                            <w:sz w:val="18"/>
                            <w:szCs w:val="18"/>
                          </w:rPr>
                        </w:pPr>
                        <w:r>
                          <w:rPr>
                            <w:rFonts w:ascii="宋体"/>
                            <w:sz w:val="18"/>
                          </w:rPr>
                          <w:t>5,923,104,806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88.37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29,811,336.10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8,926,628,848.35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5" w:right="0"/>
                          <w:jc w:val="center"/>
                          <w:rPr>
                            <w:rFonts w:ascii="宋体" w:hAnsi="宋体" w:cs="宋体" w:eastAsia="宋体" w:hint="default"/>
                            <w:sz w:val="18"/>
                            <w:szCs w:val="18"/>
                          </w:rPr>
                        </w:pPr>
                        <w:r>
                          <w:rPr>
                            <w:rFonts w:ascii="宋体"/>
                            <w:sz w:val="18"/>
                          </w:rPr>
                          <w:t>83.15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44,633,144.24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0.50</w:t>
                        </w:r>
                      </w:p>
                    </w:tc>
                  </w:tr>
                </w:tbl>
                <w:p>
                  <w:pPr/>
                </w:p>
              </w:txbxContent>
            </v:textbox>
            <w10:wrap type="none"/>
          </v:shape>
        </w:pict>
      </w:r>
      <w:r>
        <w:rPr/>
        <w:t>√适用 □不适用</w:t>
      </w:r>
      <w:r>
        <w:rPr>
          <w:w w:val="100"/>
        </w:rPr>
        <w:t> </w:t>
      </w:r>
      <w:r>
        <w:rPr/>
        <w:t>按账龄分析</w:t>
      </w:r>
    </w:p>
    <w:p>
      <w:pPr>
        <w:spacing w:after="0" w:line="516" w:lineRule="auto"/>
        <w:jc w:val="left"/>
        <w:sectPr>
          <w:type w:val="continuous"/>
          <w:pgSz w:w="11910" w:h="16840"/>
          <w:pgMar w:top="1060" w:bottom="1380" w:left="500" w:right="460"/>
        </w:sectPr>
      </w:pPr>
    </w:p>
    <w:p>
      <w:pPr>
        <w:spacing w:line="240" w:lineRule="auto" w:before="0"/>
        <w:rPr>
          <w:rFonts w:ascii="宋体" w:hAnsi="宋体" w:cs="宋体" w:eastAsia="宋体" w:hint="default"/>
          <w:sz w:val="24"/>
          <w:szCs w:val="24"/>
        </w:rPr>
      </w:pPr>
    </w:p>
    <w:tbl>
      <w:tblPr>
        <w:tblW w:w="0" w:type="auto"/>
        <w:jc w:val="left"/>
        <w:tblInd w:w="296" w:type="dxa"/>
        <w:tblLayout w:type="fixed"/>
        <w:tblCellMar>
          <w:top w:w="0" w:type="dxa"/>
          <w:left w:w="0" w:type="dxa"/>
          <w:bottom w:w="0" w:type="dxa"/>
          <w:right w:w="0" w:type="dxa"/>
        </w:tblCellMar>
        <w:tblLook w:val="01E0"/>
      </w:tblPr>
      <w:tblGrid>
        <w:gridCol w:w="1359"/>
        <w:gridCol w:w="1454"/>
        <w:gridCol w:w="826"/>
        <w:gridCol w:w="1426"/>
        <w:gridCol w:w="542"/>
        <w:gridCol w:w="1820"/>
        <w:gridCol w:w="727"/>
        <w:gridCol w:w="1457"/>
        <w:gridCol w:w="773"/>
      </w:tblGrid>
      <w:tr>
        <w:trPr>
          <w:trHeight w:val="296" w:hRule="exact"/>
        </w:trPr>
        <w:tc>
          <w:tcPr>
            <w:tcW w:w="135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.61</w:t>
            </w:r>
          </w:p>
        </w:tc>
        <w:tc>
          <w:tcPr>
            <w:tcW w:w="8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38" w:right="0"/>
              <w:jc w:val="left"/>
              <w:rPr>
                <w:rFonts w:ascii="宋体" w:hAnsi="宋体" w:cs="宋体" w:eastAsia="宋体" w:hint="default"/>
                <w:sz w:val="18"/>
                <w:szCs w:val="18"/>
              </w:rPr>
            </w:pPr>
            <w:r>
              <w:rPr>
                <w:rFonts w:ascii="宋体"/>
                <w:sz w:val="18"/>
              </w:rPr>
              <w:t>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22,408,626.57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21,661,308.01</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96.</w:t>
            </w:r>
          </w:p>
          <w:p>
            <w:pPr>
              <w:pStyle w:val="TableParagraph"/>
              <w:spacing w:line="234" w:lineRule="exact"/>
              <w:ind w:left="249" w:right="0"/>
              <w:jc w:val="left"/>
              <w:rPr>
                <w:rFonts w:ascii="宋体" w:hAnsi="宋体" w:cs="宋体" w:eastAsia="宋体" w:hint="default"/>
                <w:sz w:val="18"/>
                <w:szCs w:val="18"/>
              </w:rPr>
            </w:pPr>
            <w:r>
              <w:rPr>
                <w:rFonts w:ascii="宋体"/>
                <w:sz w:val="18"/>
              </w:rPr>
              <w:t>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14,386,675.86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0.14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12,761,966.70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88.71</w:t>
            </w:r>
          </w:p>
        </w:tc>
      </w:tr>
      <w:tr>
        <w:trPr>
          <w:trHeight w:val="47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6,702,359,909</w:t>
            </w:r>
          </w:p>
          <w:p>
            <w:pPr>
              <w:pStyle w:val="TableParagraph"/>
              <w:spacing w:line="234" w:lineRule="exact"/>
              <w:ind w:right="98"/>
              <w:jc w:val="right"/>
              <w:rPr>
                <w:rFonts w:ascii="宋体" w:hAnsi="宋体" w:cs="宋体" w:eastAsia="宋体" w:hint="default"/>
                <w:sz w:val="18"/>
                <w:szCs w:val="18"/>
              </w:rPr>
            </w:pPr>
            <w:r>
              <w:rPr>
                <w:rFonts w:ascii="宋体"/>
                <w:sz w:val="18"/>
              </w:rPr>
              <w:t>.85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55,256,876.50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center"/>
              <w:rPr>
                <w:rFonts w:ascii="宋体" w:hAnsi="宋体" w:cs="宋体" w:eastAsia="宋体" w:hint="default"/>
                <w:sz w:val="18"/>
                <w:szCs w:val="18"/>
              </w:rPr>
            </w:pPr>
            <w:r>
              <w:rPr>
                <w:rFonts w:ascii="宋体"/>
                <w:sz w:val="18"/>
              </w:rPr>
              <w:t>0.8</w:t>
            </w:r>
          </w:p>
          <w:p>
            <w:pPr>
              <w:pStyle w:val="TableParagraph"/>
              <w:spacing w:line="234" w:lineRule="exact"/>
              <w:ind w:left="234" w:right="0"/>
              <w:jc w:val="center"/>
              <w:rPr>
                <w:rFonts w:ascii="宋体" w:hAnsi="宋体" w:cs="宋体" w:eastAsia="宋体" w:hint="default"/>
                <w:sz w:val="18"/>
                <w:szCs w:val="18"/>
              </w:rPr>
            </w:pPr>
            <w:r>
              <w:rPr>
                <w:rFonts w:ascii="宋体"/>
                <w:sz w:val="18"/>
              </w:rPr>
              <w:t>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10,735,369,152.57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66,366,879.08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0.62</w:t>
            </w:r>
          </w:p>
        </w:tc>
      </w:tr>
    </w:tbl>
    <w:p>
      <w:pPr>
        <w:spacing w:line="240" w:lineRule="auto" w:before="6"/>
        <w:rPr>
          <w:rFonts w:ascii="宋体" w:hAnsi="宋体" w:cs="宋体" w:eastAsia="宋体" w:hint="default"/>
          <w:sz w:val="18"/>
          <w:szCs w:val="18"/>
        </w:rPr>
      </w:pPr>
    </w:p>
    <w:p>
      <w:pPr>
        <w:pStyle w:val="BodyText"/>
        <w:spacing w:line="240" w:lineRule="auto" w:before="36"/>
        <w:ind w:left="1377" w:right="0"/>
        <w:jc w:val="left"/>
      </w:pPr>
      <w:r>
        <w:rPr/>
        <w:t>期末余额中有 </w:t>
      </w:r>
      <w:r>
        <w:rPr>
          <w:rFonts w:ascii="宋体" w:hAnsi="宋体" w:cs="宋体" w:eastAsia="宋体" w:hint="default"/>
        </w:rPr>
        <w:t>27,299,902.00</w:t>
      </w:r>
      <w:r>
        <w:rPr>
          <w:rFonts w:ascii="宋体" w:hAnsi="宋体" w:cs="宋体" w:eastAsia="宋体" w:hint="default"/>
          <w:spacing w:val="-75"/>
        </w:rPr>
        <w:t> </w:t>
      </w:r>
      <w:r>
        <w:rPr/>
        <w:t>元经单项测试发生减值，根据未来现金流量现值低于账面价值的</w:t>
      </w:r>
    </w:p>
    <w:p>
      <w:pPr>
        <w:pStyle w:val="BodyText"/>
        <w:spacing w:line="240" w:lineRule="auto" w:before="133"/>
        <w:ind w:left="957" w:right="0"/>
        <w:jc w:val="left"/>
      </w:pPr>
      <w:r>
        <w:rPr/>
        <w:t>差额计提减值准备</w:t>
      </w:r>
      <w:r>
        <w:rPr>
          <w:spacing w:val="-54"/>
        </w:rPr>
        <w:t> </w:t>
      </w:r>
      <w:r>
        <w:rPr>
          <w:rFonts w:ascii="宋体" w:hAnsi="宋体" w:cs="宋体" w:eastAsia="宋体" w:hint="default"/>
        </w:rPr>
        <w:t>21,881,576.46</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957" w:right="0"/>
        <w:jc w:val="left"/>
        <w:rPr>
          <w:b w:val="0"/>
          <w:bCs w:val="0"/>
        </w:rPr>
      </w:pPr>
      <w:r>
        <w:rPr>
          <w:rFonts w:ascii="宋体" w:hAnsi="宋体" w:cs="宋体" w:eastAsia="宋体" w:hint="default"/>
        </w:rPr>
        <w:t>4</w:t>
      </w:r>
      <w:r>
        <w:rPr/>
        <w:t>、</w:t>
      </w:r>
      <w:r>
        <w:rPr>
          <w:spacing w:val="-2"/>
        </w:rPr>
        <w:t> </w:t>
      </w:r>
      <w:r>
        <w:rPr/>
        <w:t>拆出资金</w:t>
      </w:r>
      <w:r>
        <w:rPr>
          <w:b w:val="0"/>
          <w:bCs w:val="0"/>
        </w:rPr>
      </w:r>
    </w:p>
    <w:p>
      <w:pPr>
        <w:pStyle w:val="BodyText"/>
        <w:spacing w:line="240" w:lineRule="auto" w:before="58"/>
        <w:ind w:left="957" w:right="0"/>
        <w:jc w:val="left"/>
      </w:pPr>
      <w:r>
        <w:rPr/>
        <w:t>□适用 √不适用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320" w:right="600"/>
        </w:sectPr>
      </w:pPr>
    </w:p>
    <w:p>
      <w:pPr>
        <w:pStyle w:val="Heading5"/>
        <w:spacing w:line="240" w:lineRule="auto" w:before="36"/>
        <w:ind w:left="957" w:right="-17"/>
        <w:jc w:val="left"/>
        <w:rPr>
          <w:b w:val="0"/>
          <w:bCs w:val="0"/>
        </w:rPr>
      </w:pPr>
      <w:r>
        <w:rPr>
          <w:rFonts w:ascii="宋体" w:hAnsi="宋体" w:cs="宋体" w:eastAsia="宋体" w:hint="default"/>
        </w:rPr>
        <w:t>5</w:t>
      </w:r>
      <w:r>
        <w:rPr/>
        <w:t>、</w:t>
      </w:r>
      <w:r>
        <w:rPr>
          <w:spacing w:val="-4"/>
        </w:rPr>
        <w:t> </w:t>
      </w:r>
      <w:r>
        <w:rPr/>
        <w:t>以公允价值计量且其变动计入当期损益的金融资产</w:t>
      </w:r>
      <w:r>
        <w:rPr>
          <w:b w:val="0"/>
          <w:bCs w:val="0"/>
        </w:rPr>
      </w:r>
    </w:p>
    <w:p>
      <w:pPr>
        <w:pStyle w:val="BodyText"/>
        <w:spacing w:line="240" w:lineRule="auto" w:before="56"/>
        <w:ind w:left="95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7" w:right="0"/>
        <w:jc w:val="left"/>
      </w:pPr>
      <w:r>
        <w:rPr/>
        <w:t>单位：元币种：人民币</w:t>
      </w:r>
    </w:p>
    <w:p>
      <w:pPr>
        <w:spacing w:after="0" w:line="240" w:lineRule="auto"/>
        <w:jc w:val="left"/>
        <w:sectPr>
          <w:type w:val="continuous"/>
          <w:pgSz w:w="11910" w:h="16840"/>
          <w:pgMar w:top="1060" w:bottom="1380" w:left="320" w:right="600"/>
          <w:cols w:num="2" w:equalWidth="0">
            <w:col w:w="6017" w:space="956"/>
            <w:col w:w="401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828"/>
        <w:gridCol w:w="1692"/>
        <w:gridCol w:w="1553"/>
        <w:gridCol w:w="1844"/>
        <w:gridCol w:w="1702"/>
        <w:gridCol w:w="1417"/>
        <w:gridCol w:w="1709"/>
      </w:tblGrid>
      <w:tr>
        <w:trPr>
          <w:trHeight w:val="322" w:hRule="exact"/>
        </w:trPr>
        <w:tc>
          <w:tcPr>
            <w:tcW w:w="10744" w:type="dxa"/>
            <w:gridSpan w:val="7"/>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2"/>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283"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4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r>
      <w:tr>
        <w:trPr>
          <w:trHeight w:val="1370" w:hRule="exact"/>
        </w:trPr>
        <w:tc>
          <w:tcPr>
            <w:tcW w:w="828" w:type="dxa"/>
            <w:vMerge/>
            <w:tcBorders>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103" w:hanging="106"/>
              <w:jc w:val="left"/>
              <w:rPr>
                <w:rFonts w:ascii="宋体" w:hAnsi="宋体" w:cs="宋体" w:eastAsia="宋体" w:hint="default"/>
                <w:sz w:val="21"/>
                <w:szCs w:val="21"/>
              </w:rPr>
            </w:pPr>
            <w:r>
              <w:rPr>
                <w:rFonts w:ascii="宋体" w:hAnsi="宋体" w:cs="宋体" w:eastAsia="宋体" w:hint="default"/>
                <w:sz w:val="21"/>
                <w:szCs w:val="21"/>
              </w:rPr>
              <w:t>为交易目的而持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有的金融资产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40"/>
              <w:jc w:val="both"/>
              <w:rPr>
                <w:rFonts w:ascii="宋体" w:hAnsi="宋体" w:cs="宋体" w:eastAsia="宋体" w:hint="default"/>
                <w:sz w:val="21"/>
                <w:szCs w:val="21"/>
              </w:rPr>
            </w:pPr>
            <w:r>
              <w:rPr>
                <w:rFonts w:ascii="宋体" w:hAnsi="宋体" w:cs="宋体" w:eastAsia="宋体" w:hint="default"/>
                <w:sz w:val="21"/>
                <w:szCs w:val="21"/>
              </w:rPr>
              <w:t>指定以公允价</w:t>
            </w:r>
            <w:r>
              <w:rPr>
                <w:rFonts w:ascii="宋体" w:hAnsi="宋体" w:cs="宋体" w:eastAsia="宋体" w:hint="default"/>
                <w:w w:val="100"/>
                <w:sz w:val="21"/>
                <w:szCs w:val="21"/>
              </w:rPr>
              <w:t> </w:t>
            </w:r>
            <w:r>
              <w:rPr>
                <w:rFonts w:ascii="宋体" w:hAnsi="宋体" w:cs="宋体" w:eastAsia="宋体" w:hint="default"/>
                <w:sz w:val="21"/>
                <w:szCs w:val="21"/>
              </w:rPr>
              <w:t>值计量且变动</w:t>
            </w:r>
            <w:r>
              <w:rPr>
                <w:rFonts w:ascii="宋体" w:hAnsi="宋体" w:cs="宋体" w:eastAsia="宋体" w:hint="default"/>
                <w:w w:val="100"/>
                <w:sz w:val="21"/>
                <w:szCs w:val="21"/>
              </w:rPr>
              <w:t> </w:t>
            </w:r>
            <w:r>
              <w:rPr>
                <w:rFonts w:ascii="宋体" w:hAnsi="宋体" w:cs="宋体" w:eastAsia="宋体" w:hint="default"/>
                <w:sz w:val="21"/>
                <w:szCs w:val="21"/>
              </w:rPr>
              <w:t>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公允价值合计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105" w:hanging="106"/>
              <w:jc w:val="left"/>
              <w:rPr>
                <w:rFonts w:ascii="宋体" w:hAnsi="宋体" w:cs="宋体" w:eastAsia="宋体" w:hint="default"/>
                <w:sz w:val="21"/>
                <w:szCs w:val="21"/>
              </w:rPr>
            </w:pPr>
            <w:r>
              <w:rPr>
                <w:rFonts w:ascii="宋体" w:hAnsi="宋体" w:cs="宋体" w:eastAsia="宋体" w:hint="default"/>
                <w:sz w:val="21"/>
                <w:szCs w:val="21"/>
              </w:rPr>
              <w:t>为交易目的而持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指定以公允</w:t>
            </w:r>
          </w:p>
          <w:p>
            <w:pPr>
              <w:pStyle w:val="TableParagraph"/>
              <w:spacing w:line="237" w:lineRule="auto"/>
              <w:ind w:left="177" w:right="173"/>
              <w:jc w:val="center"/>
              <w:rPr>
                <w:rFonts w:ascii="宋体" w:hAnsi="宋体" w:cs="宋体" w:eastAsia="宋体" w:hint="default"/>
                <w:sz w:val="21"/>
                <w:szCs w:val="21"/>
              </w:rPr>
            </w:pPr>
            <w:r>
              <w:rPr>
                <w:rFonts w:ascii="宋体" w:hAnsi="宋体" w:cs="宋体" w:eastAsia="宋体" w:hint="default"/>
                <w:sz w:val="21"/>
                <w:szCs w:val="21"/>
              </w:rPr>
              <w:t>价值计量且</w:t>
            </w:r>
            <w:r>
              <w:rPr>
                <w:rFonts w:ascii="宋体" w:hAnsi="宋体" w:cs="宋体" w:eastAsia="宋体" w:hint="default"/>
                <w:w w:val="100"/>
                <w:sz w:val="21"/>
                <w:szCs w:val="21"/>
              </w:rPr>
              <w:t> </w:t>
            </w:r>
            <w:r>
              <w:rPr>
                <w:rFonts w:ascii="宋体" w:hAnsi="宋体" w:cs="宋体" w:eastAsia="宋体" w:hint="default"/>
                <w:sz w:val="21"/>
                <w:szCs w:val="21"/>
              </w:rPr>
              <w:t>变动计入当</w:t>
            </w:r>
            <w:r>
              <w:rPr>
                <w:rFonts w:ascii="宋体" w:hAnsi="宋体" w:cs="宋体" w:eastAsia="宋体" w:hint="default"/>
                <w:w w:val="100"/>
                <w:sz w:val="21"/>
                <w:szCs w:val="21"/>
              </w:rPr>
              <w:t> </w:t>
            </w:r>
            <w:r>
              <w:rPr>
                <w:rFonts w:ascii="宋体" w:hAnsi="宋体" w:cs="宋体" w:eastAsia="宋体" w:hint="default"/>
                <w:sz w:val="21"/>
                <w:szCs w:val="21"/>
              </w:rPr>
              <w:t>期损益的金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1" w:right="110" w:hanging="629"/>
              <w:jc w:val="left"/>
              <w:rPr>
                <w:rFonts w:ascii="宋体" w:hAnsi="宋体" w:cs="宋体" w:eastAsia="宋体" w:hint="default"/>
                <w:sz w:val="21"/>
                <w:szCs w:val="21"/>
              </w:rPr>
            </w:pPr>
            <w:r>
              <w:rPr>
                <w:rFonts w:ascii="宋体" w:hAnsi="宋体" w:cs="宋体" w:eastAsia="宋体" w:hint="default"/>
                <w:sz w:val="21"/>
                <w:szCs w:val="21"/>
              </w:rPr>
              <w:t>初始投资成本合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r>
      <w:tr>
        <w:trPr>
          <w:trHeight w:val="28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8,532,298,914.16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8,532,298,914.16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8,637,748,211.31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8,637,748,211.31</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415,948,127.31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260,009,437.96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675,957,565.27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469,732,695.94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364,694,598.3</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834,427,294.28</w:t>
            </w:r>
          </w:p>
        </w:tc>
      </w:tr>
      <w:tr>
        <w:trPr>
          <w:trHeight w:val="28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108,555,523.28</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108,555,523.28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113,216,801.19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113,216,801.19</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9,056,802,564.75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260,009,437.96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9,316,812,002.71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9,220,697,708.44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364,694,598.3</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9,585,392,306.78</w:t>
            </w:r>
          </w:p>
        </w:tc>
      </w:tr>
      <w:tr>
        <w:trPr>
          <w:trHeight w:val="283" w:hRule="exact"/>
        </w:trPr>
        <w:tc>
          <w:tcPr>
            <w:tcW w:w="1074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4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r>
      <w:tr>
        <w:trPr>
          <w:trHeight w:val="1373" w:hRule="exact"/>
        </w:trPr>
        <w:tc>
          <w:tcPr>
            <w:tcW w:w="828" w:type="dxa"/>
            <w:vMerge/>
            <w:tcBorders>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8" w:right="103" w:hanging="106"/>
              <w:jc w:val="left"/>
              <w:rPr>
                <w:rFonts w:ascii="宋体" w:hAnsi="宋体" w:cs="宋体" w:eastAsia="宋体" w:hint="default"/>
                <w:sz w:val="21"/>
                <w:szCs w:val="21"/>
              </w:rPr>
            </w:pPr>
            <w:r>
              <w:rPr>
                <w:rFonts w:ascii="宋体" w:hAnsi="宋体" w:cs="宋体" w:eastAsia="宋体" w:hint="default"/>
                <w:sz w:val="21"/>
                <w:szCs w:val="21"/>
              </w:rPr>
              <w:t>为交易目的而持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有的金融资产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40"/>
              <w:jc w:val="both"/>
              <w:rPr>
                <w:rFonts w:ascii="宋体" w:hAnsi="宋体" w:cs="宋体" w:eastAsia="宋体" w:hint="default"/>
                <w:sz w:val="21"/>
                <w:szCs w:val="21"/>
              </w:rPr>
            </w:pPr>
            <w:r>
              <w:rPr>
                <w:rFonts w:ascii="宋体" w:hAnsi="宋体" w:cs="宋体" w:eastAsia="宋体" w:hint="default"/>
                <w:sz w:val="21"/>
                <w:szCs w:val="21"/>
              </w:rPr>
              <w:t>指定以公允价</w:t>
            </w:r>
            <w:r>
              <w:rPr>
                <w:rFonts w:ascii="宋体" w:hAnsi="宋体" w:cs="宋体" w:eastAsia="宋体" w:hint="default"/>
                <w:w w:val="100"/>
                <w:sz w:val="21"/>
                <w:szCs w:val="21"/>
              </w:rPr>
              <w:t> </w:t>
            </w:r>
            <w:r>
              <w:rPr>
                <w:rFonts w:ascii="宋体" w:hAnsi="宋体" w:cs="宋体" w:eastAsia="宋体" w:hint="default"/>
                <w:sz w:val="21"/>
                <w:szCs w:val="21"/>
              </w:rPr>
              <w:t>值计量且变动</w:t>
            </w:r>
            <w:r>
              <w:rPr>
                <w:rFonts w:ascii="宋体" w:hAnsi="宋体" w:cs="宋体" w:eastAsia="宋体" w:hint="default"/>
                <w:w w:val="100"/>
                <w:sz w:val="21"/>
                <w:szCs w:val="21"/>
              </w:rPr>
              <w:t> </w:t>
            </w:r>
            <w:r>
              <w:rPr>
                <w:rFonts w:ascii="宋体" w:hAnsi="宋体" w:cs="宋体" w:eastAsia="宋体" w:hint="default"/>
                <w:sz w:val="21"/>
                <w:szCs w:val="21"/>
              </w:rPr>
              <w:t>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公允价值合计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15" w:right="105" w:hanging="106"/>
              <w:jc w:val="left"/>
              <w:rPr>
                <w:rFonts w:ascii="宋体" w:hAnsi="宋体" w:cs="宋体" w:eastAsia="宋体" w:hint="default"/>
                <w:sz w:val="21"/>
                <w:szCs w:val="21"/>
              </w:rPr>
            </w:pPr>
            <w:r>
              <w:rPr>
                <w:rFonts w:ascii="宋体" w:hAnsi="宋体" w:cs="宋体" w:eastAsia="宋体" w:hint="default"/>
                <w:sz w:val="21"/>
                <w:szCs w:val="21"/>
              </w:rPr>
              <w:t>为交易目的而持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指定以公允</w:t>
            </w:r>
          </w:p>
          <w:p>
            <w:pPr>
              <w:pStyle w:val="TableParagraph"/>
              <w:spacing w:line="237" w:lineRule="auto"/>
              <w:ind w:left="177" w:right="173"/>
              <w:jc w:val="center"/>
              <w:rPr>
                <w:rFonts w:ascii="宋体" w:hAnsi="宋体" w:cs="宋体" w:eastAsia="宋体" w:hint="default"/>
                <w:sz w:val="21"/>
                <w:szCs w:val="21"/>
              </w:rPr>
            </w:pPr>
            <w:r>
              <w:rPr>
                <w:rFonts w:ascii="宋体" w:hAnsi="宋体" w:cs="宋体" w:eastAsia="宋体" w:hint="default"/>
                <w:sz w:val="21"/>
                <w:szCs w:val="21"/>
              </w:rPr>
              <w:t>价值计量且</w:t>
            </w:r>
            <w:r>
              <w:rPr>
                <w:rFonts w:ascii="宋体" w:hAnsi="宋体" w:cs="宋体" w:eastAsia="宋体" w:hint="default"/>
                <w:w w:val="100"/>
                <w:sz w:val="21"/>
                <w:szCs w:val="21"/>
              </w:rPr>
              <w:t> </w:t>
            </w:r>
            <w:r>
              <w:rPr>
                <w:rFonts w:ascii="宋体" w:hAnsi="宋体" w:cs="宋体" w:eastAsia="宋体" w:hint="default"/>
                <w:sz w:val="21"/>
                <w:szCs w:val="21"/>
              </w:rPr>
              <w:t>变动计入当</w:t>
            </w:r>
            <w:r>
              <w:rPr>
                <w:rFonts w:ascii="宋体" w:hAnsi="宋体" w:cs="宋体" w:eastAsia="宋体" w:hint="default"/>
                <w:w w:val="100"/>
                <w:sz w:val="21"/>
                <w:szCs w:val="21"/>
              </w:rPr>
              <w:t> </w:t>
            </w:r>
            <w:r>
              <w:rPr>
                <w:rFonts w:ascii="宋体" w:hAnsi="宋体" w:cs="宋体" w:eastAsia="宋体" w:hint="default"/>
                <w:sz w:val="21"/>
                <w:szCs w:val="21"/>
              </w:rPr>
              <w:t>期损益的金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741" w:right="110" w:hanging="629"/>
              <w:jc w:val="left"/>
              <w:rPr>
                <w:rFonts w:ascii="宋体" w:hAnsi="宋体" w:cs="宋体" w:eastAsia="宋体" w:hint="default"/>
                <w:sz w:val="21"/>
                <w:szCs w:val="21"/>
              </w:rPr>
            </w:pPr>
            <w:r>
              <w:rPr>
                <w:rFonts w:ascii="宋体" w:hAnsi="宋体" w:cs="宋体" w:eastAsia="宋体" w:hint="default"/>
                <w:sz w:val="21"/>
                <w:szCs w:val="21"/>
              </w:rPr>
              <w:t>初始投资成本合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r>
      <w:tr>
        <w:trPr>
          <w:trHeight w:val="28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2"/>
                <w:sz w:val="15"/>
              </w:rPr>
              <w:t>9,071,797,971.41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9,071,797,971.41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9,223,322,153.93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9,223,322,153.93</w:t>
            </w:r>
          </w:p>
        </w:tc>
      </w:tr>
      <w:tr>
        <w:trPr>
          <w:trHeight w:val="28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263,256,912.84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142,508,605.14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405,765,517.98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258,746,034.29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147,171,588.62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405,917,622.91</w:t>
            </w:r>
          </w:p>
        </w:tc>
      </w:tr>
      <w:tr>
        <w:trPr>
          <w:trHeight w:val="28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955,410,835.51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955,410,835.51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951,231,654.84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951,231,654.84</w:t>
            </w:r>
          </w:p>
        </w:tc>
      </w:tr>
      <w:tr>
        <w:trPr>
          <w:trHeight w:val="28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10,290,465,719.76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142,508,605.14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10,432,974,324.90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10,433,299,843.06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147,171,588.62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10,580,471,431.68</w:t>
            </w:r>
          </w:p>
        </w:tc>
      </w:tr>
    </w:tbl>
    <w:p>
      <w:pPr>
        <w:spacing w:line="240" w:lineRule="auto" w:before="4"/>
        <w:rPr>
          <w:rFonts w:ascii="宋体" w:hAnsi="宋体" w:cs="宋体" w:eastAsia="宋体" w:hint="default"/>
          <w:sz w:val="18"/>
          <w:szCs w:val="18"/>
        </w:rPr>
      </w:pPr>
    </w:p>
    <w:p>
      <w:pPr>
        <w:pStyle w:val="BodyText"/>
        <w:spacing w:line="240" w:lineRule="auto" w:before="36"/>
        <w:ind w:left="957" w:right="3385"/>
        <w:jc w:val="left"/>
      </w:pPr>
      <w:r>
        <w:rPr/>
        <w:t>其他说明</w:t>
      </w:r>
      <w:r>
        <w:rPr>
          <w:w w:val="100"/>
        </w:rPr>
        <w:t> </w:t>
      </w:r>
      <w:r>
        <w:rPr>
          <w:spacing w:val="-2"/>
        </w:rPr>
        <w:t>变现有限制的以公允价值计量且其变动计入当期损益的金融资产</w:t>
      </w:r>
    </w:p>
    <w:p>
      <w:pPr>
        <w:spacing w:line="240" w:lineRule="auto" w:before="4"/>
        <w:rPr>
          <w:rFonts w:ascii="宋体" w:hAnsi="宋体" w:cs="宋体" w:eastAsia="宋体" w:hint="default"/>
          <w:sz w:val="2"/>
          <w:szCs w:val="2"/>
        </w:rPr>
      </w:pPr>
    </w:p>
    <w:tbl>
      <w:tblPr>
        <w:tblW w:w="0" w:type="auto"/>
        <w:jc w:val="left"/>
        <w:tblInd w:w="952" w:type="dxa"/>
        <w:tblLayout w:type="fixed"/>
        <w:tblCellMar>
          <w:top w:w="0" w:type="dxa"/>
          <w:left w:w="0" w:type="dxa"/>
          <w:bottom w:w="0" w:type="dxa"/>
          <w:right w:w="0" w:type="dxa"/>
        </w:tblCellMar>
        <w:tblLook w:val="01E0"/>
      </w:tblPr>
      <w:tblGrid>
        <w:gridCol w:w="3260"/>
        <w:gridCol w:w="2062"/>
        <w:gridCol w:w="2059"/>
      </w:tblGrid>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限制条件或变现方</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面的其他重大限制</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7"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用于正回购交易担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保物</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4,921,623,988.00</w:t>
            </w:r>
          </w:p>
        </w:tc>
      </w:tr>
      <w:tr>
        <w:trPr>
          <w:trHeight w:val="53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宋体" w:hAnsi="宋体" w:cs="宋体" w:eastAsia="宋体" w:hint="default"/>
                <w:sz w:val="21"/>
                <w:szCs w:val="21"/>
              </w:rPr>
            </w:pPr>
            <w:r>
              <w:rPr>
                <w:rFonts w:ascii="宋体" w:hAnsi="宋体" w:cs="宋体" w:eastAsia="宋体" w:hint="default"/>
                <w:sz w:val="21"/>
                <w:szCs w:val="21"/>
              </w:rPr>
              <w:t>融出证券</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1"/>
                <w:szCs w:val="21"/>
              </w:rPr>
            </w:pPr>
            <w:r>
              <w:rPr>
                <w:rFonts w:ascii="宋体"/>
                <w:spacing w:val="-1"/>
                <w:sz w:val="21"/>
              </w:rPr>
              <w:t>395,957,065.16</w:t>
            </w:r>
          </w:p>
        </w:tc>
      </w:tr>
    </w:tbl>
    <w:p>
      <w:pPr>
        <w:spacing w:after="0" w:line="240" w:lineRule="auto"/>
        <w:jc w:val="right"/>
        <w:rPr>
          <w:rFonts w:ascii="宋体" w:hAnsi="宋体" w:cs="宋体" w:eastAsia="宋体" w:hint="default"/>
          <w:sz w:val="21"/>
          <w:szCs w:val="21"/>
        </w:rPr>
        <w:sectPr>
          <w:type w:val="continuous"/>
          <w:pgSz w:w="11910" w:h="16840"/>
          <w:pgMar w:top="1060" w:bottom="1380" w:left="320" w:right="600"/>
        </w:sectPr>
      </w:pPr>
    </w:p>
    <w:p>
      <w:pPr>
        <w:spacing w:line="240" w:lineRule="auto" w:before="0"/>
        <w:rPr>
          <w:rFonts w:ascii="宋体" w:hAnsi="宋体" w:cs="宋体" w:eastAsia="宋体" w:hint="default"/>
          <w:sz w:val="24"/>
          <w:szCs w:val="24"/>
        </w:rPr>
      </w:pPr>
    </w:p>
    <w:tbl>
      <w:tblPr>
        <w:tblW w:w="0" w:type="auto"/>
        <w:jc w:val="left"/>
        <w:tblInd w:w="552" w:type="dxa"/>
        <w:tblLayout w:type="fixed"/>
        <w:tblCellMar>
          <w:top w:w="0" w:type="dxa"/>
          <w:left w:w="0" w:type="dxa"/>
          <w:bottom w:w="0" w:type="dxa"/>
          <w:right w:w="0" w:type="dxa"/>
        </w:tblCellMar>
        <w:tblLook w:val="01E0"/>
      </w:tblPr>
      <w:tblGrid>
        <w:gridCol w:w="3260"/>
        <w:gridCol w:w="2062"/>
        <w:gridCol w:w="2059"/>
      </w:tblGrid>
      <w:tr>
        <w:trPr>
          <w:trHeight w:val="29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3" w:right="0"/>
              <w:jc w:val="left"/>
              <w:rPr>
                <w:rFonts w:ascii="宋体" w:hAnsi="宋体" w:cs="宋体" w:eastAsia="宋体" w:hint="default"/>
                <w:sz w:val="21"/>
                <w:szCs w:val="21"/>
              </w:rPr>
            </w:pPr>
            <w:r>
              <w:rPr>
                <w:rFonts w:ascii="宋体"/>
                <w:sz w:val="21"/>
              </w:rPr>
              <w:t>5,317,581,053.16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720" w:right="1000"/>
        </w:sectPr>
      </w:pPr>
    </w:p>
    <w:p>
      <w:pPr>
        <w:pStyle w:val="Heading5"/>
        <w:spacing w:line="240" w:lineRule="auto" w:before="36"/>
        <w:ind w:left="557" w:right="-19"/>
        <w:jc w:val="left"/>
        <w:rPr>
          <w:b w:val="0"/>
          <w:bCs w:val="0"/>
        </w:rPr>
      </w:pPr>
      <w:r>
        <w:rPr>
          <w:rFonts w:ascii="宋体" w:hAnsi="宋体" w:cs="宋体" w:eastAsia="宋体" w:hint="default"/>
        </w:rPr>
        <w:t>6</w:t>
      </w:r>
      <w:r>
        <w:rPr/>
        <w:t>、</w:t>
      </w:r>
      <w:r>
        <w:rPr>
          <w:spacing w:val="-1"/>
        </w:rPr>
        <w:t> </w:t>
      </w:r>
      <w:r>
        <w:rPr/>
        <w:t>融券业务情况</w:t>
      </w:r>
      <w:r>
        <w:rPr>
          <w:b w:val="0"/>
          <w:bCs w:val="0"/>
        </w:rPr>
      </w:r>
    </w:p>
    <w:p>
      <w:pPr>
        <w:pStyle w:val="BodyText"/>
        <w:spacing w:line="240" w:lineRule="auto" w:before="58"/>
        <w:ind w:left="5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57"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720" w:right="1000"/>
          <w:cols w:num="2" w:equalWidth="0">
            <w:col w:w="2245" w:space="4937"/>
            <w:col w:w="3008"/>
          </w:cols>
        </w:sectPr>
      </w:pPr>
    </w:p>
    <w:p>
      <w:pPr>
        <w:spacing w:line="240" w:lineRule="auto" w:before="8"/>
        <w:rPr>
          <w:rFonts w:ascii="宋体" w:hAnsi="宋体" w:cs="宋体" w:eastAsia="宋体" w:hint="default"/>
          <w:sz w:val="16"/>
          <w:szCs w:val="16"/>
        </w:rPr>
      </w:pPr>
    </w:p>
    <w:tbl>
      <w:tblPr>
        <w:tblW w:w="0" w:type="auto"/>
        <w:jc w:val="left"/>
        <w:tblInd w:w="550" w:type="dxa"/>
        <w:tblLayout w:type="fixed"/>
        <w:tblCellMar>
          <w:top w:w="0" w:type="dxa"/>
          <w:left w:w="0" w:type="dxa"/>
          <w:bottom w:w="0" w:type="dxa"/>
          <w:right w:w="0" w:type="dxa"/>
        </w:tblCellMar>
        <w:tblLook w:val="01E0"/>
      </w:tblPr>
      <w:tblGrid>
        <w:gridCol w:w="4042"/>
        <w:gridCol w:w="2890"/>
        <w:gridCol w:w="235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3"/>
              <w:jc w:val="right"/>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融出证券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490,443,338.26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360,307,026.08</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94,486,273.10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148,022,697.30</w:t>
            </w:r>
          </w:p>
        </w:tc>
      </w:tr>
      <w:tr>
        <w:trPr>
          <w:trHeight w:val="557"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395,957,065.16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212,284,328.78</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3"/>
              <w:jc w:val="right"/>
              <w:rPr>
                <w:rFonts w:ascii="宋体" w:hAnsi="宋体" w:cs="宋体" w:eastAsia="宋体" w:hint="default"/>
                <w:sz w:val="21"/>
                <w:szCs w:val="21"/>
              </w:rPr>
            </w:pPr>
            <w:r>
              <w:rPr>
                <w:rFonts w:ascii="宋体" w:hAnsi="宋体" w:cs="宋体" w:eastAsia="宋体" w:hint="default"/>
                <w:sz w:val="21"/>
                <w:szCs w:val="21"/>
              </w:rPr>
              <w:t>小计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490,443,338.26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360,307,026.08</w:t>
            </w:r>
          </w:p>
        </w:tc>
      </w:tr>
    </w:tbl>
    <w:p>
      <w:pPr>
        <w:spacing w:line="240" w:lineRule="auto" w:before="7"/>
        <w:rPr>
          <w:rFonts w:ascii="宋体" w:hAnsi="宋体" w:cs="宋体" w:eastAsia="宋体" w:hint="default"/>
          <w:sz w:val="15"/>
          <w:szCs w:val="15"/>
        </w:rPr>
      </w:pPr>
    </w:p>
    <w:p>
      <w:pPr>
        <w:pStyle w:val="BodyText"/>
        <w:spacing w:line="272" w:lineRule="exact" w:before="64"/>
        <w:ind w:left="557" w:right="7775"/>
        <w:jc w:val="left"/>
      </w:pPr>
      <w:r>
        <w:rPr>
          <w:spacing w:val="-2"/>
        </w:rPr>
        <w:t>融券业务的说明：</w:t>
      </w:r>
      <w:r>
        <w:rPr>
          <w:spacing w:val="-89"/>
        </w:rPr>
        <w:t> </w:t>
      </w:r>
      <w:r>
        <w:rPr>
          <w:spacing w:val="-89"/>
        </w:rPr>
      </w:r>
      <w:r>
        <w:rPr/>
        <w:t>无</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720" w:right="1000"/>
        </w:sectPr>
      </w:pPr>
    </w:p>
    <w:p>
      <w:pPr>
        <w:pStyle w:val="Heading5"/>
        <w:spacing w:line="240" w:lineRule="auto" w:before="36"/>
        <w:ind w:left="557" w:right="-18"/>
        <w:jc w:val="left"/>
        <w:rPr>
          <w:b w:val="0"/>
          <w:bCs w:val="0"/>
        </w:rPr>
      </w:pPr>
      <w:r>
        <w:rPr>
          <w:rFonts w:ascii="宋体" w:hAnsi="宋体" w:cs="宋体" w:eastAsia="宋体" w:hint="default"/>
        </w:rPr>
        <w:t>7</w:t>
      </w:r>
      <w:r>
        <w:rPr/>
        <w:t>、</w:t>
      </w:r>
      <w:r>
        <w:rPr>
          <w:spacing w:val="-2"/>
        </w:rPr>
        <w:t> </w:t>
      </w:r>
      <w:r>
        <w:rPr/>
        <w:t>衍生金融工具</w:t>
      </w:r>
      <w:r>
        <w:rPr>
          <w:b w:val="0"/>
          <w:bCs w:val="0"/>
        </w:rPr>
      </w:r>
    </w:p>
    <w:p>
      <w:pPr>
        <w:pStyle w:val="BodyText"/>
        <w:spacing w:line="240" w:lineRule="auto" w:before="56"/>
        <w:ind w:left="5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557" w:right="0"/>
        <w:jc w:val="left"/>
      </w:pPr>
      <w:r>
        <w:rPr/>
        <w:t>单位：元币种：人民币</w:t>
      </w:r>
    </w:p>
    <w:p>
      <w:pPr>
        <w:spacing w:after="0" w:line="240" w:lineRule="auto"/>
        <w:jc w:val="left"/>
        <w:sectPr>
          <w:type w:val="continuous"/>
          <w:pgSz w:w="11910" w:h="16840"/>
          <w:pgMar w:top="1060" w:bottom="1380" w:left="720" w:right="1000"/>
          <w:cols w:num="2" w:equalWidth="0">
            <w:col w:w="2245" w:space="4728"/>
            <w:col w:w="321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36"/>
        <w:gridCol w:w="425"/>
        <w:gridCol w:w="427"/>
        <w:gridCol w:w="425"/>
        <w:gridCol w:w="1256"/>
        <w:gridCol w:w="1128"/>
        <w:gridCol w:w="996"/>
        <w:gridCol w:w="425"/>
        <w:gridCol w:w="427"/>
        <w:gridCol w:w="425"/>
        <w:gridCol w:w="1126"/>
        <w:gridCol w:w="997"/>
        <w:gridCol w:w="1270"/>
      </w:tblGrid>
      <w:tr>
        <w:trPr>
          <w:trHeight w:val="283"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6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w:t>
            </w:r>
          </w:p>
        </w:tc>
        <w:tc>
          <w:tcPr>
            <w:tcW w:w="46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1" w:hRule="exact"/>
        </w:trPr>
        <w:tc>
          <w:tcPr>
            <w:tcW w:w="636" w:type="dxa"/>
            <w:vMerge/>
            <w:tcBorders>
              <w:left w:val="single" w:sz="4" w:space="0" w:color="000000"/>
              <w:right w:val="single" w:sz="4" w:space="0" w:color="000000"/>
            </w:tcBorders>
          </w:tcPr>
          <w:p>
            <w:pP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套期工具</w:t>
            </w:r>
          </w:p>
        </w:tc>
        <w:tc>
          <w:tcPr>
            <w:tcW w:w="33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非套期工具</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套期工具</w:t>
            </w:r>
          </w:p>
        </w:tc>
        <w:tc>
          <w:tcPr>
            <w:tcW w:w="3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非套期工具</w:t>
            </w:r>
          </w:p>
        </w:tc>
      </w:tr>
      <w:tr>
        <w:trPr>
          <w:trHeight w:val="555" w:hRule="exact"/>
        </w:trPr>
        <w:tc>
          <w:tcPr>
            <w:tcW w:w="636" w:type="dxa"/>
            <w:vMerge/>
            <w:tcBorders>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名</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义</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256" w:type="dxa"/>
            <w:vMerge w:val="restart"/>
            <w:tcBorders>
              <w:top w:val="single" w:sz="4" w:space="0" w:color="000000"/>
              <w:left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名义金额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名</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义</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126" w:type="dxa"/>
            <w:vMerge w:val="restart"/>
            <w:tcBorders>
              <w:top w:val="single" w:sz="4" w:space="0" w:color="000000"/>
              <w:left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名义金额</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公允价值</w:t>
            </w:r>
          </w:p>
        </w:tc>
      </w:tr>
      <w:tr>
        <w:trPr>
          <w:trHeight w:val="554" w:hRule="exact"/>
        </w:trPr>
        <w:tc>
          <w:tcPr>
            <w:tcW w:w="63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256"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8"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425"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126" w:type="dxa"/>
            <w:vMerge/>
            <w:tcBorders>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hAnsi="宋体" w:cs="宋体" w:eastAsia="宋体" w:hint="default"/>
                <w:sz w:val="21"/>
                <w:szCs w:val="21"/>
              </w:rPr>
              <w:t>负债</w:t>
            </w:r>
          </w:p>
        </w:tc>
      </w:tr>
      <w:tr>
        <w:trPr>
          <w:trHeight w:val="8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衍生</w:t>
            </w:r>
            <w:r>
              <w:rPr>
                <w:rFonts w:ascii="宋体" w:hAnsi="宋体" w:cs="宋体" w:eastAsia="宋体" w:hint="default"/>
                <w:spacing w:val="-103"/>
                <w:sz w:val="21"/>
                <w:szCs w:val="21"/>
              </w:rPr>
              <w:t> </w:t>
            </w:r>
            <w:r>
              <w:rPr>
                <w:rFonts w:ascii="宋体" w:hAnsi="宋体" w:cs="宋体" w:eastAsia="宋体" w:hint="default"/>
                <w:sz w:val="21"/>
                <w:szCs w:val="21"/>
              </w:rPr>
              <w:t>工具</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2,192,726,207.16</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118,144,595.38</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8,915,088.22</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787,849,089.87</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3"/>
                <w:szCs w:val="13"/>
              </w:rPr>
            </w:pPr>
            <w:r>
              <w:rPr>
                <w:rFonts w:ascii="宋体"/>
                <w:sz w:val="13"/>
              </w:rPr>
              <w:t>6,114,246.68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28,313,067.91</w:t>
            </w:r>
            <w:r>
              <w:rPr>
                <w:rFonts w:ascii="宋体"/>
                <w:sz w:val="13"/>
              </w:rPr>
            </w:r>
          </w:p>
        </w:tc>
      </w:tr>
      <w:tr>
        <w:trPr>
          <w:trHeight w:val="8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期货</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146,963,180.00</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142,592,274.79</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场外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期权</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1,211,402,193.33</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29,453,026.50</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8,754,882.99</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475,256,815.08</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3"/>
                <w:szCs w:val="13"/>
              </w:rPr>
            </w:pPr>
            <w:r>
              <w:rPr>
                <w:rFonts w:ascii="宋体"/>
                <w:sz w:val="13"/>
              </w:rPr>
              <w:t>6,114,246.68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19,276,161.72</w:t>
            </w:r>
            <w:r>
              <w:rPr>
                <w:rFonts w:ascii="宋体"/>
                <w:sz w:val="13"/>
              </w:rPr>
            </w:r>
          </w:p>
        </w:tc>
      </w:tr>
      <w:tr>
        <w:trPr>
          <w:trHeight w:val="8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互换</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820,522,002.48</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88,658,693.88</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170,000,000.00</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9,036,906.19</w:t>
            </w:r>
            <w:r>
              <w:rPr>
                <w:rFonts w:ascii="宋体"/>
                <w:sz w:val="13"/>
              </w:rPr>
            </w:r>
          </w:p>
        </w:tc>
      </w:tr>
      <w:tr>
        <w:trPr>
          <w:trHeight w:val="8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场内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期权</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w w:val="95"/>
                <w:sz w:val="13"/>
              </w:rPr>
              <w:t>13,838,831.35</w:t>
            </w:r>
            <w:r>
              <w:rPr>
                <w:rFonts w:ascii="宋体"/>
                <w:sz w:val="13"/>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32,875.00</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160,205.23</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衍生</w:t>
            </w:r>
            <w:r>
              <w:rPr>
                <w:rFonts w:ascii="宋体" w:hAnsi="宋体" w:cs="宋体" w:eastAsia="宋体" w:hint="default"/>
                <w:spacing w:val="-103"/>
                <w:sz w:val="21"/>
                <w:szCs w:val="21"/>
              </w:rPr>
              <w:t> </w:t>
            </w:r>
            <w:r>
              <w:rPr>
                <w:rFonts w:ascii="宋体" w:hAnsi="宋体" w:cs="宋体" w:eastAsia="宋体" w:hint="default"/>
                <w:sz w:val="21"/>
                <w:szCs w:val="21"/>
              </w:rPr>
              <w:t>工具</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34,097,910.00</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177,645.06</w:t>
            </w:r>
            <w:r>
              <w:rPr>
                <w:rFonts w:ascii="宋体"/>
                <w:sz w:val="13"/>
              </w:rPr>
            </w:r>
          </w:p>
        </w:tc>
      </w:tr>
      <w:tr>
        <w:trPr>
          <w:trHeight w:val="8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期货</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16,897,910.00</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720" w:right="100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636"/>
        <w:gridCol w:w="425"/>
        <w:gridCol w:w="427"/>
        <w:gridCol w:w="425"/>
        <w:gridCol w:w="1256"/>
        <w:gridCol w:w="1128"/>
        <w:gridCol w:w="996"/>
        <w:gridCol w:w="425"/>
        <w:gridCol w:w="427"/>
        <w:gridCol w:w="425"/>
        <w:gridCol w:w="1126"/>
        <w:gridCol w:w="997"/>
        <w:gridCol w:w="1270"/>
      </w:tblGrid>
      <w:tr>
        <w:trPr>
          <w:trHeight w:val="8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场外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期权</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17,200,000.00</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177,645.06</w:t>
            </w:r>
            <w:r>
              <w:rPr>
                <w:rFonts w:ascii="宋体"/>
                <w:sz w:val="13"/>
              </w:rPr>
            </w:r>
          </w:p>
        </w:tc>
      </w:tr>
      <w:tr>
        <w:trPr>
          <w:trHeight w:val="8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sz w:val="13"/>
              </w:rPr>
              <w:t>2,192,726,207.16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sz w:val="13"/>
              </w:rPr>
              <w:t>118,144,595.38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0" w:right="0"/>
              <w:jc w:val="left"/>
              <w:rPr>
                <w:rFonts w:ascii="宋体" w:hAnsi="宋体" w:cs="宋体" w:eastAsia="宋体" w:hint="default"/>
                <w:sz w:val="13"/>
                <w:szCs w:val="13"/>
              </w:rPr>
            </w:pPr>
            <w:r>
              <w:rPr>
                <w:rFonts w:ascii="宋体"/>
                <w:sz w:val="13"/>
              </w:rPr>
              <w:t>8,915,088.22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821,946,999.87</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sz w:val="13"/>
              </w:rPr>
              <w:t>6,114,246.68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28,490,712.97</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73" w:lineRule="exact" w:before="36"/>
        <w:ind w:left="557" w:right="0"/>
        <w:jc w:val="left"/>
      </w:pPr>
      <w:r>
        <w:rPr/>
        <w:t>衍生金融工具的说明：</w:t>
      </w:r>
    </w:p>
    <w:p>
      <w:pPr>
        <w:pStyle w:val="BodyText"/>
        <w:spacing w:line="273" w:lineRule="exact"/>
        <w:ind w:left="1037" w:right="0"/>
        <w:jc w:val="left"/>
      </w:pPr>
      <w:r>
        <w:rPr/>
        <w:t>期末，本公司持有的标准期货合约名义本金为</w:t>
      </w:r>
      <w:r>
        <w:rPr>
          <w:spacing w:val="-58"/>
        </w:rPr>
        <w:t> </w:t>
      </w:r>
      <w:r>
        <w:rPr>
          <w:rFonts w:ascii="宋体" w:hAnsi="宋体" w:cs="宋体" w:eastAsia="宋体" w:hint="default"/>
        </w:rPr>
        <w:t>146,963,180.00</w:t>
      </w:r>
      <w:r>
        <w:rPr>
          <w:rFonts w:ascii="宋体" w:hAnsi="宋体" w:cs="宋体" w:eastAsia="宋体" w:hint="default"/>
          <w:spacing w:val="-58"/>
        </w:rPr>
        <w:t> </w:t>
      </w:r>
      <w:r>
        <w:rPr/>
        <w:t>元，期货交易每日无负债结算</w:t>
      </w:r>
    </w:p>
    <w:p>
      <w:pPr>
        <w:pStyle w:val="BodyText"/>
        <w:spacing w:line="240" w:lineRule="auto" w:before="133"/>
        <w:ind w:left="557" w:right="0"/>
        <w:jc w:val="left"/>
      </w:pPr>
      <w:r>
        <w:rPr/>
        <w:t>确认衍生金融资产</w:t>
      </w:r>
      <w:r>
        <w:rPr>
          <w:spacing w:val="-54"/>
        </w:rPr>
        <w:t> </w:t>
      </w:r>
      <w:r>
        <w:rPr>
          <w:rFonts w:ascii="宋体" w:hAnsi="宋体" w:cs="宋体" w:eastAsia="宋体" w:hint="default"/>
        </w:rPr>
        <w:t>3,278,320.00</w:t>
      </w:r>
      <w:r>
        <w:rPr>
          <w:rFonts w:ascii="宋体" w:hAnsi="宋体" w:cs="宋体" w:eastAsia="宋体" w:hint="default"/>
          <w:spacing w:val="-53"/>
        </w:rPr>
        <w:t> </w:t>
      </w:r>
      <w:r>
        <w:rPr/>
        <w:t>元与应付款项</w:t>
      </w:r>
      <w:r>
        <w:rPr>
          <w:spacing w:val="-54"/>
        </w:rPr>
        <w:t> </w:t>
      </w:r>
      <w:r>
        <w:rPr>
          <w:rFonts w:ascii="宋体" w:hAnsi="宋体" w:cs="宋体" w:eastAsia="宋体" w:hint="default"/>
        </w:rPr>
        <w:t>3,278,320.00</w:t>
      </w:r>
      <w:r>
        <w:rPr>
          <w:rFonts w:ascii="宋体" w:hAnsi="宋体" w:cs="宋体" w:eastAsia="宋体" w:hint="default"/>
          <w:spacing w:val="-56"/>
        </w:rPr>
        <w:t> </w:t>
      </w:r>
      <w:r>
        <w:rPr/>
        <w:t>元</w:t>
      </w:r>
      <w:r>
        <w:rPr>
          <w:rFonts w:ascii="宋体" w:hAnsi="宋体" w:cs="宋体" w:eastAsia="宋体" w:hint="default"/>
        </w:rPr>
        <w:t>,</w:t>
      </w:r>
      <w:r>
        <w:rPr/>
        <w:t>按抵销后的金额列示为</w:t>
      </w:r>
      <w:r>
        <w:rPr>
          <w:spacing w:val="-53"/>
        </w:rPr>
        <w:t> </w:t>
      </w:r>
      <w:r>
        <w:rPr>
          <w:rFonts w:ascii="宋体" w:hAnsi="宋体" w:cs="宋体" w:eastAsia="宋体" w:hint="default"/>
        </w:rPr>
        <w:t>0</w:t>
      </w:r>
      <w:r>
        <w:rPr>
          <w:rFonts w:ascii="宋体" w:hAnsi="宋体" w:cs="宋体" w:eastAsia="宋体" w:hint="default"/>
          <w:spacing w:val="-54"/>
        </w:rPr>
        <w:t> </w:t>
      </w:r>
      <w:r>
        <w:rPr>
          <w:spacing w:val="-3"/>
        </w:rPr>
        <w:t>元。</w:t>
      </w:r>
      <w:r>
        <w:rPr/>
      </w:r>
    </w:p>
    <w:p>
      <w:pPr>
        <w:pStyle w:val="BodyText"/>
        <w:spacing w:line="240" w:lineRule="auto" w:before="136"/>
        <w:ind w:left="977" w:right="0"/>
        <w:jc w:val="left"/>
      </w:pPr>
      <w:r>
        <w:rPr>
          <w:spacing w:val="-4"/>
        </w:rPr>
        <w:t>期初，本公司持有的标准期货合约名义本金为 </w:t>
      </w:r>
      <w:r>
        <w:rPr>
          <w:rFonts w:ascii="宋体" w:hAnsi="宋体" w:cs="宋体" w:eastAsia="宋体" w:hint="default"/>
        </w:rPr>
        <w:t>159,490,184.79</w:t>
      </w:r>
      <w:r>
        <w:rPr>
          <w:rFonts w:ascii="宋体" w:hAnsi="宋体" w:cs="宋体" w:eastAsia="宋体" w:hint="default"/>
          <w:spacing w:val="-44"/>
        </w:rPr>
        <w:t> </w:t>
      </w:r>
      <w:r>
        <w:rPr>
          <w:spacing w:val="-4"/>
        </w:rPr>
        <w:t>元，期货交易每日无负债结算确</w:t>
      </w:r>
    </w:p>
    <w:p>
      <w:pPr>
        <w:pStyle w:val="BodyText"/>
        <w:spacing w:line="240" w:lineRule="auto" w:before="133"/>
        <w:ind w:left="557" w:right="0"/>
        <w:jc w:val="left"/>
      </w:pPr>
      <w:r>
        <w:rPr/>
        <w:t>认衍生金融负债</w:t>
      </w:r>
      <w:r>
        <w:rPr>
          <w:spacing w:val="-54"/>
        </w:rPr>
        <w:t> </w:t>
      </w:r>
      <w:r>
        <w:rPr>
          <w:rFonts w:ascii="宋体" w:hAnsi="宋体" w:cs="宋体" w:eastAsia="宋体" w:hint="default"/>
        </w:rPr>
        <w:t>1,302,680.20</w:t>
      </w:r>
      <w:r>
        <w:rPr>
          <w:rFonts w:ascii="宋体" w:hAnsi="宋体" w:cs="宋体" w:eastAsia="宋体" w:hint="default"/>
          <w:spacing w:val="-56"/>
        </w:rPr>
        <w:t> </w:t>
      </w:r>
      <w:r>
        <w:rPr/>
        <w:t>元与应收款项</w:t>
      </w:r>
      <w:r>
        <w:rPr>
          <w:spacing w:val="-54"/>
        </w:rPr>
        <w:t> </w:t>
      </w:r>
      <w:r>
        <w:rPr>
          <w:rFonts w:ascii="宋体" w:hAnsi="宋体" w:cs="宋体" w:eastAsia="宋体" w:hint="default"/>
        </w:rPr>
        <w:t>1,302,680.20</w:t>
      </w:r>
      <w:r>
        <w:rPr>
          <w:rFonts w:ascii="宋体" w:hAnsi="宋体" w:cs="宋体" w:eastAsia="宋体" w:hint="default"/>
          <w:spacing w:val="-54"/>
        </w:rPr>
        <w:t> </w:t>
      </w:r>
      <w:r>
        <w:rPr/>
        <w:t>元</w:t>
      </w:r>
      <w:r>
        <w:rPr>
          <w:rFonts w:ascii="宋体" w:hAnsi="宋体" w:cs="宋体" w:eastAsia="宋体" w:hint="default"/>
        </w:rPr>
        <w:t>,</w:t>
      </w:r>
      <w:r>
        <w:rPr/>
        <w:t>按抵销后的金额列示为</w:t>
      </w:r>
      <w:r>
        <w:rPr>
          <w:spacing w:val="-53"/>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720" w:right="1000"/>
        </w:sectPr>
      </w:pPr>
    </w:p>
    <w:p>
      <w:pPr>
        <w:pStyle w:val="Heading5"/>
        <w:spacing w:line="290" w:lineRule="auto" w:before="36"/>
        <w:ind w:left="557" w:right="-20"/>
        <w:jc w:val="left"/>
        <w:rPr>
          <w:b w:val="0"/>
          <w:bCs w:val="0"/>
        </w:rPr>
      </w:pPr>
      <w:r>
        <w:rPr>
          <w:rFonts w:ascii="宋体" w:hAnsi="宋体" w:cs="宋体" w:eastAsia="宋体" w:hint="default"/>
        </w:rPr>
        <w:t>8</w:t>
      </w:r>
      <w:r>
        <w:rPr/>
        <w:t>、 买入返售金融资产</w:t>
      </w:r>
      <w:r>
        <w:rPr>
          <w:w w:val="100"/>
        </w:rPr>
        <w:t> </w:t>
      </w:r>
      <w:r>
        <w:rPr>
          <w:rFonts w:ascii="宋体" w:hAnsi="宋体" w:cs="宋体" w:eastAsia="宋体" w:hint="default"/>
        </w:rPr>
        <w:t>(1)</w:t>
      </w:r>
      <w:r>
        <w:rPr>
          <w:rFonts w:ascii="宋体" w:hAnsi="宋体" w:cs="宋体" w:eastAsia="宋体" w:hint="default"/>
          <w:spacing w:val="-1"/>
        </w:rPr>
        <w:t> </w:t>
      </w:r>
      <w:r>
        <w:rPr/>
        <w:t>按金融资产种类</w:t>
      </w:r>
      <w:r>
        <w:rPr>
          <w:b w:val="0"/>
          <w:bCs w:val="0"/>
        </w:rPr>
      </w:r>
    </w:p>
    <w:p>
      <w:pPr>
        <w:pStyle w:val="BodyText"/>
        <w:spacing w:line="240" w:lineRule="auto" w:before="14"/>
        <w:ind w:left="55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57" w:right="0"/>
        <w:jc w:val="left"/>
      </w:pPr>
      <w:r>
        <w:rPr/>
        <w:t>单位：元币种：人民币</w:t>
      </w:r>
    </w:p>
    <w:p>
      <w:pPr>
        <w:spacing w:after="0" w:line="240" w:lineRule="auto"/>
        <w:jc w:val="left"/>
        <w:sectPr>
          <w:type w:val="continuous"/>
          <w:pgSz w:w="11910" w:h="16840"/>
          <w:pgMar w:top="1060" w:bottom="1380" w:left="720" w:right="1000"/>
          <w:cols w:num="2" w:equalWidth="0">
            <w:col w:w="2667" w:space="4306"/>
            <w:col w:w="3217"/>
          </w:cols>
        </w:sectPr>
      </w:pPr>
    </w:p>
    <w:p>
      <w:pPr>
        <w:spacing w:line="240" w:lineRule="auto" w:before="7"/>
        <w:rPr>
          <w:rFonts w:ascii="宋体" w:hAnsi="宋体" w:cs="宋体" w:eastAsia="宋体" w:hint="default"/>
          <w:sz w:val="2"/>
          <w:szCs w:val="2"/>
        </w:rPr>
      </w:pPr>
    </w:p>
    <w:tbl>
      <w:tblPr>
        <w:tblW w:w="0" w:type="auto"/>
        <w:jc w:val="left"/>
        <w:tblInd w:w="444" w:type="dxa"/>
        <w:tblLayout w:type="fixed"/>
        <w:tblCellMar>
          <w:top w:w="0" w:type="dxa"/>
          <w:left w:w="0" w:type="dxa"/>
          <w:bottom w:w="0" w:type="dxa"/>
          <w:right w:w="0" w:type="dxa"/>
        </w:tblCellMar>
        <w:tblLook w:val="01E0"/>
      </w:tblPr>
      <w:tblGrid>
        <w:gridCol w:w="3095"/>
        <w:gridCol w:w="3099"/>
        <w:gridCol w:w="3097"/>
      </w:tblGrid>
      <w:tr>
        <w:trPr>
          <w:trHeight w:val="28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3,210,812,957.63</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4,003,512,510.14</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2,072,958,757.50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1,265,178,721.73</w:t>
            </w:r>
          </w:p>
        </w:tc>
      </w:tr>
      <w:tr>
        <w:trPr>
          <w:trHeight w:val="28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1,437,009,000.00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1,074,749,836.30</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102,468,929.58</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40,035,125.11</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买入返售金融资产账面价值</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6,618,311,785.55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6,303,405,943.06</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720" w:right="1000"/>
        </w:sectPr>
      </w:pPr>
    </w:p>
    <w:p>
      <w:pPr>
        <w:pStyle w:val="Heading5"/>
        <w:spacing w:line="240" w:lineRule="auto" w:before="36"/>
        <w:ind w:left="557" w:right="-17"/>
        <w:jc w:val="left"/>
        <w:rPr>
          <w:b w:val="0"/>
          <w:bCs w:val="0"/>
        </w:rPr>
      </w:pPr>
      <w:r>
        <w:rPr>
          <w:rFonts w:ascii="宋体" w:hAnsi="宋体" w:cs="宋体" w:eastAsia="宋体" w:hint="default"/>
        </w:rPr>
        <w:t>(2)</w:t>
      </w:r>
      <w:r>
        <w:rPr>
          <w:rFonts w:ascii="宋体" w:hAnsi="宋体" w:cs="宋体" w:eastAsia="宋体" w:hint="default"/>
          <w:spacing w:val="-5"/>
        </w:rPr>
        <w:t> </w:t>
      </w:r>
      <w:r>
        <w:rPr/>
        <w:t>约定购回、质押回购融出资金按剩余期限分类披露</w:t>
      </w:r>
      <w:r>
        <w:rPr>
          <w:b w:val="0"/>
          <w:bCs w:val="0"/>
        </w:rPr>
      </w:r>
    </w:p>
    <w:p>
      <w:pPr>
        <w:pStyle w:val="BodyText"/>
        <w:spacing w:line="240" w:lineRule="auto" w:before="58"/>
        <w:ind w:left="55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57" w:right="0"/>
        <w:jc w:val="left"/>
      </w:pPr>
      <w:r>
        <w:rPr/>
        <w:t>单位：元币种：人民币</w:t>
      </w:r>
    </w:p>
    <w:p>
      <w:pPr>
        <w:spacing w:after="0" w:line="240" w:lineRule="auto"/>
        <w:jc w:val="left"/>
        <w:sectPr>
          <w:type w:val="continuous"/>
          <w:pgSz w:w="11910" w:h="16840"/>
          <w:pgMar w:top="1060" w:bottom="1380" w:left="720" w:right="1000"/>
          <w:cols w:num="2" w:equalWidth="0">
            <w:col w:w="5617" w:space="1356"/>
            <w:col w:w="3217"/>
          </w:cols>
        </w:sectPr>
      </w:pPr>
    </w:p>
    <w:p>
      <w:pPr>
        <w:spacing w:line="240" w:lineRule="auto" w:before="7"/>
        <w:rPr>
          <w:rFonts w:ascii="宋体" w:hAnsi="宋体" w:cs="宋体" w:eastAsia="宋体" w:hint="default"/>
          <w:sz w:val="2"/>
          <w:szCs w:val="2"/>
        </w:rPr>
      </w:pPr>
    </w:p>
    <w:tbl>
      <w:tblPr>
        <w:tblW w:w="0" w:type="auto"/>
        <w:jc w:val="left"/>
        <w:tblInd w:w="444" w:type="dxa"/>
        <w:tblLayout w:type="fixed"/>
        <w:tblCellMar>
          <w:top w:w="0" w:type="dxa"/>
          <w:left w:w="0" w:type="dxa"/>
          <w:bottom w:w="0" w:type="dxa"/>
          <w:right w:w="0" w:type="dxa"/>
        </w:tblCellMar>
        <w:tblLook w:val="01E0"/>
      </w:tblPr>
      <w:tblGrid>
        <w:gridCol w:w="2328"/>
        <w:gridCol w:w="3498"/>
        <w:gridCol w:w="3464"/>
      </w:tblGrid>
      <w:tr>
        <w:trPr>
          <w:trHeight w:val="326"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一个月内</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424,131,518.60</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2,571,758.32</w:t>
            </w:r>
          </w:p>
        </w:tc>
      </w:tr>
      <w:tr>
        <w:trPr>
          <w:trHeight w:val="329"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一个月至三个月内</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98,400,000.00</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596,563,537.40</w:t>
            </w:r>
          </w:p>
        </w:tc>
      </w:tr>
      <w:tr>
        <w:trPr>
          <w:trHeight w:val="327"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三个月至一年内</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1,731,381,439.03</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2,433,126,214.42</w:t>
            </w:r>
          </w:p>
        </w:tc>
      </w:tr>
      <w:tr>
        <w:trPr>
          <w:trHeight w:val="326"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956,900,000.00</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971,251,000.00</w:t>
            </w:r>
          </w:p>
        </w:tc>
      </w:tr>
      <w:tr>
        <w:trPr>
          <w:trHeight w:val="326"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3,210,812,957.63</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4,003,512,510.14</w:t>
            </w:r>
          </w:p>
        </w:tc>
      </w:tr>
    </w:tbl>
    <w:p>
      <w:pPr>
        <w:spacing w:line="240" w:lineRule="auto" w:before="6"/>
        <w:rPr>
          <w:rFonts w:ascii="宋体" w:hAnsi="宋体" w:cs="宋体" w:eastAsia="宋体" w:hint="default"/>
          <w:sz w:val="18"/>
          <w:szCs w:val="18"/>
        </w:rPr>
      </w:pPr>
    </w:p>
    <w:p>
      <w:pPr>
        <w:pStyle w:val="BodyText"/>
        <w:spacing w:line="274" w:lineRule="exact" w:before="36"/>
        <w:ind w:left="557" w:right="0"/>
        <w:jc w:val="left"/>
      </w:pPr>
      <w:r>
        <w:rPr/>
        <w:t>买入返售金融资产的说明：</w:t>
      </w:r>
    </w:p>
    <w:p>
      <w:pPr>
        <w:pStyle w:val="BodyText"/>
        <w:spacing w:line="513" w:lineRule="auto"/>
        <w:ind w:left="648" w:right="8035" w:hanging="92"/>
        <w:jc w:val="left"/>
      </w:pPr>
      <w:r>
        <w:rPr/>
        <w:pict>
          <v:shape style="position:absolute;margin-left:62.880001pt;margin-top:45.143696pt;width:369.8pt;height:74.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0"/>
                    <w:gridCol w:w="2060"/>
                    <w:gridCol w:w="2062"/>
                  </w:tblGrid>
                  <w:tr>
                    <w:trPr>
                      <w:trHeight w:val="29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95"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约定购回式证券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19,890,000.00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24,140,000.00</w:t>
                        </w:r>
                      </w:p>
                    </w:tc>
                  </w:tr>
                  <w:tr>
                    <w:trPr>
                      <w:trHeight w:val="295"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股票质押式回购</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3,190,922,957.63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3,979,372,510.14</w:t>
                        </w:r>
                      </w:p>
                    </w:tc>
                  </w:tr>
                  <w:tr>
                    <w:trPr>
                      <w:trHeight w:val="29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债券及其他逆回购买入返售</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3,509,967,757.50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2,339,928,558.03</w:t>
                        </w:r>
                      </w:p>
                    </w:tc>
                  </w:tr>
                  <w:tr>
                    <w:trPr>
                      <w:trHeight w:val="295"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102,468,929.58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40,035,125.11</w:t>
                        </w:r>
                      </w:p>
                    </w:tc>
                  </w:tr>
                </w:tbl>
                <w:p>
                  <w:pPr/>
                </w:p>
              </w:txbxContent>
            </v:textbox>
            <w10:wrap type="none"/>
          </v:shape>
        </w:pict>
      </w:r>
      <w:r>
        <w:rPr/>
        <w:t>√适用 □不适用</w:t>
      </w:r>
      <w:r>
        <w:rPr>
          <w:w w:val="100"/>
        </w:rPr>
        <w:t> </w:t>
      </w:r>
      <w:r>
        <w:rPr/>
        <w:t>按业务类别</w:t>
      </w:r>
    </w:p>
    <w:p>
      <w:pPr>
        <w:spacing w:after="0" w:line="513" w:lineRule="auto"/>
        <w:jc w:val="left"/>
        <w:sectPr>
          <w:type w:val="continuous"/>
          <w:pgSz w:w="11910" w:h="16840"/>
          <w:pgMar w:top="1060" w:bottom="1380" w:left="720" w:right="1000"/>
        </w:sectPr>
      </w:pPr>
    </w:p>
    <w:p>
      <w:pPr>
        <w:spacing w:line="240" w:lineRule="auto" w:before="0"/>
        <w:rPr>
          <w:rFonts w:ascii="宋体" w:hAnsi="宋体" w:cs="宋体" w:eastAsia="宋体" w:hint="default"/>
          <w:sz w:val="24"/>
          <w:szCs w:val="24"/>
        </w:rPr>
      </w:pPr>
    </w:p>
    <w:tbl>
      <w:tblPr>
        <w:tblW w:w="0" w:type="auto"/>
        <w:jc w:val="left"/>
        <w:tblInd w:w="237" w:type="dxa"/>
        <w:tblLayout w:type="fixed"/>
        <w:tblCellMar>
          <w:top w:w="0" w:type="dxa"/>
          <w:left w:w="0" w:type="dxa"/>
          <w:bottom w:w="0" w:type="dxa"/>
          <w:right w:w="0" w:type="dxa"/>
        </w:tblCellMar>
        <w:tblLook w:val="01E0"/>
      </w:tblPr>
      <w:tblGrid>
        <w:gridCol w:w="3260"/>
        <w:gridCol w:w="2060"/>
        <w:gridCol w:w="2062"/>
      </w:tblGrid>
      <w:tr>
        <w:trPr>
          <w:trHeight w:val="29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6" w:right="0"/>
              <w:jc w:val="left"/>
              <w:rPr>
                <w:rFonts w:ascii="宋体" w:hAnsi="宋体" w:cs="宋体" w:eastAsia="宋体" w:hint="default"/>
                <w:sz w:val="21"/>
                <w:szCs w:val="21"/>
              </w:rPr>
            </w:pPr>
            <w:r>
              <w:rPr>
                <w:rFonts w:ascii="宋体"/>
                <w:sz w:val="21"/>
              </w:rPr>
              <w:t>6,618,311,785.55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6" w:right="0"/>
              <w:jc w:val="left"/>
              <w:rPr>
                <w:rFonts w:ascii="宋体" w:hAnsi="宋体" w:cs="宋体" w:eastAsia="宋体" w:hint="default"/>
                <w:sz w:val="21"/>
                <w:szCs w:val="21"/>
              </w:rPr>
            </w:pPr>
            <w:r>
              <w:rPr>
                <w:rFonts w:ascii="宋体"/>
                <w:sz w:val="21"/>
              </w:rPr>
              <w:t>6,303,405,943.06</w:t>
            </w:r>
          </w:p>
        </w:tc>
      </w:tr>
    </w:tbl>
    <w:p>
      <w:pPr>
        <w:pStyle w:val="BodyText"/>
        <w:spacing w:line="241" w:lineRule="exact"/>
        <w:ind w:left="677" w:right="0"/>
        <w:jc w:val="left"/>
      </w:pPr>
      <w:r>
        <w:rPr/>
        <w:t>期末股票质押式回购的余额中有 </w:t>
      </w:r>
      <w:r>
        <w:rPr>
          <w:rFonts w:ascii="宋体" w:hAnsi="宋体" w:cs="宋体" w:eastAsia="宋体" w:hint="default"/>
        </w:rPr>
        <w:t>122,320,000.00</w:t>
      </w:r>
      <w:r>
        <w:rPr>
          <w:rFonts w:ascii="宋体" w:hAnsi="宋体" w:cs="宋体" w:eastAsia="宋体" w:hint="default"/>
          <w:spacing w:val="-78"/>
        </w:rPr>
        <w:t> </w:t>
      </w:r>
      <w:r>
        <w:rPr>
          <w:spacing w:val="-5"/>
        </w:rPr>
        <w:t>元经单项测试发生减值，根据未来现金流量现</w:t>
      </w:r>
    </w:p>
    <w:p>
      <w:pPr>
        <w:pStyle w:val="BodyText"/>
        <w:spacing w:line="240" w:lineRule="auto" w:before="133"/>
        <w:ind w:left="257" w:right="0"/>
        <w:jc w:val="left"/>
      </w:pPr>
      <w:r>
        <w:rPr/>
        <w:t>值低于账面价值的差额计提减值准备</w:t>
      </w:r>
      <w:r>
        <w:rPr>
          <w:spacing w:val="-55"/>
        </w:rPr>
        <w:t> </w:t>
      </w:r>
      <w:r>
        <w:rPr>
          <w:rFonts w:ascii="宋体" w:hAnsi="宋体" w:cs="宋体" w:eastAsia="宋体" w:hint="default"/>
        </w:rPr>
        <w:t>71,584,000.00</w:t>
      </w:r>
      <w:r>
        <w:rPr>
          <w:rFonts w:ascii="宋体" w:hAnsi="宋体" w:cs="宋体" w:eastAsia="宋体" w:hint="default"/>
          <w:spacing w:val="-55"/>
        </w:rPr>
        <w:t> </w:t>
      </w:r>
      <w:r>
        <w:rPr/>
        <w:t>元。</w:t>
      </w:r>
    </w:p>
    <w:p>
      <w:pPr>
        <w:pStyle w:val="BodyText"/>
        <w:spacing w:line="240" w:lineRule="auto" w:before="135"/>
        <w:ind w:left="677" w:right="0"/>
        <w:jc w:val="left"/>
      </w:pPr>
      <w:r>
        <w:rPr/>
        <w:t>期末公司开展约定购回业务融出资金收取的担保物价值</w:t>
      </w:r>
      <w:r>
        <w:rPr>
          <w:spacing w:val="-55"/>
        </w:rPr>
        <w:t> </w:t>
      </w:r>
      <w:r>
        <w:rPr>
          <w:rFonts w:ascii="宋体" w:hAnsi="宋体" w:cs="宋体" w:eastAsia="宋体" w:hint="default"/>
        </w:rPr>
        <w:t>63,856,178.75</w:t>
      </w:r>
      <w:r>
        <w:rPr>
          <w:rFonts w:ascii="宋体" w:hAnsi="宋体" w:cs="宋体" w:eastAsia="宋体" w:hint="default"/>
          <w:spacing w:val="-57"/>
        </w:rPr>
        <w:t> </w:t>
      </w:r>
      <w:r>
        <w:rPr/>
        <w:t>元，开展股票质押式回</w:t>
      </w:r>
    </w:p>
    <w:p>
      <w:pPr>
        <w:pStyle w:val="BodyText"/>
        <w:spacing w:line="240" w:lineRule="auto" w:before="133"/>
        <w:ind w:left="257" w:right="0"/>
        <w:jc w:val="left"/>
      </w:pPr>
      <w:r>
        <w:rPr/>
        <w:t>购业务融出资金收取的担保物价值 </w:t>
      </w:r>
      <w:r>
        <w:rPr>
          <w:rFonts w:ascii="宋体" w:hAnsi="宋体" w:cs="宋体" w:eastAsia="宋体" w:hint="default"/>
        </w:rPr>
        <w:t>8,264,451,488.94</w:t>
      </w:r>
      <w:r>
        <w:rPr>
          <w:rFonts w:ascii="宋体" w:hAnsi="宋体" w:cs="宋体" w:eastAsia="宋体" w:hint="default"/>
          <w:spacing w:val="-81"/>
        </w:rPr>
        <w:t> </w:t>
      </w:r>
      <w:r>
        <w:rPr>
          <w:spacing w:val="-5"/>
        </w:rPr>
        <w:t>元，公司开展债券及其他逆回购买入返售业务</w:t>
      </w:r>
    </w:p>
    <w:p>
      <w:pPr>
        <w:pStyle w:val="BodyText"/>
        <w:spacing w:line="240" w:lineRule="auto" w:before="133"/>
        <w:ind w:left="257" w:right="0"/>
        <w:jc w:val="left"/>
      </w:pPr>
      <w:r>
        <w:rPr/>
        <w:t>收取的担保物净价为</w:t>
      </w:r>
      <w:r>
        <w:rPr>
          <w:spacing w:val="-54"/>
        </w:rPr>
        <w:t> </w:t>
      </w:r>
      <w:r>
        <w:rPr>
          <w:rFonts w:ascii="宋体" w:hAnsi="宋体" w:cs="宋体" w:eastAsia="宋体" w:hint="default"/>
        </w:rPr>
        <w:t>3,665,375,805.90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20" w:right="760"/>
        </w:sectPr>
      </w:pPr>
    </w:p>
    <w:p>
      <w:pPr>
        <w:pStyle w:val="Heading5"/>
        <w:spacing w:line="290" w:lineRule="auto" w:before="36"/>
        <w:ind w:left="257" w:right="81"/>
        <w:jc w:val="left"/>
        <w:rPr>
          <w:b w:val="0"/>
          <w:bCs w:val="0"/>
        </w:rPr>
      </w:pPr>
      <w:r>
        <w:rPr>
          <w:rFonts w:ascii="宋体" w:hAnsi="宋体" w:cs="宋体" w:eastAsia="宋体" w:hint="default"/>
        </w:rPr>
        <w:t>9</w:t>
      </w:r>
      <w:r>
        <w:rPr/>
        <w:t>、</w:t>
      </w:r>
      <w:r>
        <w:rPr>
          <w:spacing w:val="-3"/>
        </w:rPr>
        <w:t> </w:t>
      </w:r>
      <w:r>
        <w:rPr/>
        <w:t>应收款项</w:t>
      </w:r>
      <w:r>
        <w:rPr>
          <w:w w:val="100"/>
        </w:rPr>
        <w:t> </w:t>
      </w:r>
      <w:r>
        <w:rPr>
          <w:rFonts w:ascii="宋体" w:hAnsi="宋体" w:cs="宋体" w:eastAsia="宋体" w:hint="default"/>
        </w:rPr>
        <w:t>(1)</w:t>
      </w:r>
      <w:r>
        <w:rPr>
          <w:rFonts w:ascii="宋体" w:hAnsi="宋体" w:cs="宋体" w:eastAsia="宋体" w:hint="default"/>
          <w:spacing w:val="-2"/>
        </w:rPr>
        <w:t> </w:t>
      </w:r>
      <w:r>
        <w:rPr/>
        <w:t>按明细列示</w:t>
      </w:r>
      <w:r>
        <w:rPr>
          <w:b w:val="0"/>
          <w:bCs w:val="0"/>
        </w:rPr>
      </w:r>
    </w:p>
    <w:p>
      <w:pPr>
        <w:pStyle w:val="BodyText"/>
        <w:spacing w:line="240" w:lineRule="auto" w:before="15"/>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060" w:bottom="1380" w:left="1020" w:right="760"/>
          <w:cols w:num="2" w:equalWidth="0">
            <w:col w:w="1835" w:space="5138"/>
            <w:col w:w="3157"/>
          </w:cols>
        </w:sectPr>
      </w:pP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3411"/>
        <w:gridCol w:w="2552"/>
        <w:gridCol w:w="2835"/>
      </w:tblGrid>
      <w:tr>
        <w:trPr>
          <w:trHeight w:val="28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应收清算款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542,641,446.11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30,148,949.64</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应收资产管理费</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255,054,061.19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166,342,443.69</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应收场外期权结算款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18,884,631.73</w:t>
            </w: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4,396,269.32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7,696,723.44</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820,976,408.35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204,188,116.77</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15,600,253.97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9,598,662.97</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应收款项账面价值</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805,376,154.38</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194,589,453.80</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020" w:right="760"/>
        </w:sectPr>
      </w:pPr>
    </w:p>
    <w:p>
      <w:pPr>
        <w:pStyle w:val="Heading5"/>
        <w:spacing w:line="240" w:lineRule="auto" w:before="36"/>
        <w:ind w:left="257" w:right="-18"/>
        <w:jc w:val="left"/>
        <w:rPr>
          <w:b w:val="0"/>
          <w:bCs w:val="0"/>
        </w:rPr>
      </w:pPr>
      <w:r>
        <w:rPr>
          <w:rFonts w:ascii="宋体" w:hAnsi="宋体" w:cs="宋体" w:eastAsia="宋体" w:hint="default"/>
        </w:rPr>
        <w:t>(2)</w:t>
      </w:r>
      <w:r>
        <w:rPr>
          <w:rFonts w:ascii="宋体" w:hAnsi="宋体" w:cs="宋体" w:eastAsia="宋体" w:hint="default"/>
          <w:spacing w:val="-2"/>
        </w:rPr>
        <w:t> </w:t>
      </w:r>
      <w:r>
        <w:rPr/>
        <w:t>按账龄分析</w:t>
      </w:r>
      <w:r>
        <w:rPr>
          <w:b w:val="0"/>
          <w:bCs w:val="0"/>
        </w:rPr>
      </w:r>
    </w:p>
    <w:p>
      <w:pPr>
        <w:pStyle w:val="BodyText"/>
        <w:spacing w:line="240" w:lineRule="auto" w:before="56"/>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57"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020" w:right="760"/>
          <w:cols w:num="2" w:equalWidth="0">
            <w:col w:w="1835" w:space="5347"/>
            <w:col w:w="2948"/>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761"/>
        <w:gridCol w:w="1598"/>
        <w:gridCol w:w="730"/>
        <w:gridCol w:w="1438"/>
        <w:gridCol w:w="603"/>
        <w:gridCol w:w="1454"/>
        <w:gridCol w:w="708"/>
        <w:gridCol w:w="1174"/>
        <w:gridCol w:w="670"/>
      </w:tblGrid>
      <w:tr>
        <w:trPr>
          <w:trHeight w:val="283" w:hRule="exact"/>
        </w:trPr>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761" w:type="dxa"/>
            <w:vMerge/>
            <w:tcBorders>
              <w:left w:val="single" w:sz="4" w:space="0" w:color="000000"/>
              <w:right w:val="single" w:sz="4" w:space="0" w:color="000000"/>
            </w:tcBorders>
          </w:tcPr>
          <w:p>
            <w:pP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9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761" w:type="dxa"/>
            <w:vMerge/>
            <w:tcBorders>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269,478,294.30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96.82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6"/>
              <w:jc w:val="right"/>
              <w:rPr>
                <w:rFonts w:ascii="宋体" w:hAnsi="宋体" w:cs="宋体" w:eastAsia="宋体" w:hint="default"/>
                <w:sz w:val="18"/>
                <w:szCs w:val="18"/>
              </w:rPr>
            </w:pPr>
            <w:r>
              <w:rPr>
                <w:rFonts w:ascii="宋体"/>
                <w:spacing w:val="-1"/>
                <w:sz w:val="18"/>
              </w:rPr>
              <w:t>13,473,914.71</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6"/>
              <w:jc w:val="right"/>
              <w:rPr>
                <w:rFonts w:ascii="宋体" w:hAnsi="宋体" w:cs="宋体" w:eastAsia="宋体" w:hint="default"/>
                <w:sz w:val="18"/>
                <w:szCs w:val="18"/>
              </w:rPr>
            </w:pPr>
            <w:r>
              <w:rPr>
                <w:rFonts w:ascii="宋体"/>
                <w:sz w:val="18"/>
              </w:rPr>
              <w:t>5.00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168,061,136.38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96.57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0" w:right="0"/>
              <w:jc w:val="center"/>
              <w:rPr>
                <w:rFonts w:ascii="宋体" w:hAnsi="宋体" w:cs="宋体" w:eastAsia="宋体" w:hint="default"/>
                <w:sz w:val="18"/>
                <w:szCs w:val="18"/>
              </w:rPr>
            </w:pPr>
            <w:r>
              <w:rPr>
                <w:rFonts w:ascii="宋体"/>
                <w:sz w:val="18"/>
              </w:rPr>
              <w:t>8,403,056.82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
              <w:jc w:val="right"/>
              <w:rPr>
                <w:rFonts w:ascii="宋体" w:hAnsi="宋体" w:cs="宋体" w:eastAsia="宋体" w:hint="default"/>
                <w:sz w:val="18"/>
                <w:szCs w:val="18"/>
              </w:rPr>
            </w:pPr>
            <w:r>
              <w:rPr>
                <w:rFonts w:ascii="宋体"/>
                <w:sz w:val="18"/>
              </w:rPr>
              <w:t>5.00</w:t>
            </w:r>
          </w:p>
        </w:tc>
      </w:tr>
      <w:tr>
        <w:trPr>
          <w:trHeight w:val="28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5,306,611.22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z w:val="18"/>
              </w:rPr>
              <w:t>1.91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6"/>
              <w:jc w:val="right"/>
              <w:rPr>
                <w:rFonts w:ascii="宋体" w:hAnsi="宋体" w:cs="宋体" w:eastAsia="宋体" w:hint="default"/>
                <w:sz w:val="18"/>
                <w:szCs w:val="18"/>
              </w:rPr>
            </w:pPr>
            <w:r>
              <w:rPr>
                <w:rFonts w:ascii="宋体"/>
                <w:spacing w:val="-1"/>
                <w:sz w:val="18"/>
              </w:rPr>
              <w:t>1,061,322.24</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6"/>
              <w:jc w:val="right"/>
              <w:rPr>
                <w:rFonts w:ascii="宋体" w:hAnsi="宋体" w:cs="宋体" w:eastAsia="宋体" w:hint="default"/>
                <w:sz w:val="18"/>
                <w:szCs w:val="18"/>
              </w:rPr>
            </w:pPr>
            <w:r>
              <w:rPr>
                <w:rFonts w:ascii="宋体"/>
                <w:sz w:val="18"/>
              </w:rPr>
              <w:t>20.00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5,978,030.75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z w:val="18"/>
              </w:rPr>
              <w:t>3.43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0" w:right="0"/>
              <w:jc w:val="center"/>
              <w:rPr>
                <w:rFonts w:ascii="宋体" w:hAnsi="宋体" w:cs="宋体" w:eastAsia="宋体" w:hint="default"/>
                <w:sz w:val="18"/>
                <w:szCs w:val="18"/>
              </w:rPr>
            </w:pPr>
            <w:r>
              <w:rPr>
                <w:rFonts w:ascii="宋体"/>
                <w:sz w:val="18"/>
              </w:rPr>
              <w:t>1,195,606.15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6"/>
              <w:jc w:val="right"/>
              <w:rPr>
                <w:rFonts w:ascii="宋体" w:hAnsi="宋体" w:cs="宋体" w:eastAsia="宋体" w:hint="default"/>
                <w:sz w:val="18"/>
                <w:szCs w:val="18"/>
              </w:rPr>
            </w:pPr>
            <w:r>
              <w:rPr>
                <w:rFonts w:ascii="宋体"/>
                <w:sz w:val="18"/>
              </w:rPr>
              <w:t>20.00</w:t>
            </w:r>
          </w:p>
        </w:tc>
      </w:tr>
      <w:tr>
        <w:trPr>
          <w:trHeight w:val="28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3,550,056.72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1.27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1,065,017.02</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z w:val="18"/>
              </w:rPr>
              <w:t>30.00</w:t>
            </w:r>
          </w:p>
        </w:tc>
        <w:tc>
          <w:tcPr>
            <w:tcW w:w="145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278,334,962.24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pacing w:val="-1"/>
                <w:sz w:val="18"/>
              </w:rPr>
              <w:t>15,600,253.97</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6"/>
              <w:jc w:val="right"/>
              <w:rPr>
                <w:rFonts w:ascii="宋体" w:hAnsi="宋体" w:cs="宋体" w:eastAsia="宋体" w:hint="default"/>
                <w:sz w:val="18"/>
                <w:szCs w:val="18"/>
              </w:rPr>
            </w:pPr>
            <w:r>
              <w:rPr>
                <w:rFonts w:ascii="宋体"/>
                <w:sz w:val="18"/>
              </w:rPr>
              <w:t>5.60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pacing w:val="-1"/>
                <w:sz w:val="18"/>
              </w:rPr>
              <w:t>174,039,167.13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pacing w:val="-1"/>
                <w:sz w:val="18"/>
              </w:rPr>
              <w:t>100.00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0" w:right="0"/>
              <w:jc w:val="center"/>
              <w:rPr>
                <w:rFonts w:ascii="宋体" w:hAnsi="宋体" w:cs="宋体" w:eastAsia="宋体" w:hint="default"/>
                <w:sz w:val="18"/>
                <w:szCs w:val="18"/>
              </w:rPr>
            </w:pPr>
            <w:r>
              <w:rPr>
                <w:rFonts w:ascii="宋体"/>
                <w:sz w:val="18"/>
              </w:rPr>
              <w:t>9,598,662.97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5"/>
              <w:jc w:val="right"/>
              <w:rPr>
                <w:rFonts w:ascii="宋体" w:hAnsi="宋体" w:cs="宋体" w:eastAsia="宋体" w:hint="default"/>
                <w:sz w:val="18"/>
                <w:szCs w:val="18"/>
              </w:rPr>
            </w:pPr>
            <w:r>
              <w:rPr>
                <w:rFonts w:ascii="宋体"/>
                <w:sz w:val="18"/>
              </w:rPr>
              <w:t>5.52</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20" w:right="760"/>
        </w:sectPr>
      </w:pPr>
    </w:p>
    <w:p>
      <w:pPr>
        <w:pStyle w:val="Heading5"/>
        <w:spacing w:line="240" w:lineRule="auto" w:before="36"/>
        <w:ind w:left="257" w:right="-20"/>
        <w:jc w:val="left"/>
        <w:rPr>
          <w:b w:val="0"/>
          <w:bCs w:val="0"/>
        </w:rPr>
      </w:pPr>
      <w:r>
        <w:rPr>
          <w:rFonts w:ascii="宋体" w:hAnsi="宋体" w:cs="宋体" w:eastAsia="宋体" w:hint="default"/>
        </w:rPr>
        <w:t>(3)</w:t>
      </w:r>
      <w:r>
        <w:rPr>
          <w:rFonts w:ascii="宋体" w:hAnsi="宋体" w:cs="宋体" w:eastAsia="宋体" w:hint="default"/>
          <w:spacing w:val="-1"/>
        </w:rPr>
        <w:t> </w:t>
      </w:r>
      <w:r>
        <w:rPr/>
        <w:t>按评估方式列示</w:t>
      </w:r>
      <w:r>
        <w:rPr>
          <w:b w:val="0"/>
          <w:bCs w:val="0"/>
        </w:rPr>
      </w:r>
    </w:p>
    <w:p>
      <w:pPr>
        <w:pStyle w:val="BodyText"/>
        <w:spacing w:line="240" w:lineRule="auto" w:before="58"/>
        <w:ind w:left="25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7"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020" w:right="760"/>
          <w:cols w:num="2" w:equalWidth="0">
            <w:col w:w="2156" w:space="5026"/>
            <w:col w:w="294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67"/>
        <w:gridCol w:w="1454"/>
        <w:gridCol w:w="874"/>
        <w:gridCol w:w="295"/>
        <w:gridCol w:w="1157"/>
        <w:gridCol w:w="749"/>
        <w:gridCol w:w="1438"/>
        <w:gridCol w:w="728"/>
        <w:gridCol w:w="1310"/>
        <w:gridCol w:w="727"/>
      </w:tblGrid>
      <w:tr>
        <w:trPr>
          <w:trHeight w:val="281" w:hRule="exact"/>
        </w:trPr>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67" w:type="dxa"/>
            <w:vMerge/>
            <w:tcBorders>
              <w:left w:val="single" w:sz="4" w:space="0" w:color="000000"/>
              <w:right w:val="single" w:sz="4" w:space="0" w:color="000000"/>
            </w:tcBorders>
          </w:tcPr>
          <w:p>
            <w:pP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167"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pacing w:val="-8"/>
                <w:sz w:val="21"/>
                <w:szCs w:val="21"/>
              </w:rPr>
              <w:t>比例（</w:t>
            </w:r>
            <w:r>
              <w:rPr>
                <w:rFonts w:ascii="宋体" w:hAnsi="宋体" w:cs="宋体" w:eastAsia="宋体" w:hint="default"/>
                <w:spacing w:val="-8"/>
                <w:sz w:val="21"/>
                <w:szCs w:val="21"/>
              </w:rPr>
              <w:t>%</w:t>
            </w:r>
          </w:p>
        </w:tc>
        <w:tc>
          <w:tcPr>
            <w:tcW w:w="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单项计提减</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6"/>
              <w:jc w:val="right"/>
              <w:rPr>
                <w:rFonts w:ascii="宋体" w:hAnsi="宋体" w:cs="宋体" w:eastAsia="宋体" w:hint="default"/>
                <w:sz w:val="18"/>
                <w:szCs w:val="18"/>
              </w:rPr>
            </w:pPr>
            <w:r>
              <w:rPr>
                <w:rFonts w:ascii="宋体"/>
                <w:spacing w:val="-1"/>
                <w:sz w:val="18"/>
              </w:rPr>
              <w:t>542,641,446.11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66.10</w:t>
            </w:r>
          </w:p>
        </w:tc>
        <w:tc>
          <w:tcPr>
            <w:tcW w:w="1452" w:type="dxa"/>
            <w:gridSpan w:val="2"/>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6"/>
              <w:jc w:val="right"/>
              <w:rPr>
                <w:rFonts w:ascii="宋体" w:hAnsi="宋体" w:cs="宋体" w:eastAsia="宋体" w:hint="default"/>
                <w:sz w:val="18"/>
                <w:szCs w:val="18"/>
              </w:rPr>
            </w:pPr>
            <w:r>
              <w:rPr>
                <w:rFonts w:ascii="宋体"/>
                <w:spacing w:val="-1"/>
                <w:sz w:val="18"/>
              </w:rPr>
              <w:t>30,148,949.64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z w:val="18"/>
              </w:rPr>
              <w:t>14.77</w:t>
            </w:r>
          </w:p>
        </w:tc>
        <w:tc>
          <w:tcPr>
            <w:tcW w:w="131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组合计提减</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
              <w:jc w:val="right"/>
              <w:rPr>
                <w:rFonts w:ascii="宋体" w:hAnsi="宋体" w:cs="宋体" w:eastAsia="宋体" w:hint="default"/>
                <w:sz w:val="18"/>
                <w:szCs w:val="18"/>
              </w:rPr>
            </w:pPr>
            <w:r>
              <w:rPr>
                <w:rFonts w:ascii="宋体"/>
                <w:spacing w:val="-1"/>
                <w:sz w:val="18"/>
              </w:rPr>
              <w:t>278,334,962.24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宋体" w:hAnsi="宋体" w:cs="宋体" w:eastAsia="宋体" w:hint="default"/>
                <w:sz w:val="18"/>
                <w:szCs w:val="18"/>
              </w:rPr>
            </w:pPr>
            <w:r>
              <w:rPr>
                <w:rFonts w:ascii="宋体"/>
                <w:sz w:val="18"/>
              </w:rPr>
              <w:t>33.90</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4" w:right="0"/>
              <w:jc w:val="left"/>
              <w:rPr>
                <w:rFonts w:ascii="宋体" w:hAnsi="宋体" w:cs="宋体" w:eastAsia="宋体" w:hint="default"/>
                <w:sz w:val="18"/>
                <w:szCs w:val="18"/>
              </w:rPr>
            </w:pPr>
            <w:r>
              <w:rPr>
                <w:rFonts w:ascii="宋体"/>
                <w:sz w:val="18"/>
              </w:rPr>
              <w:t>15,600,253.97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宋体" w:hAnsi="宋体" w:cs="宋体" w:eastAsia="宋体" w:hint="default"/>
                <w:sz w:val="18"/>
                <w:szCs w:val="18"/>
              </w:rPr>
            </w:pPr>
            <w:r>
              <w:rPr>
                <w:rFonts w:ascii="宋体"/>
                <w:sz w:val="18"/>
              </w:rPr>
              <w:t>5.60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
              <w:jc w:val="right"/>
              <w:rPr>
                <w:rFonts w:ascii="宋体" w:hAnsi="宋体" w:cs="宋体" w:eastAsia="宋体" w:hint="default"/>
                <w:sz w:val="18"/>
                <w:szCs w:val="18"/>
              </w:rPr>
            </w:pPr>
            <w:r>
              <w:rPr>
                <w:rFonts w:ascii="宋体"/>
                <w:spacing w:val="-1"/>
                <w:sz w:val="18"/>
              </w:rPr>
              <w:t>174,039,167.13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4"/>
              <w:jc w:val="right"/>
              <w:rPr>
                <w:rFonts w:ascii="宋体" w:hAnsi="宋体" w:cs="宋体" w:eastAsia="宋体" w:hint="default"/>
                <w:sz w:val="18"/>
                <w:szCs w:val="18"/>
              </w:rPr>
            </w:pPr>
            <w:r>
              <w:rPr>
                <w:rFonts w:ascii="宋体"/>
                <w:sz w:val="18"/>
              </w:rPr>
              <w:t>85.23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4"/>
              <w:jc w:val="right"/>
              <w:rPr>
                <w:rFonts w:ascii="宋体" w:hAnsi="宋体" w:cs="宋体" w:eastAsia="宋体" w:hint="default"/>
                <w:sz w:val="18"/>
                <w:szCs w:val="18"/>
              </w:rPr>
            </w:pPr>
            <w:r>
              <w:rPr>
                <w:rFonts w:ascii="宋体"/>
                <w:spacing w:val="-1"/>
                <w:sz w:val="18"/>
              </w:rPr>
              <w:t>9,598,662.97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宋体" w:hAnsi="宋体" w:cs="宋体" w:eastAsia="宋体" w:hint="default"/>
                <w:sz w:val="18"/>
                <w:szCs w:val="18"/>
              </w:rPr>
            </w:pPr>
            <w:r>
              <w:rPr>
                <w:rFonts w:ascii="宋体"/>
                <w:sz w:val="18"/>
              </w:rPr>
              <w:t>5.52</w:t>
            </w:r>
          </w:p>
        </w:tc>
      </w:tr>
      <w:tr>
        <w:trPr>
          <w:trHeight w:val="283"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6"/>
              <w:jc w:val="right"/>
              <w:rPr>
                <w:rFonts w:ascii="宋体" w:hAnsi="宋体" w:cs="宋体" w:eastAsia="宋体" w:hint="default"/>
                <w:sz w:val="18"/>
                <w:szCs w:val="18"/>
              </w:rPr>
            </w:pPr>
            <w:r>
              <w:rPr>
                <w:rFonts w:ascii="宋体"/>
                <w:spacing w:val="-1"/>
                <w:sz w:val="18"/>
              </w:rPr>
              <w:t>820,976,408.35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100.00</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4" w:right="0"/>
              <w:jc w:val="left"/>
              <w:rPr>
                <w:rFonts w:ascii="宋体" w:hAnsi="宋体" w:cs="宋体" w:eastAsia="宋体" w:hint="default"/>
                <w:sz w:val="18"/>
                <w:szCs w:val="18"/>
              </w:rPr>
            </w:pPr>
            <w:r>
              <w:rPr>
                <w:rFonts w:ascii="宋体"/>
                <w:sz w:val="18"/>
              </w:rPr>
              <w:t>15,600,253.97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z w:val="18"/>
              </w:rPr>
              <w:t>1.90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6"/>
              <w:jc w:val="right"/>
              <w:rPr>
                <w:rFonts w:ascii="宋体" w:hAnsi="宋体" w:cs="宋体" w:eastAsia="宋体" w:hint="default"/>
                <w:sz w:val="18"/>
                <w:szCs w:val="18"/>
              </w:rPr>
            </w:pPr>
            <w:r>
              <w:rPr>
                <w:rFonts w:ascii="宋体"/>
                <w:spacing w:val="-1"/>
                <w:sz w:val="18"/>
              </w:rPr>
              <w:t>204,188,116.77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9,598,662.97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
              <w:jc w:val="right"/>
              <w:rPr>
                <w:rFonts w:ascii="宋体" w:hAnsi="宋体" w:cs="宋体" w:eastAsia="宋体" w:hint="default"/>
                <w:sz w:val="18"/>
                <w:szCs w:val="18"/>
              </w:rPr>
            </w:pPr>
            <w:r>
              <w:rPr>
                <w:rFonts w:ascii="宋体"/>
                <w:sz w:val="18"/>
              </w:rPr>
              <w:t>4.70</w:t>
            </w:r>
          </w:p>
        </w:tc>
      </w:tr>
    </w:tbl>
    <w:p>
      <w:pPr>
        <w:spacing w:after="0" w:line="227" w:lineRule="exact"/>
        <w:jc w:val="right"/>
        <w:rPr>
          <w:rFonts w:ascii="宋体" w:hAnsi="宋体" w:cs="宋体" w:eastAsia="宋体" w:hint="default"/>
          <w:sz w:val="18"/>
          <w:szCs w:val="18"/>
        </w:rPr>
        <w:sectPr>
          <w:type w:val="continuous"/>
          <w:pgSz w:w="11910" w:h="16840"/>
          <w:pgMar w:top="1060" w:bottom="1380" w:left="1020" w:right="7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00" w:right="80"/>
        </w:sectPr>
      </w:pPr>
    </w:p>
    <w:p>
      <w:pPr>
        <w:spacing w:line="290" w:lineRule="auto" w:before="36"/>
        <w:ind w:left="677" w:right="0" w:firstLine="0"/>
        <w:jc w:val="left"/>
        <w:rPr>
          <w:rFonts w:ascii="宋体" w:hAnsi="宋体" w:cs="宋体" w:eastAsia="宋体" w:hint="default"/>
          <w:sz w:val="21"/>
          <w:szCs w:val="21"/>
        </w:rPr>
      </w:pPr>
      <w:r>
        <w:rPr>
          <w:rFonts w:ascii="宋体" w:hAnsi="宋体" w:cs="宋体" w:eastAsia="宋体" w:hint="default"/>
          <w:spacing w:val="-2"/>
          <w:sz w:val="21"/>
          <w:szCs w:val="21"/>
        </w:rPr>
        <w:t>备注：期末单项计提减值准备为应收清算款。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pStyle w:val="BodyText"/>
        <w:spacing w:line="240" w:lineRule="auto" w:before="14"/>
        <w:ind w:left="6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80"/>
          <w:cols w:num="2" w:equalWidth="0">
            <w:col w:w="4883" w:space="2090"/>
            <w:col w:w="4257"/>
          </w:cols>
        </w:sectPr>
      </w:pPr>
    </w:p>
    <w:p>
      <w:pPr>
        <w:spacing w:line="240" w:lineRule="auto" w:before="7"/>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3023"/>
        <w:gridCol w:w="3135"/>
        <w:gridCol w:w="3133"/>
      </w:tblGrid>
      <w:tr>
        <w:trPr>
          <w:trHeight w:val="283"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2"/>
              <w:jc w:val="right"/>
              <w:rPr>
                <w:rFonts w:ascii="宋体" w:hAnsi="宋体" w:cs="宋体" w:eastAsia="宋体" w:hint="default"/>
                <w:sz w:val="21"/>
                <w:szCs w:val="21"/>
              </w:rPr>
            </w:pPr>
            <w:r>
              <w:rPr>
                <w:rFonts w:ascii="宋体" w:hAnsi="宋体" w:cs="宋体" w:eastAsia="宋体" w:hint="default"/>
                <w:sz w:val="21"/>
                <w:szCs w:val="21"/>
              </w:rPr>
              <w:t>项目</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222,876,511.57</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217,964,477.06</w:t>
            </w:r>
          </w:p>
        </w:tc>
      </w:tr>
      <w:tr>
        <w:trPr>
          <w:trHeight w:val="283"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存放金融同业</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47,800,326.70</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29,160,051.33</w:t>
            </w:r>
          </w:p>
        </w:tc>
      </w:tr>
      <w:tr>
        <w:trPr>
          <w:trHeight w:val="281"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融资融券</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101,273,355.94</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140,279,526.94</w:t>
            </w:r>
          </w:p>
        </w:tc>
      </w:tr>
      <w:tr>
        <w:trPr>
          <w:trHeight w:val="283"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31,605,288.28</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30,479,060.51</w:t>
            </w:r>
          </w:p>
        </w:tc>
      </w:tr>
      <w:tr>
        <w:trPr>
          <w:trHeight w:val="283"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2"/>
              <w:jc w:val="right"/>
              <w:rPr>
                <w:rFonts w:ascii="宋体" w:hAnsi="宋体" w:cs="宋体" w:eastAsia="宋体" w:hint="default"/>
                <w:sz w:val="21"/>
                <w:szCs w:val="21"/>
              </w:rPr>
            </w:pPr>
            <w:r>
              <w:rPr>
                <w:rFonts w:ascii="宋体" w:hAnsi="宋体" w:cs="宋体" w:eastAsia="宋体" w:hint="default"/>
                <w:sz w:val="21"/>
                <w:szCs w:val="21"/>
              </w:rPr>
              <w:t>合计</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403,555,482.49</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417,883,115.84</w:t>
            </w:r>
          </w:p>
        </w:tc>
      </w:tr>
    </w:tbl>
    <w:p>
      <w:pPr>
        <w:pStyle w:val="BodyText"/>
        <w:spacing w:line="239" w:lineRule="exact"/>
        <w:ind w:left="677" w:right="8648"/>
        <w:jc w:val="left"/>
      </w:pPr>
      <w:r>
        <w:rPr/>
        <w:t>应收利息的说明：</w:t>
      </w:r>
    </w:p>
    <w:p>
      <w:pPr>
        <w:pStyle w:val="BodyText"/>
        <w:spacing w:line="273" w:lineRule="exact"/>
        <w:ind w:left="677" w:right="8648"/>
        <w:jc w:val="left"/>
      </w:pPr>
      <w:r>
        <w:rPr>
          <w:w w:val="100"/>
        </w:rPr>
        <w:t>无</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600" w:right="80"/>
        </w:sectPr>
      </w:pPr>
    </w:p>
    <w:p>
      <w:pPr>
        <w:pStyle w:val="Heading5"/>
        <w:spacing w:line="240" w:lineRule="auto" w:before="36"/>
        <w:ind w:left="677" w:right="-19"/>
        <w:jc w:val="left"/>
        <w:rPr>
          <w:b w:val="0"/>
          <w:bCs w:val="0"/>
        </w:rPr>
      </w:pPr>
      <w:r>
        <w:rPr>
          <w:rFonts w:ascii="宋体" w:hAnsi="宋体" w:cs="宋体" w:eastAsia="宋体" w:hint="default"/>
        </w:rPr>
        <w:t>11</w:t>
      </w:r>
      <w:r>
        <w:rPr/>
        <w:t>、</w:t>
      </w:r>
      <w:r>
        <w:rPr>
          <w:spacing w:val="39"/>
        </w:rPr>
        <w:t> </w:t>
      </w:r>
      <w:r>
        <w:rPr/>
        <w:t>存出保证金</w:t>
      </w:r>
      <w:r>
        <w:rPr>
          <w:b w:val="0"/>
          <w:bCs w:val="0"/>
        </w:rPr>
      </w:r>
    </w:p>
    <w:p>
      <w:pPr>
        <w:pStyle w:val="BodyText"/>
        <w:spacing w:line="240" w:lineRule="auto" w:before="56"/>
        <w:ind w:left="6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80"/>
          <w:cols w:num="2" w:equalWidth="0">
            <w:col w:w="2300" w:space="4673"/>
            <w:col w:w="4257"/>
          </w:cols>
        </w:sectPr>
      </w:pPr>
    </w:p>
    <w:p>
      <w:pPr>
        <w:spacing w:line="240" w:lineRule="auto" w:before="4"/>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3095"/>
        <w:gridCol w:w="3099"/>
        <w:gridCol w:w="3097"/>
      </w:tblGrid>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8"/>
              <w:jc w:val="right"/>
              <w:rPr>
                <w:rFonts w:ascii="宋体" w:hAnsi="宋体" w:cs="宋体" w:eastAsia="宋体" w:hint="default"/>
                <w:sz w:val="21"/>
                <w:szCs w:val="21"/>
              </w:rPr>
            </w:pPr>
            <w:r>
              <w:rPr>
                <w:rFonts w:ascii="宋体" w:hAnsi="宋体" w:cs="宋体" w:eastAsia="宋体" w:hint="default"/>
                <w:sz w:val="21"/>
                <w:szCs w:val="21"/>
              </w:rPr>
              <w:t>项目</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交易保证金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116,782,762.45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84,161,607.19</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信用保证金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15,167,998.62</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18,250,250.02</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转融通担保金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82,589,935.51</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3,032,412.27</w:t>
            </w:r>
          </w:p>
        </w:tc>
      </w:tr>
      <w:tr>
        <w:trPr>
          <w:trHeight w:val="28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8"/>
              <w:jc w:val="right"/>
              <w:rPr>
                <w:rFonts w:ascii="宋体" w:hAnsi="宋体" w:cs="宋体" w:eastAsia="宋体" w:hint="default"/>
                <w:sz w:val="21"/>
                <w:szCs w:val="21"/>
              </w:rPr>
            </w:pPr>
            <w:r>
              <w:rPr>
                <w:rFonts w:ascii="宋体" w:hAnsi="宋体" w:cs="宋体" w:eastAsia="宋体" w:hint="default"/>
                <w:sz w:val="21"/>
                <w:szCs w:val="21"/>
              </w:rPr>
              <w:t>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214,540,696.58</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105,444,269.48</w:t>
            </w:r>
          </w:p>
        </w:tc>
      </w:tr>
    </w:tbl>
    <w:p>
      <w:pPr>
        <w:spacing w:line="240" w:lineRule="auto" w:before="7"/>
        <w:rPr>
          <w:rFonts w:ascii="宋体" w:hAnsi="宋体" w:cs="宋体" w:eastAsia="宋体" w:hint="default"/>
          <w:sz w:val="15"/>
          <w:szCs w:val="15"/>
        </w:rPr>
      </w:pPr>
    </w:p>
    <w:p>
      <w:pPr>
        <w:pStyle w:val="BodyText"/>
        <w:spacing w:line="272" w:lineRule="exact" w:before="64"/>
        <w:ind w:left="677" w:right="8648"/>
        <w:jc w:val="left"/>
      </w:pPr>
      <w:r>
        <w:rPr>
          <w:spacing w:val="-1"/>
        </w:rPr>
        <w:t>存出保证金的说明：</w:t>
      </w:r>
      <w:r>
        <w:rPr>
          <w:spacing w:val="-95"/>
        </w:rPr>
        <w:t> </w:t>
      </w:r>
      <w:r>
        <w:rPr>
          <w:spacing w:val="-95"/>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2"/>
        <w:ind w:left="677" w:right="8648"/>
        <w:jc w:val="left"/>
        <w:rPr>
          <w:b w:val="0"/>
          <w:bCs w:val="0"/>
        </w:rPr>
      </w:pPr>
      <w:r>
        <w:rPr>
          <w:rFonts w:ascii="宋体" w:hAnsi="宋体" w:cs="宋体" w:eastAsia="宋体" w:hint="default"/>
        </w:rPr>
        <w:t>12</w:t>
      </w:r>
      <w:r>
        <w:rPr/>
        <w:t>、</w:t>
      </w:r>
      <w:r>
        <w:rPr>
          <w:spacing w:val="-23"/>
        </w:rPr>
        <w:t> </w:t>
      </w:r>
      <w:r>
        <w:rPr/>
        <w:t>持有待售资产</w:t>
      </w:r>
      <w:r>
        <w:rPr>
          <w:b w:val="0"/>
          <w:bCs w:val="0"/>
        </w:rPr>
      </w:r>
    </w:p>
    <w:p>
      <w:pPr>
        <w:pStyle w:val="BodyText"/>
        <w:spacing w:line="240" w:lineRule="auto" w:before="58"/>
        <w:ind w:left="677" w:right="8648"/>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60" w:bottom="1380" w:left="600" w:right="80"/>
        </w:sectPr>
      </w:pPr>
    </w:p>
    <w:p>
      <w:pPr>
        <w:pStyle w:val="Heading5"/>
        <w:spacing w:line="240" w:lineRule="auto" w:before="36"/>
        <w:ind w:left="677" w:right="-19"/>
        <w:jc w:val="left"/>
        <w:rPr>
          <w:b w:val="0"/>
          <w:bCs w:val="0"/>
        </w:rPr>
      </w:pPr>
      <w:r>
        <w:rPr>
          <w:rFonts w:ascii="宋体" w:hAnsi="宋体" w:cs="宋体" w:eastAsia="宋体" w:hint="default"/>
        </w:rPr>
        <w:t>13</w:t>
      </w:r>
      <w:r>
        <w:rPr/>
        <w:t>、</w:t>
      </w:r>
      <w:r>
        <w:rPr>
          <w:spacing w:val="-24"/>
        </w:rPr>
        <w:t> </w:t>
      </w:r>
      <w:r>
        <w:rPr/>
        <w:t>可供出售金融资产</w:t>
      </w:r>
      <w:r>
        <w:rPr>
          <w:b w:val="0"/>
          <w:bCs w:val="0"/>
        </w:rPr>
      </w:r>
    </w:p>
    <w:p>
      <w:pPr>
        <w:pStyle w:val="Heading5"/>
        <w:spacing w:line="240" w:lineRule="auto" w:before="56"/>
        <w:ind w:left="677" w:right="-19"/>
        <w:jc w:val="left"/>
        <w:rPr>
          <w:b w:val="0"/>
          <w:bCs w:val="0"/>
        </w:rPr>
      </w:pPr>
      <w:r>
        <w:rPr>
          <w:rFonts w:ascii="宋体" w:hAnsi="宋体" w:cs="宋体" w:eastAsia="宋体" w:hint="default"/>
        </w:rPr>
        <w:t>(1)</w:t>
      </w:r>
      <w:r>
        <w:rPr>
          <w:rFonts w:ascii="宋体" w:hAnsi="宋体" w:cs="宋体" w:eastAsia="宋体" w:hint="default"/>
          <w:spacing w:val="-3"/>
        </w:rPr>
        <w:t> </w:t>
      </w:r>
      <w:r>
        <w:rPr/>
        <w:t>可供出售金融资产情况</w:t>
      </w:r>
      <w:r>
        <w:rPr>
          <w:b w:val="0"/>
          <w:bCs w:val="0"/>
        </w:rPr>
      </w:r>
    </w:p>
    <w:p>
      <w:pPr>
        <w:pStyle w:val="BodyText"/>
        <w:spacing w:line="240" w:lineRule="auto" w:before="56"/>
        <w:ind w:left="6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80"/>
          <w:cols w:num="2" w:equalWidth="0">
            <w:col w:w="3207" w:space="3765"/>
            <w:col w:w="42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310"/>
        <w:gridCol w:w="1165"/>
        <w:gridCol w:w="1164"/>
        <w:gridCol w:w="1308"/>
        <w:gridCol w:w="1310"/>
        <w:gridCol w:w="1165"/>
        <w:gridCol w:w="1164"/>
        <w:gridCol w:w="1397"/>
      </w:tblGrid>
      <w:tr>
        <w:trPr>
          <w:trHeight w:val="293" w:hRule="exact"/>
        </w:trPr>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4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sz w:val="20"/>
                <w:szCs w:val="20"/>
              </w:rPr>
              <w:t>期末</w:t>
            </w:r>
          </w:p>
        </w:tc>
        <w:tc>
          <w:tcPr>
            <w:tcW w:w="50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期初</w:t>
            </w:r>
          </w:p>
        </w:tc>
      </w:tr>
      <w:tr>
        <w:trPr>
          <w:trHeight w:val="629" w:hRule="exact"/>
        </w:trPr>
        <w:tc>
          <w:tcPr>
            <w:tcW w:w="1018"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446" w:right="455"/>
              <w:jc w:val="center"/>
              <w:rPr>
                <w:rFonts w:ascii="宋体" w:hAnsi="宋体" w:cs="宋体" w:eastAsia="宋体" w:hint="default"/>
                <w:sz w:val="20"/>
                <w:szCs w:val="20"/>
              </w:rPr>
            </w:pPr>
            <w:r>
              <w:rPr>
                <w:rFonts w:ascii="宋体" w:hAnsi="宋体" w:cs="宋体" w:eastAsia="宋体" w:hint="default"/>
                <w:sz w:val="20"/>
                <w:szCs w:val="20"/>
              </w:rPr>
              <w:t>初始</w:t>
            </w:r>
            <w:r>
              <w:rPr>
                <w:rFonts w:ascii="宋体" w:hAnsi="宋体" w:cs="宋体" w:eastAsia="宋体" w:hint="default"/>
                <w:w w:val="99"/>
                <w:sz w:val="20"/>
                <w:szCs w:val="20"/>
              </w:rPr>
              <w:t> </w:t>
            </w:r>
            <w:r>
              <w:rPr>
                <w:rFonts w:ascii="宋体" w:hAnsi="宋体" w:cs="宋体" w:eastAsia="宋体" w:hint="default"/>
                <w:sz w:val="20"/>
                <w:szCs w:val="20"/>
              </w:rPr>
              <w:t>成本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374" w:right="182" w:hanging="200"/>
              <w:jc w:val="left"/>
              <w:rPr>
                <w:rFonts w:ascii="宋体" w:hAnsi="宋体" w:cs="宋体" w:eastAsia="宋体" w:hint="default"/>
                <w:sz w:val="20"/>
                <w:szCs w:val="20"/>
              </w:rPr>
            </w:pPr>
            <w:r>
              <w:rPr>
                <w:rFonts w:ascii="宋体" w:hAnsi="宋体" w:cs="宋体" w:eastAsia="宋体" w:hint="default"/>
                <w:sz w:val="20"/>
                <w:szCs w:val="20"/>
              </w:rPr>
              <w:t>公允价值</w:t>
            </w:r>
            <w:r>
              <w:rPr>
                <w:rFonts w:ascii="宋体" w:hAnsi="宋体" w:cs="宋体" w:eastAsia="宋体" w:hint="default"/>
                <w:w w:val="99"/>
                <w:sz w:val="20"/>
                <w:szCs w:val="20"/>
              </w:rPr>
              <w:t> </w:t>
            </w:r>
            <w:r>
              <w:rPr>
                <w:rFonts w:ascii="宋体" w:hAnsi="宋体" w:cs="宋体" w:eastAsia="宋体" w:hint="default"/>
                <w:sz w:val="20"/>
                <w:szCs w:val="20"/>
              </w:rPr>
              <w:t>变动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374" w:right="379"/>
              <w:jc w:val="left"/>
              <w:rPr>
                <w:rFonts w:ascii="宋体" w:hAnsi="宋体" w:cs="宋体" w:eastAsia="宋体" w:hint="default"/>
                <w:sz w:val="20"/>
                <w:szCs w:val="20"/>
              </w:rPr>
            </w:pPr>
            <w:r>
              <w:rPr>
                <w:rFonts w:ascii="宋体" w:hAnsi="宋体" w:cs="宋体" w:eastAsia="宋体" w:hint="default"/>
                <w:sz w:val="20"/>
                <w:szCs w:val="20"/>
              </w:rPr>
              <w:t>减值</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446" w:right="453"/>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448" w:right="451"/>
              <w:jc w:val="center"/>
              <w:rPr>
                <w:rFonts w:ascii="宋体" w:hAnsi="宋体" w:cs="宋体" w:eastAsia="宋体" w:hint="default"/>
                <w:sz w:val="20"/>
                <w:szCs w:val="20"/>
              </w:rPr>
            </w:pPr>
            <w:r>
              <w:rPr>
                <w:rFonts w:ascii="宋体" w:hAnsi="宋体" w:cs="宋体" w:eastAsia="宋体" w:hint="default"/>
                <w:sz w:val="20"/>
                <w:szCs w:val="20"/>
              </w:rPr>
              <w:t>初始</w:t>
            </w:r>
            <w:r>
              <w:rPr>
                <w:rFonts w:ascii="宋体" w:hAnsi="宋体" w:cs="宋体" w:eastAsia="宋体" w:hint="default"/>
                <w:w w:val="99"/>
                <w:sz w:val="20"/>
                <w:szCs w:val="20"/>
              </w:rPr>
              <w:t> </w:t>
            </w:r>
            <w:r>
              <w:rPr>
                <w:rFonts w:ascii="宋体" w:hAnsi="宋体" w:cs="宋体" w:eastAsia="宋体" w:hint="default"/>
                <w:sz w:val="20"/>
                <w:szCs w:val="20"/>
              </w:rPr>
              <w:t>成本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374" w:right="182" w:hanging="200"/>
              <w:jc w:val="left"/>
              <w:rPr>
                <w:rFonts w:ascii="宋体" w:hAnsi="宋体" w:cs="宋体" w:eastAsia="宋体" w:hint="default"/>
                <w:sz w:val="20"/>
                <w:szCs w:val="20"/>
              </w:rPr>
            </w:pPr>
            <w:r>
              <w:rPr>
                <w:rFonts w:ascii="宋体" w:hAnsi="宋体" w:cs="宋体" w:eastAsia="宋体" w:hint="default"/>
                <w:sz w:val="20"/>
                <w:szCs w:val="20"/>
              </w:rPr>
              <w:t>公允价值</w:t>
            </w:r>
            <w:r>
              <w:rPr>
                <w:rFonts w:ascii="宋体" w:hAnsi="宋体" w:cs="宋体" w:eastAsia="宋体" w:hint="default"/>
                <w:w w:val="99"/>
                <w:sz w:val="20"/>
                <w:szCs w:val="20"/>
              </w:rPr>
              <w:t> </w:t>
            </w:r>
            <w:r>
              <w:rPr>
                <w:rFonts w:ascii="宋体" w:hAnsi="宋体" w:cs="宋体" w:eastAsia="宋体" w:hint="default"/>
                <w:sz w:val="20"/>
                <w:szCs w:val="20"/>
              </w:rPr>
              <w:t>变动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374" w:right="379"/>
              <w:jc w:val="left"/>
              <w:rPr>
                <w:rFonts w:ascii="宋体" w:hAnsi="宋体" w:cs="宋体" w:eastAsia="宋体" w:hint="default"/>
                <w:sz w:val="20"/>
                <w:szCs w:val="20"/>
              </w:rPr>
            </w:pPr>
            <w:r>
              <w:rPr>
                <w:rFonts w:ascii="宋体" w:hAnsi="宋体" w:cs="宋体" w:eastAsia="宋体" w:hint="default"/>
                <w:sz w:val="20"/>
                <w:szCs w:val="20"/>
              </w:rPr>
              <w:t>减值</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489" w:right="497"/>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r>
      <w:tr>
        <w:trPr>
          <w:trHeight w:val="2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238,631,869.80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238,631,869.80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33,547,000.00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-1,177,350.00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1"/>
                <w:szCs w:val="11"/>
              </w:rPr>
            </w:pPr>
            <w:r>
              <w:rPr>
                <w:rFonts w:ascii="宋体"/>
                <w:sz w:val="11"/>
              </w:rPr>
              <w:t>32,369,650.00</w:t>
            </w:r>
          </w:p>
        </w:tc>
      </w:tr>
      <w:tr>
        <w:trPr>
          <w:trHeight w:val="30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11,161,211,194.40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-30,672,917.18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472,431.36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11,130,065,845.86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5,740,398,672.21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24,313,974.36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740,113.49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1"/>
                <w:szCs w:val="11"/>
              </w:rPr>
            </w:pPr>
            <w:r>
              <w:rPr>
                <w:rFonts w:ascii="宋体"/>
                <w:sz w:val="11"/>
              </w:rPr>
              <w:t>5,763,972,533.08</w:t>
            </w:r>
          </w:p>
        </w:tc>
      </w:tr>
      <w:tr>
        <w:trPr>
          <w:trHeight w:val="2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821,127,853.76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-39,005,546.33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68,422,494.81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713,699,812.62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650,292,474.74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124,229,699.03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51,098,719.95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1"/>
                <w:szCs w:val="11"/>
              </w:rPr>
            </w:pPr>
            <w:r>
              <w:rPr>
                <w:rFonts w:ascii="宋体"/>
                <w:sz w:val="11"/>
              </w:rPr>
              <w:t>723,423,453.82</w:t>
            </w:r>
          </w:p>
        </w:tc>
      </w:tr>
      <w:tr>
        <w:trPr>
          <w:trHeight w:val="4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证券公司</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3,847,564,531.42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-594,351,282.15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104,296,600.00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3,148,916,649.27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3,838,080,200.41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712,271,386.47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4,550,351,586.88</w:t>
            </w:r>
          </w:p>
        </w:tc>
      </w:tr>
      <w:tr>
        <w:trPr>
          <w:trHeight w:val="4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83,703,869.70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83,703,869.70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237,450,000.00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1"/>
                <w:szCs w:val="11"/>
              </w:rPr>
            </w:pPr>
            <w:r>
              <w:rPr>
                <w:rFonts w:ascii="宋体"/>
                <w:sz w:val="11"/>
              </w:rPr>
              <w:t>237,450,000.00</w:t>
            </w:r>
          </w:p>
        </w:tc>
      </w:tr>
      <w:tr>
        <w:trPr>
          <w:trHeight w:val="33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427,439,958.76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2,063,769.89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25,507,680.49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403,996,048.16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1,458,600,000.00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4,948,803.84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1"/>
                <w:szCs w:val="11"/>
              </w:rPr>
            </w:pPr>
            <w:r>
              <w:rPr>
                <w:rFonts w:ascii="宋体"/>
                <w:sz w:val="11"/>
              </w:rPr>
              <w:t>1,463,548,803.84</w:t>
            </w:r>
          </w:p>
        </w:tc>
      </w:tr>
      <w:tr>
        <w:trPr>
          <w:trHeight w:val="24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16,579,679,277.84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-661,965,975.77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198,699,206.66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15,719,014,095.41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11,958,368,347.36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864,586,513.70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51,838,833.44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1"/>
                <w:szCs w:val="11"/>
              </w:rPr>
            </w:pPr>
            <w:r>
              <w:rPr>
                <w:rFonts w:ascii="宋体"/>
                <w:sz w:val="11"/>
              </w:rPr>
              <w:t>12,771,116,027.62</w:t>
            </w:r>
          </w:p>
        </w:tc>
      </w:tr>
    </w:tbl>
    <w:p>
      <w:pPr>
        <w:spacing w:after="0" w:line="240" w:lineRule="auto"/>
        <w:jc w:val="right"/>
        <w:rPr>
          <w:rFonts w:ascii="宋体" w:hAnsi="宋体" w:cs="宋体" w:eastAsia="宋体" w:hint="default"/>
          <w:sz w:val="11"/>
          <w:szCs w:val="11"/>
        </w:rPr>
        <w:sectPr>
          <w:type w:val="continuous"/>
          <w:pgSz w:w="11910" w:h="16840"/>
          <w:pgMar w:top="1060" w:bottom="1380" w:left="600" w:right="80"/>
        </w:sectPr>
      </w:pPr>
    </w:p>
    <w:p>
      <w:pPr>
        <w:spacing w:line="240" w:lineRule="auto" w:before="9"/>
        <w:rPr>
          <w:rFonts w:ascii="宋体" w:hAnsi="宋体" w:cs="宋体" w:eastAsia="宋体" w:hint="default"/>
          <w:sz w:val="18"/>
          <w:szCs w:val="18"/>
        </w:rPr>
      </w:pPr>
    </w:p>
    <w:p>
      <w:pPr>
        <w:pStyle w:val="BodyText"/>
        <w:spacing w:line="355" w:lineRule="auto" w:before="36"/>
        <w:ind w:left="677" w:right="1243" w:firstLine="480"/>
        <w:jc w:val="left"/>
        <w:rPr>
          <w:rFonts w:ascii="宋体" w:hAnsi="宋体" w:cs="宋体" w:eastAsia="宋体" w:hint="default"/>
        </w:rPr>
      </w:pPr>
      <w:r>
        <w:rPr>
          <w:spacing w:val="-2"/>
        </w:rPr>
        <w:t>本期将持有至到期投资重分类为可供出售金融资产的，本期重分类的金额：</w:t>
      </w:r>
      <w:r>
        <w:rPr>
          <w:rFonts w:ascii="宋体" w:hAnsi="宋体" w:cs="宋体" w:eastAsia="宋体" w:hint="default"/>
          <w:spacing w:val="-2"/>
        </w:rPr>
        <w:t>0</w:t>
      </w:r>
      <w:r>
        <w:rPr>
          <w:rFonts w:ascii="宋体" w:hAnsi="宋体" w:cs="宋体" w:eastAsia="宋体" w:hint="default"/>
          <w:spacing w:val="3"/>
        </w:rPr>
        <w:t> </w:t>
      </w:r>
      <w:r>
        <w:rPr>
          <w:spacing w:val="-2"/>
        </w:rPr>
        <w:t>元，该金额占重</w:t>
      </w:r>
      <w:r>
        <w:rPr>
          <w:w w:val="100"/>
        </w:rPr>
        <w:t> </w:t>
      </w:r>
      <w:r>
        <w:rPr/>
        <w:t>分类前持有至到期投资总额的比例：</w:t>
      </w:r>
      <w:r>
        <w:rPr>
          <w:rFonts w:ascii="宋体" w:hAnsi="宋体" w:cs="宋体" w:eastAsia="宋体" w:hint="default"/>
        </w:rPr>
        <w:t>0%</w:t>
      </w:r>
    </w:p>
    <w:p>
      <w:pPr>
        <w:spacing w:line="240" w:lineRule="auto" w:before="4"/>
        <w:rPr>
          <w:rFonts w:ascii="宋体" w:hAnsi="宋体" w:cs="宋体" w:eastAsia="宋体" w:hint="default"/>
          <w:sz w:val="26"/>
          <w:szCs w:val="26"/>
        </w:rPr>
      </w:pPr>
    </w:p>
    <w:p>
      <w:pPr>
        <w:pStyle w:val="BodyText"/>
        <w:spacing w:line="274" w:lineRule="exact"/>
        <w:ind w:left="677" w:right="1243"/>
        <w:jc w:val="left"/>
      </w:pPr>
      <w:r>
        <w:rPr/>
        <w:t>可供出售金融资产的说明</w:t>
      </w:r>
    </w:p>
    <w:p>
      <w:pPr>
        <w:pStyle w:val="BodyText"/>
        <w:spacing w:line="274" w:lineRule="exact"/>
        <w:ind w:left="677" w:right="1243"/>
        <w:jc w:val="left"/>
      </w:pPr>
      <w:r>
        <w:rPr/>
        <w:t>□适用 √不适用</w:t>
      </w:r>
    </w:p>
    <w:p>
      <w:pPr>
        <w:spacing w:line="240" w:lineRule="auto" w:before="0"/>
        <w:rPr>
          <w:rFonts w:ascii="宋体" w:hAnsi="宋体" w:cs="宋体" w:eastAsia="宋体" w:hint="default"/>
          <w:sz w:val="20"/>
          <w:szCs w:val="20"/>
        </w:rPr>
      </w:pPr>
    </w:p>
    <w:p>
      <w:pPr>
        <w:pStyle w:val="Heading5"/>
        <w:spacing w:line="272" w:lineRule="exact" w:before="134"/>
        <w:ind w:left="1097" w:right="1243" w:hanging="420"/>
        <w:jc w:val="left"/>
        <w:rPr>
          <w:b w:val="0"/>
          <w:bCs w:val="0"/>
        </w:rPr>
      </w:pPr>
      <w:r>
        <w:rPr>
          <w:rFonts w:ascii="宋体" w:hAnsi="宋体" w:cs="宋体" w:eastAsia="宋体" w:hint="default"/>
          <w:w w:val="99"/>
        </w:rPr>
        <w:t>(2)</w:t>
      </w:r>
      <w:r>
        <w:rPr>
          <w:rFonts w:ascii="宋体" w:hAnsi="宋体" w:cs="宋体" w:eastAsia="宋体" w:hint="default"/>
          <w:spacing w:val="25"/>
          <w:w w:val="99"/>
        </w:rPr>
        <w:t> </w:t>
      </w:r>
      <w:r>
        <w:rPr>
          <w:spacing w:val="-6"/>
          <w:w w:val="100"/>
        </w:rPr>
        <w:t>截至报告期末可供出售金融资产的成本（摊余成本）、公允价值、累计计入其他综合收益的公允</w:t>
      </w:r>
      <w:r>
        <w:rPr>
          <w:spacing w:val="-103"/>
          <w:w w:val="100"/>
        </w:rPr>
        <w:t> </w:t>
      </w:r>
      <w:r>
        <w:rPr>
          <w:spacing w:val="-103"/>
          <w:w w:val="100"/>
        </w:rPr>
      </w:r>
      <w:r>
        <w:rPr/>
        <w:t>价值变动金额，以及已计提减值金额</w:t>
      </w:r>
      <w:r>
        <w:rPr>
          <w:b w:val="0"/>
          <w:bCs w:val="0"/>
        </w:rPr>
      </w:r>
    </w:p>
    <w:p>
      <w:pPr>
        <w:pStyle w:val="BodyText"/>
        <w:spacing w:line="240" w:lineRule="auto" w:before="34"/>
        <w:ind w:left="677" w:right="1243"/>
        <w:jc w:val="left"/>
      </w:pPr>
      <w:r>
        <w:rPr/>
        <w:t>√适用 □不适用</w:t>
      </w:r>
    </w:p>
    <w:p>
      <w:pPr>
        <w:pStyle w:val="BodyText"/>
        <w:spacing w:line="271" w:lineRule="exact"/>
        <w:ind w:left="0" w:right="1251"/>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2252"/>
        <w:gridCol w:w="2252"/>
        <w:gridCol w:w="2252"/>
        <w:gridCol w:w="2535"/>
      </w:tblGrid>
      <w:tr>
        <w:trPr>
          <w:trHeight w:val="555"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可供出售金融资产分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类</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0"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工具的摊余成本</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15,868,957,325.28</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238,631,869.80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16,107,589,195.08</w:t>
            </w:r>
          </w:p>
        </w:tc>
      </w:tr>
      <w:tr>
        <w:trPr>
          <w:trHeight w:val="283"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15,008,764,574.21</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238,631,869.80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15,247,396,444.01</w:t>
            </w:r>
          </w:p>
        </w:tc>
      </w:tr>
      <w:tr>
        <w:trPr>
          <w:trHeight w:val="826"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益的公允价值变动金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-661,965,975.77</w:t>
            </w:r>
          </w:p>
        </w:tc>
        <w:tc>
          <w:tcPr>
            <w:tcW w:w="225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-661,965,975.77</w:t>
            </w:r>
          </w:p>
        </w:tc>
      </w:tr>
      <w:tr>
        <w:trPr>
          <w:trHeight w:val="283"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198,699,206.66</w:t>
            </w:r>
          </w:p>
        </w:tc>
        <w:tc>
          <w:tcPr>
            <w:tcW w:w="225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198,699,206.66</w:t>
            </w:r>
          </w:p>
        </w:tc>
      </w:tr>
    </w:tbl>
    <w:p>
      <w:pPr>
        <w:spacing w:after="0" w:line="241" w:lineRule="exact"/>
        <w:jc w:val="right"/>
        <w:rPr>
          <w:rFonts w:ascii="宋体" w:hAnsi="宋体" w:cs="宋体" w:eastAsia="宋体" w:hint="default"/>
          <w:sz w:val="21"/>
          <w:szCs w:val="21"/>
        </w:rPr>
        <w:sectPr>
          <w:pgSz w:w="11910" w:h="16840"/>
          <w:pgMar w:header="882" w:footer="1195" w:top="1120" w:bottom="1380" w:left="600" w:right="300"/>
        </w:sectPr>
      </w:pPr>
    </w:p>
    <w:p>
      <w:pPr>
        <w:pStyle w:val="BodyText"/>
        <w:spacing w:line="241" w:lineRule="exact"/>
        <w:ind w:left="677" w:right="0"/>
        <w:jc w:val="left"/>
      </w:pPr>
      <w:r>
        <w:rPr>
          <w:spacing w:val="-2"/>
        </w:rPr>
        <w:t>备注：上表数据为以公允价值计量的可供出售金融资产金额。</w:t>
      </w:r>
    </w:p>
    <w:p>
      <w:pPr>
        <w:pStyle w:val="Heading5"/>
        <w:spacing w:line="240" w:lineRule="auto" w:before="56"/>
        <w:ind w:left="677" w:right="0"/>
        <w:jc w:val="left"/>
        <w:rPr>
          <w:b w:val="0"/>
          <w:bCs w:val="0"/>
        </w:rPr>
      </w:pPr>
      <w:r>
        <w:rPr>
          <w:rFonts w:ascii="宋体" w:hAnsi="宋体" w:cs="宋体" w:eastAsia="宋体" w:hint="default"/>
        </w:rPr>
        <w:t>(3)</w:t>
      </w:r>
      <w:r>
        <w:rPr>
          <w:rFonts w:ascii="宋体" w:hAnsi="宋体" w:cs="宋体" w:eastAsia="宋体" w:hint="default"/>
          <w:spacing w:val="-3"/>
        </w:rPr>
        <w:t> </w:t>
      </w:r>
      <w:r>
        <w:rPr/>
        <w:t>报告期内可供出售金融资产减值的变动情况</w:t>
      </w:r>
      <w:r>
        <w:rPr>
          <w:b w:val="0"/>
          <w:bCs w:val="0"/>
        </w:rPr>
      </w:r>
    </w:p>
    <w:p>
      <w:pPr>
        <w:pStyle w:val="BodyText"/>
        <w:spacing w:line="240" w:lineRule="auto" w:before="58"/>
        <w:ind w:left="67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300"/>
          <w:cols w:num="2" w:equalWidth="0">
            <w:col w:w="6355" w:space="618"/>
            <w:col w:w="4037"/>
          </w:cols>
        </w:sectPr>
      </w:pPr>
    </w:p>
    <w:p>
      <w:pPr>
        <w:spacing w:line="240" w:lineRule="auto" w:before="7"/>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2468"/>
        <w:gridCol w:w="2300"/>
        <w:gridCol w:w="2271"/>
        <w:gridCol w:w="2252"/>
      </w:tblGrid>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期初已计提减值金额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51,838,833.44</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51,838,833.44</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149,843,267.61</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149,843,267.61</w:t>
            </w:r>
          </w:p>
        </w:tc>
      </w:tr>
      <w:tr>
        <w:trPr>
          <w:trHeight w:val="590"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
              <w:ind w:left="103" w:right="98"/>
              <w:jc w:val="left"/>
              <w:rPr>
                <w:rFonts w:ascii="宋体" w:hAnsi="宋体" w:cs="宋体" w:eastAsia="宋体" w:hint="default"/>
                <w:sz w:val="21"/>
                <w:szCs w:val="21"/>
              </w:rPr>
            </w:pPr>
            <w:r>
              <w:rPr>
                <w:rFonts w:ascii="宋体" w:hAnsi="宋体" w:cs="宋体" w:eastAsia="宋体" w:hint="default"/>
                <w:spacing w:val="-7"/>
                <w:sz w:val="21"/>
                <w:szCs w:val="21"/>
              </w:rPr>
              <w:t>其中：从其他综合收益转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入</w:t>
            </w:r>
          </w:p>
        </w:tc>
        <w:tc>
          <w:tcPr>
            <w:tcW w:w="2300"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2,982,894.39</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2,982,894.39</w:t>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2300"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198,699,206.66</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198,699,206.66</w:t>
            </w:r>
          </w:p>
        </w:tc>
      </w:tr>
    </w:tbl>
    <w:p>
      <w:pPr>
        <w:spacing w:line="240" w:lineRule="auto" w:before="1"/>
        <w:rPr>
          <w:rFonts w:ascii="宋体" w:hAnsi="宋体" w:cs="宋体" w:eastAsia="宋体" w:hint="default"/>
          <w:sz w:val="23"/>
          <w:szCs w:val="23"/>
        </w:rPr>
      </w:pPr>
    </w:p>
    <w:p>
      <w:pPr>
        <w:pStyle w:val="Heading5"/>
        <w:spacing w:line="240" w:lineRule="auto" w:before="36"/>
        <w:ind w:left="677" w:right="1243"/>
        <w:jc w:val="left"/>
        <w:rPr>
          <w:b w:val="0"/>
          <w:bCs w:val="0"/>
        </w:rPr>
      </w:pPr>
      <w:r>
        <w:rPr>
          <w:rFonts w:ascii="宋体" w:hAnsi="宋体" w:cs="宋体" w:eastAsia="宋体" w:hint="default"/>
        </w:rPr>
        <w:t>(4)</w:t>
      </w:r>
      <w:r>
        <w:rPr>
          <w:rFonts w:ascii="宋体" w:hAnsi="宋体" w:cs="宋体" w:eastAsia="宋体" w:hint="default"/>
          <w:spacing w:val="-3"/>
        </w:rPr>
        <w:t> </w:t>
      </w:r>
      <w:r>
        <w:rPr/>
        <w:t>其他</w:t>
      </w:r>
      <w:r>
        <w:rPr>
          <w:b w:val="0"/>
          <w:bCs w:val="0"/>
        </w:rPr>
      </w:r>
    </w:p>
    <w:p>
      <w:pPr>
        <w:pStyle w:val="BodyText"/>
        <w:spacing w:line="240" w:lineRule="auto" w:before="56"/>
        <w:ind w:left="677" w:right="1243"/>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677" w:right="1243"/>
        <w:jc w:val="left"/>
        <w:rPr>
          <w:b w:val="0"/>
          <w:bCs w:val="0"/>
        </w:rPr>
      </w:pPr>
      <w:r>
        <w:rPr>
          <w:rFonts w:ascii="宋体" w:hAnsi="宋体" w:cs="宋体" w:eastAsia="宋体" w:hint="default"/>
        </w:rPr>
        <w:t>14</w:t>
      </w:r>
      <w:r>
        <w:rPr/>
        <w:t>、</w:t>
      </w:r>
      <w:r>
        <w:rPr>
          <w:spacing w:val="-23"/>
        </w:rPr>
        <w:t> </w:t>
      </w:r>
      <w:r>
        <w:rPr/>
        <w:t>持有至到期投资</w:t>
      </w:r>
      <w:r>
        <w:rPr>
          <w:b w:val="0"/>
          <w:bCs w:val="0"/>
        </w:rPr>
      </w:r>
    </w:p>
    <w:p>
      <w:pPr>
        <w:pStyle w:val="Heading5"/>
        <w:spacing w:line="240" w:lineRule="auto" w:before="58"/>
        <w:ind w:left="677" w:right="1243"/>
        <w:jc w:val="left"/>
        <w:rPr>
          <w:b w:val="0"/>
          <w:bCs w:val="0"/>
        </w:rPr>
      </w:pPr>
      <w:r>
        <w:rPr>
          <w:rFonts w:ascii="宋体" w:hAnsi="宋体" w:cs="宋体" w:eastAsia="宋体" w:hint="default"/>
        </w:rPr>
        <w:t>(1)</w:t>
      </w:r>
      <w:r>
        <w:rPr>
          <w:rFonts w:ascii="宋体" w:hAnsi="宋体" w:cs="宋体" w:eastAsia="宋体" w:hint="default"/>
          <w:spacing w:val="-1"/>
        </w:rPr>
        <w:t> </w:t>
      </w:r>
      <w:r>
        <w:rPr/>
        <w:t>持有至到期投资情况</w:t>
      </w:r>
      <w:r>
        <w:rPr>
          <w:b w:val="0"/>
          <w:bCs w:val="0"/>
        </w:rPr>
      </w:r>
    </w:p>
    <w:p>
      <w:pPr>
        <w:pStyle w:val="BodyText"/>
        <w:spacing w:line="240" w:lineRule="auto" w:before="56"/>
        <w:ind w:left="677" w:right="6488"/>
        <w:jc w:val="left"/>
      </w:pPr>
      <w:r>
        <w:rPr/>
        <w:t>□适用</w:t>
      </w:r>
      <w:r>
        <w:rPr>
          <w:spacing w:val="-2"/>
        </w:rPr>
        <w:t> </w:t>
      </w:r>
      <w:r>
        <w:rPr/>
        <w:t>√不适用</w:t>
      </w:r>
      <w:r>
        <w:rPr>
          <w:spacing w:val="-103"/>
        </w:rPr>
        <w:t> </w:t>
      </w:r>
      <w:r>
        <w:rPr>
          <w:spacing w:val="-103"/>
        </w:rPr>
      </w:r>
      <w:r>
        <w:rPr>
          <w:spacing w:val="-2"/>
        </w:rPr>
        <w:t>持有至到期投资的说明：</w:t>
      </w:r>
    </w:p>
    <w:p>
      <w:pPr>
        <w:pStyle w:val="BodyText"/>
        <w:spacing w:line="271" w:lineRule="exact"/>
        <w:ind w:left="677" w:right="1243"/>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600" w:right="300"/>
        </w:sectPr>
      </w:pPr>
    </w:p>
    <w:p>
      <w:pPr>
        <w:pStyle w:val="Heading5"/>
        <w:spacing w:line="240" w:lineRule="auto" w:before="36"/>
        <w:ind w:left="677" w:right="-19"/>
        <w:jc w:val="left"/>
        <w:rPr>
          <w:b w:val="0"/>
          <w:bCs w:val="0"/>
        </w:rPr>
      </w:pPr>
      <w:r>
        <w:rPr>
          <w:rFonts w:ascii="宋体" w:hAnsi="宋体" w:cs="宋体" w:eastAsia="宋体" w:hint="default"/>
        </w:rPr>
        <w:t>15</w:t>
      </w:r>
      <w:r>
        <w:rPr/>
        <w:t>、</w:t>
      </w:r>
      <w:r>
        <w:rPr>
          <w:spacing w:val="-23"/>
        </w:rPr>
        <w:t> </w:t>
      </w:r>
      <w:r>
        <w:rPr/>
        <w:t>长期股权投资</w:t>
      </w:r>
      <w:r>
        <w:rPr>
          <w:b w:val="0"/>
          <w:bCs w:val="0"/>
        </w:rPr>
      </w:r>
    </w:p>
    <w:p>
      <w:pPr>
        <w:pStyle w:val="BodyText"/>
        <w:spacing w:line="240" w:lineRule="auto" w:before="59"/>
        <w:ind w:left="6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300"/>
          <w:cols w:num="2" w:equalWidth="0">
            <w:col w:w="2449" w:space="4524"/>
            <w:col w:w="403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4"/>
        <w:gridCol w:w="1164"/>
        <w:gridCol w:w="6846"/>
        <w:gridCol w:w="1018"/>
        <w:gridCol w:w="576"/>
      </w:tblGrid>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期初</w:t>
            </w:r>
          </w:p>
        </w:tc>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r>
    </w:tbl>
    <w:p>
      <w:pPr>
        <w:spacing w:after="0" w:line="205" w:lineRule="exact"/>
        <w:jc w:val="center"/>
        <w:rPr>
          <w:rFonts w:ascii="宋体" w:hAnsi="宋体" w:cs="宋体" w:eastAsia="宋体" w:hint="default"/>
          <w:sz w:val="18"/>
          <w:szCs w:val="18"/>
        </w:rPr>
        <w:sectPr>
          <w:type w:val="continuous"/>
          <w:pgSz w:w="11910" w:h="16840"/>
          <w:pgMar w:top="1060" w:bottom="1380" w:left="600" w:right="300"/>
        </w:sect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164"/>
        <w:gridCol w:w="1164"/>
        <w:gridCol w:w="1165"/>
        <w:gridCol w:w="1022"/>
        <w:gridCol w:w="1018"/>
        <w:gridCol w:w="1020"/>
        <w:gridCol w:w="434"/>
        <w:gridCol w:w="1020"/>
        <w:gridCol w:w="291"/>
        <w:gridCol w:w="876"/>
        <w:gridCol w:w="1018"/>
        <w:gridCol w:w="576"/>
      </w:tblGrid>
      <w:tr>
        <w:trPr>
          <w:trHeight w:val="1644"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141" w:right="1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44" w:right="14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19" w:right="122"/>
              <w:jc w:val="both"/>
              <w:rPr>
                <w:rFonts w:ascii="宋体" w:hAnsi="宋体" w:cs="宋体" w:eastAsia="宋体" w:hint="default"/>
                <w:sz w:val="18"/>
                <w:szCs w:val="18"/>
              </w:rPr>
            </w:pPr>
            <w:r>
              <w:rPr>
                <w:rFonts w:ascii="宋体" w:hAnsi="宋体" w:cs="宋体" w:eastAsia="宋体" w:hint="default"/>
                <w:sz w:val="18"/>
                <w:szCs w:val="18"/>
              </w:rPr>
              <w:t>其 他 权 益 变 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143" w:right="144"/>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2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0" w:right="0"/>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2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值</w:t>
            </w:r>
          </w:p>
          <w:p>
            <w:pPr>
              <w:pStyle w:val="TableParagraph"/>
              <w:spacing w:line="237" w:lineRule="auto"/>
              <w:ind w:left="192" w:right="192"/>
              <w:jc w:val="both"/>
              <w:rPr>
                <w:rFonts w:ascii="宋体" w:hAnsi="宋体" w:cs="宋体" w:eastAsia="宋体" w:hint="default"/>
                <w:sz w:val="18"/>
                <w:szCs w:val="18"/>
              </w:rPr>
            </w:pPr>
            <w:r>
              <w:rPr>
                <w:rFonts w:ascii="宋体" w:hAnsi="宋体" w:cs="宋体" w:eastAsia="宋体" w:hint="default"/>
                <w:sz w:val="18"/>
                <w:szCs w:val="18"/>
              </w:rPr>
              <w:t>准 备 期 末 余 额</w:t>
            </w:r>
          </w:p>
        </w:tc>
      </w:tr>
      <w:tr>
        <w:trPr>
          <w:trHeight w:val="47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一、合营企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二、联营企</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永安期货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2,219,501,502.59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297,984,209.35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right="98"/>
              <w:jc w:val="right"/>
              <w:rPr>
                <w:rFonts w:ascii="宋体" w:hAnsi="宋体" w:cs="宋体" w:eastAsia="宋体" w:hint="default"/>
                <w:sz w:val="11"/>
                <w:szCs w:val="11"/>
              </w:rPr>
            </w:pPr>
            <w:r>
              <w:rPr>
                <w:rFonts w:ascii="宋体"/>
                <w:sz w:val="11"/>
              </w:rPr>
              <w:t>-101,962,993.5</w:t>
            </w:r>
          </w:p>
          <w:p>
            <w:pPr>
              <w:pStyle w:val="TableParagraph"/>
              <w:spacing w:line="143" w:lineRule="exact"/>
              <w:ind w:right="101"/>
              <w:jc w:val="right"/>
              <w:rPr>
                <w:rFonts w:ascii="宋体" w:hAnsi="宋体" w:cs="宋体" w:eastAsia="宋体" w:hint="default"/>
                <w:sz w:val="11"/>
                <w:szCs w:val="11"/>
              </w:rPr>
            </w:pPr>
            <w:r>
              <w:rPr>
                <w:rFonts w:ascii="宋体"/>
                <w:w w:val="100"/>
                <w:sz w:val="11"/>
              </w:rPr>
              <w:t>5</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left="191" w:right="0"/>
              <w:jc w:val="left"/>
              <w:rPr>
                <w:rFonts w:ascii="宋体" w:hAnsi="宋体" w:cs="宋体" w:eastAsia="宋体" w:hint="default"/>
                <w:sz w:val="11"/>
                <w:szCs w:val="11"/>
              </w:rPr>
            </w:pPr>
            <w:r>
              <w:rPr>
                <w:rFonts w:ascii="宋体"/>
                <w:sz w:val="11"/>
              </w:rPr>
              <w:t>52,721,739.00</w:t>
            </w: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5" w:lineRule="exact"/>
              <w:ind w:right="96"/>
              <w:jc w:val="right"/>
              <w:rPr>
                <w:rFonts w:ascii="宋体" w:hAnsi="宋体" w:cs="宋体" w:eastAsia="宋体" w:hint="default"/>
                <w:sz w:val="11"/>
                <w:szCs w:val="11"/>
              </w:rPr>
            </w:pPr>
            <w:r>
              <w:rPr>
                <w:rFonts w:ascii="宋体"/>
                <w:sz w:val="11"/>
              </w:rPr>
              <w:t>2,362,800,979.</w:t>
            </w:r>
          </w:p>
          <w:p>
            <w:pPr>
              <w:pStyle w:val="TableParagraph"/>
              <w:spacing w:line="143" w:lineRule="exact"/>
              <w:ind w:right="98"/>
              <w:jc w:val="right"/>
              <w:rPr>
                <w:rFonts w:ascii="宋体" w:hAnsi="宋体" w:cs="宋体" w:eastAsia="宋体" w:hint="default"/>
                <w:sz w:val="11"/>
                <w:szCs w:val="11"/>
              </w:rPr>
            </w:pPr>
            <w:r>
              <w:rPr>
                <w:rFonts w:ascii="宋体"/>
                <w:sz w:val="11"/>
              </w:rPr>
              <w:t>39</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551,429,454.10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-9,644,243.77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-12,215,137.03</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529,570,073.3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杭州财通月</w:t>
            </w:r>
          </w:p>
          <w:p>
            <w:pPr>
              <w:pStyle w:val="TableParagraph"/>
              <w:spacing w:line="237" w:lineRule="auto"/>
              <w:ind w:left="100" w:right="106"/>
              <w:jc w:val="left"/>
              <w:rPr>
                <w:rFonts w:ascii="宋体" w:hAnsi="宋体" w:cs="宋体" w:eastAsia="宋体" w:hint="default"/>
                <w:sz w:val="18"/>
                <w:szCs w:val="18"/>
              </w:rPr>
            </w:pPr>
            <w:r>
              <w:rPr>
                <w:rFonts w:ascii="宋体" w:hAnsi="宋体" w:cs="宋体" w:eastAsia="宋体" w:hint="default"/>
                <w:sz w:val="18"/>
                <w:szCs w:val="18"/>
              </w:rPr>
              <w:t>桂股权投资 基金合伙企 业（有限合 </w:t>
            </w:r>
            <w:r>
              <w:rPr>
                <w:rFonts w:ascii="宋体" w:hAnsi="宋体" w:cs="宋体" w:eastAsia="宋体" w:hint="default"/>
                <w:spacing w:val="-23"/>
                <w:sz w:val="18"/>
                <w:szCs w:val="18"/>
              </w:rPr>
              <w:t>伙）（以下简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称财通月 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9,882,248.22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-187,169.25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258,684.46</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9,953,763.43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杭州财通盛</w:t>
            </w:r>
          </w:p>
          <w:p>
            <w:pPr>
              <w:pStyle w:val="TableParagraph"/>
              <w:spacing w:line="232" w:lineRule="exact" w:before="23"/>
              <w:ind w:left="100" w:right="152"/>
              <w:jc w:val="left"/>
              <w:rPr>
                <w:rFonts w:ascii="宋体" w:hAnsi="宋体" w:cs="宋体" w:eastAsia="宋体" w:hint="default"/>
                <w:sz w:val="18"/>
                <w:szCs w:val="18"/>
              </w:rPr>
            </w:pPr>
            <w:r>
              <w:rPr>
                <w:rFonts w:ascii="宋体" w:hAnsi="宋体" w:cs="宋体" w:eastAsia="宋体" w:hint="default"/>
                <w:sz w:val="18"/>
                <w:szCs w:val="18"/>
              </w:rPr>
              <w:t>穗股权投资 合伙企业</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（有限合</w:t>
            </w:r>
          </w:p>
          <w:p>
            <w:pPr>
              <w:pStyle w:val="TableParagraph"/>
              <w:spacing w:line="232" w:lineRule="exact" w:before="24"/>
              <w:ind w:left="100" w:right="106"/>
              <w:jc w:val="left"/>
              <w:rPr>
                <w:rFonts w:ascii="宋体" w:hAnsi="宋体" w:cs="宋体" w:eastAsia="宋体" w:hint="default"/>
                <w:sz w:val="18"/>
                <w:szCs w:val="18"/>
              </w:rPr>
            </w:pPr>
            <w:r>
              <w:rPr>
                <w:rFonts w:ascii="宋体" w:hAnsi="宋体" w:cs="宋体" w:eastAsia="宋体" w:hint="default"/>
                <w:spacing w:val="-23"/>
                <w:sz w:val="18"/>
                <w:szCs w:val="18"/>
              </w:rPr>
              <w:t>伙）（以下简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称财通盛 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3,297,829.89</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-96,469.03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1,338,347.59</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4,539,708.45</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杭州财通胜</w:t>
            </w:r>
          </w:p>
          <w:p>
            <w:pPr>
              <w:pStyle w:val="TableParagraph"/>
              <w:spacing w:line="237" w:lineRule="auto"/>
              <w:ind w:left="100" w:right="106"/>
              <w:jc w:val="left"/>
              <w:rPr>
                <w:rFonts w:ascii="宋体" w:hAnsi="宋体" w:cs="宋体" w:eastAsia="宋体" w:hint="default"/>
                <w:sz w:val="18"/>
                <w:szCs w:val="18"/>
              </w:rPr>
            </w:pPr>
            <w:r>
              <w:rPr>
                <w:rFonts w:ascii="宋体" w:hAnsi="宋体" w:cs="宋体" w:eastAsia="宋体" w:hint="default"/>
                <w:sz w:val="18"/>
                <w:szCs w:val="18"/>
              </w:rPr>
              <w:t>遇股权投资 基金合伙企 业（有限合 </w:t>
            </w:r>
            <w:r>
              <w:rPr>
                <w:rFonts w:ascii="宋体" w:hAnsi="宋体" w:cs="宋体" w:eastAsia="宋体" w:hint="default"/>
                <w:spacing w:val="-23"/>
                <w:sz w:val="18"/>
                <w:szCs w:val="18"/>
              </w:rPr>
              <w:t>伙）（以下简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称财通胜 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19,756,876.61</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-400,214.30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-345,951.08</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19,010,711.23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杭州财通尤</w:t>
            </w:r>
          </w:p>
          <w:p>
            <w:pPr>
              <w:pStyle w:val="TableParagraph"/>
              <w:spacing w:line="232" w:lineRule="exact" w:before="23"/>
              <w:ind w:left="100" w:right="152"/>
              <w:jc w:val="left"/>
              <w:rPr>
                <w:rFonts w:ascii="宋体" w:hAnsi="宋体" w:cs="宋体" w:eastAsia="宋体" w:hint="default"/>
                <w:sz w:val="18"/>
                <w:szCs w:val="18"/>
              </w:rPr>
            </w:pPr>
            <w:r>
              <w:rPr>
                <w:rFonts w:ascii="宋体" w:hAnsi="宋体" w:cs="宋体" w:eastAsia="宋体" w:hint="default"/>
                <w:sz w:val="18"/>
                <w:szCs w:val="18"/>
              </w:rPr>
              <w:t>创创业投资 合伙企业</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（有限合</w:t>
            </w:r>
          </w:p>
          <w:p>
            <w:pPr>
              <w:pStyle w:val="TableParagraph"/>
              <w:spacing w:line="232" w:lineRule="exact" w:before="24"/>
              <w:ind w:left="100" w:right="106"/>
              <w:jc w:val="left"/>
              <w:rPr>
                <w:rFonts w:ascii="宋体" w:hAnsi="宋体" w:cs="宋体" w:eastAsia="宋体" w:hint="default"/>
                <w:sz w:val="18"/>
                <w:szCs w:val="18"/>
              </w:rPr>
            </w:pPr>
            <w:r>
              <w:rPr>
                <w:rFonts w:ascii="宋体" w:hAnsi="宋体" w:cs="宋体" w:eastAsia="宋体" w:hint="default"/>
                <w:spacing w:val="-23"/>
                <w:sz w:val="18"/>
                <w:szCs w:val="18"/>
              </w:rPr>
              <w:t>伙）（以下简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称财通尤 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5,219,418.70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-96,512.17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-42,094.50</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5,080,812.03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德清锦烨财</w:t>
            </w:r>
          </w:p>
          <w:p>
            <w:pPr>
              <w:pStyle w:val="TableParagraph"/>
              <w:spacing w:line="237" w:lineRule="auto"/>
              <w:ind w:left="100" w:right="106"/>
              <w:jc w:val="both"/>
              <w:rPr>
                <w:rFonts w:ascii="宋体" w:hAnsi="宋体" w:cs="宋体" w:eastAsia="宋体" w:hint="default"/>
                <w:sz w:val="18"/>
                <w:szCs w:val="18"/>
              </w:rPr>
            </w:pPr>
            <w:r>
              <w:rPr>
                <w:rFonts w:ascii="宋体" w:hAnsi="宋体" w:cs="宋体" w:eastAsia="宋体" w:hint="default"/>
                <w:sz w:val="18"/>
                <w:szCs w:val="18"/>
              </w:rPr>
              <w:t>股权投资基 金管理合伙 企业（有限 </w:t>
            </w:r>
            <w:r>
              <w:rPr>
                <w:rFonts w:ascii="宋体" w:hAnsi="宋体" w:cs="宋体" w:eastAsia="宋体" w:hint="default"/>
                <w:spacing w:val="-23"/>
                <w:sz w:val="18"/>
                <w:szCs w:val="18"/>
              </w:rPr>
              <w:t>合伙）（以下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简称德清锦 烨财）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5,197,735.67</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-113,244.14</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5,084,491.53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义乌通杰股</w:t>
            </w:r>
          </w:p>
          <w:p>
            <w:pPr>
              <w:pStyle w:val="TableParagraph"/>
              <w:spacing w:line="237" w:lineRule="auto"/>
              <w:ind w:left="100" w:right="106"/>
              <w:jc w:val="both"/>
              <w:rPr>
                <w:rFonts w:ascii="宋体" w:hAnsi="宋体" w:cs="宋体" w:eastAsia="宋体" w:hint="default"/>
                <w:sz w:val="18"/>
                <w:szCs w:val="18"/>
              </w:rPr>
            </w:pPr>
            <w:r>
              <w:rPr>
                <w:rFonts w:ascii="宋体" w:hAnsi="宋体" w:cs="宋体" w:eastAsia="宋体" w:hint="default"/>
                <w:sz w:val="18"/>
                <w:szCs w:val="18"/>
              </w:rPr>
              <w:t>权投资合伙 企业（有限 </w:t>
            </w:r>
            <w:r>
              <w:rPr>
                <w:rFonts w:ascii="宋体" w:hAnsi="宋体" w:cs="宋体" w:eastAsia="宋体" w:hint="default"/>
                <w:spacing w:val="-23"/>
                <w:sz w:val="18"/>
                <w:szCs w:val="18"/>
              </w:rPr>
              <w:t>合伙）（以下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简称义乌通 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7,441,802.32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3,000,000.00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-919.81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-27,777.90</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266" w:right="0"/>
              <w:jc w:val="left"/>
              <w:rPr>
                <w:rFonts w:ascii="宋体" w:hAnsi="宋体" w:cs="宋体" w:eastAsia="宋体" w:hint="default"/>
                <w:sz w:val="11"/>
                <w:szCs w:val="11"/>
              </w:rPr>
            </w:pPr>
            <w:r>
              <w:rPr>
                <w:rFonts w:ascii="宋体"/>
                <w:sz w:val="11"/>
              </w:rPr>
              <w:t>34,390.23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4,447,494.84</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杭州博拉网</w:t>
            </w:r>
          </w:p>
          <w:p>
            <w:pPr>
              <w:pStyle w:val="TableParagraph"/>
              <w:spacing w:line="232" w:lineRule="exact" w:before="24"/>
              <w:ind w:left="100" w:right="152"/>
              <w:jc w:val="left"/>
              <w:rPr>
                <w:rFonts w:ascii="宋体" w:hAnsi="宋体" w:cs="宋体" w:eastAsia="宋体" w:hint="default"/>
                <w:sz w:val="18"/>
                <w:szCs w:val="18"/>
              </w:rPr>
            </w:pPr>
            <w:r>
              <w:rPr>
                <w:rFonts w:ascii="宋体" w:hAnsi="宋体" w:cs="宋体" w:eastAsia="宋体" w:hint="default"/>
                <w:sz w:val="18"/>
                <w:szCs w:val="18"/>
              </w:rPr>
              <w:t>络科技有限 公司（以下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2,757,406.32</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-190,154.58</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2,567,251.74</w:t>
            </w: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600" w:right="300"/>
        </w:sect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164"/>
        <w:gridCol w:w="1164"/>
        <w:gridCol w:w="1165"/>
        <w:gridCol w:w="1022"/>
        <w:gridCol w:w="1018"/>
        <w:gridCol w:w="1020"/>
        <w:gridCol w:w="434"/>
        <w:gridCol w:w="1020"/>
        <w:gridCol w:w="291"/>
        <w:gridCol w:w="876"/>
        <w:gridCol w:w="1018"/>
        <w:gridCol w:w="576"/>
      </w:tblGrid>
      <w:tr>
        <w:trPr>
          <w:trHeight w:val="47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简称博拉科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技公司）</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丽水财通旅</w:t>
            </w:r>
          </w:p>
          <w:p>
            <w:pPr>
              <w:pStyle w:val="TableParagraph"/>
              <w:spacing w:line="237" w:lineRule="auto"/>
              <w:ind w:left="100" w:right="150"/>
              <w:jc w:val="left"/>
              <w:rPr>
                <w:rFonts w:ascii="宋体" w:hAnsi="宋体" w:cs="宋体" w:eastAsia="宋体" w:hint="default"/>
                <w:sz w:val="18"/>
                <w:szCs w:val="18"/>
              </w:rPr>
            </w:pPr>
            <w:r>
              <w:rPr>
                <w:rFonts w:ascii="宋体" w:hAnsi="宋体" w:cs="宋体" w:eastAsia="宋体" w:hint="default"/>
                <w:sz w:val="18"/>
                <w:szCs w:val="18"/>
              </w:rPr>
              <w:t>游产业投资 合伙企业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p>
            <w:pPr>
              <w:pStyle w:val="TableParagraph"/>
              <w:spacing w:line="232" w:lineRule="exact" w:before="22"/>
              <w:ind w:left="100" w:right="152"/>
              <w:jc w:val="left"/>
              <w:rPr>
                <w:rFonts w:ascii="宋体" w:hAnsi="宋体" w:cs="宋体" w:eastAsia="宋体" w:hint="default"/>
                <w:sz w:val="18"/>
                <w:szCs w:val="18"/>
              </w:rPr>
            </w:pPr>
            <w:r>
              <w:rPr>
                <w:rFonts w:ascii="宋体" w:hAnsi="宋体" w:cs="宋体" w:eastAsia="宋体" w:hint="default"/>
                <w:sz w:val="18"/>
                <w:szCs w:val="18"/>
              </w:rPr>
              <w:t>（以下简称 财通旅游）</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600,000.00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-6,640.07</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593,359.93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杭州财通金</w:t>
            </w:r>
          </w:p>
          <w:p>
            <w:pPr>
              <w:pStyle w:val="TableParagraph"/>
              <w:spacing w:line="232" w:lineRule="exact" w:before="23"/>
              <w:ind w:left="100" w:right="152"/>
              <w:jc w:val="left"/>
              <w:rPr>
                <w:rFonts w:ascii="宋体" w:hAnsi="宋体" w:cs="宋体" w:eastAsia="宋体" w:hint="default"/>
                <w:sz w:val="18"/>
                <w:szCs w:val="18"/>
              </w:rPr>
            </w:pPr>
            <w:r>
              <w:rPr>
                <w:rFonts w:ascii="宋体" w:hAnsi="宋体" w:cs="宋体" w:eastAsia="宋体" w:hint="default"/>
                <w:sz w:val="18"/>
                <w:szCs w:val="18"/>
              </w:rPr>
              <w:t>榛股权投资 合伙企业</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（有限合</w:t>
            </w:r>
          </w:p>
          <w:p>
            <w:pPr>
              <w:pStyle w:val="TableParagraph"/>
              <w:spacing w:line="237" w:lineRule="auto" w:before="2"/>
              <w:ind w:left="100" w:right="106"/>
              <w:jc w:val="left"/>
              <w:rPr>
                <w:rFonts w:ascii="宋体" w:hAnsi="宋体" w:cs="宋体" w:eastAsia="宋体" w:hint="default"/>
                <w:sz w:val="18"/>
                <w:szCs w:val="18"/>
              </w:rPr>
            </w:pPr>
            <w:r>
              <w:rPr>
                <w:rFonts w:ascii="宋体" w:hAnsi="宋体" w:cs="宋体" w:eastAsia="宋体" w:hint="default"/>
                <w:spacing w:val="-23"/>
                <w:sz w:val="18"/>
                <w:szCs w:val="18"/>
              </w:rPr>
              <w:t>伙）（以下简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称财通金 榛）</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2,500,000.00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-10,744.17</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2,489,255.83</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87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绍兴市上虞</w:t>
            </w:r>
          </w:p>
          <w:p>
            <w:pPr>
              <w:pStyle w:val="TableParagraph"/>
              <w:spacing w:line="232" w:lineRule="exact" w:before="23"/>
              <w:ind w:left="100" w:right="152"/>
              <w:jc w:val="both"/>
              <w:rPr>
                <w:rFonts w:ascii="宋体" w:hAnsi="宋体" w:cs="宋体" w:eastAsia="宋体" w:hint="default"/>
                <w:sz w:val="18"/>
                <w:szCs w:val="18"/>
              </w:rPr>
            </w:pPr>
            <w:r>
              <w:rPr>
                <w:rFonts w:ascii="宋体" w:hAnsi="宋体" w:cs="宋体" w:eastAsia="宋体" w:hint="default"/>
                <w:sz w:val="18"/>
                <w:szCs w:val="18"/>
              </w:rPr>
              <w:t>区财通春晖 股权投资基 金合伙企业</w:t>
            </w:r>
          </w:p>
          <w:p>
            <w:pPr>
              <w:pStyle w:val="TableParagraph"/>
              <w:spacing w:line="232" w:lineRule="exact" w:before="3"/>
              <w:ind w:left="100" w:right="106"/>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3"/>
                <w:sz w:val="18"/>
                <w:szCs w:val="18"/>
              </w:rPr>
              <w:t>伙）（以下简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称上虞财</w:t>
            </w:r>
          </w:p>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通）</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101"/>
              <w:jc w:val="right"/>
              <w:rPr>
                <w:rFonts w:ascii="宋体" w:hAnsi="宋体" w:cs="宋体" w:eastAsia="宋体" w:hint="default"/>
                <w:sz w:val="11"/>
                <w:szCs w:val="11"/>
              </w:rPr>
            </w:pPr>
            <w:r>
              <w:rPr>
                <w:rFonts w:ascii="宋体"/>
                <w:sz w:val="11"/>
              </w:rPr>
              <w:t>670,000.00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8"/>
              <w:jc w:val="right"/>
              <w:rPr>
                <w:rFonts w:ascii="宋体" w:hAnsi="宋体" w:cs="宋体" w:eastAsia="宋体" w:hint="default"/>
                <w:sz w:val="11"/>
                <w:szCs w:val="11"/>
              </w:rPr>
            </w:pPr>
            <w:r>
              <w:rPr>
                <w:rFonts w:ascii="宋体"/>
                <w:sz w:val="11"/>
              </w:rPr>
              <w:t>-3,766.04</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96"/>
              <w:jc w:val="right"/>
              <w:rPr>
                <w:rFonts w:ascii="宋体" w:hAnsi="宋体" w:cs="宋体" w:eastAsia="宋体" w:hint="default"/>
                <w:sz w:val="11"/>
                <w:szCs w:val="11"/>
              </w:rPr>
            </w:pPr>
            <w:r>
              <w:rPr>
                <w:rFonts w:ascii="宋体"/>
                <w:sz w:val="11"/>
              </w:rPr>
              <w:t>666,233.96</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杭州酒通投</w:t>
            </w:r>
          </w:p>
          <w:p>
            <w:pPr>
              <w:pStyle w:val="TableParagraph"/>
              <w:spacing w:line="237" w:lineRule="auto"/>
              <w:ind w:left="100" w:right="152"/>
              <w:jc w:val="both"/>
              <w:rPr>
                <w:rFonts w:ascii="宋体" w:hAnsi="宋体" w:cs="宋体" w:eastAsia="宋体" w:hint="default"/>
                <w:sz w:val="18"/>
                <w:szCs w:val="18"/>
              </w:rPr>
            </w:pPr>
            <w:r>
              <w:rPr>
                <w:rFonts w:ascii="宋体" w:hAnsi="宋体" w:cs="宋体" w:eastAsia="宋体" w:hint="default"/>
                <w:sz w:val="18"/>
                <w:szCs w:val="18"/>
              </w:rPr>
              <w:t>资管理有限 公司（以下 简称酒通投 资公司）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2,450,267.75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2,450,000.00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-328,406.64</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4,571,861.11</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浙江省浙商</w:t>
            </w:r>
          </w:p>
          <w:p>
            <w:pPr>
              <w:pStyle w:val="TableParagraph"/>
              <w:spacing w:line="237" w:lineRule="auto" w:before="2"/>
              <w:ind w:left="100" w:right="152"/>
              <w:jc w:val="both"/>
              <w:rPr>
                <w:rFonts w:ascii="宋体" w:hAnsi="宋体" w:cs="宋体" w:eastAsia="宋体" w:hint="default"/>
                <w:sz w:val="18"/>
                <w:szCs w:val="18"/>
              </w:rPr>
            </w:pPr>
            <w:r>
              <w:rPr>
                <w:rFonts w:ascii="宋体" w:hAnsi="宋体" w:cs="宋体" w:eastAsia="宋体" w:hint="default"/>
                <w:sz w:val="18"/>
                <w:szCs w:val="18"/>
              </w:rPr>
              <w:t>资产管理有 限公司（以 下简称浙商 资产公司）</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2,039,513,562.09</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25,009,710.13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left="192" w:right="0"/>
              <w:jc w:val="left"/>
              <w:rPr>
                <w:rFonts w:ascii="宋体" w:hAnsi="宋体" w:cs="宋体" w:eastAsia="宋体" w:hint="default"/>
                <w:sz w:val="11"/>
                <w:szCs w:val="11"/>
              </w:rPr>
            </w:pPr>
            <w:r>
              <w:rPr>
                <w:rFonts w:ascii="宋体"/>
                <w:sz w:val="11"/>
              </w:rPr>
              <w:t>-1,213,513.87</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2,063,309,758.</w:t>
            </w:r>
          </w:p>
          <w:p>
            <w:pPr>
              <w:pStyle w:val="TableParagraph"/>
              <w:spacing w:line="240" w:lineRule="auto"/>
              <w:ind w:right="98"/>
              <w:jc w:val="right"/>
              <w:rPr>
                <w:rFonts w:ascii="宋体" w:hAnsi="宋体" w:cs="宋体" w:eastAsia="宋体" w:hint="default"/>
                <w:sz w:val="11"/>
                <w:szCs w:val="11"/>
              </w:rPr>
            </w:pPr>
            <w:r>
              <w:rPr>
                <w:rFonts w:ascii="宋体"/>
                <w:sz w:val="11"/>
              </w:rPr>
              <w:t>35</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云和梯田投</w:t>
            </w:r>
          </w:p>
          <w:p>
            <w:pPr>
              <w:pStyle w:val="TableParagraph"/>
              <w:spacing w:line="237" w:lineRule="auto"/>
              <w:ind w:left="100" w:right="152"/>
              <w:jc w:val="both"/>
              <w:rPr>
                <w:rFonts w:ascii="宋体" w:hAnsi="宋体" w:cs="宋体" w:eastAsia="宋体" w:hint="default"/>
                <w:sz w:val="18"/>
                <w:szCs w:val="18"/>
              </w:rPr>
            </w:pPr>
            <w:r>
              <w:rPr>
                <w:rFonts w:ascii="宋体" w:hAnsi="宋体" w:cs="宋体" w:eastAsia="宋体" w:hint="default"/>
                <w:sz w:val="18"/>
                <w:szCs w:val="18"/>
              </w:rPr>
              <w:t>资发展有限 公司（以下 简称云和梯 田公司）</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43,500,000.00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945,996.47</w:t>
            </w:r>
          </w:p>
        </w:tc>
        <w:tc>
          <w:tcPr>
            <w:tcW w:w="102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44,445,996.47</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2,826,934,542.17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2,089,233,562.09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3,000,000.00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312,861,431.98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-114,210,435.8</w:t>
            </w:r>
          </w:p>
          <w:p>
            <w:pPr>
              <w:pStyle w:val="TableParagraph"/>
              <w:spacing w:line="240" w:lineRule="auto"/>
              <w:ind w:right="101"/>
              <w:jc w:val="right"/>
              <w:rPr>
                <w:rFonts w:ascii="宋体" w:hAnsi="宋体" w:cs="宋体" w:eastAsia="宋体" w:hint="default"/>
                <w:sz w:val="11"/>
                <w:szCs w:val="11"/>
              </w:rPr>
            </w:pPr>
            <w:r>
              <w:rPr>
                <w:rFonts w:ascii="宋体"/>
                <w:w w:val="100"/>
                <w:sz w:val="11"/>
              </w:rPr>
              <w:t>8</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52,721,739.00</w:t>
            </w: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34,390.23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5,059,131,751.</w:t>
            </w:r>
          </w:p>
          <w:p>
            <w:pPr>
              <w:pStyle w:val="TableParagraph"/>
              <w:spacing w:line="240" w:lineRule="auto"/>
              <w:ind w:right="98"/>
              <w:jc w:val="right"/>
              <w:rPr>
                <w:rFonts w:ascii="宋体" w:hAnsi="宋体" w:cs="宋体" w:eastAsia="宋体" w:hint="default"/>
                <w:sz w:val="11"/>
                <w:szCs w:val="11"/>
              </w:rPr>
            </w:pPr>
            <w:r>
              <w:rPr>
                <w:rFonts w:ascii="宋体"/>
                <w:sz w:val="11"/>
              </w:rPr>
              <w:t>59</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2,826,934,542.17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2,089,233,562.09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3,000,000.00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312,861,431.98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-114,210,435.8</w:t>
            </w:r>
          </w:p>
          <w:p>
            <w:pPr>
              <w:pStyle w:val="TableParagraph"/>
              <w:spacing w:line="240" w:lineRule="auto"/>
              <w:ind w:right="101"/>
              <w:jc w:val="right"/>
              <w:rPr>
                <w:rFonts w:ascii="宋体" w:hAnsi="宋体" w:cs="宋体" w:eastAsia="宋体" w:hint="default"/>
                <w:sz w:val="11"/>
                <w:szCs w:val="11"/>
              </w:rPr>
            </w:pPr>
            <w:r>
              <w:rPr>
                <w:rFonts w:ascii="宋体"/>
                <w:w w:val="100"/>
                <w:sz w:val="11"/>
              </w:rPr>
              <w:t>8</w:t>
            </w:r>
          </w:p>
        </w:tc>
        <w:tc>
          <w:tcPr>
            <w:tcW w:w="43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8"/>
              <w:jc w:val="right"/>
              <w:rPr>
                <w:rFonts w:ascii="宋体" w:hAnsi="宋体" w:cs="宋体" w:eastAsia="宋体" w:hint="default"/>
                <w:sz w:val="11"/>
                <w:szCs w:val="11"/>
              </w:rPr>
            </w:pPr>
            <w:r>
              <w:rPr>
                <w:rFonts w:ascii="宋体"/>
                <w:sz w:val="11"/>
              </w:rPr>
              <w:t>52,721,739.00</w:t>
            </w:r>
          </w:p>
        </w:tc>
        <w:tc>
          <w:tcPr>
            <w:tcW w:w="2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101"/>
              <w:jc w:val="right"/>
              <w:rPr>
                <w:rFonts w:ascii="宋体" w:hAnsi="宋体" w:cs="宋体" w:eastAsia="宋体" w:hint="default"/>
                <w:sz w:val="11"/>
                <w:szCs w:val="11"/>
              </w:rPr>
            </w:pPr>
            <w:r>
              <w:rPr>
                <w:rFonts w:ascii="宋体"/>
                <w:sz w:val="11"/>
              </w:rPr>
              <w:t>34,390.23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16" w:lineRule="exact"/>
              <w:ind w:right="96"/>
              <w:jc w:val="right"/>
              <w:rPr>
                <w:rFonts w:ascii="宋体" w:hAnsi="宋体" w:cs="宋体" w:eastAsia="宋体" w:hint="default"/>
                <w:sz w:val="11"/>
                <w:szCs w:val="11"/>
              </w:rPr>
            </w:pPr>
            <w:r>
              <w:rPr>
                <w:rFonts w:ascii="宋体"/>
                <w:sz w:val="11"/>
              </w:rPr>
              <w:t>5,059,131,751.</w:t>
            </w:r>
          </w:p>
          <w:p>
            <w:pPr>
              <w:pStyle w:val="TableParagraph"/>
              <w:spacing w:line="240" w:lineRule="auto"/>
              <w:ind w:right="98"/>
              <w:jc w:val="right"/>
              <w:rPr>
                <w:rFonts w:ascii="宋体" w:hAnsi="宋体" w:cs="宋体" w:eastAsia="宋体" w:hint="default"/>
                <w:sz w:val="11"/>
                <w:szCs w:val="11"/>
              </w:rPr>
            </w:pPr>
            <w:r>
              <w:rPr>
                <w:rFonts w:ascii="宋体"/>
                <w:sz w:val="11"/>
              </w:rPr>
              <w:t>59</w:t>
            </w: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0"/>
          <w:szCs w:val="20"/>
        </w:rPr>
      </w:pPr>
    </w:p>
    <w:p>
      <w:pPr>
        <w:pStyle w:val="BodyText"/>
        <w:spacing w:line="240" w:lineRule="auto" w:before="36"/>
        <w:ind w:left="677" w:right="9469"/>
        <w:jc w:val="left"/>
      </w:pPr>
      <w:r>
        <w:rPr/>
        <w:t>其他说明</w:t>
      </w:r>
      <w:r>
        <w:rPr>
          <w:w w:val="100"/>
        </w:rPr>
        <w:t> </w:t>
      </w:r>
      <w:r>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9"/>
          <w:pgSz w:w="11910" w:h="16840"/>
          <w:pgMar w:footer="1195" w:header="882" w:top="1120" w:bottom="1380" w:left="600" w:right="300"/>
        </w:sectPr>
      </w:pPr>
    </w:p>
    <w:p>
      <w:pPr>
        <w:spacing w:line="290" w:lineRule="auto" w:before="36"/>
        <w:ind w:left="677" w:right="-17"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5"/>
        <w:spacing w:line="240" w:lineRule="auto" w:before="14"/>
        <w:ind w:left="677" w:right="-17"/>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300"/>
          <w:cols w:num="2" w:equalWidth="0">
            <w:col w:w="4458" w:space="2515"/>
            <w:col w:w="4037"/>
          </w:cols>
        </w:sectPr>
      </w:pPr>
    </w:p>
    <w:p>
      <w:pPr>
        <w:spacing w:line="240" w:lineRule="auto" w:before="7"/>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2732"/>
        <w:gridCol w:w="1822"/>
        <w:gridCol w:w="1472"/>
        <w:gridCol w:w="1442"/>
        <w:gridCol w:w="1822"/>
      </w:tblGrid>
      <w:tr>
        <w:trPr>
          <w:trHeight w:val="33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7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9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53,848,426.42</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53,848,426.42</w:t>
            </w: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600" w:right="3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32"/>
        <w:gridCol w:w="1822"/>
        <w:gridCol w:w="1472"/>
        <w:gridCol w:w="1442"/>
        <w:gridCol w:w="1822"/>
      </w:tblGrid>
      <w:tr>
        <w:trPr>
          <w:trHeight w:val="28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53,848,426.42</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53,848,426.42</w:t>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27,132,935.71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27,132,935.71</w:t>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1,744,689.00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1,744,689.00</w:t>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1,744,689.00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1,744,689.00</w:t>
            </w: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28,877,624.71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28,877,624.71</w:t>
            </w: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24,970,801.71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24,970,801.71</w:t>
            </w:r>
          </w:p>
        </w:tc>
      </w:tr>
      <w:tr>
        <w:trPr>
          <w:trHeight w:val="30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26,715,490.71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26,715,490.71</w:t>
            </w:r>
          </w:p>
        </w:tc>
      </w:tr>
    </w:tbl>
    <w:p>
      <w:pPr>
        <w:spacing w:line="240" w:lineRule="auto" w:before="11"/>
        <w:rPr>
          <w:rFonts w:ascii="宋体" w:hAnsi="宋体" w:cs="宋体" w:eastAsia="宋体" w:hint="default"/>
          <w:sz w:val="22"/>
          <w:szCs w:val="22"/>
        </w:rPr>
      </w:pPr>
    </w:p>
    <w:p>
      <w:pPr>
        <w:pStyle w:val="Heading5"/>
        <w:spacing w:line="240" w:lineRule="auto" w:before="36"/>
        <w:ind w:left="217" w:right="0"/>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72" w:lineRule="exact" w:before="86"/>
        <w:ind w:left="173" w:right="7715" w:firstLine="43"/>
        <w:jc w:val="left"/>
      </w:pPr>
      <w:r>
        <w:rPr/>
        <w:t>□适用 √不适用</w:t>
      </w:r>
      <w:r>
        <w:rPr>
          <w:w w:val="100"/>
        </w:rPr>
        <w:t> </w:t>
      </w:r>
      <w:r>
        <w:rPr/>
        <w:t>其他说明</w:t>
      </w:r>
    </w:p>
    <w:p>
      <w:pPr>
        <w:pStyle w:val="BodyText"/>
        <w:spacing w:line="249" w:lineRule="exact"/>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60"/>
          <w:pgSz w:w="11910" w:h="16840"/>
          <w:pgMar w:footer="1195" w:header="882" w:top="1120" w:bottom="1380" w:left="1060" w:right="1320"/>
          <w:pgNumType w:start="151"/>
        </w:sectPr>
      </w:pPr>
    </w:p>
    <w:p>
      <w:pPr>
        <w:pStyle w:val="Heading5"/>
        <w:spacing w:line="240" w:lineRule="auto" w:before="36"/>
        <w:ind w:left="217" w:right="-19"/>
        <w:jc w:val="left"/>
        <w:rPr>
          <w:b w:val="0"/>
          <w:bCs w:val="0"/>
        </w:rPr>
      </w:pPr>
      <w:r>
        <w:rPr>
          <w:rFonts w:ascii="宋体" w:hAnsi="宋体" w:cs="宋体" w:eastAsia="宋体" w:hint="default"/>
        </w:rPr>
        <w:t>17</w:t>
      </w:r>
      <w:r>
        <w:rPr/>
        <w:t>、</w:t>
      </w:r>
      <w:r>
        <w:rPr>
          <w:spacing w:val="-24"/>
        </w:rPr>
        <w:t> </w:t>
      </w:r>
      <w:r>
        <w:rPr/>
        <w:t>固定资产</w:t>
      </w:r>
      <w:r>
        <w:rPr>
          <w:b w:val="0"/>
          <w:bCs w:val="0"/>
        </w:rPr>
      </w:r>
    </w:p>
    <w:p>
      <w:pPr>
        <w:pStyle w:val="Heading5"/>
        <w:spacing w:line="240" w:lineRule="auto" w:before="56"/>
        <w:ind w:left="217"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9"/>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2073" w:space="4900"/>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798"/>
        <w:gridCol w:w="1426"/>
        <w:gridCol w:w="1426"/>
        <w:gridCol w:w="1529"/>
        <w:gridCol w:w="1426"/>
        <w:gridCol w:w="1532"/>
      </w:tblGrid>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82,106,886.79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22,484,557.60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196,556,520.74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30,697,699.29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331,845,664.42</w:t>
            </w:r>
          </w:p>
        </w:tc>
      </w:tr>
      <w:tr>
        <w:trPr>
          <w:trHeight w:val="55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28,273,801.97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899,421.38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29,173,223.35</w:t>
            </w:r>
          </w:p>
        </w:tc>
      </w:tr>
      <w:tr>
        <w:trPr>
          <w:trHeight w:val="281"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28,273,801.97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899,421.38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29,173,223.35</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2</w:t>
            </w:r>
            <w:r>
              <w:rPr>
                <w:rFonts w:ascii="宋体" w:hAnsi="宋体" w:cs="宋体" w:eastAsia="宋体" w:hint="default"/>
                <w:spacing w:val="-10"/>
                <w:sz w:val="21"/>
                <w:szCs w:val="21"/>
              </w:rPr>
              <w:t>）在建工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程转入</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3</w:t>
            </w:r>
            <w:r>
              <w:rPr>
                <w:rFonts w:ascii="宋体" w:hAnsi="宋体" w:cs="宋体" w:eastAsia="宋体" w:hint="default"/>
                <w:spacing w:val="-10"/>
                <w:sz w:val="21"/>
                <w:szCs w:val="21"/>
              </w:rPr>
              <w:t>）企业合</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18,519,070.41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22,671,028.51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2,010,637.36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43,200,736.28</w:t>
            </w:r>
          </w:p>
        </w:tc>
      </w:tr>
    </w:tbl>
    <w:p>
      <w:pPr>
        <w:spacing w:after="0" w:line="240" w:lineRule="auto"/>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798"/>
        <w:gridCol w:w="1426"/>
        <w:gridCol w:w="1426"/>
        <w:gridCol w:w="1529"/>
        <w:gridCol w:w="1426"/>
        <w:gridCol w:w="1532"/>
      </w:tblGrid>
      <w:tr>
        <w:trPr>
          <w:trHeight w:val="55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）处置或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18,519,070.41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22,671,028.51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2,010,637.36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43,200,736.28</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外币报表折</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197,050.98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3,983.04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201,034.02</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82,106,886.79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3,965,487.19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202,356,345.18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29,590,466.35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318,019,185.51</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40,706,358.87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21,615,366.06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160,275,420.96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25,307,201.85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247,904,347.74</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2,602,675.31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146,762.03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24,635,773.76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1,346,098.18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28,731,309.28</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2,602,675.31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146,762.03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24,635,773.76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1,346,098.18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28,731,309.28</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17,973,341.30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22,491,659.90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1,911,539.85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42,376,541.05</w:t>
            </w:r>
          </w:p>
        </w:tc>
      </w:tr>
      <w:tr>
        <w:trPr>
          <w:trHeight w:val="55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）处置或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17,973,341.30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22,491,659.90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1,911,539.85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42,376,541.05</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外币报表折</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160,992.27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1,441.84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162,434.11</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43,309,034.18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3,788,786.79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162,580,527.09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24,743,202.02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234,421,550.08</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）处置或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38,797,852.61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176,700.40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39,775,818.09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4,847,264.33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83,597,635.43</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41,400,527.92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869,191.54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36,281,099.78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5,390,497.44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83,941,316.68</w:t>
            </w:r>
          </w:p>
        </w:tc>
      </w:tr>
    </w:tbl>
    <w:p>
      <w:pPr>
        <w:spacing w:line="240" w:lineRule="auto" w:before="1"/>
        <w:rPr>
          <w:rFonts w:ascii="宋体" w:hAnsi="宋体" w:cs="宋体" w:eastAsia="宋体" w:hint="default"/>
          <w:sz w:val="23"/>
          <w:szCs w:val="23"/>
        </w:rPr>
      </w:pPr>
    </w:p>
    <w:p>
      <w:pPr>
        <w:pStyle w:val="Heading5"/>
        <w:spacing w:line="240" w:lineRule="auto" w:before="36"/>
        <w:ind w:left="137" w:right="0"/>
        <w:jc w:val="left"/>
        <w:rPr>
          <w:b w:val="0"/>
          <w:bCs w:val="0"/>
        </w:rPr>
      </w:pPr>
      <w:r>
        <w:rPr>
          <w:rFonts w:ascii="宋体" w:hAnsi="宋体" w:cs="宋体" w:eastAsia="宋体" w:hint="default"/>
        </w:rPr>
        <w:t>(2).</w:t>
      </w:r>
      <w:r>
        <w:rPr>
          <w:rFonts w:ascii="宋体" w:hAnsi="宋体" w:cs="宋体" w:eastAsia="宋体" w:hint="default"/>
          <w:spacing w:val="58"/>
        </w:rPr>
        <w:t> </w:t>
      </w:r>
      <w:r>
        <w:rPr/>
        <w:t>暂时闲置的固定资产情况</w:t>
      </w:r>
      <w:r>
        <w:rPr>
          <w:b w:val="0"/>
          <w:bCs w:val="0"/>
        </w:rPr>
      </w:r>
    </w:p>
    <w:p>
      <w:pPr>
        <w:pStyle w:val="BodyText"/>
        <w:spacing w:line="240" w:lineRule="auto" w:before="56"/>
        <w:ind w:left="137" w:right="0"/>
        <w:jc w:val="left"/>
      </w:pPr>
      <w:r>
        <w:rPr/>
        <w:t>□适用 √不适用</w:t>
      </w:r>
    </w:p>
    <w:p>
      <w:pPr>
        <w:pStyle w:val="Heading5"/>
        <w:spacing w:line="240" w:lineRule="auto" w:before="59"/>
        <w:ind w:left="137" w:right="0"/>
        <w:jc w:val="left"/>
        <w:rPr>
          <w:b w:val="0"/>
          <w:bCs w:val="0"/>
        </w:rPr>
      </w:pPr>
      <w:r>
        <w:rPr>
          <w:rFonts w:ascii="宋体" w:hAnsi="宋体" w:cs="宋体" w:eastAsia="宋体" w:hint="default"/>
        </w:rPr>
        <w:t>(3).</w:t>
      </w:r>
      <w:r>
        <w:rPr>
          <w:rFonts w:ascii="宋体" w:hAnsi="宋体" w:cs="宋体" w:eastAsia="宋体" w:hint="default"/>
          <w:spacing w:val="56"/>
        </w:rPr>
        <w:t> </w:t>
      </w:r>
      <w:r>
        <w:rPr/>
        <w:t>通过融资租赁租入的固定资产情况</w:t>
      </w:r>
      <w:r>
        <w:rPr>
          <w:b w:val="0"/>
          <w:bCs w:val="0"/>
        </w:rPr>
      </w:r>
    </w:p>
    <w:p>
      <w:pPr>
        <w:pStyle w:val="BodyText"/>
        <w:spacing w:line="240" w:lineRule="auto" w:before="56"/>
        <w:ind w:left="137" w:right="0"/>
        <w:jc w:val="left"/>
      </w:pPr>
      <w:r>
        <w:rPr/>
        <w:t>□适用 √不适用</w:t>
      </w:r>
    </w:p>
    <w:p>
      <w:pPr>
        <w:pStyle w:val="Heading5"/>
        <w:spacing w:line="240" w:lineRule="auto" w:before="58"/>
        <w:ind w:left="137" w:right="0"/>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spacing w:line="240" w:lineRule="auto" w:before="56"/>
        <w:ind w:left="137" w:right="0"/>
        <w:jc w:val="left"/>
      </w:pPr>
      <w:r>
        <w:rPr/>
        <w:t>□适用 √不适用</w:t>
      </w:r>
    </w:p>
    <w:p>
      <w:pPr>
        <w:pStyle w:val="Heading5"/>
        <w:spacing w:line="240" w:lineRule="auto" w:before="56"/>
        <w:ind w:left="137" w:right="0"/>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pStyle w:val="BodyText"/>
        <w:spacing w:line="272" w:lineRule="exact" w:before="86"/>
        <w:ind w:left="137" w:right="7634"/>
        <w:jc w:val="left"/>
      </w:pPr>
      <w:r>
        <w:rPr/>
        <w:t>□适用 √不适用</w:t>
      </w:r>
      <w:r>
        <w:rPr>
          <w:w w:val="100"/>
        </w:rPr>
        <w:t> </w:t>
      </w:r>
      <w:r>
        <w:rPr/>
        <w:t>其他说明：</w:t>
      </w:r>
    </w:p>
    <w:p>
      <w:pPr>
        <w:pStyle w:val="BodyText"/>
        <w:spacing w:line="249" w:lineRule="exact"/>
        <w:ind w:left="137"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137" w:right="0"/>
        <w:jc w:val="left"/>
        <w:rPr>
          <w:b w:val="0"/>
          <w:bCs w:val="0"/>
        </w:rPr>
      </w:pPr>
      <w:r>
        <w:rPr>
          <w:rFonts w:ascii="宋体" w:hAnsi="宋体" w:cs="宋体" w:eastAsia="宋体" w:hint="default"/>
        </w:rPr>
        <w:t>18</w:t>
      </w:r>
      <w:r>
        <w:rPr/>
        <w:t>、</w:t>
      </w:r>
      <w:r>
        <w:rPr>
          <w:spacing w:val="-24"/>
        </w:rPr>
        <w:t> </w:t>
      </w:r>
      <w:r>
        <w:rPr/>
        <w:t>在建工程</w:t>
      </w:r>
      <w:r>
        <w:rPr>
          <w:b w:val="0"/>
          <w:bCs w:val="0"/>
        </w:rPr>
      </w:r>
    </w:p>
    <w:p>
      <w:pPr>
        <w:pStyle w:val="Heading5"/>
        <w:spacing w:line="240" w:lineRule="auto" w:before="59"/>
        <w:ind w:left="137" w:right="0"/>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left="137" w:right="0"/>
        <w:jc w:val="left"/>
      </w:pPr>
      <w:r>
        <w:rPr/>
        <w:t>√适用 □不适用</w:t>
      </w:r>
    </w:p>
    <w:p>
      <w:pPr>
        <w:spacing w:after="0" w:line="240" w:lineRule="auto"/>
        <w:jc w:val="left"/>
        <w:sectPr>
          <w:pgSz w:w="11910" w:h="16840"/>
          <w:pgMar w:header="882" w:footer="1195" w:top="1120" w:bottom="1380" w:left="1140" w:right="1400"/>
        </w:sectPr>
      </w:pPr>
    </w:p>
    <w:p>
      <w:pPr>
        <w:spacing w:line="240" w:lineRule="auto" w:before="9"/>
        <w:rPr>
          <w:rFonts w:ascii="宋体" w:hAnsi="宋体" w:cs="宋体" w:eastAsia="宋体" w:hint="default"/>
          <w:sz w:val="18"/>
          <w:szCs w:val="18"/>
        </w:rPr>
      </w:pPr>
    </w:p>
    <w:p>
      <w:pPr>
        <w:pStyle w:val="BodyText"/>
        <w:spacing w:line="240" w:lineRule="auto" w:before="36"/>
        <w:ind w:left="0" w:right="151"/>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35"/>
        <w:gridCol w:w="1599"/>
        <w:gridCol w:w="583"/>
        <w:gridCol w:w="1604"/>
        <w:gridCol w:w="1596"/>
        <w:gridCol w:w="583"/>
        <w:gridCol w:w="1537"/>
      </w:tblGrid>
      <w:tr>
        <w:trPr>
          <w:trHeight w:val="283" w:hRule="exact"/>
        </w:trPr>
        <w:tc>
          <w:tcPr>
            <w:tcW w:w="16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635"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新大楼建设工程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106,478,349.90</w:t>
            </w:r>
          </w:p>
        </w:tc>
        <w:tc>
          <w:tcPr>
            <w:tcW w:w="58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106,478,349.90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57,164,066.09</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57,164,066.09</w:t>
            </w:r>
          </w:p>
        </w:tc>
      </w:tr>
      <w:tr>
        <w:trPr>
          <w:trHeight w:val="28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1,607,066.00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1,607,066.00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834,305.22</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834,305.22</w:t>
            </w:r>
          </w:p>
        </w:tc>
      </w:tr>
      <w:tr>
        <w:trPr>
          <w:trHeight w:val="28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108,085,415.90</w:t>
            </w:r>
          </w:p>
        </w:tc>
        <w:tc>
          <w:tcPr>
            <w:tcW w:w="58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108,085,415.90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57,998,371.31</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57,998,371.31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140" w:right="1400"/>
        </w:sectPr>
      </w:pPr>
    </w:p>
    <w:p>
      <w:pPr>
        <w:pStyle w:val="Heading5"/>
        <w:spacing w:line="240" w:lineRule="auto" w:before="36"/>
        <w:ind w:left="137"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060" w:bottom="1380" w:left="1140" w:right="1400"/>
          <w:cols w:num="2" w:equalWidth="0">
            <w:col w:w="3678" w:space="3295"/>
            <w:col w:w="239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80"/>
        <w:gridCol w:w="600"/>
        <w:gridCol w:w="1507"/>
        <w:gridCol w:w="1508"/>
        <w:gridCol w:w="348"/>
        <w:gridCol w:w="348"/>
        <w:gridCol w:w="1620"/>
        <w:gridCol w:w="614"/>
        <w:gridCol w:w="691"/>
        <w:gridCol w:w="284"/>
        <w:gridCol w:w="504"/>
        <w:gridCol w:w="391"/>
        <w:gridCol w:w="341"/>
      </w:tblGrid>
      <w:tr>
        <w:trPr>
          <w:trHeight w:val="2734" w:hRule="exact"/>
        </w:trPr>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26" w:right="131"/>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4" w:right="134" w:hanging="104"/>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84" w:right="58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6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23" w:right="10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93" w:right="59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36" w:right="38" w:firstLine="52"/>
              <w:jc w:val="both"/>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5" w:right="19"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9" w:right="31"/>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33" w:right="36"/>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31" w:firstLine="5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57" w:right="6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1918" w:hRule="exact"/>
        </w:trPr>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新</w:t>
            </w:r>
          </w:p>
          <w:p>
            <w:pPr>
              <w:pStyle w:val="TableParagraph"/>
              <w:spacing w:line="237" w:lineRule="auto" w:before="2"/>
              <w:ind w:left="26" w:right="131"/>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楼</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38" w:right="0"/>
              <w:jc w:val="left"/>
              <w:rPr>
                <w:rFonts w:ascii="宋体" w:hAnsi="宋体" w:cs="宋体" w:eastAsia="宋体" w:hint="default"/>
                <w:sz w:val="21"/>
                <w:szCs w:val="21"/>
              </w:rPr>
            </w:pPr>
            <w:r>
              <w:rPr>
                <w:rFonts w:ascii="宋体"/>
                <w:sz w:val="21"/>
              </w:rPr>
              <w:t>2.00</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亿元</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81" w:right="0"/>
              <w:jc w:val="center"/>
              <w:rPr>
                <w:rFonts w:ascii="宋体" w:hAnsi="宋体" w:cs="宋体" w:eastAsia="宋体" w:hint="default"/>
                <w:sz w:val="21"/>
                <w:szCs w:val="21"/>
              </w:rPr>
            </w:pPr>
            <w:r>
              <w:rPr>
                <w:rFonts w:ascii="宋体"/>
                <w:sz w:val="21"/>
              </w:rPr>
              <w:t>57,164,066.09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21"/>
                <w:szCs w:val="21"/>
              </w:rPr>
            </w:pPr>
            <w:r>
              <w:rPr>
                <w:rFonts w:ascii="宋体"/>
                <w:sz w:val="21"/>
              </w:rPr>
              <w:t>49,314,283.81</w:t>
            </w:r>
          </w:p>
        </w:tc>
        <w:tc>
          <w:tcPr>
            <w:tcW w:w="34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106,478,349.90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 w:right="0"/>
              <w:jc w:val="center"/>
              <w:rPr>
                <w:rFonts w:ascii="宋体" w:hAnsi="宋体" w:cs="宋体" w:eastAsia="宋体" w:hint="default"/>
                <w:sz w:val="21"/>
                <w:szCs w:val="21"/>
              </w:rPr>
            </w:pPr>
            <w:r>
              <w:rPr>
                <w:rFonts w:ascii="宋体"/>
                <w:sz w:val="21"/>
              </w:rPr>
              <w:t>53.24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sz w:val="21"/>
              </w:rPr>
              <w:t>53.24%</w:t>
            </w:r>
          </w:p>
        </w:tc>
        <w:tc>
          <w:tcPr>
            <w:tcW w:w="28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91" w:right="26"/>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筹</w:t>
            </w:r>
          </w:p>
        </w:tc>
      </w:tr>
      <w:tr>
        <w:trPr>
          <w:trHeight w:val="554" w:hRule="exact"/>
        </w:trPr>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sz w:val="21"/>
              </w:rPr>
              <w:t>2.00</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亿元</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center"/>
              <w:rPr>
                <w:rFonts w:ascii="宋体" w:hAnsi="宋体" w:cs="宋体" w:eastAsia="宋体" w:hint="default"/>
                <w:sz w:val="21"/>
                <w:szCs w:val="21"/>
              </w:rPr>
            </w:pPr>
            <w:r>
              <w:rPr>
                <w:rFonts w:ascii="宋体"/>
                <w:sz w:val="21"/>
              </w:rPr>
              <w:t>57,164,066.09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left"/>
              <w:rPr>
                <w:rFonts w:ascii="宋体" w:hAnsi="宋体" w:cs="宋体" w:eastAsia="宋体" w:hint="default"/>
                <w:sz w:val="21"/>
                <w:szCs w:val="21"/>
              </w:rPr>
            </w:pPr>
            <w:r>
              <w:rPr>
                <w:rFonts w:ascii="宋体"/>
                <w:sz w:val="21"/>
              </w:rPr>
              <w:t>49,314,283.81</w:t>
            </w:r>
          </w:p>
        </w:tc>
        <w:tc>
          <w:tcPr>
            <w:tcW w:w="34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spacing w:val="-1"/>
                <w:sz w:val="21"/>
              </w:rPr>
              <w:t>106,478,349.90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center"/>
              <w:rPr>
                <w:rFonts w:ascii="宋体" w:hAnsi="宋体" w:cs="宋体" w:eastAsia="宋体" w:hint="default"/>
                <w:sz w:val="21"/>
                <w:szCs w:val="21"/>
              </w:rPr>
            </w:pPr>
            <w:r>
              <w:rPr>
                <w:rFonts w:ascii="宋体"/>
                <w:w w:val="100"/>
                <w:sz w:val="21"/>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6" w:right="0"/>
              <w:jc w:val="left"/>
              <w:rPr>
                <w:rFonts w:ascii="宋体" w:hAnsi="宋体" w:cs="宋体" w:eastAsia="宋体" w:hint="default"/>
                <w:sz w:val="21"/>
                <w:szCs w:val="21"/>
              </w:rPr>
            </w:pPr>
            <w:r>
              <w:rPr>
                <w:rFonts w:ascii="宋体"/>
                <w:w w:val="100"/>
                <w:sz w:val="21"/>
              </w:rPr>
              <w:t>/</w:t>
            </w:r>
          </w:p>
        </w:tc>
        <w:tc>
          <w:tcPr>
            <w:tcW w:w="28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 w:right="0"/>
              <w:jc w:val="left"/>
              <w:rPr>
                <w:rFonts w:ascii="宋体" w:hAnsi="宋体" w:cs="宋体" w:eastAsia="宋体" w:hint="default"/>
                <w:sz w:val="21"/>
                <w:szCs w:val="21"/>
              </w:rPr>
            </w:pPr>
            <w:r>
              <w:rPr>
                <w:rFonts w:ascii="宋体"/>
                <w:w w:val="100"/>
                <w:sz w:val="21"/>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23"/>
          <w:szCs w:val="23"/>
        </w:rPr>
      </w:pPr>
    </w:p>
    <w:p>
      <w:pPr>
        <w:pStyle w:val="Heading5"/>
        <w:spacing w:line="240" w:lineRule="auto" w:before="36"/>
        <w:ind w:left="137"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137" w:right="0"/>
        <w:jc w:val="left"/>
      </w:pPr>
      <w:r>
        <w:rPr/>
        <w:t>□适用 √不适用</w:t>
      </w:r>
    </w:p>
    <w:p>
      <w:pPr>
        <w:spacing w:line="240" w:lineRule="auto" w:before="8"/>
        <w:rPr>
          <w:rFonts w:ascii="宋体" w:hAnsi="宋体" w:cs="宋体" w:eastAsia="宋体" w:hint="default"/>
          <w:sz w:val="23"/>
          <w:szCs w:val="23"/>
        </w:rPr>
      </w:pPr>
    </w:p>
    <w:p>
      <w:pPr>
        <w:pStyle w:val="BodyText"/>
        <w:spacing w:line="274" w:lineRule="exact"/>
        <w:ind w:left="137" w:right="0"/>
        <w:jc w:val="left"/>
      </w:pPr>
      <w:r>
        <w:rPr/>
        <w:t>其他说明</w:t>
      </w:r>
    </w:p>
    <w:p>
      <w:pPr>
        <w:pStyle w:val="BodyText"/>
        <w:spacing w:line="272" w:lineRule="exact"/>
        <w:ind w:left="137" w:right="0"/>
        <w:jc w:val="left"/>
      </w:pPr>
      <w:r>
        <w:rPr/>
        <w:t>√适用 □不适用</w:t>
      </w:r>
    </w:p>
    <w:p>
      <w:pPr>
        <w:pStyle w:val="BodyText"/>
        <w:spacing w:line="357" w:lineRule="auto"/>
        <w:ind w:left="137" w:right="189" w:firstLine="480"/>
        <w:jc w:val="both"/>
      </w:pPr>
      <w:r>
        <w:rPr>
          <w:rFonts w:ascii="宋体" w:hAnsi="宋体" w:cs="宋体" w:eastAsia="宋体" w:hint="default"/>
        </w:rPr>
        <w:t>2013</w:t>
      </w:r>
      <w:r>
        <w:rPr>
          <w:rFonts w:ascii="宋体" w:hAnsi="宋体" w:cs="宋体" w:eastAsia="宋体" w:hint="default"/>
          <w:spacing w:val="-56"/>
        </w:rPr>
        <w:t> </w:t>
      </w:r>
      <w:r>
        <w:rPr/>
        <w:t>年度，公司、永安期货和双冠控股集团有限公司合作购买杭州翠苑单元</w:t>
      </w:r>
      <w:r>
        <w:rPr>
          <w:spacing w:val="-56"/>
        </w:rPr>
        <w:t> </w:t>
      </w:r>
      <w:r>
        <w:rPr>
          <w:rFonts w:ascii="宋体" w:hAnsi="宋体" w:cs="宋体" w:eastAsia="宋体" w:hint="default"/>
        </w:rPr>
        <w:t>B1/B2-10-2</w:t>
      </w:r>
      <w:r>
        <w:rPr>
          <w:rFonts w:ascii="宋体" w:hAnsi="宋体" w:cs="宋体" w:eastAsia="宋体" w:hint="default"/>
          <w:spacing w:val="-54"/>
        </w:rPr>
        <w:t> </w:t>
      </w:r>
      <w:r>
        <w:rPr>
          <w:spacing w:val="-3"/>
        </w:rPr>
        <w:t>地块</w:t>
      </w:r>
      <w:r>
        <w:rPr>
          <w:spacing w:val="-3"/>
          <w:w w:val="100"/>
        </w:rPr>
        <w:t> </w:t>
      </w:r>
      <w:r>
        <w:rPr/>
        <w:t>用于联建办公楼，三方出资比例分别为</w:t>
      </w:r>
      <w:r>
        <w:rPr>
          <w:spacing w:val="-55"/>
        </w:rPr>
        <w:t> </w:t>
      </w:r>
      <w:r>
        <w:rPr>
          <w:rFonts w:ascii="宋体" w:hAnsi="宋体" w:cs="宋体" w:eastAsia="宋体" w:hint="default"/>
        </w:rPr>
        <w:t>35%</w:t>
      </w:r>
      <w:r>
        <w:rPr/>
        <w:t>、</w:t>
      </w:r>
      <w:r>
        <w:rPr>
          <w:rFonts w:ascii="宋体" w:hAnsi="宋体" w:cs="宋体" w:eastAsia="宋体" w:hint="default"/>
        </w:rPr>
        <w:t>30%</w:t>
      </w:r>
      <w:r>
        <w:rPr/>
        <w:t>和</w:t>
      </w:r>
      <w:r>
        <w:rPr>
          <w:spacing w:val="-57"/>
        </w:rPr>
        <w:t> </w:t>
      </w:r>
      <w:r>
        <w:rPr>
          <w:rFonts w:ascii="宋体" w:hAnsi="宋体" w:cs="宋体" w:eastAsia="宋体" w:hint="default"/>
        </w:rPr>
        <w:t>35%</w:t>
      </w:r>
      <w:r>
        <w:rPr/>
        <w:t>。该工程造价总预算数为</w:t>
      </w:r>
      <w:r>
        <w:rPr>
          <w:spacing w:val="-55"/>
        </w:rPr>
        <w:t> </w:t>
      </w:r>
      <w:r>
        <w:rPr>
          <w:rFonts w:ascii="宋体" w:hAnsi="宋体" w:cs="宋体" w:eastAsia="宋体" w:hint="default"/>
        </w:rPr>
        <w:t>14.43</w:t>
      </w:r>
      <w:r>
        <w:rPr>
          <w:rFonts w:ascii="宋体" w:hAnsi="宋体" w:cs="宋体" w:eastAsia="宋体" w:hint="default"/>
          <w:spacing w:val="-54"/>
        </w:rPr>
        <w:t> </w:t>
      </w:r>
      <w:r>
        <w:rPr/>
        <w:t>亿元，包括</w:t>
      </w:r>
      <w:r>
        <w:rPr>
          <w:w w:val="100"/>
        </w:rPr>
        <w:t> </w:t>
      </w:r>
      <w:r>
        <w:rPr/>
        <w:t>土地款</w:t>
      </w:r>
      <w:r>
        <w:rPr>
          <w:spacing w:val="-55"/>
        </w:rPr>
        <w:t> </w:t>
      </w:r>
      <w:r>
        <w:rPr>
          <w:rFonts w:ascii="宋体" w:hAnsi="宋体" w:cs="宋体" w:eastAsia="宋体" w:hint="default"/>
        </w:rPr>
        <w:t>8.73</w:t>
      </w:r>
      <w:r>
        <w:rPr>
          <w:rFonts w:ascii="宋体" w:hAnsi="宋体" w:cs="宋体" w:eastAsia="宋体" w:hint="default"/>
          <w:spacing w:val="-55"/>
        </w:rPr>
        <w:t> </w:t>
      </w:r>
      <w:r>
        <w:rPr/>
        <w:t>亿元和工程造价</w:t>
      </w:r>
      <w:r>
        <w:rPr>
          <w:spacing w:val="-54"/>
        </w:rPr>
        <w:t> </w:t>
      </w:r>
      <w:r>
        <w:rPr>
          <w:rFonts w:ascii="宋体" w:hAnsi="宋体" w:cs="宋体" w:eastAsia="宋体" w:hint="default"/>
        </w:rPr>
        <w:t>5.70</w:t>
      </w:r>
      <w:r>
        <w:rPr>
          <w:rFonts w:ascii="宋体" w:hAnsi="宋体" w:cs="宋体" w:eastAsia="宋体" w:hint="default"/>
          <w:spacing w:val="-55"/>
        </w:rPr>
        <w:t> </w:t>
      </w:r>
      <w:r>
        <w:rPr/>
        <w:t>亿元。公司按上述约定应承担土地款</w:t>
      </w:r>
      <w:r>
        <w:rPr>
          <w:spacing w:val="-55"/>
        </w:rPr>
        <w:t> </w:t>
      </w:r>
      <w:r>
        <w:rPr>
          <w:rFonts w:ascii="宋体" w:hAnsi="宋体" w:cs="宋体" w:eastAsia="宋体" w:hint="default"/>
        </w:rPr>
        <w:t>3.06</w:t>
      </w:r>
      <w:r>
        <w:rPr>
          <w:rFonts w:ascii="宋体" w:hAnsi="宋体" w:cs="宋体" w:eastAsia="宋体" w:hint="default"/>
          <w:spacing w:val="-57"/>
        </w:rPr>
        <w:t> </w:t>
      </w:r>
      <w:r>
        <w:rPr/>
        <w:t>亿元，工程造价</w:t>
      </w:r>
      <w:r>
        <w:rPr>
          <w:spacing w:val="-54"/>
        </w:rPr>
        <w:t> </w:t>
      </w:r>
      <w:r>
        <w:rPr>
          <w:rFonts w:ascii="宋体" w:hAnsi="宋体" w:cs="宋体" w:eastAsia="宋体" w:hint="default"/>
        </w:rPr>
        <w:t>2.00</w:t>
      </w:r>
      <w:r>
        <w:rPr>
          <w:rFonts w:ascii="宋体" w:hAnsi="宋体" w:cs="宋体" w:eastAsia="宋体" w:hint="default"/>
          <w:w w:val="100"/>
        </w:rPr>
        <w:t> </w:t>
      </w:r>
      <w:r>
        <w:rPr/>
        <w:t>亿元。</w:t>
      </w: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380" w:left="1140" w:right="1400"/>
        </w:sectPr>
      </w:pPr>
    </w:p>
    <w:p>
      <w:pPr>
        <w:pStyle w:val="Heading5"/>
        <w:spacing w:line="240" w:lineRule="auto" w:before="36"/>
        <w:ind w:left="137" w:right="-20"/>
        <w:jc w:val="left"/>
        <w:rPr>
          <w:b w:val="0"/>
          <w:bCs w:val="0"/>
        </w:rPr>
      </w:pPr>
      <w:r>
        <w:rPr>
          <w:rFonts w:ascii="宋体" w:hAnsi="宋体" w:cs="宋体" w:eastAsia="宋体" w:hint="default"/>
        </w:rPr>
        <w:t>19</w:t>
      </w:r>
      <w:r>
        <w:rPr/>
        <w:t>、</w:t>
      </w:r>
      <w:r>
        <w:rPr>
          <w:spacing w:val="-24"/>
        </w:rPr>
        <w:t> </w:t>
      </w:r>
      <w:r>
        <w:rPr/>
        <w:t>无形资产</w:t>
      </w:r>
      <w:r>
        <w:rPr>
          <w:b w:val="0"/>
          <w:bCs w:val="0"/>
        </w:rPr>
      </w:r>
    </w:p>
    <w:p>
      <w:pPr>
        <w:pStyle w:val="Heading5"/>
        <w:spacing w:line="240" w:lineRule="auto" w:before="56"/>
        <w:ind w:left="137"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979" w:val="left" w:leader="none"/>
        </w:tabs>
        <w:spacing w:line="240" w:lineRule="auto" w:before="59"/>
        <w:ind w:left="137"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060" w:bottom="1380" w:left="1140" w:right="1400"/>
          <w:cols w:num="2" w:equalWidth="0">
            <w:col w:w="2007" w:space="4966"/>
            <w:col w:w="239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34"/>
        <w:gridCol w:w="1803"/>
        <w:gridCol w:w="1685"/>
        <w:gridCol w:w="1582"/>
        <w:gridCol w:w="1786"/>
      </w:tblGrid>
      <w:tr>
        <w:trPr>
          <w:trHeight w:val="35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交易席位费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305,420,346.84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196,795,353.78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24,549,745.00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526,765,445.62</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27,849,710.28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27,849,710.28</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27,849,710.28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27,849,710.28</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980,213.70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980,213.70</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980,213.70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980,213.70</w:t>
            </w:r>
          </w:p>
        </w:tc>
      </w:tr>
      <w:tr>
        <w:trPr>
          <w:trHeight w:val="55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外币报表折算差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56,753.39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22,165.00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78,918.39</w:t>
            </w:r>
          </w:p>
        </w:tc>
      </w:tr>
      <w:tr>
        <w:trPr>
          <w:trHeight w:val="28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期末余额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305,420,346.84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223,721,603.75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24,571,910.00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553,713,860.59</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28,250,814.68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120,353,306.76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24,549,745.00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173,153,866.44</w:t>
            </w:r>
          </w:p>
        </w:tc>
      </w:tr>
      <w:tr>
        <w:trPr>
          <w:trHeight w:val="35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7,707,297.96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37,133,565.46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44,840,863.42</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7,707,297.96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37,133,565.46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44,840,863.42</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209,000.18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209,000.18</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209,000.18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209,000.18</w:t>
            </w:r>
          </w:p>
        </w:tc>
      </w:tr>
      <w:tr>
        <w:trPr>
          <w:trHeight w:val="55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外币报表折算差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35,352.46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22,165.00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57,517.46</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期末余额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35,958,112.64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157,313,224.50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24,571,910.00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217,843,247.14</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0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269,462,234.20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66,408,379.25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335,870,613.45</w:t>
            </w:r>
          </w:p>
        </w:tc>
      </w:tr>
      <w:tr>
        <w:trPr>
          <w:trHeight w:val="35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277,169,532.16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76,442,047.02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353,611,579.18</w:t>
            </w:r>
          </w:p>
        </w:tc>
      </w:tr>
    </w:tbl>
    <w:p>
      <w:pPr>
        <w:spacing w:line="240" w:lineRule="auto" w:before="7"/>
        <w:rPr>
          <w:rFonts w:ascii="宋体" w:hAnsi="宋体" w:cs="宋体" w:eastAsia="宋体" w:hint="default"/>
          <w:sz w:val="15"/>
          <w:szCs w:val="15"/>
        </w:rPr>
      </w:pPr>
    </w:p>
    <w:p>
      <w:pPr>
        <w:pStyle w:val="BodyText"/>
        <w:spacing w:line="240" w:lineRule="auto" w:before="36"/>
        <w:ind w:left="217"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5"/>
        <w:ind w:left="217" w:right="0"/>
        <w:jc w:val="left"/>
        <w:rPr>
          <w:b w:val="0"/>
          <w:bCs w:val="0"/>
        </w:rPr>
      </w:pPr>
      <w:r>
        <w:rPr>
          <w:rFonts w:ascii="宋体" w:hAnsi="宋体" w:cs="宋体" w:eastAsia="宋体" w:hint="default"/>
        </w:rPr>
        <w:t>(2).</w:t>
      </w:r>
      <w:r>
        <w:rPr>
          <w:rFonts w:ascii="宋体" w:hAnsi="宋体" w:cs="宋体" w:eastAsia="宋体" w:hint="default"/>
          <w:spacing w:val="72"/>
        </w:rPr>
        <w:t> </w:t>
      </w:r>
      <w:r>
        <w:rPr/>
        <w:t>未办妥产权证书的土地使用权情况</w:t>
      </w:r>
      <w:r>
        <w:rPr>
          <w:b w:val="0"/>
          <w:bCs w:val="0"/>
        </w:rPr>
      </w:r>
    </w:p>
    <w:p>
      <w:pPr>
        <w:pStyle w:val="BodyText"/>
        <w:spacing w:line="272" w:lineRule="exact" w:before="86"/>
        <w:ind w:left="217" w:right="7714"/>
        <w:jc w:val="left"/>
      </w:pPr>
      <w:r>
        <w:rPr/>
        <w:t>□适用 √不适用</w:t>
      </w:r>
      <w:r>
        <w:rPr>
          <w:w w:val="100"/>
        </w:rPr>
        <w:t> </w:t>
      </w:r>
      <w:r>
        <w:rPr/>
        <w:t>其他说明：</w:t>
      </w:r>
    </w:p>
    <w:p>
      <w:pPr>
        <w:pStyle w:val="BodyText"/>
        <w:spacing w:line="249" w:lineRule="exact"/>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7"/>
        <w:ind w:left="217" w:right="0"/>
        <w:jc w:val="left"/>
        <w:rPr>
          <w:b w:val="0"/>
          <w:bCs w:val="0"/>
        </w:rPr>
      </w:pPr>
      <w:r>
        <w:rPr>
          <w:rFonts w:ascii="宋体" w:hAnsi="宋体" w:cs="宋体" w:eastAsia="宋体" w:hint="default"/>
        </w:rPr>
        <w:t>20</w:t>
      </w:r>
      <w:r>
        <w:rPr/>
        <w:t>、</w:t>
      </w:r>
      <w:r>
        <w:rPr>
          <w:spacing w:val="-25"/>
        </w:rPr>
        <w:t> </w:t>
      </w:r>
      <w:r>
        <w:rPr/>
        <w:t>商誉</w:t>
      </w:r>
      <w:r>
        <w:rPr>
          <w:b w:val="0"/>
          <w:bCs w:val="0"/>
        </w:rPr>
      </w:r>
    </w:p>
    <w:p>
      <w:pPr>
        <w:pStyle w:val="Heading5"/>
        <w:spacing w:line="240" w:lineRule="auto" w:before="56"/>
        <w:ind w:left="217" w:right="0"/>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8"/>
        <w:ind w:left="217" w:right="0"/>
        <w:jc w:val="left"/>
      </w:pPr>
      <w:r>
        <w:rPr/>
        <w:t>□适用 √不适用</w:t>
      </w:r>
    </w:p>
    <w:p>
      <w:pPr>
        <w:spacing w:after="0" w:line="240" w:lineRule="auto"/>
        <w:jc w:val="left"/>
        <w:sectPr>
          <w:pgSz w:w="11910" w:h="16840"/>
          <w:pgMar w:header="882" w:footer="1195" w:top="1120" w:bottom="1380" w:left="1060" w:right="1320"/>
        </w:sectPr>
      </w:pPr>
    </w:p>
    <w:p>
      <w:pPr>
        <w:spacing w:line="240" w:lineRule="auto" w:before="9"/>
        <w:rPr>
          <w:rFonts w:ascii="宋体" w:hAnsi="宋体" w:cs="宋体" w:eastAsia="宋体" w:hint="default"/>
          <w:sz w:val="18"/>
          <w:szCs w:val="18"/>
        </w:rPr>
      </w:pPr>
    </w:p>
    <w:p>
      <w:pPr>
        <w:pStyle w:val="Heading5"/>
        <w:spacing w:line="240" w:lineRule="auto" w:before="36"/>
        <w:ind w:left="217"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6"/>
        <w:ind w:left="217" w:right="0"/>
        <w:jc w:val="left"/>
      </w:pPr>
      <w:r>
        <w:rPr/>
        <w:t>□适用 √不适用</w:t>
      </w:r>
    </w:p>
    <w:p>
      <w:pPr>
        <w:pStyle w:val="Heading5"/>
        <w:spacing w:line="240" w:lineRule="auto" w:before="58"/>
        <w:ind w:left="217" w:right="0"/>
        <w:jc w:val="left"/>
        <w:rPr>
          <w:b w:val="0"/>
          <w:bCs w:val="0"/>
        </w:rPr>
      </w:pPr>
      <w:r>
        <w:rPr>
          <w:rFonts w:ascii="宋体" w:hAnsi="宋体" w:cs="宋体" w:eastAsia="宋体" w:hint="default"/>
        </w:rPr>
        <w:t>(3).</w:t>
      </w:r>
      <w:r>
        <w:rPr>
          <w:rFonts w:ascii="宋体" w:hAnsi="宋体" w:cs="宋体" w:eastAsia="宋体" w:hint="default"/>
          <w:spacing w:val="58"/>
        </w:rPr>
        <w:t> </w:t>
      </w:r>
      <w:r>
        <w:rPr/>
        <w:t>商誉所在资产组或资产组组合的相关信息</w:t>
      </w:r>
      <w:r>
        <w:rPr>
          <w:b w:val="0"/>
          <w:bCs w:val="0"/>
        </w:rPr>
      </w:r>
    </w:p>
    <w:p>
      <w:pPr>
        <w:pStyle w:val="BodyText"/>
        <w:spacing w:line="240" w:lineRule="auto" w:before="56"/>
        <w:ind w:left="217" w:right="0"/>
        <w:jc w:val="left"/>
      </w:pPr>
      <w:r>
        <w:rPr/>
        <w:t>□适用 √不适用</w:t>
      </w:r>
    </w:p>
    <w:p>
      <w:pPr>
        <w:spacing w:line="240" w:lineRule="auto" w:before="0"/>
        <w:rPr>
          <w:rFonts w:ascii="宋体" w:hAnsi="宋体" w:cs="宋体" w:eastAsia="宋体" w:hint="default"/>
          <w:sz w:val="20"/>
          <w:szCs w:val="20"/>
        </w:rPr>
      </w:pPr>
    </w:p>
    <w:p>
      <w:pPr>
        <w:pStyle w:val="Heading5"/>
        <w:spacing w:line="272" w:lineRule="exact" w:before="136"/>
        <w:ind w:left="637" w:right="226" w:hanging="420"/>
        <w:jc w:val="left"/>
        <w:rPr>
          <w:b w:val="0"/>
          <w:bCs w:val="0"/>
        </w:rPr>
      </w:pPr>
      <w:r>
        <w:rPr>
          <w:rFonts w:ascii="宋体" w:hAnsi="宋体" w:cs="宋体" w:eastAsia="宋体" w:hint="default"/>
        </w:rPr>
        <w:t>(4).</w:t>
      </w:r>
      <w:r>
        <w:rPr>
          <w:rFonts w:ascii="宋体" w:hAnsi="宋体" w:cs="宋体" w:eastAsia="宋体" w:hint="default"/>
          <w:spacing w:val="101"/>
        </w:rPr>
        <w:t> </w:t>
      </w:r>
      <w:r>
        <w:rPr/>
        <w:t>说明商誉减值测试过程、关键参数（例如预计未来现金流量现值时的预测期增长率、稳定期</w:t>
      </w:r>
      <w:r>
        <w:rPr>
          <w:spacing w:val="-104"/>
        </w:rPr>
        <w:t> </w:t>
      </w:r>
      <w:r>
        <w:rPr>
          <w:spacing w:val="-104"/>
        </w:rPr>
      </w:r>
      <w:r>
        <w:rPr/>
        <w:t>增长率、利润率、折现率、预测期等，如适用）及商誉减值损失的确认方法</w:t>
      </w:r>
      <w:r>
        <w:rPr>
          <w:b w:val="0"/>
          <w:bCs w:val="0"/>
        </w:rPr>
      </w:r>
    </w:p>
    <w:p>
      <w:pPr>
        <w:pStyle w:val="BodyText"/>
        <w:spacing w:line="240" w:lineRule="auto" w:before="34"/>
        <w:ind w:left="217" w:right="0"/>
        <w:jc w:val="left"/>
      </w:pPr>
      <w:r>
        <w:rPr/>
        <w:t>□适用√不适用</w:t>
      </w:r>
    </w:p>
    <w:p>
      <w:pPr>
        <w:spacing w:line="240" w:lineRule="auto" w:before="2"/>
        <w:rPr>
          <w:rFonts w:ascii="宋体" w:hAnsi="宋体" w:cs="宋体" w:eastAsia="宋体" w:hint="default"/>
          <w:sz w:val="28"/>
          <w:szCs w:val="28"/>
        </w:rPr>
      </w:pPr>
    </w:p>
    <w:p>
      <w:pPr>
        <w:pStyle w:val="Heading5"/>
        <w:spacing w:line="240" w:lineRule="auto"/>
        <w:ind w:left="217" w:right="0"/>
        <w:jc w:val="left"/>
        <w:rPr>
          <w:b w:val="0"/>
          <w:bCs w:val="0"/>
        </w:rPr>
      </w:pPr>
      <w:r>
        <w:rPr>
          <w:rFonts w:ascii="宋体" w:hAnsi="宋体" w:cs="宋体" w:eastAsia="宋体" w:hint="default"/>
        </w:rPr>
        <w:t>(5).</w:t>
      </w:r>
      <w:r>
        <w:rPr>
          <w:rFonts w:ascii="宋体" w:hAnsi="宋体" w:cs="宋体" w:eastAsia="宋体" w:hint="default"/>
          <w:spacing w:val="61"/>
        </w:rPr>
        <w:t> </w:t>
      </w:r>
      <w:r>
        <w:rPr/>
        <w:t>商誉减值测试的影响</w:t>
      </w:r>
      <w:r>
        <w:rPr>
          <w:b w:val="0"/>
          <w:bCs w:val="0"/>
        </w:rPr>
      </w:r>
    </w:p>
    <w:p>
      <w:pPr>
        <w:pStyle w:val="BodyText"/>
        <w:spacing w:line="240" w:lineRule="auto" w:before="56"/>
        <w:ind w:left="217" w:right="0"/>
        <w:jc w:val="left"/>
      </w:pPr>
      <w:r>
        <w:rPr/>
        <w:t>□适用√不适用</w:t>
      </w:r>
    </w:p>
    <w:p>
      <w:pPr>
        <w:spacing w:line="240" w:lineRule="auto" w:before="8"/>
        <w:rPr>
          <w:rFonts w:ascii="宋体" w:hAnsi="宋体" w:cs="宋体" w:eastAsia="宋体" w:hint="default"/>
          <w:sz w:val="23"/>
          <w:szCs w:val="23"/>
        </w:rPr>
      </w:pPr>
    </w:p>
    <w:p>
      <w:pPr>
        <w:pStyle w:val="BodyText"/>
        <w:spacing w:line="274" w:lineRule="exact"/>
        <w:ind w:left="217" w:right="0"/>
        <w:jc w:val="left"/>
      </w:pPr>
      <w:r>
        <w:rPr/>
        <w:t>其他说明</w:t>
      </w:r>
    </w:p>
    <w:p>
      <w:pPr>
        <w:pStyle w:val="BodyText"/>
        <w:spacing w:line="274" w:lineRule="exact"/>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60" w:right="1320"/>
        </w:sectPr>
      </w:pPr>
    </w:p>
    <w:p>
      <w:pPr>
        <w:pStyle w:val="Heading5"/>
        <w:spacing w:line="290" w:lineRule="auto" w:before="36"/>
        <w:ind w:left="217" w:right="-17"/>
        <w:jc w:val="left"/>
        <w:rPr>
          <w:b w:val="0"/>
          <w:bCs w:val="0"/>
        </w:rPr>
      </w:pPr>
      <w:r>
        <w:rPr>
          <w:rFonts w:ascii="宋体" w:hAnsi="宋体" w:cs="宋体" w:eastAsia="宋体" w:hint="default"/>
        </w:rPr>
        <w:t>21</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tabs>
          <w:tab w:pos="1059" w:val="left" w:leader="none"/>
        </w:tabs>
        <w:spacing w:line="240" w:lineRule="auto" w:before="14"/>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060" w:bottom="1380" w:left="1060" w:right="1320"/>
          <w:cols w:num="2" w:equalWidth="0">
            <w:col w:w="3779" w:space="2982"/>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37"/>
        <w:gridCol w:w="1945"/>
        <w:gridCol w:w="1733"/>
        <w:gridCol w:w="1944"/>
        <w:gridCol w:w="1733"/>
      </w:tblGrid>
      <w:tr>
        <w:trPr>
          <w:trHeight w:val="295" w:hRule="exact"/>
        </w:trPr>
        <w:tc>
          <w:tcPr>
            <w:tcW w:w="19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937"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4"/>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50,064,341.11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12,516,085.29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30,820,844.72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7,705,211.18</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98,704,175.19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24,676,043.80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35,771,861.95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8,942,965.49</w:t>
            </w:r>
          </w:p>
        </w:tc>
      </w:tr>
      <w:tr>
        <w:trPr>
          <w:trHeight w:val="29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融出资金减值准备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30,802,928.72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7,700,732.18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51,815,924.66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12,953,981.17</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156,850,229.49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39,212,557.37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10,485,393.44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2,621,348.36</w:t>
            </w:r>
          </w:p>
        </w:tc>
      </w:tr>
      <w:tr>
        <w:trPr>
          <w:trHeight w:val="110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37" w:lineRule="auto" w:before="1"/>
              <w:ind w:left="103" w:right="139"/>
              <w:jc w:val="both"/>
              <w:rPr>
                <w:rFonts w:ascii="宋体" w:hAnsi="宋体" w:cs="宋体" w:eastAsia="宋体" w:hint="default"/>
                <w:sz w:val="21"/>
                <w:szCs w:val="21"/>
              </w:rPr>
            </w:pPr>
            <w:r>
              <w:rPr>
                <w:rFonts w:ascii="宋体" w:hAnsi="宋体" w:cs="宋体" w:eastAsia="宋体" w:hint="default"/>
                <w:sz w:val="21"/>
                <w:szCs w:val="21"/>
              </w:rPr>
              <w:t>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257,006,363.46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64,251,590.87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124,035,984.15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31,008,996.04</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543,433,716.45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135,858,429.11</w:t>
            </w:r>
          </w:p>
        </w:tc>
        <w:tc>
          <w:tcPr>
            <w:tcW w:w="194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8,572,679.92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2,143,169.98</w:t>
            </w:r>
          </w:p>
        </w:tc>
      </w:tr>
      <w:tr>
        <w:trPr>
          <w:trHeight w:val="29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应付未付款</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943,853,574.53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235,963,393.64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928,649,397.70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232,162,349.43</w:t>
            </w:r>
          </w:p>
        </w:tc>
      </w:tr>
      <w:tr>
        <w:trPr>
          <w:trHeight w:val="29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2,080,715,328.95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520,178,832.26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1,190,152,086.54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297,538,021.65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320"/>
        </w:sectPr>
      </w:pPr>
    </w:p>
    <w:p>
      <w:pPr>
        <w:pStyle w:val="Heading5"/>
        <w:spacing w:line="240" w:lineRule="auto" w:before="36"/>
        <w:ind w:left="217" w:right="-17"/>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tabs>
          <w:tab w:pos="1059" w:val="left" w:leader="none"/>
        </w:tabs>
        <w:spacing w:line="240" w:lineRule="auto" w:before="56"/>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060" w:bottom="1380" w:left="1060" w:right="1320"/>
          <w:cols w:num="2" w:equalWidth="0">
            <w:col w:w="3336" w:space="3426"/>
            <w:col w:w="276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12"/>
        <w:gridCol w:w="1731"/>
        <w:gridCol w:w="1685"/>
        <w:gridCol w:w="1733"/>
        <w:gridCol w:w="1729"/>
      </w:tblGrid>
      <w:tr>
        <w:trPr>
          <w:trHeight w:val="296"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12" w:type="dxa"/>
            <w:vMerge/>
            <w:tcBorders>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807,096.38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201,774.10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868,303,018.85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214,725,100.49</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120,946,286.10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30,236,571.53</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121,753,382.48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30,438,345.63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868,303,018.85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214,725,100.49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320"/>
        </w:sectPr>
      </w:pPr>
    </w:p>
    <w:p>
      <w:pPr>
        <w:pStyle w:val="Heading5"/>
        <w:spacing w:line="240" w:lineRule="auto" w:before="36"/>
        <w:ind w:left="217"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tabs>
          <w:tab w:pos="1059" w:val="left" w:leader="none"/>
        </w:tabs>
        <w:spacing w:line="240" w:lineRule="auto" w:before="56"/>
        <w:ind w:left="217" w:right="-18"/>
        <w:jc w:val="left"/>
      </w:pPr>
      <w:r>
        <w:rPr/>
        <w:t>□适用</w:t>
        <w:tab/>
        <w:t>√不适用</w:t>
      </w:r>
    </w:p>
    <w:p>
      <w:pPr>
        <w:pStyle w:val="Heading5"/>
        <w:spacing w:line="240" w:lineRule="auto" w:before="59"/>
        <w:ind w:left="217" w:right="-18"/>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59" w:val="left" w:leader="none"/>
        </w:tabs>
        <w:spacing w:line="240" w:lineRule="auto" w:before="56"/>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060" w:bottom="1380" w:left="1060" w:right="1320"/>
          <w:cols w:num="2" w:equalWidth="0">
            <w:col w:w="4814" w:space="194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65"/>
        <w:gridCol w:w="3164"/>
        <w:gridCol w:w="3161"/>
      </w:tblGrid>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115,575,669.32</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21,360,621.68</w:t>
            </w: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22,615,663.54</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16,932,719.11</w:t>
            </w:r>
          </w:p>
        </w:tc>
      </w:tr>
      <w:tr>
        <w:trPr>
          <w:trHeight w:val="29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138,191,332.86</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38,293,340.79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060" w:right="1320"/>
        </w:sectPr>
      </w:pPr>
    </w:p>
    <w:p>
      <w:pPr>
        <w:pStyle w:val="Heading5"/>
        <w:spacing w:line="240" w:lineRule="auto" w:before="36"/>
        <w:ind w:left="217" w:right="-16"/>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tabs>
          <w:tab w:pos="1059" w:val="left" w:leader="none"/>
        </w:tabs>
        <w:spacing w:line="240" w:lineRule="auto" w:before="56"/>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060" w:bottom="1380" w:left="1060" w:right="1320"/>
          <w:cols w:num="2" w:equalWidth="0">
            <w:col w:w="5865" w:space="839"/>
            <w:col w:w="282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41"/>
        <w:gridCol w:w="2345"/>
        <w:gridCol w:w="2386"/>
        <w:gridCol w:w="2417"/>
      </w:tblGrid>
      <w:tr>
        <w:trPr>
          <w:trHeight w:val="29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52"/>
              <w:jc w:val="right"/>
              <w:rPr>
                <w:rFonts w:ascii="宋体" w:hAnsi="宋体" w:cs="宋体" w:eastAsia="宋体" w:hint="default"/>
                <w:sz w:val="21"/>
                <w:szCs w:val="21"/>
              </w:rPr>
            </w:pPr>
            <w:r>
              <w:rPr>
                <w:rFonts w:ascii="宋体" w:hAnsi="宋体" w:cs="宋体" w:eastAsia="宋体" w:hint="default"/>
                <w:sz w:val="21"/>
                <w:szCs w:val="21"/>
              </w:rPr>
              <w:t>年份</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4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8"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290,269.65</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477,717.83</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742,501.90</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6,620,143.57</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7,318,262.01</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6,585,131.50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6,677,692.24</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1,707,688.38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1,903,993.31</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7,224,982.26</w:t>
            </w:r>
          </w:p>
        </w:tc>
        <w:tc>
          <w:tcPr>
            <w:tcW w:w="2386"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52"/>
              <w:jc w:val="right"/>
              <w:rPr>
                <w:rFonts w:ascii="宋体" w:hAnsi="宋体" w:cs="宋体" w:eastAsia="宋体" w:hint="default"/>
                <w:sz w:val="21"/>
                <w:szCs w:val="21"/>
              </w:rPr>
            </w:pPr>
            <w:r>
              <w:rPr>
                <w:rFonts w:ascii="宋体" w:hAnsi="宋体" w:cs="宋体" w:eastAsia="宋体" w:hint="default"/>
                <w:sz w:val="21"/>
                <w:szCs w:val="21"/>
              </w:rPr>
              <w:t>合计</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22,615,663.54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16,932,719.11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17" w:right="0"/>
        <w:jc w:val="left"/>
      </w:pPr>
      <w:r>
        <w:rPr/>
        <w:t>其他说明：</w:t>
      </w:r>
    </w:p>
    <w:p>
      <w:pPr>
        <w:pStyle w:val="BodyText"/>
        <w:spacing w:line="274" w:lineRule="exact"/>
        <w:ind w:left="217" w:right="0"/>
        <w:jc w:val="left"/>
      </w:pPr>
      <w:r>
        <w:rPr/>
        <w:t>□适用 √不适用</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60" w:right="1320"/>
        </w:sectPr>
      </w:pPr>
    </w:p>
    <w:p>
      <w:pPr>
        <w:pStyle w:val="Heading5"/>
        <w:spacing w:line="240" w:lineRule="auto" w:before="36"/>
        <w:ind w:left="217" w:right="-18"/>
        <w:jc w:val="left"/>
        <w:rPr>
          <w:b w:val="0"/>
          <w:bCs w:val="0"/>
        </w:rPr>
      </w:pPr>
      <w:r>
        <w:rPr>
          <w:rFonts w:ascii="宋体" w:hAnsi="宋体" w:cs="宋体" w:eastAsia="宋体" w:hint="default"/>
        </w:rPr>
        <w:t>22</w:t>
      </w:r>
      <w:r>
        <w:rPr/>
        <w:t>、</w:t>
      </w:r>
      <w:r>
        <w:rPr>
          <w:spacing w:val="-24"/>
        </w:rPr>
        <w:t> </w:t>
      </w:r>
      <w:r>
        <w:rPr/>
        <w:t>其他资产</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795" w:space="5178"/>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88"/>
        <w:gridCol w:w="3000"/>
        <w:gridCol w:w="294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7" w:right="0"/>
              <w:jc w:val="left"/>
              <w:rPr>
                <w:rFonts w:ascii="宋体" w:hAnsi="宋体" w:cs="宋体" w:eastAsia="宋体" w:hint="default"/>
                <w:sz w:val="21"/>
                <w:szCs w:val="21"/>
              </w:rPr>
            </w:pPr>
            <w:r>
              <w:rPr>
                <w:rFonts w:ascii="宋体" w:hAnsi="宋体" w:cs="宋体" w:eastAsia="宋体" w:hint="default"/>
                <w:sz w:val="21"/>
                <w:szCs w:val="21"/>
              </w:rPr>
              <w:t>期初账面价值</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101,868,975.37</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208,153,295.40</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60,551,375.00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68,470,539.28</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52,594,406.69</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54,469,556.54</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28,330,996.91</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32,383,110.97</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14,424,445.64</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7,013,346.11</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257,770,199.61</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370,489,848.30</w:t>
            </w:r>
          </w:p>
        </w:tc>
      </w:tr>
    </w:tbl>
    <w:p>
      <w:pPr>
        <w:spacing w:line="240" w:lineRule="auto" w:before="7"/>
        <w:rPr>
          <w:rFonts w:ascii="宋体" w:hAnsi="宋体" w:cs="宋体" w:eastAsia="宋体" w:hint="default"/>
          <w:sz w:val="15"/>
          <w:szCs w:val="15"/>
        </w:rPr>
      </w:pPr>
    </w:p>
    <w:p>
      <w:pPr>
        <w:pStyle w:val="BodyText"/>
        <w:spacing w:line="240" w:lineRule="auto" w:before="36"/>
        <w:ind w:left="217" w:right="0"/>
        <w:jc w:val="left"/>
      </w:pPr>
      <w:r>
        <w:rPr/>
        <w:t>其他资产的说明：</w:t>
      </w:r>
    </w:p>
    <w:p>
      <w:pPr>
        <w:spacing w:after="0" w:line="240" w:lineRule="auto"/>
        <w:jc w:val="left"/>
        <w:sectPr>
          <w:type w:val="continuous"/>
          <w:pgSz w:w="11910" w:h="16840"/>
          <w:pgMar w:top="1060" w:bottom="1380" w:left="106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72" w:lineRule="exact" w:before="64"/>
        <w:ind w:left="217" w:right="7932"/>
        <w:jc w:val="left"/>
      </w:pPr>
      <w:r>
        <w:rPr>
          <w:rFonts w:ascii="宋体" w:hAnsi="宋体" w:cs="宋体" w:eastAsia="宋体" w:hint="default"/>
          <w:spacing w:val="-1"/>
        </w:rPr>
        <w:t>(1)</w:t>
      </w:r>
      <w:r>
        <w:rPr>
          <w:spacing w:val="-1"/>
        </w:rPr>
        <w:t>其他应收款</w:t>
      </w:r>
      <w:r>
        <w:rPr>
          <w:spacing w:val="-96"/>
        </w:rPr>
        <w:t> </w:t>
      </w:r>
      <w:r>
        <w:rPr>
          <w:spacing w:val="-96"/>
        </w:rPr>
      </w:r>
      <w:r>
        <w:rPr>
          <w:rFonts w:ascii="宋体" w:hAnsi="宋体" w:cs="宋体" w:eastAsia="宋体" w:hint="default"/>
        </w:rPr>
        <w:t>1)</w:t>
      </w:r>
      <w:r>
        <w:rPr/>
        <w:t>明细情况</w:t>
      </w:r>
    </w:p>
    <w:p>
      <w:pPr>
        <w:pStyle w:val="BodyText"/>
        <w:spacing w:line="240" w:lineRule="auto" w:before="108"/>
        <w:ind w:left="637" w:right="0"/>
        <w:jc w:val="left"/>
      </w:pPr>
      <w:r>
        <w:rPr/>
        <w:t>①</w:t>
      </w:r>
      <w:r>
        <w:rPr>
          <w:spacing w:val="45"/>
        </w:rPr>
        <w:t> </w:t>
      </w:r>
      <w:r>
        <w:rPr/>
        <w:t>类别明细情况</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55"/>
        <w:gridCol w:w="1517"/>
        <w:gridCol w:w="867"/>
        <w:gridCol w:w="1514"/>
        <w:gridCol w:w="1025"/>
        <w:gridCol w:w="1512"/>
      </w:tblGrid>
      <w:tr>
        <w:trPr>
          <w:trHeight w:val="295" w:hRule="exact"/>
        </w:trPr>
        <w:tc>
          <w:tcPr>
            <w:tcW w:w="28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6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93" w:hRule="exact"/>
        </w:trPr>
        <w:tc>
          <w:tcPr>
            <w:tcW w:w="2855" w:type="dxa"/>
            <w:vMerge/>
            <w:tcBorders>
              <w:left w:val="single" w:sz="4" w:space="0" w:color="000000"/>
              <w:right w:val="single" w:sz="4" w:space="0" w:color="000000"/>
            </w:tcBorders>
          </w:tcPr>
          <w:p>
            <w:pP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855"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1" w:right="0"/>
              <w:jc w:val="center"/>
              <w:rPr>
                <w:rFonts w:ascii="宋体" w:hAnsi="宋体" w:cs="宋体" w:eastAsia="宋体" w:hint="default"/>
                <w:sz w:val="18"/>
                <w:szCs w:val="18"/>
              </w:rPr>
            </w:pPr>
            <w:r>
              <w:rPr>
                <w:rFonts w:ascii="宋体"/>
                <w:sz w:val="18"/>
              </w:rPr>
              <w:t>(%)</w:t>
            </w:r>
          </w:p>
        </w:tc>
        <w:tc>
          <w:tcPr>
            <w:tcW w:w="1512" w:type="dxa"/>
            <w:vMerge/>
            <w:tcBorders>
              <w:left w:val="single" w:sz="4" w:space="0" w:color="000000"/>
              <w:bottom w:val="single" w:sz="4" w:space="0" w:color="000000"/>
              <w:right w:val="single" w:sz="4" w:space="0" w:color="000000"/>
            </w:tcBorders>
          </w:tcPr>
          <w:p>
            <w:pPr/>
          </w:p>
        </w:tc>
      </w:tr>
      <w:tr>
        <w:trPr>
          <w:trHeight w:val="478"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271,164,902.97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71.72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250,933,162.97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92.54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4" w:right="0"/>
              <w:jc w:val="center"/>
              <w:rPr>
                <w:rFonts w:ascii="宋体" w:hAnsi="宋体" w:cs="宋体" w:eastAsia="宋体" w:hint="default"/>
                <w:sz w:val="18"/>
                <w:szCs w:val="18"/>
              </w:rPr>
            </w:pPr>
            <w:r>
              <w:rPr>
                <w:rFonts w:ascii="宋体"/>
                <w:sz w:val="18"/>
              </w:rPr>
              <w:t>20,231,740.00</w:t>
            </w:r>
          </w:p>
        </w:tc>
      </w:tr>
      <w:tr>
        <w:trPr>
          <w:trHeight w:val="478"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104,888,485.07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27.74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23,251,249.70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22.17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4" w:right="0"/>
              <w:jc w:val="center"/>
              <w:rPr>
                <w:rFonts w:ascii="宋体" w:hAnsi="宋体" w:cs="宋体" w:eastAsia="宋体" w:hint="default"/>
                <w:sz w:val="18"/>
                <w:szCs w:val="18"/>
              </w:rPr>
            </w:pPr>
            <w:r>
              <w:rPr>
                <w:rFonts w:ascii="宋体"/>
                <w:sz w:val="18"/>
              </w:rPr>
              <w:t>81,637,235.37</w:t>
            </w:r>
          </w:p>
        </w:tc>
      </w:tr>
      <w:tr>
        <w:trPr>
          <w:trHeight w:val="476"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2,040,000.00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0.54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2,040,000.00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378,093,388.04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276,224,412.67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73.06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 w:right="0"/>
              <w:jc w:val="center"/>
              <w:rPr>
                <w:rFonts w:ascii="宋体" w:hAnsi="宋体" w:cs="宋体" w:eastAsia="宋体" w:hint="default"/>
                <w:sz w:val="18"/>
                <w:szCs w:val="18"/>
              </w:rPr>
            </w:pPr>
            <w:r>
              <w:rPr>
                <w:rFonts w:ascii="宋体"/>
                <w:sz w:val="18"/>
              </w:rPr>
              <w:t>101,868,975.37</w:t>
            </w:r>
          </w:p>
        </w:tc>
      </w:tr>
    </w:tbl>
    <w:p>
      <w:pPr>
        <w:pStyle w:val="BodyText"/>
        <w:spacing w:line="241" w:lineRule="exact"/>
        <w:ind w:left="217"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1640"/>
        <w:gridCol w:w="1255"/>
        <w:gridCol w:w="1517"/>
        <w:gridCol w:w="1280"/>
        <w:gridCol w:w="1514"/>
      </w:tblGrid>
      <w:tr>
        <w:trPr>
          <w:trHeight w:val="295" w:hRule="exact"/>
        </w:trPr>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2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5" w:hRule="exact"/>
        </w:trPr>
        <w:tc>
          <w:tcPr>
            <w:tcW w:w="2084" w:type="dxa"/>
            <w:vMerge/>
            <w:tcBorders>
              <w:left w:val="single" w:sz="4" w:space="0" w:color="000000"/>
              <w:right w:val="single" w:sz="4" w:space="0" w:color="000000"/>
            </w:tcBorders>
          </w:tcPr>
          <w:p>
            <w:pPr/>
          </w:p>
        </w:tc>
        <w:tc>
          <w:tcPr>
            <w:tcW w:w="2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142"/>
              <w:ind w:left="3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5" w:hRule="exact"/>
        </w:trPr>
        <w:tc>
          <w:tcPr>
            <w:tcW w:w="2084" w:type="dxa"/>
            <w:vMerge/>
            <w:tcBorders>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14" w:type="dxa"/>
            <w:vMerge/>
            <w:tcBorders>
              <w:left w:val="single" w:sz="4" w:space="0" w:color="000000"/>
              <w:bottom w:val="single" w:sz="4" w:space="0" w:color="000000"/>
              <w:right w:val="single" w:sz="4" w:space="0" w:color="000000"/>
            </w:tcBorders>
          </w:tcPr>
          <w:p>
            <w:pPr/>
          </w:p>
        </w:tc>
      </w:tr>
      <w:tr>
        <w:trPr>
          <w:trHeight w:val="47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提坏账准备</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378,906,817.20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78.77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250,728,462.97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66.17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 w:right="0"/>
              <w:jc w:val="center"/>
              <w:rPr>
                <w:rFonts w:ascii="宋体" w:hAnsi="宋体" w:cs="宋体" w:eastAsia="宋体" w:hint="default"/>
                <w:sz w:val="18"/>
                <w:szCs w:val="18"/>
              </w:rPr>
            </w:pPr>
            <w:r>
              <w:rPr>
                <w:rFonts w:ascii="宋体"/>
                <w:sz w:val="18"/>
              </w:rPr>
              <w:t>128,178,354.23</w:t>
            </w:r>
          </w:p>
        </w:tc>
      </w:tr>
      <w:tr>
        <w:trPr>
          <w:trHeight w:val="47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提坏账准备</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102,143,687.02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21.23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22,168,745.85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21.70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center"/>
              <w:rPr>
                <w:rFonts w:ascii="宋体" w:hAnsi="宋体" w:cs="宋体" w:eastAsia="宋体" w:hint="default"/>
                <w:sz w:val="18"/>
                <w:szCs w:val="18"/>
              </w:rPr>
            </w:pPr>
            <w:r>
              <w:rPr>
                <w:rFonts w:ascii="宋体"/>
                <w:sz w:val="18"/>
              </w:rPr>
              <w:t>79,974,941.17</w:t>
            </w:r>
          </w:p>
        </w:tc>
      </w:tr>
      <w:tr>
        <w:trPr>
          <w:trHeight w:val="47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164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481,050,504.22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272,897,208.82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56.73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8" w:right="0"/>
              <w:jc w:val="center"/>
              <w:rPr>
                <w:rFonts w:ascii="宋体" w:hAnsi="宋体" w:cs="宋体" w:eastAsia="宋体" w:hint="default"/>
                <w:sz w:val="18"/>
                <w:szCs w:val="18"/>
              </w:rPr>
            </w:pPr>
            <w:r>
              <w:rPr>
                <w:rFonts w:ascii="宋体"/>
                <w:sz w:val="18"/>
              </w:rPr>
              <w:t>208,153,295.40</w:t>
            </w:r>
          </w:p>
        </w:tc>
      </w:tr>
    </w:tbl>
    <w:p>
      <w:pPr>
        <w:spacing w:line="240" w:lineRule="auto" w:before="13"/>
        <w:rPr>
          <w:rFonts w:ascii="宋体" w:hAnsi="宋体" w:cs="宋体" w:eastAsia="宋体" w:hint="default"/>
          <w:sz w:val="12"/>
          <w:szCs w:val="12"/>
        </w:rPr>
      </w:pPr>
    </w:p>
    <w:p>
      <w:pPr>
        <w:pStyle w:val="BodyText"/>
        <w:spacing w:line="240" w:lineRule="auto" w:before="36"/>
        <w:ind w:left="637" w:right="0"/>
        <w:jc w:val="left"/>
      </w:pPr>
      <w:r>
        <w:rPr/>
        <w:t>②</w:t>
      </w:r>
      <w:r>
        <w:rPr>
          <w:spacing w:val="39"/>
        </w:rPr>
        <w:t> </w:t>
      </w:r>
      <w:r>
        <w:rPr/>
        <w:t>期末单项金额重大并单项计提坏账准备的其他应收款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504"/>
        <w:gridCol w:w="1981"/>
        <w:gridCol w:w="1527"/>
        <w:gridCol w:w="1724"/>
        <w:gridCol w:w="1555"/>
      </w:tblGrid>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应收李国安等债权</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232,344,043.45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232,344,043.45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体育馆营业部应收债权</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8,729,319.52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8,729,319.52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深圳优威派克科技有限公司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16,000,000.00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9,859,800.00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z w:val="18"/>
              </w:rPr>
              <w:t>61.62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首期补偿款违约</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应收债券到期清算款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14,091,540.00</w:t>
            </w:r>
          </w:p>
        </w:tc>
        <w:tc>
          <w:tcPr>
            <w:tcW w:w="1527"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清算款</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271,164,902.97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250,933,162.97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z w:val="18"/>
              </w:rPr>
              <w:t>92.54</w:t>
            </w:r>
          </w:p>
        </w:tc>
        <w:tc>
          <w:tcPr>
            <w:tcW w:w="15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40" w:lineRule="auto" w:before="36"/>
        <w:ind w:left="637" w:right="0"/>
        <w:jc w:val="left"/>
      </w:pPr>
      <w:r>
        <w:rPr/>
        <w:t>③</w:t>
      </w:r>
      <w:r>
        <w:rPr>
          <w:spacing w:val="39"/>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504"/>
        <w:gridCol w:w="1978"/>
        <w:gridCol w:w="1527"/>
        <w:gridCol w:w="1724"/>
        <w:gridCol w:w="1558"/>
      </w:tblGrid>
      <w:tr>
        <w:trPr>
          <w:trHeight w:val="295" w:hRule="exact"/>
        </w:trPr>
        <w:tc>
          <w:tcPr>
            <w:tcW w:w="25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95" w:hRule="exact"/>
        </w:trPr>
        <w:tc>
          <w:tcPr>
            <w:tcW w:w="2504" w:type="dxa"/>
            <w:vMerge/>
            <w:tcBorders>
              <w:left w:val="single" w:sz="4" w:space="0" w:color="000000"/>
              <w:right w:val="single" w:sz="4" w:space="0" w:color="000000"/>
            </w:tcBorders>
          </w:tcPr>
          <w:p>
            <w:pP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95" w:hRule="exact"/>
        </w:trPr>
        <w:tc>
          <w:tcPr>
            <w:tcW w:w="2504" w:type="dxa"/>
            <w:vMerge/>
            <w:tcBorders>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9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93"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70,824,077.14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67.52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3,541,203.86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5.00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8,786,645.22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8.38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1,757,329.04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6,581,305.15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6.27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1,974,391.55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4,530,220.52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4.32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1,812,088.21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14,166,237.04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13.51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14,166,237.04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100.00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104,888,485.07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23,251,249.70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22.17</w:t>
            </w:r>
          </w:p>
        </w:tc>
      </w:tr>
    </w:tbl>
    <w:p>
      <w:pPr>
        <w:pStyle w:val="BodyText"/>
        <w:spacing w:line="241" w:lineRule="exact"/>
        <w:ind w:left="217"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04"/>
        <w:gridCol w:w="3505"/>
        <w:gridCol w:w="3281"/>
      </w:tblGrid>
      <w:tr>
        <w:trPr>
          <w:trHeight w:val="296" w:hRule="exact"/>
        </w:trPr>
        <w:tc>
          <w:tcPr>
            <w:tcW w:w="2504" w:type="dxa"/>
            <w:vMerge w:val="restart"/>
            <w:tcBorders>
              <w:top w:val="single" w:sz="4" w:space="0" w:color="000000"/>
              <w:left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95" w:hRule="exact"/>
        </w:trPr>
        <w:tc>
          <w:tcPr>
            <w:tcW w:w="2504" w:type="dxa"/>
            <w:vMerge/>
            <w:tcBorders>
              <w:left w:val="single" w:sz="4" w:space="0" w:color="000000"/>
              <w:bottom w:val="single" w:sz="4" w:space="0" w:color="000000"/>
              <w:right w:val="single" w:sz="4" w:space="0" w:color="000000"/>
            </w:tcBorders>
          </w:tcPr>
          <w:p>
            <w:pP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6" w:lineRule="exact"/>
        <w:jc w:val="center"/>
        <w:rPr>
          <w:rFonts w:ascii="宋体" w:hAnsi="宋体" w:cs="宋体" w:eastAsia="宋体" w:hint="default"/>
          <w:sz w:val="21"/>
          <w:szCs w:val="21"/>
        </w:rPr>
        <w:sectPr>
          <w:pgSz w:w="11910" w:h="16840"/>
          <w:pgMar w:header="882" w:footer="1195" w:top="1120" w:bottom="1380" w:left="1060" w:right="13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504"/>
        <w:gridCol w:w="1978"/>
        <w:gridCol w:w="1527"/>
        <w:gridCol w:w="1724"/>
        <w:gridCol w:w="1558"/>
      </w:tblGrid>
      <w:tr>
        <w:trPr>
          <w:trHeight w:val="296" w:hRule="exact"/>
        </w:trPr>
        <w:tc>
          <w:tcPr>
            <w:tcW w:w="2504"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58,101,696.62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56.88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2,905,084.83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24,588,238.65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24.07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4,917,647.73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4,600,549.01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4.51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1,380,164.71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30.00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3,145,590.26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3.08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1,258,236.10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40.00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11,707,612.48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11.46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11,707,612.48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100.00</w:t>
            </w:r>
          </w:p>
        </w:tc>
      </w:tr>
      <w:tr>
        <w:trPr>
          <w:trHeight w:val="295"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102,143,687.02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22,168,745.85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21.70</w:t>
            </w:r>
          </w:p>
        </w:tc>
      </w:tr>
    </w:tbl>
    <w:p>
      <w:pPr>
        <w:spacing w:line="240" w:lineRule="auto" w:before="13"/>
        <w:rPr>
          <w:rFonts w:ascii="宋体" w:hAnsi="宋体" w:cs="宋体" w:eastAsia="宋体" w:hint="default"/>
          <w:sz w:val="12"/>
          <w:szCs w:val="12"/>
        </w:rPr>
      </w:pPr>
    </w:p>
    <w:p>
      <w:pPr>
        <w:pStyle w:val="BodyText"/>
        <w:spacing w:line="240" w:lineRule="auto" w:before="36"/>
        <w:ind w:left="217" w:right="0"/>
        <w:jc w:val="left"/>
      </w:pPr>
      <w:r>
        <w:rPr>
          <w:rFonts w:ascii="宋体" w:hAnsi="宋体" w:cs="宋体" w:eastAsia="宋体" w:hint="default"/>
        </w:rPr>
        <w:t>2)</w:t>
      </w:r>
      <w:r>
        <w:rPr/>
        <w:t>本期计提、收回或转回的坏账准备情况</w:t>
      </w:r>
    </w:p>
    <w:p>
      <w:pPr>
        <w:pStyle w:val="BodyText"/>
        <w:spacing w:line="240" w:lineRule="auto" w:before="133"/>
        <w:ind w:left="217" w:right="0"/>
        <w:jc w:val="left"/>
      </w:pPr>
      <w:r>
        <w:rPr/>
        <w:t>①本期计提坏账准备金额</w:t>
      </w:r>
      <w:r>
        <w:rPr>
          <w:spacing w:val="-56"/>
        </w:rPr>
        <w:t> </w:t>
      </w:r>
      <w:r>
        <w:rPr>
          <w:rFonts w:ascii="宋体" w:hAnsi="宋体" w:cs="宋体" w:eastAsia="宋体" w:hint="default"/>
        </w:rPr>
        <w:t>12,992,303.85</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9,655,100.00</w:t>
      </w:r>
      <w:r>
        <w:rPr>
          <w:rFonts w:ascii="宋体" w:hAnsi="宋体" w:cs="宋体" w:eastAsia="宋体" w:hint="default"/>
          <w:spacing w:val="-55"/>
        </w:rPr>
        <w:t> </w:t>
      </w:r>
      <w:r>
        <w:rPr/>
        <w:t>元。</w:t>
      </w:r>
    </w:p>
    <w:p>
      <w:pPr>
        <w:pStyle w:val="BodyText"/>
        <w:spacing w:line="240" w:lineRule="auto" w:before="133"/>
        <w:ind w:left="217" w:right="0"/>
        <w:jc w:val="left"/>
      </w:pPr>
      <w:r>
        <w:rPr/>
        <w:t>②本期重要的坏账准备收回或转回情况</w:t>
      </w:r>
    </w:p>
    <w:p>
      <w:pPr>
        <w:spacing w:line="240" w:lineRule="auto" w:before="11"/>
        <w:rPr>
          <w:rFonts w:ascii="宋体" w:hAnsi="宋体" w:cs="宋体" w:eastAsia="宋体" w:hint="default"/>
          <w:sz w:val="12"/>
          <w:szCs w:val="12"/>
        </w:rPr>
      </w:pPr>
    </w:p>
    <w:tbl>
      <w:tblPr>
        <w:tblW w:w="0" w:type="auto"/>
        <w:jc w:val="left"/>
        <w:tblInd w:w="197" w:type="dxa"/>
        <w:tblLayout w:type="fixed"/>
        <w:tblCellMar>
          <w:top w:w="0" w:type="dxa"/>
          <w:left w:w="0" w:type="dxa"/>
          <w:bottom w:w="0" w:type="dxa"/>
          <w:right w:w="0" w:type="dxa"/>
        </w:tblCellMar>
        <w:tblLook w:val="01E0"/>
      </w:tblPr>
      <w:tblGrid>
        <w:gridCol w:w="3541"/>
        <w:gridCol w:w="2799"/>
        <w:gridCol w:w="2161"/>
      </w:tblGrid>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款项名称</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应收李国安等债权</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9,655,100.00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银行转账</w:t>
            </w:r>
          </w:p>
        </w:tc>
      </w:tr>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9,655,100.00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left="217" w:right="0"/>
        <w:jc w:val="left"/>
      </w:pPr>
      <w:r>
        <w:rPr>
          <w:rFonts w:ascii="宋体" w:hAnsi="宋体" w:cs="宋体" w:eastAsia="宋体" w:hint="default"/>
        </w:rPr>
        <w:t>3)</w:t>
      </w:r>
      <w:r>
        <w:rPr/>
        <w:t>本期核销的其他应收款金额为</w:t>
      </w:r>
      <w:r>
        <w:rPr>
          <w:spacing w:val="-53"/>
        </w:rPr>
        <w:t> </w:t>
      </w:r>
      <w:r>
        <w:rPr>
          <w:rFonts w:ascii="宋体" w:hAnsi="宋体" w:cs="宋体" w:eastAsia="宋体" w:hint="default"/>
        </w:rPr>
        <w:t>10,000.00</w:t>
      </w:r>
      <w:r>
        <w:rPr>
          <w:rFonts w:ascii="宋体" w:hAnsi="宋体" w:cs="宋体" w:eastAsia="宋体" w:hint="default"/>
          <w:spacing w:val="-53"/>
        </w:rPr>
        <w:t> </w:t>
      </w:r>
      <w:r>
        <w:rPr>
          <w:spacing w:val="-3"/>
        </w:rPr>
        <w:t>元。</w:t>
      </w:r>
      <w:r>
        <w:rPr/>
      </w:r>
    </w:p>
    <w:p>
      <w:pPr>
        <w:pStyle w:val="BodyText"/>
        <w:spacing w:line="240" w:lineRule="auto" w:before="133"/>
        <w:ind w:left="217" w:right="0"/>
        <w:jc w:val="left"/>
      </w:pPr>
      <w:r>
        <w:rPr>
          <w:rFonts w:ascii="宋体" w:hAnsi="宋体" w:cs="宋体" w:eastAsia="宋体" w:hint="default"/>
        </w:rPr>
        <w:t>4)</w:t>
      </w:r>
      <w:r>
        <w:rPr/>
        <w:t>其他应收款款项性质分类情况</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870"/>
        <w:gridCol w:w="3058"/>
        <w:gridCol w:w="2362"/>
      </w:tblGrid>
      <w:tr>
        <w:trPr>
          <w:trHeight w:val="293"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95"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241,073,362.97</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250,728,462.97</w:t>
            </w:r>
          </w:p>
        </w:tc>
      </w:tr>
      <w:tr>
        <w:trPr>
          <w:trHeight w:val="295"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股权认购资金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16,000,000.00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16,000,000.00</w:t>
            </w:r>
          </w:p>
        </w:tc>
      </w:tr>
      <w:tr>
        <w:trPr>
          <w:trHeight w:val="295"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46,179,115.84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26,623,951.43</w:t>
            </w:r>
          </w:p>
        </w:tc>
      </w:tr>
      <w:tr>
        <w:trPr>
          <w:trHeight w:val="296"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52,708,489.34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27,125,102.85</w:t>
            </w:r>
          </w:p>
        </w:tc>
      </w:tr>
      <w:tr>
        <w:trPr>
          <w:trHeight w:val="295"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资管产品及债券到期清算款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14,091,540.00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128,178,354.23</w:t>
            </w:r>
          </w:p>
        </w:tc>
      </w:tr>
      <w:tr>
        <w:trPr>
          <w:trHeight w:val="295"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8,040,879.89</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32,394,632.74</w:t>
            </w:r>
          </w:p>
        </w:tc>
      </w:tr>
      <w:tr>
        <w:trPr>
          <w:trHeight w:val="295" w:hRule="exact"/>
        </w:trPr>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378,093,388.04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481,050,504.22</w:t>
            </w:r>
          </w:p>
        </w:tc>
      </w:tr>
    </w:tbl>
    <w:p>
      <w:pPr>
        <w:spacing w:line="240" w:lineRule="auto" w:before="13"/>
        <w:rPr>
          <w:rFonts w:ascii="宋体" w:hAnsi="宋体" w:cs="宋体" w:eastAsia="宋体" w:hint="default"/>
          <w:sz w:val="12"/>
          <w:szCs w:val="12"/>
        </w:rPr>
      </w:pPr>
    </w:p>
    <w:p>
      <w:pPr>
        <w:pStyle w:val="BodyText"/>
        <w:spacing w:line="240" w:lineRule="auto" w:before="36"/>
        <w:ind w:left="217" w:right="0"/>
        <w:jc w:val="left"/>
      </w:pPr>
      <w:r>
        <w:rPr>
          <w:rFonts w:ascii="宋体" w:hAnsi="宋体" w:cs="宋体" w:eastAsia="宋体" w:hint="default"/>
        </w:rPr>
        <w:t>5)</w:t>
      </w:r>
      <w:r>
        <w:rPr/>
        <w:t>其他应收款金额前</w:t>
      </w:r>
      <w:r>
        <w:rPr>
          <w:spacing w:val="-53"/>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040"/>
        <w:gridCol w:w="1599"/>
        <w:gridCol w:w="1517"/>
        <w:gridCol w:w="1380"/>
        <w:gridCol w:w="1237"/>
        <w:gridCol w:w="1517"/>
      </w:tblGrid>
      <w:tr>
        <w:trPr>
          <w:trHeight w:val="71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2" w:lineRule="exact" w:before="24"/>
              <w:ind w:left="386" w:right="161" w:hanging="224"/>
              <w:jc w:val="left"/>
              <w:rPr>
                <w:rFonts w:ascii="宋体" w:hAnsi="宋体" w:cs="宋体" w:eastAsia="宋体" w:hint="default"/>
                <w:sz w:val="18"/>
                <w:szCs w:val="18"/>
              </w:rPr>
            </w:pPr>
            <w:r>
              <w:rPr>
                <w:rFonts w:ascii="宋体" w:hAnsi="宋体" w:cs="宋体" w:eastAsia="宋体" w:hint="default"/>
                <w:sz w:val="18"/>
                <w:szCs w:val="18"/>
              </w:rPr>
              <w:t>款余额的比 例</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李国安等</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债务重组应收款</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232,344,043.45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61.45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232,344,043.45</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上海陆家嘴金融贸易区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开发股份有限公司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押金及预付房租</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34,779,548.17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9.2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1,738,977.41</w:t>
            </w:r>
          </w:p>
        </w:tc>
      </w:tr>
      <w:tr>
        <w:trPr>
          <w:trHeight w:val="47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深圳优威派克科技有限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股权认购基金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16,000,000.00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4.23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9,859,800.00</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体育馆营业部历史遗留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问题</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债务重组应收款</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8,729,319.52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2.31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8,729,319.52</w:t>
            </w:r>
          </w:p>
        </w:tc>
      </w:tr>
      <w:tr>
        <w:trPr>
          <w:trHeight w:val="295"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中国证券登记结算公司</w:t>
            </w:r>
          </w:p>
        </w:tc>
        <w:tc>
          <w:tcPr>
            <w:tcW w:w="1599" w:type="dxa"/>
            <w:vMerge w:val="restart"/>
            <w:tcBorders>
              <w:top w:val="single" w:sz="4" w:space="0" w:color="000000"/>
              <w:left w:val="single" w:sz="4" w:space="0" w:color="000000"/>
              <w:right w:val="single" w:sz="4" w:space="0" w:color="000000"/>
            </w:tcBorders>
          </w:tcPr>
          <w:p>
            <w:pPr>
              <w:pStyle w:val="TableParagraph"/>
              <w:spacing w:line="232" w:lineRule="exact" w:before="52"/>
              <w:ind w:left="615" w:right="164" w:hanging="452"/>
              <w:jc w:val="left"/>
              <w:rPr>
                <w:rFonts w:ascii="宋体" w:hAnsi="宋体" w:cs="宋体" w:eastAsia="宋体" w:hint="default"/>
                <w:sz w:val="18"/>
                <w:szCs w:val="18"/>
              </w:rPr>
            </w:pPr>
            <w:r>
              <w:rPr>
                <w:rFonts w:ascii="宋体" w:hAnsi="宋体" w:cs="宋体" w:eastAsia="宋体" w:hint="default"/>
                <w:sz w:val="18"/>
                <w:szCs w:val="18"/>
              </w:rPr>
              <w:t>产品备付金与保 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600,000.00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0.16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120,000.00</w:t>
            </w:r>
          </w:p>
        </w:tc>
      </w:tr>
      <w:tr>
        <w:trPr>
          <w:trHeight w:val="295" w:hRule="exact"/>
        </w:trPr>
        <w:tc>
          <w:tcPr>
            <w:tcW w:w="2040"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6,900,000.00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1.82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6,900,000.00</w:t>
            </w:r>
          </w:p>
        </w:tc>
      </w:tr>
      <w:tr>
        <w:trPr>
          <w:trHeight w:val="29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299,352,911.14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79.17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259,692,140.38</w:t>
            </w:r>
          </w:p>
        </w:tc>
      </w:tr>
    </w:tbl>
    <w:p>
      <w:pPr>
        <w:pStyle w:val="BodyText"/>
        <w:spacing w:line="241" w:lineRule="exact"/>
        <w:ind w:left="217" w:right="0"/>
        <w:jc w:val="left"/>
      </w:pPr>
      <w:r>
        <w:rPr>
          <w:rFonts w:ascii="宋体" w:hAnsi="宋体" w:cs="宋体" w:eastAsia="宋体" w:hint="default"/>
        </w:rPr>
        <w:t>(2)</w:t>
      </w:r>
      <w:r>
        <w:rPr>
          <w:rFonts w:ascii="宋体" w:hAnsi="宋体" w:cs="宋体" w:eastAsia="宋体" w:hint="default"/>
          <w:spacing w:val="1"/>
        </w:rPr>
        <w:t> </w:t>
      </w:r>
      <w:r>
        <w:rPr/>
        <w:t>应收股利</w:t>
      </w:r>
    </w:p>
    <w:p>
      <w:pPr>
        <w:spacing w:line="240" w:lineRule="auto" w:before="4"/>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277"/>
        <w:gridCol w:w="1419"/>
        <w:gridCol w:w="1416"/>
        <w:gridCol w:w="1419"/>
        <w:gridCol w:w="1416"/>
        <w:gridCol w:w="994"/>
        <w:gridCol w:w="991"/>
      </w:tblGrid>
      <w:tr>
        <w:trPr>
          <w:trHeight w:val="4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0" w:right="0"/>
              <w:jc w:val="left"/>
              <w:rPr>
                <w:rFonts w:ascii="宋体" w:hAnsi="宋体" w:cs="宋体" w:eastAsia="宋体" w:hint="default"/>
                <w:sz w:val="18"/>
                <w:szCs w:val="18"/>
              </w:rPr>
            </w:pPr>
            <w:r>
              <w:rPr>
                <w:rFonts w:ascii="宋体" w:hAnsi="宋体" w:cs="宋体" w:eastAsia="宋体" w:hint="default"/>
                <w:sz w:val="18"/>
                <w:szCs w:val="18"/>
              </w:rPr>
              <w:t>未收回</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的原因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相关款项是</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否发生减值</w:t>
            </w:r>
          </w:p>
        </w:tc>
      </w:tr>
      <w:tr>
        <w:trPr>
          <w:trHeight w:val="36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68,470,539.28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spacing w:val="-1"/>
                <w:sz w:val="18"/>
              </w:rPr>
              <w:t>60,551,375.00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8"/>
              <w:jc w:val="right"/>
              <w:rPr>
                <w:rFonts w:ascii="宋体" w:hAnsi="宋体" w:cs="宋体" w:eastAsia="宋体" w:hint="default"/>
                <w:sz w:val="18"/>
                <w:szCs w:val="18"/>
              </w:rPr>
            </w:pPr>
            <w:r>
              <w:rPr>
                <w:rFonts w:ascii="宋体"/>
                <w:spacing w:val="-1"/>
                <w:sz w:val="18"/>
              </w:rPr>
              <w:t>68,470,539.28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spacing w:val="-1"/>
                <w:sz w:val="18"/>
              </w:rPr>
              <w:t>60,551,375.00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9"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68,470,539.28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spacing w:val="-1"/>
                <w:sz w:val="18"/>
              </w:rPr>
              <w:t>60,551,375.00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8"/>
              <w:jc w:val="right"/>
              <w:rPr>
                <w:rFonts w:ascii="宋体" w:hAnsi="宋体" w:cs="宋体" w:eastAsia="宋体" w:hint="default"/>
                <w:sz w:val="18"/>
                <w:szCs w:val="18"/>
              </w:rPr>
            </w:pPr>
            <w:r>
              <w:rPr>
                <w:rFonts w:ascii="宋体"/>
                <w:spacing w:val="-1"/>
                <w:sz w:val="18"/>
              </w:rPr>
              <w:t>68,470,539.28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spacing w:val="-1"/>
                <w:sz w:val="18"/>
              </w:rPr>
              <w:t>60,551,375.00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320"/>
        </w:sectPr>
      </w:pPr>
    </w:p>
    <w:p>
      <w:pPr>
        <w:spacing w:line="240" w:lineRule="auto" w:before="9"/>
        <w:rPr>
          <w:rFonts w:ascii="宋体" w:hAnsi="宋体" w:cs="宋体" w:eastAsia="宋体" w:hint="default"/>
          <w:sz w:val="18"/>
          <w:szCs w:val="18"/>
        </w:rPr>
      </w:pPr>
    </w:p>
    <w:p>
      <w:pPr>
        <w:pStyle w:val="BodyText"/>
        <w:spacing w:line="240" w:lineRule="auto" w:before="36"/>
        <w:ind w:left="537" w:right="3711"/>
        <w:jc w:val="left"/>
      </w:pPr>
      <w:r>
        <w:rPr>
          <w:rFonts w:ascii="宋体" w:hAnsi="宋体" w:cs="宋体" w:eastAsia="宋体" w:hint="default"/>
        </w:rPr>
        <w:t>(3)</w:t>
      </w:r>
      <w:r>
        <w:rPr/>
        <w:t>长期待摊费用</w:t>
      </w: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108"/>
        <w:gridCol w:w="1661"/>
        <w:gridCol w:w="1387"/>
        <w:gridCol w:w="1445"/>
        <w:gridCol w:w="1304"/>
        <w:gridCol w:w="1385"/>
      </w:tblGrid>
      <w:tr>
        <w:trPr>
          <w:trHeight w:val="478"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外币报表折算</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差额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95"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46,653,850.25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18,571,206.31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18,523,250.64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46,431.52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46,748,237.44</w:t>
            </w:r>
          </w:p>
        </w:tc>
      </w:tr>
      <w:tr>
        <w:trPr>
          <w:trHeight w:val="295"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7,815,706.29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1" w:right="0"/>
              <w:jc w:val="center"/>
              <w:rPr>
                <w:rFonts w:ascii="宋体" w:hAnsi="宋体" w:cs="宋体" w:eastAsia="宋体" w:hint="default"/>
                <w:sz w:val="18"/>
                <w:szCs w:val="18"/>
              </w:rPr>
            </w:pPr>
            <w:r>
              <w:rPr>
                <w:rFonts w:ascii="宋体"/>
                <w:sz w:val="18"/>
              </w:rPr>
              <w:t>1,079,759.79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3,058,760.64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9,463.81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5,846,169.25</w:t>
            </w:r>
          </w:p>
        </w:tc>
      </w:tr>
      <w:tr>
        <w:trPr>
          <w:trHeight w:val="295"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54,469,556.54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19,650,966.10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21,582,011.28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55,895.33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52,594,406.69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740" w:right="920"/>
        </w:sectPr>
      </w:pPr>
    </w:p>
    <w:p>
      <w:pPr>
        <w:pStyle w:val="Heading5"/>
        <w:spacing w:line="240" w:lineRule="auto" w:before="36"/>
        <w:ind w:left="537" w:right="-18"/>
        <w:jc w:val="left"/>
        <w:rPr>
          <w:b w:val="0"/>
          <w:bCs w:val="0"/>
        </w:rPr>
      </w:pPr>
      <w:r>
        <w:rPr>
          <w:rFonts w:ascii="宋体" w:hAnsi="宋体" w:cs="宋体" w:eastAsia="宋体" w:hint="default"/>
        </w:rPr>
        <w:t>23</w:t>
      </w:r>
      <w:r>
        <w:rPr/>
        <w:t>、</w:t>
      </w:r>
      <w:r>
        <w:rPr>
          <w:spacing w:val="-23"/>
        </w:rPr>
        <w:t> </w:t>
      </w:r>
      <w:r>
        <w:rPr/>
        <w:t>资产减值准备变动表</w:t>
      </w:r>
      <w:r>
        <w:rPr>
          <w:b w:val="0"/>
          <w:bCs w:val="0"/>
        </w:rPr>
      </w:r>
    </w:p>
    <w:p>
      <w:pPr>
        <w:pStyle w:val="BodyText"/>
        <w:spacing w:line="240" w:lineRule="auto" w:before="56"/>
        <w:ind w:left="5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37" w:right="0"/>
        <w:jc w:val="left"/>
      </w:pPr>
      <w:r>
        <w:rPr/>
        <w:t>单位：元币种：人民币</w:t>
      </w:r>
    </w:p>
    <w:p>
      <w:pPr>
        <w:spacing w:after="0" w:line="240" w:lineRule="auto"/>
        <w:jc w:val="left"/>
        <w:sectPr>
          <w:type w:val="continuous"/>
          <w:pgSz w:w="11910" w:h="16840"/>
          <w:pgMar w:top="1060" w:bottom="1380" w:left="740" w:right="920"/>
          <w:cols w:num="2" w:equalWidth="0">
            <w:col w:w="2943" w:space="4030"/>
            <w:col w:w="3277"/>
          </w:cols>
        </w:sectPr>
      </w:pPr>
    </w:p>
    <w:p>
      <w:pPr>
        <w:spacing w:line="240" w:lineRule="auto" w:before="4"/>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2765"/>
        <w:gridCol w:w="1457"/>
        <w:gridCol w:w="1313"/>
        <w:gridCol w:w="1164"/>
        <w:gridCol w:w="1309"/>
        <w:gridCol w:w="1452"/>
      </w:tblGrid>
      <w:tr>
        <w:trPr>
          <w:trHeight w:val="296" w:hRule="exact"/>
        </w:trPr>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11"/>
              <w:ind w:left="283"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11"/>
              <w:ind w:left="208"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2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89"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11"/>
              <w:ind w:left="280"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295" w:hRule="exact"/>
        </w:trPr>
        <w:tc>
          <w:tcPr>
            <w:tcW w:w="2765"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转回</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29" w:right="0"/>
              <w:jc w:val="left"/>
              <w:rPr>
                <w:rFonts w:ascii="宋体" w:hAnsi="宋体" w:cs="宋体" w:eastAsia="宋体" w:hint="default"/>
                <w:sz w:val="22"/>
                <w:szCs w:val="22"/>
              </w:rPr>
            </w:pPr>
            <w:r>
              <w:rPr>
                <w:rFonts w:ascii="宋体" w:hAnsi="宋体" w:cs="宋体" w:eastAsia="宋体" w:hint="default"/>
                <w:sz w:val="22"/>
                <w:szCs w:val="22"/>
              </w:rPr>
              <w:t>转销</w:t>
            </w: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买入返售金融资产减值准备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40,035,125.11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center"/>
              <w:rPr>
                <w:rFonts w:ascii="宋体" w:hAnsi="宋体" w:cs="宋体" w:eastAsia="宋体" w:hint="default"/>
                <w:sz w:val="15"/>
                <w:szCs w:val="15"/>
              </w:rPr>
            </w:pPr>
            <w:r>
              <w:rPr>
                <w:rFonts w:ascii="宋体"/>
                <w:sz w:val="15"/>
              </w:rPr>
              <w:t>62,433,804.47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102,468,929.58</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282,495,871.79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center"/>
              <w:rPr>
                <w:rFonts w:ascii="宋体" w:hAnsi="宋体" w:cs="宋体" w:eastAsia="宋体" w:hint="default"/>
                <w:sz w:val="15"/>
                <w:szCs w:val="15"/>
              </w:rPr>
            </w:pPr>
            <w:r>
              <w:rPr>
                <w:rFonts w:ascii="宋体"/>
                <w:sz w:val="15"/>
              </w:rPr>
              <w:t>18,993,894.85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9,655,100.00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291,824,666.64</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融出资金减值准备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66,366,879.08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1" w:right="0"/>
              <w:jc w:val="center"/>
              <w:rPr>
                <w:rFonts w:ascii="宋体" w:hAnsi="宋体" w:cs="宋体" w:eastAsia="宋体" w:hint="default"/>
                <w:sz w:val="15"/>
                <w:szCs w:val="15"/>
              </w:rPr>
            </w:pPr>
            <w:r>
              <w:rPr>
                <w:rFonts w:ascii="宋体"/>
                <w:sz w:val="15"/>
              </w:rPr>
              <w:t>-11,110,002.58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55,256,876.50</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可供出售金融资产减值准备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51,838,833.44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 w:right="0"/>
              <w:jc w:val="center"/>
              <w:rPr>
                <w:rFonts w:ascii="宋体" w:hAnsi="宋体" w:cs="宋体" w:eastAsia="宋体" w:hint="default"/>
                <w:sz w:val="15"/>
                <w:szCs w:val="15"/>
              </w:rPr>
            </w:pPr>
            <w:r>
              <w:rPr>
                <w:rFonts w:ascii="宋体"/>
                <w:sz w:val="15"/>
              </w:rPr>
              <w:t>149,843,267.61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2,982,894.39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198,699,206.66</w:t>
            </w:r>
          </w:p>
        </w:tc>
      </w:tr>
      <w:tr>
        <w:trPr>
          <w:trHeight w:val="2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440,736,709.42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 w:right="0"/>
              <w:jc w:val="center"/>
              <w:rPr>
                <w:rFonts w:ascii="宋体" w:hAnsi="宋体" w:cs="宋体" w:eastAsia="宋体" w:hint="default"/>
                <w:sz w:val="15"/>
                <w:szCs w:val="15"/>
              </w:rPr>
            </w:pPr>
            <w:r>
              <w:rPr>
                <w:rFonts w:ascii="宋体"/>
                <w:sz w:val="15"/>
              </w:rPr>
              <w:t>220,160,964.35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9,655,100.00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2,992,894.39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648,249,679.38</w:t>
            </w:r>
          </w:p>
        </w:tc>
      </w:tr>
    </w:tbl>
    <w:p>
      <w:pPr>
        <w:spacing w:line="240" w:lineRule="auto" w:before="7"/>
        <w:rPr>
          <w:rFonts w:ascii="宋体" w:hAnsi="宋体" w:cs="宋体" w:eastAsia="宋体" w:hint="default"/>
          <w:sz w:val="15"/>
          <w:szCs w:val="15"/>
        </w:rPr>
      </w:pPr>
    </w:p>
    <w:p>
      <w:pPr>
        <w:pStyle w:val="BodyText"/>
        <w:spacing w:line="355" w:lineRule="auto" w:before="36"/>
        <w:ind w:left="537" w:right="3711"/>
        <w:jc w:val="left"/>
      </w:pPr>
      <w:r>
        <w:rPr/>
        <w:t>资产减值准备的说明</w:t>
      </w:r>
      <w:r>
        <w:rPr>
          <w:w w:val="100"/>
        </w:rPr>
        <w:t> </w:t>
      </w:r>
      <w:r>
        <w:rPr/>
        <w:t>融出资金减值准备本期计提含外币报表折算差额</w:t>
      </w:r>
      <w:r>
        <w:rPr>
          <w:spacing w:val="-55"/>
        </w:rPr>
        <w:t> </w:t>
      </w:r>
      <w:r>
        <w:rPr>
          <w:rFonts w:ascii="宋体" w:hAnsi="宋体" w:cs="宋体" w:eastAsia="宋体" w:hint="default"/>
        </w:rPr>
        <w:t>614,880.05</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740" w:right="920"/>
        </w:sectPr>
      </w:pPr>
    </w:p>
    <w:p>
      <w:pPr>
        <w:spacing w:line="240" w:lineRule="auto" w:before="10"/>
        <w:rPr>
          <w:rFonts w:ascii="宋体" w:hAnsi="宋体" w:cs="宋体" w:eastAsia="宋体" w:hint="default"/>
          <w:sz w:val="14"/>
          <w:szCs w:val="14"/>
        </w:rPr>
      </w:pPr>
    </w:p>
    <w:p>
      <w:pPr>
        <w:pStyle w:val="Heading5"/>
        <w:spacing w:line="240" w:lineRule="auto"/>
        <w:ind w:left="537" w:right="-18"/>
        <w:jc w:val="left"/>
        <w:rPr>
          <w:b w:val="0"/>
          <w:bCs w:val="0"/>
        </w:rPr>
      </w:pPr>
      <w:r>
        <w:rPr>
          <w:rFonts w:ascii="宋体" w:hAnsi="宋体" w:cs="宋体" w:eastAsia="宋体" w:hint="default"/>
        </w:rPr>
        <w:t>24</w:t>
      </w:r>
      <w:r>
        <w:rPr/>
        <w:t>、</w:t>
      </w:r>
      <w:r>
        <w:rPr>
          <w:spacing w:val="-24"/>
        </w:rPr>
        <w:t> </w:t>
      </w:r>
      <w:r>
        <w:rPr/>
        <w:t>短期借款</w:t>
      </w:r>
      <w:r>
        <w:rPr>
          <w:b w:val="0"/>
          <w:bCs w:val="0"/>
        </w:rPr>
      </w:r>
    </w:p>
    <w:p>
      <w:pPr>
        <w:pStyle w:val="Heading5"/>
        <w:tabs>
          <w:tab w:pos="1168" w:val="left" w:leader="none"/>
        </w:tabs>
        <w:spacing w:line="240" w:lineRule="auto" w:before="56"/>
        <w:ind w:left="537"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left="5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537" w:right="0"/>
        <w:jc w:val="left"/>
      </w:pPr>
      <w:r>
        <w:rPr/>
        <w:t>单位：元币种：人民币</w:t>
      </w:r>
    </w:p>
    <w:p>
      <w:pPr>
        <w:spacing w:after="0" w:line="240" w:lineRule="auto"/>
        <w:jc w:val="left"/>
        <w:sectPr>
          <w:type w:val="continuous"/>
          <w:pgSz w:w="11910" w:h="16840"/>
          <w:pgMar w:top="1060" w:bottom="1380" w:left="740" w:right="920"/>
          <w:cols w:num="2" w:equalWidth="0">
            <w:col w:w="2436" w:space="4537"/>
            <w:col w:w="3277"/>
          </w:cols>
        </w:sectPr>
      </w:pPr>
    </w:p>
    <w:p>
      <w:pPr>
        <w:spacing w:line="240" w:lineRule="auto" w:before="4"/>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2951"/>
        <w:gridCol w:w="3082"/>
        <w:gridCol w:w="3104"/>
      </w:tblGrid>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6"/>
              <w:jc w:val="righ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682,997,900.00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543,335,000.00</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682,997,900.00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543,335,000.00</w:t>
            </w:r>
          </w:p>
        </w:tc>
      </w:tr>
    </w:tbl>
    <w:p>
      <w:pPr>
        <w:pStyle w:val="BodyText"/>
        <w:spacing w:line="239" w:lineRule="exact"/>
        <w:ind w:left="537" w:right="3711"/>
        <w:jc w:val="left"/>
      </w:pPr>
      <w:r>
        <w:rPr/>
        <w:t>短期借款分类的说明：</w:t>
      </w:r>
    </w:p>
    <w:p>
      <w:pPr>
        <w:pStyle w:val="BodyText"/>
        <w:spacing w:line="273" w:lineRule="exact"/>
        <w:ind w:left="537" w:right="3711"/>
        <w:jc w:val="left"/>
      </w:pPr>
      <w:r>
        <w:rPr>
          <w:w w:val="100"/>
        </w:rPr>
        <w:t>无</w:t>
      </w:r>
    </w:p>
    <w:p>
      <w:pPr>
        <w:spacing w:line="240" w:lineRule="auto" w:before="3"/>
        <w:rPr>
          <w:rFonts w:ascii="宋体" w:hAnsi="宋体" w:cs="宋体" w:eastAsia="宋体" w:hint="default"/>
          <w:sz w:val="28"/>
          <w:szCs w:val="28"/>
        </w:rPr>
      </w:pPr>
    </w:p>
    <w:p>
      <w:pPr>
        <w:pStyle w:val="Heading5"/>
        <w:tabs>
          <w:tab w:pos="1168" w:val="left" w:leader="none"/>
        </w:tabs>
        <w:spacing w:line="240" w:lineRule="auto"/>
        <w:ind w:left="537" w:right="3711"/>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72" w:lineRule="exact" w:before="86"/>
        <w:ind w:left="537" w:right="8114"/>
        <w:jc w:val="left"/>
      </w:pPr>
      <w:r>
        <w:rPr/>
        <w:t>□适用 √不适用</w:t>
      </w:r>
      <w:r>
        <w:rPr>
          <w:w w:val="100"/>
        </w:rPr>
        <w:t> </w:t>
      </w:r>
      <w:r>
        <w:rPr/>
        <w:t>其他说明</w:t>
      </w:r>
    </w:p>
    <w:p>
      <w:pPr>
        <w:pStyle w:val="BodyText"/>
        <w:spacing w:line="249" w:lineRule="exact"/>
        <w:ind w:left="537" w:right="3711"/>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537" w:right="3711"/>
        <w:jc w:val="left"/>
        <w:rPr>
          <w:b w:val="0"/>
          <w:bCs w:val="0"/>
        </w:rPr>
      </w:pPr>
      <w:r>
        <w:rPr>
          <w:rFonts w:ascii="宋体" w:hAnsi="宋体" w:cs="宋体" w:eastAsia="宋体" w:hint="default"/>
        </w:rPr>
        <w:t>25</w:t>
      </w:r>
      <w:r>
        <w:rPr/>
        <w:t>、</w:t>
      </w:r>
      <w:r>
        <w:rPr>
          <w:spacing w:val="-23"/>
        </w:rPr>
        <w:t> </w:t>
      </w:r>
      <w:r>
        <w:rPr/>
        <w:t>应付短期融资款</w:t>
      </w:r>
      <w:r>
        <w:rPr>
          <w:b w:val="0"/>
          <w:bCs w:val="0"/>
        </w:rPr>
      </w:r>
    </w:p>
    <w:p>
      <w:pPr>
        <w:pStyle w:val="BodyText"/>
        <w:spacing w:line="240" w:lineRule="auto" w:before="56"/>
        <w:ind w:left="537" w:right="3711"/>
        <w:jc w:val="left"/>
      </w:pPr>
      <w:r>
        <w:rPr/>
        <w:t>√适用□不适用</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23"/>
        <w:gridCol w:w="727"/>
        <w:gridCol w:w="1128"/>
        <w:gridCol w:w="728"/>
        <w:gridCol w:w="871"/>
        <w:gridCol w:w="727"/>
        <w:gridCol w:w="1167"/>
        <w:gridCol w:w="1198"/>
        <w:gridCol w:w="1311"/>
        <w:gridCol w:w="1128"/>
      </w:tblGrid>
      <w:tr>
        <w:trPr>
          <w:trHeight w:val="82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面值</w:t>
            </w:r>
          </w:p>
          <w:p>
            <w:pPr>
              <w:pStyle w:val="TableParagraph"/>
              <w:spacing w:line="272" w:lineRule="exact"/>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亿</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9" w:right="144"/>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113" w:hanging="209"/>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8" w:right="144"/>
              <w:jc w:val="left"/>
              <w:rPr>
                <w:rFonts w:ascii="宋体" w:hAnsi="宋体" w:cs="宋体" w:eastAsia="宋体" w:hint="default"/>
                <w:sz w:val="21"/>
                <w:szCs w:val="21"/>
              </w:rPr>
            </w:pPr>
            <w:r>
              <w:rPr>
                <w:rFonts w:ascii="宋体" w:hAnsi="宋体" w:cs="宋体" w:eastAsia="宋体" w:hint="default"/>
                <w:sz w:val="21"/>
                <w:szCs w:val="21"/>
              </w:rPr>
              <w:t>票面</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9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48"/>
                <w:sz w:val="15"/>
                <w:szCs w:val="15"/>
              </w:rPr>
              <w:t> </w:t>
            </w:r>
            <w:r>
              <w:rPr>
                <w:rFonts w:ascii="宋体" w:hAnsi="宋体" w:cs="宋体" w:eastAsia="宋体" w:hint="default"/>
                <w:sz w:val="15"/>
                <w:szCs w:val="15"/>
              </w:rPr>
              <w:t>财通</w:t>
            </w:r>
            <w:r>
              <w:rPr>
                <w:rFonts w:ascii="宋体" w:hAnsi="宋体" w:cs="宋体" w:eastAsia="宋体" w:hint="default"/>
                <w:spacing w:val="-50"/>
                <w:sz w:val="15"/>
                <w:szCs w:val="15"/>
              </w:rPr>
              <w:t> </w:t>
            </w:r>
            <w:r>
              <w:rPr>
                <w:rFonts w:ascii="宋体" w:hAnsi="宋体" w:cs="宋体" w:eastAsia="宋体" w:hint="default"/>
                <w:sz w:val="15"/>
                <w:szCs w:val="15"/>
              </w:rPr>
              <w:t>CP01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05"/>
              <w:jc w:val="right"/>
              <w:rPr>
                <w:rFonts w:ascii="宋体" w:hAnsi="宋体" w:cs="宋体" w:eastAsia="宋体" w:hint="default"/>
                <w:sz w:val="11"/>
                <w:szCs w:val="11"/>
              </w:rPr>
            </w:pPr>
            <w:r>
              <w:rPr>
                <w:rFonts w:ascii="宋体"/>
                <w:sz w:val="11"/>
              </w:rPr>
              <w:t>25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0"/>
              <w:jc w:val="center"/>
              <w:rPr>
                <w:rFonts w:ascii="宋体" w:hAnsi="宋体" w:cs="宋体" w:eastAsia="宋体" w:hint="default"/>
                <w:sz w:val="11"/>
                <w:szCs w:val="11"/>
              </w:rPr>
            </w:pPr>
            <w:r>
              <w:rPr>
                <w:rFonts w:ascii="宋体" w:hAnsi="宋体" w:cs="宋体" w:eastAsia="宋体" w:hint="default"/>
                <w:sz w:val="11"/>
                <w:szCs w:val="11"/>
              </w:rPr>
              <w:t>2018</w:t>
            </w:r>
            <w:r>
              <w:rPr>
                <w:rFonts w:ascii="宋体" w:hAnsi="宋体" w:cs="宋体" w:eastAsia="宋体" w:hint="default"/>
                <w:spacing w:val="-29"/>
                <w:sz w:val="11"/>
                <w:szCs w:val="11"/>
              </w:rPr>
              <w:t> </w:t>
            </w:r>
            <w:r>
              <w:rPr>
                <w:rFonts w:ascii="宋体" w:hAnsi="宋体" w:cs="宋体" w:eastAsia="宋体" w:hint="default"/>
                <w:sz w:val="11"/>
                <w:szCs w:val="11"/>
              </w:rPr>
              <w:t>年</w:t>
            </w:r>
            <w:r>
              <w:rPr>
                <w:rFonts w:ascii="宋体" w:hAnsi="宋体" w:cs="宋体" w:eastAsia="宋体" w:hint="default"/>
                <w:spacing w:val="-29"/>
                <w:sz w:val="11"/>
                <w:szCs w:val="11"/>
              </w:rPr>
              <w:t> </w:t>
            </w:r>
            <w:r>
              <w:rPr>
                <w:rFonts w:ascii="宋体" w:hAnsi="宋体" w:cs="宋体" w:eastAsia="宋体" w:hint="default"/>
                <w:sz w:val="11"/>
                <w:szCs w:val="11"/>
              </w:rPr>
              <w:t>7</w:t>
            </w:r>
            <w:r>
              <w:rPr>
                <w:rFonts w:ascii="宋体" w:hAnsi="宋体" w:cs="宋体" w:eastAsia="宋体" w:hint="default"/>
                <w:spacing w:val="-29"/>
                <w:sz w:val="11"/>
                <w:szCs w:val="11"/>
              </w:rPr>
              <w:t> </w:t>
            </w: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宋体" w:hAnsi="宋体" w:cs="宋体" w:eastAsia="宋体" w:hint="default"/>
                <w:sz w:val="11"/>
                <w:szCs w:val="11"/>
              </w:rPr>
              <w:t>11</w:t>
            </w:r>
            <w:r>
              <w:rPr>
                <w:rFonts w:ascii="宋体" w:hAnsi="宋体" w:cs="宋体" w:eastAsia="宋体" w:hint="default"/>
                <w:spacing w:val="-29"/>
                <w:sz w:val="11"/>
                <w:szCs w:val="11"/>
              </w:rPr>
              <w:t> </w:t>
            </w:r>
            <w:r>
              <w:rPr>
                <w:rFonts w:ascii="宋体" w:hAnsi="宋体" w:cs="宋体" w:eastAsia="宋体" w:hint="default"/>
                <w:sz w:val="11"/>
                <w:szCs w:val="11"/>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1"/>
                <w:szCs w:val="11"/>
              </w:rPr>
            </w:pPr>
            <w:r>
              <w:rPr>
                <w:rFonts w:ascii="宋体" w:hAnsi="宋体" w:cs="宋体" w:eastAsia="宋体" w:hint="default"/>
                <w:sz w:val="11"/>
                <w:szCs w:val="11"/>
              </w:rPr>
              <w:t>91</w:t>
            </w:r>
            <w:r>
              <w:rPr>
                <w:rFonts w:ascii="宋体" w:hAnsi="宋体" w:cs="宋体" w:eastAsia="宋体" w:hint="default"/>
                <w:spacing w:val="-29"/>
                <w:sz w:val="11"/>
                <w:szCs w:val="11"/>
              </w:rPr>
              <w:t> </w:t>
            </w:r>
            <w:r>
              <w:rPr>
                <w:rFonts w:ascii="宋体" w:hAnsi="宋体" w:cs="宋体" w:eastAsia="宋体" w:hint="default"/>
                <w:sz w:val="11"/>
                <w:szCs w:val="11"/>
              </w:rPr>
              <w:t>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left="100" w:right="0"/>
              <w:jc w:val="left"/>
              <w:rPr>
                <w:rFonts w:ascii="宋体" w:hAnsi="宋体" w:cs="宋体" w:eastAsia="宋体" w:hint="default"/>
                <w:sz w:val="11"/>
                <w:szCs w:val="11"/>
              </w:rPr>
            </w:pPr>
            <w:r>
              <w:rPr>
                <w:rFonts w:ascii="宋体" w:hAnsi="宋体" w:cs="宋体" w:eastAsia="宋体" w:hint="default"/>
                <w:sz w:val="11"/>
                <w:szCs w:val="11"/>
              </w:rPr>
              <w:t>2018</w:t>
            </w:r>
            <w:r>
              <w:rPr>
                <w:rFonts w:ascii="宋体" w:hAnsi="宋体" w:cs="宋体" w:eastAsia="宋体" w:hint="default"/>
                <w:spacing w:val="-29"/>
                <w:sz w:val="11"/>
                <w:szCs w:val="11"/>
              </w:rPr>
              <w:t> </w:t>
            </w:r>
            <w:r>
              <w:rPr>
                <w:rFonts w:ascii="宋体" w:hAnsi="宋体" w:cs="宋体" w:eastAsia="宋体" w:hint="default"/>
                <w:sz w:val="11"/>
                <w:szCs w:val="11"/>
              </w:rPr>
              <w:t>年</w:t>
            </w:r>
            <w:r>
              <w:rPr>
                <w:rFonts w:ascii="宋体" w:hAnsi="宋体" w:cs="宋体" w:eastAsia="宋体" w:hint="default"/>
                <w:spacing w:val="-29"/>
                <w:sz w:val="11"/>
                <w:szCs w:val="11"/>
              </w:rPr>
              <w:t> </w:t>
            </w:r>
            <w:r>
              <w:rPr>
                <w:rFonts w:ascii="宋体" w:hAnsi="宋体" w:cs="宋体" w:eastAsia="宋体" w:hint="default"/>
                <w:sz w:val="11"/>
                <w:szCs w:val="11"/>
              </w:rPr>
              <w:t>10</w:t>
            </w:r>
            <w:r>
              <w:rPr>
                <w:rFonts w:ascii="宋体" w:hAnsi="宋体" w:cs="宋体" w:eastAsia="宋体" w:hint="default"/>
                <w:spacing w:val="-29"/>
                <w:sz w:val="11"/>
                <w:szCs w:val="11"/>
              </w:rPr>
              <w:t> </w:t>
            </w:r>
            <w:r>
              <w:rPr>
                <w:rFonts w:ascii="宋体" w:hAnsi="宋体" w:cs="宋体" w:eastAsia="宋体" w:hint="default"/>
                <w:sz w:val="11"/>
                <w:szCs w:val="11"/>
              </w:rPr>
              <w:t>月</w:t>
            </w:r>
          </w:p>
          <w:p>
            <w:pPr>
              <w:pStyle w:val="TableParagraph"/>
              <w:spacing w:line="143" w:lineRule="exact"/>
              <w:ind w:left="100" w:right="0"/>
              <w:jc w:val="left"/>
              <w:rPr>
                <w:rFonts w:ascii="宋体" w:hAnsi="宋体" w:cs="宋体" w:eastAsia="宋体" w:hint="default"/>
                <w:sz w:val="11"/>
                <w:szCs w:val="11"/>
              </w:rPr>
            </w:pPr>
            <w:r>
              <w:rPr>
                <w:rFonts w:ascii="宋体" w:hAnsi="宋体" w:cs="宋体" w:eastAsia="宋体" w:hint="default"/>
                <w:sz w:val="11"/>
                <w:szCs w:val="11"/>
              </w:rPr>
              <w:t>10</w:t>
            </w:r>
            <w:r>
              <w:rPr>
                <w:rFonts w:ascii="宋体" w:hAnsi="宋体" w:cs="宋体" w:eastAsia="宋体" w:hint="default"/>
                <w:spacing w:val="-29"/>
                <w:sz w:val="11"/>
                <w:szCs w:val="11"/>
              </w:rPr>
              <w:t> </w:t>
            </w:r>
            <w:r>
              <w:rPr>
                <w:rFonts w:ascii="宋体" w:hAnsi="宋体" w:cs="宋体" w:eastAsia="宋体" w:hint="default"/>
                <w:sz w:val="11"/>
                <w:szCs w:val="11"/>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0" w:right="0"/>
              <w:jc w:val="left"/>
              <w:rPr>
                <w:rFonts w:ascii="宋体" w:hAnsi="宋体" w:cs="宋体" w:eastAsia="宋体" w:hint="default"/>
                <w:sz w:val="11"/>
                <w:szCs w:val="11"/>
              </w:rPr>
            </w:pPr>
            <w:r>
              <w:rPr>
                <w:rFonts w:ascii="宋体"/>
                <w:sz w:val="11"/>
              </w:rPr>
              <w:t>3.73%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center"/>
              <w:rPr>
                <w:rFonts w:ascii="宋体" w:hAnsi="宋体" w:cs="宋体" w:eastAsia="宋体" w:hint="default"/>
                <w:sz w:val="11"/>
                <w:szCs w:val="11"/>
              </w:rPr>
            </w:pPr>
            <w:r>
              <w:rPr>
                <w:rFonts w:ascii="宋体"/>
                <w:sz w:val="11"/>
              </w:rPr>
              <w:t>2,500,000,000.00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2,500,000,000.00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48"/>
                <w:sz w:val="15"/>
                <w:szCs w:val="15"/>
              </w:rPr>
              <w:t> </w:t>
            </w:r>
            <w:r>
              <w:rPr>
                <w:rFonts w:ascii="宋体" w:hAnsi="宋体" w:cs="宋体" w:eastAsia="宋体" w:hint="default"/>
                <w:sz w:val="15"/>
                <w:szCs w:val="15"/>
              </w:rPr>
              <w:t>财通</w:t>
            </w:r>
            <w:r>
              <w:rPr>
                <w:rFonts w:ascii="宋体" w:hAnsi="宋体" w:cs="宋体" w:eastAsia="宋体" w:hint="default"/>
                <w:spacing w:val="-50"/>
                <w:sz w:val="15"/>
                <w:szCs w:val="15"/>
              </w:rPr>
              <w:t> </w:t>
            </w:r>
            <w:r>
              <w:rPr>
                <w:rFonts w:ascii="宋体" w:hAnsi="宋体" w:cs="宋体" w:eastAsia="宋体" w:hint="default"/>
                <w:sz w:val="15"/>
                <w:szCs w:val="15"/>
              </w:rPr>
              <w:t>CP02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05"/>
              <w:jc w:val="right"/>
              <w:rPr>
                <w:rFonts w:ascii="宋体" w:hAnsi="宋体" w:cs="宋体" w:eastAsia="宋体" w:hint="default"/>
                <w:sz w:val="11"/>
                <w:szCs w:val="11"/>
              </w:rPr>
            </w:pPr>
            <w:r>
              <w:rPr>
                <w:rFonts w:ascii="宋体"/>
                <w:sz w:val="11"/>
              </w:rPr>
              <w:t>20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5"/>
              <w:jc w:val="center"/>
              <w:rPr>
                <w:rFonts w:ascii="宋体" w:hAnsi="宋体" w:cs="宋体" w:eastAsia="宋体" w:hint="default"/>
                <w:sz w:val="11"/>
                <w:szCs w:val="11"/>
              </w:rPr>
            </w:pPr>
            <w:r>
              <w:rPr>
                <w:rFonts w:ascii="宋体" w:hAnsi="宋体" w:cs="宋体" w:eastAsia="宋体" w:hint="default"/>
                <w:sz w:val="11"/>
                <w:szCs w:val="11"/>
              </w:rPr>
              <w:t>2018</w:t>
            </w:r>
            <w:r>
              <w:rPr>
                <w:rFonts w:ascii="宋体" w:hAnsi="宋体" w:cs="宋体" w:eastAsia="宋体" w:hint="default"/>
                <w:spacing w:val="-29"/>
                <w:sz w:val="11"/>
                <w:szCs w:val="11"/>
              </w:rPr>
              <w:t> </w:t>
            </w:r>
            <w:r>
              <w:rPr>
                <w:rFonts w:ascii="宋体" w:hAnsi="宋体" w:cs="宋体" w:eastAsia="宋体" w:hint="default"/>
                <w:sz w:val="11"/>
                <w:szCs w:val="11"/>
              </w:rPr>
              <w:t>年</w:t>
            </w:r>
            <w:r>
              <w:rPr>
                <w:rFonts w:ascii="宋体" w:hAnsi="宋体" w:cs="宋体" w:eastAsia="宋体" w:hint="default"/>
                <w:spacing w:val="-29"/>
                <w:sz w:val="11"/>
                <w:szCs w:val="11"/>
              </w:rPr>
              <w:t> </w:t>
            </w:r>
            <w:r>
              <w:rPr>
                <w:rFonts w:ascii="宋体" w:hAnsi="宋体" w:cs="宋体" w:eastAsia="宋体" w:hint="default"/>
                <w:sz w:val="11"/>
                <w:szCs w:val="11"/>
              </w:rPr>
              <w:t>9</w:t>
            </w:r>
            <w:r>
              <w:rPr>
                <w:rFonts w:ascii="宋体" w:hAnsi="宋体" w:cs="宋体" w:eastAsia="宋体" w:hint="default"/>
                <w:spacing w:val="-29"/>
                <w:sz w:val="11"/>
                <w:szCs w:val="11"/>
              </w:rPr>
              <w:t> </w:t>
            </w: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宋体" w:hAnsi="宋体" w:cs="宋体" w:eastAsia="宋体" w:hint="default"/>
                <w:sz w:val="11"/>
                <w:szCs w:val="11"/>
              </w:rPr>
              <w:t>6</w:t>
            </w:r>
            <w:r>
              <w:rPr>
                <w:rFonts w:ascii="宋体" w:hAnsi="宋体" w:cs="宋体" w:eastAsia="宋体" w:hint="default"/>
                <w:spacing w:val="-29"/>
                <w:sz w:val="11"/>
                <w:szCs w:val="11"/>
              </w:rPr>
              <w:t> </w:t>
            </w:r>
            <w:r>
              <w:rPr>
                <w:rFonts w:ascii="宋体" w:hAnsi="宋体" w:cs="宋体" w:eastAsia="宋体" w:hint="default"/>
                <w:sz w:val="11"/>
                <w:szCs w:val="11"/>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1"/>
                <w:szCs w:val="11"/>
              </w:rPr>
            </w:pPr>
            <w:r>
              <w:rPr>
                <w:rFonts w:ascii="宋体" w:hAnsi="宋体" w:cs="宋体" w:eastAsia="宋体" w:hint="default"/>
                <w:sz w:val="11"/>
                <w:szCs w:val="11"/>
              </w:rPr>
              <w:t>91</w:t>
            </w:r>
            <w:r>
              <w:rPr>
                <w:rFonts w:ascii="宋体" w:hAnsi="宋体" w:cs="宋体" w:eastAsia="宋体" w:hint="default"/>
                <w:spacing w:val="-29"/>
                <w:sz w:val="11"/>
                <w:szCs w:val="11"/>
              </w:rPr>
              <w:t> </w:t>
            </w:r>
            <w:r>
              <w:rPr>
                <w:rFonts w:ascii="宋体" w:hAnsi="宋体" w:cs="宋体" w:eastAsia="宋体" w:hint="default"/>
                <w:sz w:val="11"/>
                <w:szCs w:val="11"/>
              </w:rPr>
              <w:t>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0" w:right="0"/>
              <w:jc w:val="left"/>
              <w:rPr>
                <w:rFonts w:ascii="宋体" w:hAnsi="宋体" w:cs="宋体" w:eastAsia="宋体" w:hint="default"/>
                <w:sz w:val="11"/>
                <w:szCs w:val="11"/>
              </w:rPr>
            </w:pPr>
            <w:r>
              <w:rPr>
                <w:rFonts w:ascii="宋体" w:hAnsi="宋体" w:cs="宋体" w:eastAsia="宋体" w:hint="default"/>
                <w:sz w:val="11"/>
                <w:szCs w:val="11"/>
              </w:rPr>
              <w:t>2018</w:t>
            </w:r>
            <w:r>
              <w:rPr>
                <w:rFonts w:ascii="宋体" w:hAnsi="宋体" w:cs="宋体" w:eastAsia="宋体" w:hint="default"/>
                <w:spacing w:val="-29"/>
                <w:sz w:val="11"/>
                <w:szCs w:val="11"/>
              </w:rPr>
              <w:t> </w:t>
            </w:r>
            <w:r>
              <w:rPr>
                <w:rFonts w:ascii="宋体" w:hAnsi="宋体" w:cs="宋体" w:eastAsia="宋体" w:hint="default"/>
                <w:sz w:val="11"/>
                <w:szCs w:val="11"/>
              </w:rPr>
              <w:t>年</w:t>
            </w:r>
            <w:r>
              <w:rPr>
                <w:rFonts w:ascii="宋体" w:hAnsi="宋体" w:cs="宋体" w:eastAsia="宋体" w:hint="default"/>
                <w:spacing w:val="-29"/>
                <w:sz w:val="11"/>
                <w:szCs w:val="11"/>
              </w:rPr>
              <w:t> </w:t>
            </w:r>
            <w:r>
              <w:rPr>
                <w:rFonts w:ascii="宋体" w:hAnsi="宋体" w:cs="宋体" w:eastAsia="宋体" w:hint="default"/>
                <w:sz w:val="11"/>
                <w:szCs w:val="11"/>
              </w:rPr>
              <w:t>12</w:t>
            </w:r>
            <w:r>
              <w:rPr>
                <w:rFonts w:ascii="宋体" w:hAnsi="宋体" w:cs="宋体" w:eastAsia="宋体" w:hint="default"/>
                <w:spacing w:val="-29"/>
                <w:sz w:val="11"/>
                <w:szCs w:val="11"/>
              </w:rPr>
              <w:t> </w:t>
            </w:r>
            <w:r>
              <w:rPr>
                <w:rFonts w:ascii="宋体" w:hAnsi="宋体" w:cs="宋体" w:eastAsia="宋体" w:hint="default"/>
                <w:sz w:val="11"/>
                <w:szCs w:val="11"/>
              </w:rPr>
              <w:t>月</w:t>
            </w:r>
          </w:p>
          <w:p>
            <w:pPr>
              <w:pStyle w:val="TableParagraph"/>
              <w:spacing w:line="143" w:lineRule="exact"/>
              <w:ind w:left="100" w:right="0"/>
              <w:jc w:val="left"/>
              <w:rPr>
                <w:rFonts w:ascii="宋体" w:hAnsi="宋体" w:cs="宋体" w:eastAsia="宋体" w:hint="default"/>
                <w:sz w:val="11"/>
                <w:szCs w:val="11"/>
              </w:rPr>
            </w:pPr>
            <w:r>
              <w:rPr>
                <w:rFonts w:ascii="宋体" w:hAnsi="宋体" w:cs="宋体" w:eastAsia="宋体" w:hint="default"/>
                <w:sz w:val="11"/>
                <w:szCs w:val="11"/>
              </w:rPr>
              <w:t>6</w:t>
            </w:r>
            <w:r>
              <w:rPr>
                <w:rFonts w:ascii="宋体" w:hAnsi="宋体" w:cs="宋体" w:eastAsia="宋体" w:hint="default"/>
                <w:spacing w:val="-29"/>
                <w:sz w:val="11"/>
                <w:szCs w:val="11"/>
              </w:rPr>
              <w:t> </w:t>
            </w:r>
            <w:r>
              <w:rPr>
                <w:rFonts w:ascii="宋体" w:hAnsi="宋体" w:cs="宋体" w:eastAsia="宋体" w:hint="default"/>
                <w:sz w:val="11"/>
                <w:szCs w:val="11"/>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0" w:right="0"/>
              <w:jc w:val="left"/>
              <w:rPr>
                <w:rFonts w:ascii="宋体" w:hAnsi="宋体" w:cs="宋体" w:eastAsia="宋体" w:hint="default"/>
                <w:sz w:val="11"/>
                <w:szCs w:val="11"/>
              </w:rPr>
            </w:pPr>
            <w:r>
              <w:rPr>
                <w:rFonts w:ascii="宋体"/>
                <w:sz w:val="11"/>
              </w:rPr>
              <w:t>2.83%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center"/>
              <w:rPr>
                <w:rFonts w:ascii="宋体" w:hAnsi="宋体" w:cs="宋体" w:eastAsia="宋体" w:hint="default"/>
                <w:sz w:val="11"/>
                <w:szCs w:val="11"/>
              </w:rPr>
            </w:pPr>
            <w:r>
              <w:rPr>
                <w:rFonts w:ascii="宋体"/>
                <w:sz w:val="11"/>
              </w:rPr>
              <w:t>2,000,000,000.00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2,000,000,000.00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48"/>
                <w:sz w:val="15"/>
                <w:szCs w:val="15"/>
              </w:rPr>
              <w:t> </w:t>
            </w:r>
            <w:r>
              <w:rPr>
                <w:rFonts w:ascii="宋体" w:hAnsi="宋体" w:cs="宋体" w:eastAsia="宋体" w:hint="default"/>
                <w:sz w:val="15"/>
                <w:szCs w:val="15"/>
              </w:rPr>
              <w:t>财通</w:t>
            </w:r>
            <w:r>
              <w:rPr>
                <w:rFonts w:ascii="宋体" w:hAnsi="宋体" w:cs="宋体" w:eastAsia="宋体" w:hint="default"/>
                <w:spacing w:val="-50"/>
                <w:sz w:val="15"/>
                <w:szCs w:val="15"/>
              </w:rPr>
              <w:t> </w:t>
            </w:r>
            <w:r>
              <w:rPr>
                <w:rFonts w:ascii="宋体" w:hAnsi="宋体" w:cs="宋体" w:eastAsia="宋体" w:hint="default"/>
                <w:sz w:val="15"/>
                <w:szCs w:val="15"/>
              </w:rPr>
              <w:t>CP03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05"/>
              <w:jc w:val="right"/>
              <w:rPr>
                <w:rFonts w:ascii="宋体" w:hAnsi="宋体" w:cs="宋体" w:eastAsia="宋体" w:hint="default"/>
                <w:sz w:val="11"/>
                <w:szCs w:val="11"/>
              </w:rPr>
            </w:pPr>
            <w:r>
              <w:rPr>
                <w:rFonts w:ascii="宋体"/>
                <w:sz w:val="11"/>
              </w:rPr>
              <w:t>25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1"/>
                <w:szCs w:val="11"/>
              </w:rPr>
            </w:pPr>
            <w:r>
              <w:rPr>
                <w:rFonts w:ascii="宋体" w:hAnsi="宋体" w:cs="宋体" w:eastAsia="宋体" w:hint="default"/>
                <w:sz w:val="11"/>
                <w:szCs w:val="11"/>
              </w:rPr>
              <w:t>2018</w:t>
            </w:r>
            <w:r>
              <w:rPr>
                <w:rFonts w:ascii="宋体" w:hAnsi="宋体" w:cs="宋体" w:eastAsia="宋体" w:hint="default"/>
                <w:spacing w:val="-29"/>
                <w:sz w:val="11"/>
                <w:szCs w:val="11"/>
              </w:rPr>
              <w:t> </w:t>
            </w:r>
            <w:r>
              <w:rPr>
                <w:rFonts w:ascii="宋体" w:hAnsi="宋体" w:cs="宋体" w:eastAsia="宋体" w:hint="default"/>
                <w:sz w:val="11"/>
                <w:szCs w:val="11"/>
              </w:rPr>
              <w:t>年</w:t>
            </w:r>
            <w:r>
              <w:rPr>
                <w:rFonts w:ascii="宋体" w:hAnsi="宋体" w:cs="宋体" w:eastAsia="宋体" w:hint="default"/>
                <w:spacing w:val="-29"/>
                <w:sz w:val="11"/>
                <w:szCs w:val="11"/>
              </w:rPr>
              <w:t> </w:t>
            </w:r>
            <w:r>
              <w:rPr>
                <w:rFonts w:ascii="宋体" w:hAnsi="宋体" w:cs="宋体" w:eastAsia="宋体" w:hint="default"/>
                <w:sz w:val="11"/>
                <w:szCs w:val="11"/>
              </w:rPr>
              <w:t>10</w:t>
            </w:r>
            <w:r>
              <w:rPr>
                <w:rFonts w:ascii="宋体" w:hAnsi="宋体" w:cs="宋体" w:eastAsia="宋体" w:hint="default"/>
                <w:spacing w:val="-29"/>
                <w:sz w:val="11"/>
                <w:szCs w:val="11"/>
              </w:rPr>
              <w:t> </w:t>
            </w:r>
            <w:r>
              <w:rPr>
                <w:rFonts w:ascii="宋体" w:hAnsi="宋体" w:cs="宋体" w:eastAsia="宋体" w:hint="default"/>
                <w:sz w:val="11"/>
                <w:szCs w:val="11"/>
              </w:rPr>
              <w:t>月</w:t>
            </w:r>
            <w:r>
              <w:rPr>
                <w:rFonts w:ascii="宋体" w:hAnsi="宋体" w:cs="宋体" w:eastAsia="宋体" w:hint="default"/>
                <w:spacing w:val="-29"/>
                <w:sz w:val="11"/>
                <w:szCs w:val="11"/>
              </w:rPr>
              <w:t> </w:t>
            </w:r>
            <w:r>
              <w:rPr>
                <w:rFonts w:ascii="宋体" w:hAnsi="宋体" w:cs="宋体" w:eastAsia="宋体" w:hint="default"/>
                <w:sz w:val="11"/>
                <w:szCs w:val="11"/>
              </w:rPr>
              <w:t>18</w:t>
            </w:r>
            <w:r>
              <w:rPr>
                <w:rFonts w:ascii="宋体" w:hAnsi="宋体" w:cs="宋体" w:eastAsia="宋体" w:hint="default"/>
                <w:spacing w:val="-29"/>
                <w:sz w:val="11"/>
                <w:szCs w:val="11"/>
              </w:rPr>
              <w:t> </w:t>
            </w:r>
            <w:r>
              <w:rPr>
                <w:rFonts w:ascii="宋体" w:hAnsi="宋体" w:cs="宋体" w:eastAsia="宋体" w:hint="default"/>
                <w:sz w:val="11"/>
                <w:szCs w:val="11"/>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1"/>
                <w:szCs w:val="11"/>
              </w:rPr>
            </w:pPr>
            <w:r>
              <w:rPr>
                <w:rFonts w:ascii="宋体" w:hAnsi="宋体" w:cs="宋体" w:eastAsia="宋体" w:hint="default"/>
                <w:sz w:val="11"/>
                <w:szCs w:val="11"/>
              </w:rPr>
              <w:t>91</w:t>
            </w:r>
            <w:r>
              <w:rPr>
                <w:rFonts w:ascii="宋体" w:hAnsi="宋体" w:cs="宋体" w:eastAsia="宋体" w:hint="default"/>
                <w:spacing w:val="-29"/>
                <w:sz w:val="11"/>
                <w:szCs w:val="11"/>
              </w:rPr>
              <w:t> </w:t>
            </w:r>
            <w:r>
              <w:rPr>
                <w:rFonts w:ascii="宋体" w:hAnsi="宋体" w:cs="宋体" w:eastAsia="宋体" w:hint="default"/>
                <w:sz w:val="11"/>
                <w:szCs w:val="11"/>
              </w:rPr>
              <w:t>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left="100" w:right="0"/>
              <w:jc w:val="left"/>
              <w:rPr>
                <w:rFonts w:ascii="宋体" w:hAnsi="宋体" w:cs="宋体" w:eastAsia="宋体" w:hint="default"/>
                <w:sz w:val="11"/>
                <w:szCs w:val="11"/>
              </w:rPr>
            </w:pPr>
            <w:r>
              <w:rPr>
                <w:rFonts w:ascii="宋体" w:hAnsi="宋体" w:cs="宋体" w:eastAsia="宋体" w:hint="default"/>
                <w:sz w:val="11"/>
                <w:szCs w:val="11"/>
              </w:rPr>
              <w:t>2019</w:t>
            </w:r>
            <w:r>
              <w:rPr>
                <w:rFonts w:ascii="宋体" w:hAnsi="宋体" w:cs="宋体" w:eastAsia="宋体" w:hint="default"/>
                <w:spacing w:val="-29"/>
                <w:sz w:val="11"/>
                <w:szCs w:val="11"/>
              </w:rPr>
              <w:t> </w:t>
            </w:r>
            <w:r>
              <w:rPr>
                <w:rFonts w:ascii="宋体" w:hAnsi="宋体" w:cs="宋体" w:eastAsia="宋体" w:hint="default"/>
                <w:sz w:val="11"/>
                <w:szCs w:val="11"/>
              </w:rPr>
              <w:t>年</w:t>
            </w:r>
            <w:r>
              <w:rPr>
                <w:rFonts w:ascii="宋体" w:hAnsi="宋体" w:cs="宋体" w:eastAsia="宋体" w:hint="default"/>
                <w:spacing w:val="-29"/>
                <w:sz w:val="11"/>
                <w:szCs w:val="11"/>
              </w:rPr>
              <w:t> </w:t>
            </w:r>
            <w:r>
              <w:rPr>
                <w:rFonts w:ascii="宋体" w:hAnsi="宋体" w:cs="宋体" w:eastAsia="宋体" w:hint="default"/>
                <w:sz w:val="11"/>
                <w:szCs w:val="11"/>
              </w:rPr>
              <w:t>1</w:t>
            </w:r>
            <w:r>
              <w:rPr>
                <w:rFonts w:ascii="宋体" w:hAnsi="宋体" w:cs="宋体" w:eastAsia="宋体" w:hint="default"/>
                <w:spacing w:val="-29"/>
                <w:sz w:val="11"/>
                <w:szCs w:val="11"/>
              </w:rPr>
              <w:t> </w:t>
            </w:r>
            <w:r>
              <w:rPr>
                <w:rFonts w:ascii="宋体" w:hAnsi="宋体" w:cs="宋体" w:eastAsia="宋体" w:hint="default"/>
                <w:sz w:val="11"/>
                <w:szCs w:val="11"/>
              </w:rPr>
              <w:t>月</w:t>
            </w:r>
          </w:p>
          <w:p>
            <w:pPr>
              <w:pStyle w:val="TableParagraph"/>
              <w:spacing w:line="143" w:lineRule="exact"/>
              <w:ind w:left="100" w:right="0"/>
              <w:jc w:val="left"/>
              <w:rPr>
                <w:rFonts w:ascii="宋体" w:hAnsi="宋体" w:cs="宋体" w:eastAsia="宋体" w:hint="default"/>
                <w:sz w:val="11"/>
                <w:szCs w:val="11"/>
              </w:rPr>
            </w:pPr>
            <w:r>
              <w:rPr>
                <w:rFonts w:ascii="宋体" w:hAnsi="宋体" w:cs="宋体" w:eastAsia="宋体" w:hint="default"/>
                <w:sz w:val="11"/>
                <w:szCs w:val="11"/>
              </w:rPr>
              <w:t>17</w:t>
            </w:r>
            <w:r>
              <w:rPr>
                <w:rFonts w:ascii="宋体" w:hAnsi="宋体" w:cs="宋体" w:eastAsia="宋体" w:hint="default"/>
                <w:spacing w:val="-29"/>
                <w:sz w:val="11"/>
                <w:szCs w:val="11"/>
              </w:rPr>
              <w:t> </w:t>
            </w:r>
            <w:r>
              <w:rPr>
                <w:rFonts w:ascii="宋体" w:hAnsi="宋体" w:cs="宋体" w:eastAsia="宋体" w:hint="default"/>
                <w:sz w:val="11"/>
                <w:szCs w:val="11"/>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0" w:right="0"/>
              <w:jc w:val="left"/>
              <w:rPr>
                <w:rFonts w:ascii="宋体" w:hAnsi="宋体" w:cs="宋体" w:eastAsia="宋体" w:hint="default"/>
                <w:sz w:val="11"/>
                <w:szCs w:val="11"/>
              </w:rPr>
            </w:pPr>
            <w:r>
              <w:rPr>
                <w:rFonts w:ascii="宋体"/>
                <w:sz w:val="11"/>
              </w:rPr>
              <w:t>3.18%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center"/>
              <w:rPr>
                <w:rFonts w:ascii="宋体" w:hAnsi="宋体" w:cs="宋体" w:eastAsia="宋体" w:hint="default"/>
                <w:sz w:val="11"/>
                <w:szCs w:val="11"/>
              </w:rPr>
            </w:pPr>
            <w:r>
              <w:rPr>
                <w:rFonts w:ascii="宋体"/>
                <w:sz w:val="11"/>
              </w:rPr>
              <w:t>2,500,000,000.00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 w:right="0"/>
              <w:jc w:val="center"/>
              <w:rPr>
                <w:rFonts w:ascii="宋体" w:hAnsi="宋体" w:cs="宋体" w:eastAsia="宋体" w:hint="default"/>
                <w:sz w:val="11"/>
                <w:szCs w:val="11"/>
              </w:rPr>
            </w:pPr>
            <w:r>
              <w:rPr>
                <w:rFonts w:ascii="宋体"/>
                <w:sz w:val="11"/>
              </w:rPr>
              <w:t>2,500,000,000.00</w:t>
            </w:r>
          </w:p>
        </w:tc>
      </w:tr>
    </w:tbl>
    <w:p>
      <w:pPr>
        <w:spacing w:after="0" w:line="240" w:lineRule="auto"/>
        <w:jc w:val="center"/>
        <w:rPr>
          <w:rFonts w:ascii="宋体" w:hAnsi="宋体" w:cs="宋体" w:eastAsia="宋体" w:hint="default"/>
          <w:sz w:val="11"/>
          <w:szCs w:val="11"/>
        </w:rPr>
        <w:sectPr>
          <w:type w:val="continuous"/>
          <w:pgSz w:w="11910" w:h="16840"/>
          <w:pgMar w:top="1060" w:bottom="1380" w:left="740" w:right="92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023"/>
        <w:gridCol w:w="727"/>
        <w:gridCol w:w="1128"/>
        <w:gridCol w:w="728"/>
        <w:gridCol w:w="871"/>
        <w:gridCol w:w="727"/>
        <w:gridCol w:w="1167"/>
        <w:gridCol w:w="1198"/>
        <w:gridCol w:w="1311"/>
        <w:gridCol w:w="1128"/>
      </w:tblGrid>
      <w:tr>
        <w:trPr>
          <w:trHeight w:val="29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0"/>
              <w:jc w:val="center"/>
              <w:rPr>
                <w:rFonts w:ascii="宋体" w:hAnsi="宋体" w:cs="宋体" w:eastAsia="宋体" w:hint="default"/>
                <w:sz w:val="15"/>
                <w:szCs w:val="15"/>
              </w:rPr>
            </w:pPr>
            <w:r>
              <w:rPr>
                <w:rFonts w:ascii="宋体" w:hAnsi="宋体" w:cs="宋体" w:eastAsia="宋体" w:hint="default"/>
                <w:sz w:val="15"/>
                <w:szCs w:val="15"/>
              </w:rPr>
              <w:t>小计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宋体" w:hAnsi="宋体" w:cs="宋体" w:eastAsia="宋体" w:hint="default"/>
                <w:sz w:val="11"/>
                <w:szCs w:val="11"/>
              </w:rPr>
            </w:pPr>
            <w:r>
              <w:rPr>
                <w:rFonts w:ascii="宋体"/>
                <w:sz w:val="11"/>
              </w:rPr>
              <w:t>7,000,000,000.00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4,500,000,000.00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2,500,000,000.00</w:t>
            </w:r>
          </w:p>
        </w:tc>
      </w:tr>
      <w:tr>
        <w:trPr>
          <w:trHeight w:val="29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2"/>
              <w:jc w:val="center"/>
              <w:rPr>
                <w:rFonts w:ascii="宋体" w:hAnsi="宋体" w:cs="宋体" w:eastAsia="宋体" w:hint="default"/>
                <w:sz w:val="15"/>
                <w:szCs w:val="15"/>
              </w:rPr>
            </w:pPr>
            <w:r>
              <w:rPr>
                <w:rFonts w:ascii="宋体" w:hAnsi="宋体" w:cs="宋体" w:eastAsia="宋体" w:hint="default"/>
                <w:sz w:val="15"/>
                <w:szCs w:val="15"/>
              </w:rPr>
              <w:t>收益凭证</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11"/>
                <w:szCs w:val="11"/>
              </w:rPr>
            </w:pPr>
            <w:r>
              <w:rPr>
                <w:rFonts w:ascii="宋体"/>
                <w:sz w:val="11"/>
              </w:rPr>
              <w:t>168.80</w:t>
            </w:r>
          </w:p>
        </w:tc>
        <w:tc>
          <w:tcPr>
            <w:tcW w:w="112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7,829,410,000.00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宋体" w:hAnsi="宋体" w:cs="宋体" w:eastAsia="宋体" w:hint="default"/>
                <w:sz w:val="11"/>
                <w:szCs w:val="11"/>
              </w:rPr>
            </w:pPr>
            <w:r>
              <w:rPr>
                <w:rFonts w:ascii="宋体"/>
                <w:sz w:val="11"/>
              </w:rPr>
              <w:t>9,050,240,000.00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16,324,720,000.00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554,930,000.00</w:t>
            </w:r>
          </w:p>
        </w:tc>
      </w:tr>
      <w:tr>
        <w:trPr>
          <w:trHeight w:val="29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0"/>
              <w:jc w:val="center"/>
              <w:rPr>
                <w:rFonts w:ascii="宋体" w:hAnsi="宋体" w:cs="宋体" w:eastAsia="宋体" w:hint="default"/>
                <w:sz w:val="15"/>
                <w:szCs w:val="15"/>
              </w:rPr>
            </w:pPr>
            <w:r>
              <w:rPr>
                <w:rFonts w:ascii="宋体" w:hAnsi="宋体" w:cs="宋体" w:eastAsia="宋体" w:hint="default"/>
                <w:sz w:val="15"/>
                <w:szCs w:val="15"/>
              </w:rPr>
              <w:t>合计</w:t>
            </w:r>
          </w:p>
        </w:tc>
        <w:tc>
          <w:tcPr>
            <w:tcW w:w="7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7,829,410,000.00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宋体" w:hAnsi="宋体" w:cs="宋体" w:eastAsia="宋体" w:hint="default"/>
                <w:sz w:val="11"/>
                <w:szCs w:val="11"/>
              </w:rPr>
            </w:pPr>
            <w:r>
              <w:rPr>
                <w:rFonts w:ascii="宋体"/>
                <w:sz w:val="11"/>
              </w:rPr>
              <w:t>16,050,240,000.00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20,824,720,000.00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1"/>
                <w:szCs w:val="11"/>
              </w:rPr>
            </w:pPr>
            <w:r>
              <w:rPr>
                <w:rFonts w:ascii="宋体"/>
                <w:sz w:val="11"/>
              </w:rPr>
              <w:t>3,054,930,000.00</w:t>
            </w:r>
          </w:p>
        </w:tc>
      </w:tr>
    </w:tbl>
    <w:p>
      <w:pPr>
        <w:pStyle w:val="BodyText"/>
        <w:spacing w:line="239" w:lineRule="exact"/>
        <w:ind w:left="537" w:right="3711"/>
        <w:jc w:val="left"/>
      </w:pPr>
      <w:r>
        <w:rPr/>
        <w:t>其他说明</w:t>
      </w:r>
    </w:p>
    <w:p>
      <w:pPr>
        <w:pStyle w:val="BodyText"/>
        <w:spacing w:line="273" w:lineRule="exact"/>
        <w:ind w:left="957" w:right="0"/>
        <w:jc w:val="left"/>
      </w:pPr>
      <w:r>
        <w:rPr>
          <w:w w:val="100"/>
        </w:rPr>
        <w:t>本年</w:t>
      </w:r>
      <w:r>
        <w:rPr>
          <w:spacing w:val="-3"/>
          <w:w w:val="100"/>
        </w:rPr>
        <w:t>发</w:t>
      </w:r>
      <w:r>
        <w:rPr>
          <w:w w:val="100"/>
        </w:rPr>
        <w:t>行</w:t>
      </w:r>
      <w:r>
        <w:rPr>
          <w:spacing w:val="-3"/>
          <w:w w:val="100"/>
        </w:rPr>
        <w:t>收</w:t>
      </w:r>
      <w:r>
        <w:rPr>
          <w:w w:val="100"/>
        </w:rPr>
        <w:t>益</w:t>
      </w:r>
      <w:r>
        <w:rPr>
          <w:spacing w:val="-3"/>
          <w:w w:val="100"/>
        </w:rPr>
        <w:t>凭</w:t>
      </w:r>
      <w:r>
        <w:rPr>
          <w:w w:val="100"/>
        </w:rPr>
        <w:t>证</w:t>
      </w:r>
      <w:r>
        <w:rPr>
          <w:spacing w:val="-3"/>
          <w:w w:val="100"/>
        </w:rPr>
        <w:t>面</w:t>
      </w:r>
      <w:r>
        <w:rPr>
          <w:w w:val="100"/>
        </w:rPr>
        <w:t>值</w:t>
      </w:r>
      <w:r>
        <w:rPr>
          <w:spacing w:val="-3"/>
          <w:w w:val="100"/>
        </w:rPr>
        <w:t>合</w:t>
      </w:r>
      <w:r>
        <w:rPr>
          <w:w w:val="100"/>
        </w:rPr>
        <w:t>计人</w:t>
      </w:r>
      <w:r>
        <w:rPr>
          <w:spacing w:val="-3"/>
          <w:w w:val="100"/>
        </w:rPr>
        <w:t>民</w:t>
      </w:r>
      <w:r>
        <w:rPr>
          <w:w w:val="100"/>
        </w:rPr>
        <w:t>币</w:t>
      </w:r>
      <w:r>
        <w:rPr>
          <w:spacing w:val="-69"/>
        </w:rPr>
        <w:t> </w:t>
      </w:r>
      <w:r>
        <w:rPr>
          <w:rFonts w:ascii="宋体" w:hAnsi="宋体" w:cs="宋体" w:eastAsia="宋体" w:hint="default"/>
          <w:w w:val="100"/>
        </w:rPr>
        <w:t>90</w:t>
      </w:r>
      <w:r>
        <w:rPr>
          <w:rFonts w:ascii="宋体" w:hAnsi="宋体" w:cs="宋体" w:eastAsia="宋体" w:hint="default"/>
          <w:spacing w:val="-3"/>
          <w:w w:val="100"/>
        </w:rPr>
        <w:t>.</w:t>
      </w:r>
      <w:r>
        <w:rPr>
          <w:rFonts w:ascii="宋体" w:hAnsi="宋体" w:cs="宋体" w:eastAsia="宋体" w:hint="default"/>
          <w:w w:val="100"/>
        </w:rPr>
        <w:t>50</w:t>
      </w:r>
      <w:r>
        <w:rPr>
          <w:rFonts w:ascii="宋体" w:hAnsi="宋体" w:cs="宋体" w:eastAsia="宋体" w:hint="default"/>
          <w:spacing w:val="-70"/>
        </w:rPr>
        <w:t> </w:t>
      </w:r>
      <w:r>
        <w:rPr>
          <w:spacing w:val="-3"/>
          <w:w w:val="100"/>
        </w:rPr>
        <w:t>亿</w:t>
      </w:r>
      <w:r>
        <w:rPr>
          <w:w w:val="100"/>
        </w:rPr>
        <w:t>元</w:t>
      </w:r>
      <w:r>
        <w:rPr>
          <w:spacing w:val="-106"/>
          <w:w w:val="100"/>
        </w:rPr>
        <w:t>，</w:t>
      </w:r>
      <w:r>
        <w:rPr>
          <w:spacing w:val="-3"/>
          <w:w w:val="100"/>
        </w:rPr>
        <w:t>期末</w:t>
      </w:r>
      <w:r>
        <w:rPr>
          <w:w w:val="100"/>
        </w:rPr>
        <w:t>未到</w:t>
      </w:r>
      <w:r>
        <w:rPr>
          <w:spacing w:val="-3"/>
          <w:w w:val="100"/>
        </w:rPr>
        <w:t>期</w:t>
      </w:r>
      <w:r>
        <w:rPr>
          <w:w w:val="100"/>
        </w:rPr>
        <w:t>收</w:t>
      </w:r>
      <w:r>
        <w:rPr>
          <w:spacing w:val="-3"/>
          <w:w w:val="100"/>
        </w:rPr>
        <w:t>益</w:t>
      </w:r>
      <w:r>
        <w:rPr>
          <w:w w:val="100"/>
        </w:rPr>
        <w:t>凭</w:t>
      </w:r>
      <w:r>
        <w:rPr>
          <w:spacing w:val="-3"/>
          <w:w w:val="100"/>
        </w:rPr>
        <w:t>证</w:t>
      </w:r>
      <w:r>
        <w:rPr>
          <w:w w:val="100"/>
        </w:rPr>
        <w:t>的</w:t>
      </w:r>
      <w:r>
        <w:rPr>
          <w:spacing w:val="-3"/>
          <w:w w:val="100"/>
        </w:rPr>
        <w:t>年</w:t>
      </w:r>
      <w:r>
        <w:rPr>
          <w:w w:val="100"/>
        </w:rPr>
        <w:t>利</w:t>
      </w:r>
      <w:r>
        <w:rPr>
          <w:spacing w:val="-3"/>
          <w:w w:val="100"/>
        </w:rPr>
        <w:t>率</w:t>
      </w:r>
      <w:r>
        <w:rPr>
          <w:w w:val="100"/>
        </w:rPr>
        <w:t>为</w:t>
      </w:r>
      <w:r>
        <w:rPr>
          <w:spacing w:val="-69"/>
        </w:rPr>
        <w:t> </w:t>
      </w:r>
      <w:r>
        <w:rPr>
          <w:rFonts w:ascii="宋体" w:hAnsi="宋体" w:cs="宋体" w:eastAsia="宋体" w:hint="default"/>
          <w:w w:val="100"/>
        </w:rPr>
        <w:t>3.40</w:t>
      </w:r>
      <w:r>
        <w:rPr>
          <w:rFonts w:ascii="宋体" w:hAnsi="宋体" w:cs="宋体" w:eastAsia="宋体" w:hint="default"/>
          <w:spacing w:val="-3"/>
          <w:w w:val="100"/>
        </w:rPr>
        <w:t>%</w:t>
      </w:r>
      <w:r>
        <w:rPr>
          <w:w w:val="100"/>
        </w:rPr>
        <w:t>至</w:t>
      </w:r>
      <w:r>
        <w:rPr>
          <w:spacing w:val="-69"/>
        </w:rPr>
        <w:t> </w:t>
      </w:r>
      <w:r>
        <w:rPr>
          <w:rFonts w:ascii="宋体" w:hAnsi="宋体" w:cs="宋体" w:eastAsia="宋体" w:hint="default"/>
          <w:w w:val="100"/>
        </w:rPr>
        <w:t>6.</w:t>
      </w:r>
      <w:r>
        <w:rPr>
          <w:rFonts w:ascii="宋体" w:hAnsi="宋体" w:cs="宋体" w:eastAsia="宋体" w:hint="default"/>
          <w:spacing w:val="-3"/>
          <w:w w:val="100"/>
        </w:rPr>
        <w:t>9</w:t>
      </w:r>
      <w:r>
        <w:rPr>
          <w:rFonts w:ascii="宋体" w:hAnsi="宋体" w:cs="宋体" w:eastAsia="宋体" w:hint="default"/>
          <w:w w:val="100"/>
        </w:rPr>
        <w:t>0</w:t>
      </w:r>
      <w:r>
        <w:rPr>
          <w:rFonts w:ascii="宋体" w:hAnsi="宋体" w:cs="宋体" w:eastAsia="宋体" w:hint="default"/>
          <w:spacing w:val="-3"/>
          <w:w w:val="100"/>
        </w:rPr>
        <w:t>%</w:t>
      </w:r>
      <w:r>
        <w:rPr>
          <w:w w:val="100"/>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61"/>
          <w:pgSz w:w="11910" w:h="16840"/>
          <w:pgMar w:footer="1195" w:header="882" w:top="1120" w:bottom="1380" w:left="740" w:right="920"/>
        </w:sectPr>
      </w:pPr>
    </w:p>
    <w:p>
      <w:pPr>
        <w:pStyle w:val="Heading5"/>
        <w:spacing w:line="240" w:lineRule="auto" w:before="36"/>
        <w:ind w:left="537" w:right="-18"/>
        <w:jc w:val="left"/>
        <w:rPr>
          <w:b w:val="0"/>
          <w:bCs w:val="0"/>
        </w:rPr>
      </w:pPr>
      <w:r>
        <w:rPr>
          <w:rFonts w:ascii="宋体" w:hAnsi="宋体" w:cs="宋体" w:eastAsia="宋体" w:hint="default"/>
        </w:rPr>
        <w:t>26</w:t>
      </w:r>
      <w:r>
        <w:rPr/>
        <w:t>、</w:t>
      </w:r>
      <w:r>
        <w:rPr>
          <w:spacing w:val="-24"/>
        </w:rPr>
        <w:t> </w:t>
      </w:r>
      <w:r>
        <w:rPr/>
        <w:t>拆入资金</w:t>
      </w:r>
      <w:r>
        <w:rPr>
          <w:b w:val="0"/>
          <w:bCs w:val="0"/>
        </w:rPr>
      </w:r>
    </w:p>
    <w:p>
      <w:pPr>
        <w:pStyle w:val="BodyText"/>
        <w:spacing w:line="240" w:lineRule="auto" w:before="58"/>
        <w:ind w:left="5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7" w:right="0"/>
        <w:jc w:val="left"/>
      </w:pPr>
      <w:r>
        <w:rPr>
          <w:spacing w:val="-1"/>
        </w:rPr>
        <w:t>单位：元</w:t>
        <w:tab/>
      </w:r>
      <w:r>
        <w:rPr>
          <w:spacing w:val="-2"/>
        </w:rPr>
        <w:t>币种：人民币</w:t>
      </w:r>
    </w:p>
    <w:p>
      <w:pPr>
        <w:spacing w:after="0" w:line="240" w:lineRule="auto"/>
        <w:jc w:val="left"/>
        <w:sectPr>
          <w:type w:val="continuous"/>
          <w:pgSz w:w="11910" w:h="16840"/>
          <w:pgMar w:top="1060" w:bottom="1380" w:left="740" w:right="920"/>
          <w:cols w:num="2" w:equalWidth="0">
            <w:col w:w="2115" w:space="4647"/>
            <w:col w:w="3488"/>
          </w:cols>
        </w:sectPr>
      </w:pPr>
    </w:p>
    <w:p>
      <w:pPr>
        <w:spacing w:line="240" w:lineRule="auto" w:before="7"/>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3606"/>
        <w:gridCol w:w="2765"/>
        <w:gridCol w:w="2765"/>
      </w:tblGrid>
      <w:tr>
        <w:trPr>
          <w:trHeight w:val="281"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2"/>
              <w:jc w:val="right"/>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银行拆入款项</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400,000,000.00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spacing w:val="-1"/>
                <w:sz w:val="21"/>
              </w:rPr>
              <w:t>800,000,000.00</w:t>
            </w:r>
          </w:p>
        </w:tc>
      </w:tr>
      <w:tr>
        <w:trPr>
          <w:trHeight w:val="284"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转融通融入款项</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400,000,000.00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2"/>
              <w:jc w:val="right"/>
              <w:rPr>
                <w:rFonts w:ascii="宋体" w:hAnsi="宋体" w:cs="宋体" w:eastAsia="宋体" w:hint="default"/>
                <w:sz w:val="21"/>
                <w:szCs w:val="21"/>
              </w:rPr>
            </w:pPr>
            <w:r>
              <w:rPr>
                <w:rFonts w:ascii="宋体" w:hAnsi="宋体" w:cs="宋体" w:eastAsia="宋体" w:hint="default"/>
                <w:sz w:val="21"/>
                <w:szCs w:val="21"/>
              </w:rPr>
              <w:t>合计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800,000,000.00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800,000,000.00</w:t>
            </w:r>
          </w:p>
        </w:tc>
      </w:tr>
    </w:tbl>
    <w:p>
      <w:pPr>
        <w:pStyle w:val="BodyText"/>
        <w:spacing w:line="240" w:lineRule="exact"/>
        <w:ind w:left="537" w:right="3711"/>
        <w:jc w:val="left"/>
      </w:pPr>
      <w:r>
        <w:rPr/>
        <w:t>拆入资金的说明：</w:t>
      </w:r>
    </w:p>
    <w:p>
      <w:pPr>
        <w:pStyle w:val="BodyText"/>
        <w:spacing w:line="272" w:lineRule="exact"/>
        <w:ind w:left="537" w:right="0"/>
        <w:jc w:val="left"/>
      </w:pPr>
      <w:r>
        <w:rPr/>
        <w:t>转融通融入资金：公司向中国证券金融股份有限公司融入</w:t>
      </w:r>
      <w:r>
        <w:rPr>
          <w:spacing w:val="-53"/>
        </w:rPr>
        <w:t> </w:t>
      </w:r>
      <w:r>
        <w:rPr>
          <w:rFonts w:ascii="宋体" w:hAnsi="宋体" w:cs="宋体" w:eastAsia="宋体" w:hint="default"/>
        </w:rPr>
        <w:t>4</w:t>
      </w:r>
      <w:r>
        <w:rPr>
          <w:rFonts w:ascii="宋体" w:hAnsi="宋体" w:cs="宋体" w:eastAsia="宋体" w:hint="default"/>
          <w:spacing w:val="-54"/>
        </w:rPr>
        <w:t> </w:t>
      </w:r>
      <w:r>
        <w:rPr>
          <w:spacing w:val="-3"/>
        </w:rPr>
        <w:t>亿元，利率为</w:t>
      </w:r>
      <w:r>
        <w:rPr>
          <w:spacing w:val="-54"/>
        </w:rPr>
        <w:t> </w:t>
      </w:r>
      <w:r>
        <w:rPr>
          <w:rFonts w:ascii="宋体" w:hAnsi="宋体" w:cs="宋体" w:eastAsia="宋体" w:hint="default"/>
        </w:rPr>
        <w:t>4.80%</w:t>
      </w:r>
      <w:r>
        <w:rPr/>
        <w:t>，到期日为</w:t>
      </w:r>
      <w:r>
        <w:rPr>
          <w:spacing w:val="-53"/>
        </w:rPr>
        <w:t> </w:t>
      </w:r>
      <w:r>
        <w:rPr>
          <w:rFonts w:ascii="宋体" w:hAnsi="宋体" w:cs="宋体" w:eastAsia="宋体" w:hint="default"/>
        </w:rPr>
        <w:t>2019</w:t>
      </w:r>
      <w:r>
        <w:rPr>
          <w:rFonts w:ascii="宋体" w:hAnsi="宋体" w:cs="宋体" w:eastAsia="宋体" w:hint="default"/>
          <w:spacing w:val="-54"/>
        </w:rPr>
        <w:t> </w:t>
      </w:r>
      <w:r>
        <w:rPr/>
        <w:t>年</w:t>
      </w:r>
    </w:p>
    <w:p>
      <w:pPr>
        <w:pStyle w:val="BodyText"/>
        <w:spacing w:line="273" w:lineRule="exact"/>
        <w:ind w:left="537" w:right="3711"/>
        <w:jc w:val="left"/>
      </w:pP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3</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7"/>
        <w:ind w:left="537" w:right="3711"/>
        <w:jc w:val="left"/>
        <w:rPr>
          <w:b w:val="0"/>
          <w:bCs w:val="0"/>
        </w:rPr>
      </w:pPr>
      <w:r>
        <w:rPr>
          <w:rFonts w:ascii="宋体" w:hAnsi="宋体" w:cs="宋体" w:eastAsia="宋体" w:hint="default"/>
        </w:rPr>
        <w:t>27</w:t>
      </w:r>
      <w:r>
        <w:rPr/>
        <w:t>、</w:t>
      </w:r>
      <w:r>
        <w:rPr>
          <w:spacing w:val="-26"/>
        </w:rPr>
        <w:t> </w:t>
      </w:r>
      <w:r>
        <w:rPr/>
        <w:t>以公允价值计量且其变动计入当期损益的金融负债</w:t>
      </w:r>
      <w:r>
        <w:rPr>
          <w:b w:val="0"/>
          <w:bCs w:val="0"/>
        </w:rPr>
      </w:r>
    </w:p>
    <w:p>
      <w:pPr>
        <w:pStyle w:val="BodyText"/>
        <w:spacing w:line="240" w:lineRule="auto" w:before="58"/>
        <w:ind w:left="537" w:right="3711"/>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60" w:bottom="1380" w:left="740" w:right="920"/>
        </w:sectPr>
      </w:pPr>
    </w:p>
    <w:p>
      <w:pPr>
        <w:pStyle w:val="Heading5"/>
        <w:spacing w:line="290" w:lineRule="auto" w:before="36"/>
        <w:ind w:left="537" w:right="-18"/>
        <w:jc w:val="left"/>
        <w:rPr>
          <w:b w:val="0"/>
          <w:bCs w:val="0"/>
        </w:rPr>
      </w:pPr>
      <w:r>
        <w:rPr>
          <w:rFonts w:ascii="宋体" w:hAnsi="宋体" w:cs="宋体" w:eastAsia="宋体" w:hint="default"/>
        </w:rPr>
        <w:t>28</w:t>
      </w:r>
      <w:r>
        <w:rPr/>
        <w:t>、</w:t>
      </w:r>
      <w:r>
        <w:rPr>
          <w:spacing w:val="-23"/>
        </w:rPr>
        <w:t> </w:t>
      </w:r>
      <w:r>
        <w:rPr/>
        <w:t>卖出回购金融资产款</w:t>
      </w:r>
      <w:r>
        <w:rPr>
          <w:w w:val="100"/>
        </w:rPr>
        <w:t> </w:t>
      </w:r>
      <w:r>
        <w:rPr>
          <w:rFonts w:ascii="宋体" w:hAnsi="宋体" w:cs="宋体" w:eastAsia="宋体" w:hint="default"/>
        </w:rPr>
        <w:t>(1)</w:t>
      </w:r>
      <w:r>
        <w:rPr>
          <w:rFonts w:ascii="宋体" w:hAnsi="宋体" w:cs="宋体" w:eastAsia="宋体" w:hint="default"/>
          <w:spacing w:val="-1"/>
        </w:rPr>
        <w:t> </w:t>
      </w:r>
      <w:r>
        <w:rPr/>
        <w:t>按金融资产种类</w:t>
      </w:r>
      <w:r>
        <w:rPr>
          <w:b w:val="0"/>
          <w:bCs w:val="0"/>
        </w:rPr>
      </w:r>
    </w:p>
    <w:p>
      <w:pPr>
        <w:pStyle w:val="BodyText"/>
        <w:tabs>
          <w:tab w:pos="1379" w:val="left" w:leader="none"/>
        </w:tabs>
        <w:spacing w:line="240" w:lineRule="auto" w:before="14"/>
        <w:ind w:left="5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9" w:val="left" w:leader="none"/>
        </w:tabs>
        <w:spacing w:line="240" w:lineRule="auto"/>
        <w:ind w:left="537" w:right="0"/>
        <w:jc w:val="left"/>
      </w:pPr>
      <w:r>
        <w:rPr>
          <w:spacing w:val="-1"/>
        </w:rPr>
        <w:t>单位：元</w:t>
        <w:tab/>
      </w:r>
      <w:r>
        <w:rPr>
          <w:spacing w:val="-2"/>
        </w:rPr>
        <w:t>币种：人民币</w:t>
      </w:r>
    </w:p>
    <w:p>
      <w:pPr>
        <w:spacing w:after="0" w:line="240" w:lineRule="auto"/>
        <w:jc w:val="left"/>
        <w:sectPr>
          <w:type w:val="continuous"/>
          <w:pgSz w:w="11910" w:h="16840"/>
          <w:pgMar w:top="1060" w:bottom="1380" w:left="740" w:right="920"/>
          <w:cols w:num="2" w:equalWidth="0">
            <w:col w:w="2943" w:space="3819"/>
            <w:col w:w="3488"/>
          </w:cols>
        </w:sectPr>
      </w:pPr>
    </w:p>
    <w:p>
      <w:pPr>
        <w:spacing w:line="240" w:lineRule="auto" w:before="7"/>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3236"/>
        <w:gridCol w:w="3125"/>
        <w:gridCol w:w="2765"/>
      </w:tblGrid>
      <w:tr>
        <w:trPr>
          <w:trHeight w:val="286"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3,062,885,976.97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1,703,357,753.27</w:t>
            </w:r>
          </w:p>
        </w:tc>
      </w:tr>
      <w:tr>
        <w:trPr>
          <w:trHeight w:val="288"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1,314,252,000.00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1,948,650,038.37</w:t>
            </w:r>
          </w:p>
        </w:tc>
      </w:tr>
      <w:tr>
        <w:trPr>
          <w:trHeight w:val="288"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4,377,137,976.97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3,652,007,791.64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tabs>
          <w:tab w:pos="1377" w:val="left" w:leader="none"/>
        </w:tabs>
        <w:spacing w:line="240" w:lineRule="auto" w:before="36"/>
        <w:ind w:left="678" w:right="3711"/>
        <w:jc w:val="left"/>
        <w:rPr>
          <w:b w:val="0"/>
          <w:bCs w:val="0"/>
        </w:rPr>
      </w:pPr>
      <w:r>
        <w:rPr>
          <w:rFonts w:ascii="宋体" w:hAnsi="宋体" w:cs="宋体" w:eastAsia="宋体" w:hint="default"/>
          <w:w w:val="95"/>
        </w:rPr>
        <w:t>(2)</w:t>
        <w:tab/>
      </w:r>
      <w:r>
        <w:rPr/>
        <w:t>报价回购融入资金按剩余期限分类</w:t>
      </w:r>
      <w:r>
        <w:rPr>
          <w:b w:val="0"/>
          <w:bCs w:val="0"/>
        </w:rPr>
      </w:r>
    </w:p>
    <w:p>
      <w:pPr>
        <w:pStyle w:val="BodyText"/>
        <w:spacing w:line="272" w:lineRule="exact" w:before="86"/>
        <w:ind w:left="537" w:right="5452"/>
        <w:jc w:val="left"/>
      </w:pPr>
      <w:r>
        <w:rPr/>
        <w:t>□适用</w:t>
      </w:r>
      <w:r>
        <w:rPr>
          <w:spacing w:val="-2"/>
        </w:rPr>
        <w:t> </w:t>
      </w:r>
      <w:r>
        <w:rPr/>
        <w:t>√不适用</w:t>
      </w:r>
      <w:r>
        <w:rPr>
          <w:spacing w:val="-103"/>
        </w:rPr>
        <w:t> </w:t>
      </w:r>
      <w:r>
        <w:rPr>
          <w:spacing w:val="-103"/>
        </w:rPr>
      </w:r>
      <w:r>
        <w:rPr>
          <w:spacing w:val="-2"/>
        </w:rPr>
        <w:t>卖出回购金融资产款的说明：</w:t>
      </w:r>
    </w:p>
    <w:p>
      <w:pPr>
        <w:pStyle w:val="BodyText"/>
        <w:spacing w:line="249" w:lineRule="exact"/>
        <w:ind w:left="537" w:right="3711"/>
        <w:jc w:val="left"/>
      </w:pPr>
      <w:r>
        <w:rPr/>
        <w:t>√适用 □不适用</w:t>
      </w:r>
    </w:p>
    <w:p>
      <w:pPr>
        <w:spacing w:line="240" w:lineRule="auto" w:before="2"/>
        <w:rPr>
          <w:rFonts w:ascii="宋体" w:hAnsi="宋体" w:cs="宋体" w:eastAsia="宋体" w:hint="default"/>
          <w:sz w:val="24"/>
          <w:szCs w:val="24"/>
        </w:rPr>
      </w:pPr>
    </w:p>
    <w:p>
      <w:pPr>
        <w:pStyle w:val="BodyText"/>
        <w:spacing w:line="240" w:lineRule="auto"/>
        <w:ind w:left="628" w:right="3711"/>
        <w:jc w:val="left"/>
      </w:pPr>
      <w:r>
        <w:rPr/>
        <w:t>按业务类型</w:t>
      </w:r>
    </w:p>
    <w:p>
      <w:pPr>
        <w:spacing w:line="240" w:lineRule="auto" w:before="11"/>
        <w:rPr>
          <w:rFonts w:ascii="宋体" w:hAnsi="宋体" w:cs="宋体" w:eastAsia="宋体" w:hint="default"/>
          <w:sz w:val="2"/>
          <w:szCs w:val="2"/>
        </w:rPr>
      </w:pPr>
    </w:p>
    <w:tbl>
      <w:tblPr>
        <w:tblW w:w="0" w:type="auto"/>
        <w:jc w:val="left"/>
        <w:tblInd w:w="517" w:type="dxa"/>
        <w:tblLayout w:type="fixed"/>
        <w:tblCellMar>
          <w:top w:w="0" w:type="dxa"/>
          <w:left w:w="0" w:type="dxa"/>
          <w:bottom w:w="0" w:type="dxa"/>
          <w:right w:w="0" w:type="dxa"/>
        </w:tblCellMar>
        <w:tblLook w:val="01E0"/>
      </w:tblPr>
      <w:tblGrid>
        <w:gridCol w:w="3087"/>
        <w:gridCol w:w="2883"/>
        <w:gridCol w:w="2986"/>
      </w:tblGrid>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9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买断式回购</w:t>
            </w:r>
          </w:p>
        </w:tc>
        <w:tc>
          <w:tcPr>
            <w:tcW w:w="2883"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411,335,038.37</w:t>
            </w:r>
          </w:p>
        </w:tc>
      </w:tr>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质押式回购</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7" w:right="0"/>
              <w:jc w:val="left"/>
              <w:rPr>
                <w:rFonts w:ascii="宋体" w:hAnsi="宋体" w:cs="宋体" w:eastAsia="宋体" w:hint="default"/>
                <w:sz w:val="21"/>
                <w:szCs w:val="21"/>
              </w:rPr>
            </w:pPr>
            <w:r>
              <w:rPr>
                <w:rFonts w:ascii="宋体"/>
                <w:sz w:val="21"/>
              </w:rPr>
              <w:t>4,377,137,976.97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3,140,672,753.27</w:t>
            </w:r>
          </w:p>
        </w:tc>
      </w:tr>
      <w:tr>
        <w:trPr>
          <w:trHeight w:val="29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资产收益权质押融资</w:t>
            </w:r>
          </w:p>
        </w:tc>
        <w:tc>
          <w:tcPr>
            <w:tcW w:w="2883"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100,000,000.00</w:t>
            </w:r>
          </w:p>
        </w:tc>
      </w:tr>
      <w:tr>
        <w:trPr>
          <w:trHeight w:val="296"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7" w:right="0"/>
              <w:jc w:val="left"/>
              <w:rPr>
                <w:rFonts w:ascii="宋体" w:hAnsi="宋体" w:cs="宋体" w:eastAsia="宋体" w:hint="default"/>
                <w:sz w:val="21"/>
                <w:szCs w:val="21"/>
              </w:rPr>
            </w:pPr>
            <w:r>
              <w:rPr>
                <w:rFonts w:ascii="宋体"/>
                <w:sz w:val="21"/>
              </w:rPr>
              <w:t>4,377,137,976.97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3,652,007,791.64</w:t>
            </w:r>
          </w:p>
        </w:tc>
      </w:tr>
    </w:tbl>
    <w:p>
      <w:pPr>
        <w:pStyle w:val="BodyText"/>
        <w:spacing w:line="241" w:lineRule="exact"/>
        <w:ind w:left="957" w:right="0"/>
        <w:jc w:val="left"/>
      </w:pPr>
      <w:r>
        <w:rPr/>
        <w:t>截至</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w:t>
      </w:r>
      <w:r>
        <w:rPr>
          <w:rFonts w:ascii="宋体" w:hAnsi="宋体" w:cs="宋体" w:eastAsia="宋体" w:hint="default"/>
        </w:rPr>
        <w:t>,</w:t>
      </w:r>
      <w:r>
        <w:rPr/>
        <w:t>本公司为质押式回购融资缴纳的担保物净价为</w:t>
      </w:r>
      <w:r>
        <w:rPr>
          <w:spacing w:val="-49"/>
        </w:rPr>
        <w:t> </w:t>
      </w:r>
      <w:r>
        <w:rPr>
          <w:rFonts w:ascii="宋体" w:hAnsi="宋体" w:cs="宋体" w:eastAsia="宋体" w:hint="default"/>
        </w:rPr>
        <w:t>4,921,623,988.00</w:t>
      </w:r>
      <w:r>
        <w:rPr>
          <w:rFonts w:ascii="宋体" w:hAnsi="宋体" w:cs="宋体" w:eastAsia="宋体" w:hint="default"/>
          <w:spacing w:val="-45"/>
        </w:rPr>
        <w:t> </w:t>
      </w:r>
      <w:r>
        <w:rPr/>
        <w:t>元。</w:t>
      </w:r>
    </w:p>
    <w:p>
      <w:pPr>
        <w:spacing w:after="0" w:line="241" w:lineRule="exact"/>
        <w:jc w:val="left"/>
        <w:sectPr>
          <w:type w:val="continuous"/>
          <w:pgSz w:w="11910" w:h="16840"/>
          <w:pgMar w:top="1060" w:bottom="1380" w:left="74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62"/>
          <w:pgSz w:w="11910" w:h="16840"/>
          <w:pgMar w:footer="1195" w:header="882" w:top="1120" w:bottom="1380" w:left="400" w:right="680"/>
          <w:pgNumType w:start="161"/>
        </w:sectPr>
      </w:pPr>
    </w:p>
    <w:p>
      <w:pPr>
        <w:pStyle w:val="Heading5"/>
        <w:spacing w:line="240" w:lineRule="auto" w:before="36"/>
        <w:ind w:left="877" w:right="-19"/>
        <w:jc w:val="left"/>
        <w:rPr>
          <w:b w:val="0"/>
          <w:bCs w:val="0"/>
        </w:rPr>
      </w:pPr>
      <w:r>
        <w:rPr>
          <w:rFonts w:ascii="宋体" w:hAnsi="宋体" w:cs="宋体" w:eastAsia="宋体" w:hint="default"/>
        </w:rPr>
        <w:t>29</w:t>
      </w:r>
      <w:r>
        <w:rPr/>
        <w:t>、</w:t>
      </w:r>
      <w:r>
        <w:rPr>
          <w:spacing w:val="-23"/>
        </w:rPr>
        <w:t> </w:t>
      </w:r>
      <w:r>
        <w:rPr/>
        <w:t>代理买卖证券款</w:t>
      </w:r>
      <w:r>
        <w:rPr>
          <w:b w:val="0"/>
          <w:bCs w:val="0"/>
        </w:rPr>
      </w:r>
    </w:p>
    <w:p>
      <w:pPr>
        <w:pStyle w:val="BodyText"/>
        <w:spacing w:line="240" w:lineRule="auto" w:before="56"/>
        <w:ind w:left="8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77" w:right="0"/>
        <w:jc w:val="left"/>
      </w:pPr>
      <w:r>
        <w:rPr/>
        <w:t>单位：元币种：人民币</w:t>
      </w:r>
    </w:p>
    <w:p>
      <w:pPr>
        <w:spacing w:after="0" w:line="240" w:lineRule="auto"/>
        <w:jc w:val="left"/>
        <w:sectPr>
          <w:type w:val="continuous"/>
          <w:pgSz w:w="11910" w:h="16840"/>
          <w:pgMar w:top="1060" w:bottom="1380" w:left="400" w:right="680"/>
          <w:cols w:num="2" w:equalWidth="0">
            <w:col w:w="2860" w:space="4113"/>
            <w:col w:w="3857"/>
          </w:cols>
        </w:sectPr>
      </w:pPr>
    </w:p>
    <w:p>
      <w:pPr>
        <w:spacing w:line="240" w:lineRule="auto" w:before="4"/>
        <w:rPr>
          <w:rFonts w:ascii="宋体" w:hAnsi="宋体" w:cs="宋体" w:eastAsia="宋体" w:hint="default"/>
          <w:sz w:val="2"/>
          <w:szCs w:val="2"/>
        </w:rPr>
      </w:pPr>
    </w:p>
    <w:tbl>
      <w:tblPr>
        <w:tblW w:w="0" w:type="auto"/>
        <w:jc w:val="left"/>
        <w:tblInd w:w="828" w:type="dxa"/>
        <w:tblLayout w:type="fixed"/>
        <w:tblCellMar>
          <w:top w:w="0" w:type="dxa"/>
          <w:left w:w="0" w:type="dxa"/>
          <w:bottom w:w="0" w:type="dxa"/>
          <w:right w:w="0" w:type="dxa"/>
        </w:tblCellMar>
        <w:tblLook w:val="01E0"/>
      </w:tblPr>
      <w:tblGrid>
        <w:gridCol w:w="3032"/>
        <w:gridCol w:w="3096"/>
        <w:gridCol w:w="3097"/>
      </w:tblGrid>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z w:val="21"/>
                <w:szCs w:val="21"/>
              </w:rPr>
              <w:t>项目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普通经纪业务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9,094,380,065.75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9,015,431,872.88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其中：个人</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7,419,331,613.89</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8,044,275,367.07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1,675,048,451.86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971,156,505.81</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信用业务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1,143,788,723.06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1,181,532,008.71</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其中：个人</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825,461,179.02</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1,050,257,874.36</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318,327,544.04</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131,274,134.35</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期权业务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76,848,205.55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27,640,254.70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z w:val="21"/>
                <w:szCs w:val="21"/>
              </w:rPr>
              <w:t>合计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10,315,016,994.36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10,224,604,136.29</w:t>
            </w:r>
          </w:p>
        </w:tc>
      </w:tr>
    </w:tbl>
    <w:p>
      <w:pPr>
        <w:spacing w:line="240" w:lineRule="auto" w:before="7"/>
        <w:rPr>
          <w:rFonts w:ascii="宋体" w:hAnsi="宋体" w:cs="宋体" w:eastAsia="宋体" w:hint="default"/>
          <w:sz w:val="15"/>
          <w:szCs w:val="15"/>
        </w:rPr>
      </w:pPr>
    </w:p>
    <w:p>
      <w:pPr>
        <w:pStyle w:val="BodyText"/>
        <w:spacing w:line="272" w:lineRule="exact" w:before="64"/>
        <w:ind w:left="877" w:right="7471"/>
        <w:jc w:val="left"/>
      </w:pPr>
      <w:r>
        <w:rPr>
          <w:spacing w:val="-2"/>
        </w:rPr>
        <w:t>代理买卖证券款的说明：</w:t>
      </w:r>
      <w:r>
        <w:rPr>
          <w:spacing w:val="-82"/>
        </w:rPr>
        <w:t> </w:t>
      </w:r>
      <w:r>
        <w:rPr>
          <w:spacing w:val="-82"/>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2"/>
        <w:ind w:left="877" w:right="7471"/>
        <w:jc w:val="left"/>
        <w:rPr>
          <w:b w:val="0"/>
          <w:bCs w:val="0"/>
        </w:rPr>
      </w:pPr>
      <w:r>
        <w:rPr>
          <w:rFonts w:ascii="宋体" w:hAnsi="宋体" w:cs="宋体" w:eastAsia="宋体" w:hint="default"/>
        </w:rPr>
        <w:t>30</w:t>
      </w:r>
      <w:r>
        <w:rPr/>
        <w:t>、</w:t>
      </w:r>
      <w:r>
        <w:rPr>
          <w:spacing w:val="-23"/>
        </w:rPr>
        <w:t> </w:t>
      </w:r>
      <w:r>
        <w:rPr/>
        <w:t>代理承销证券款</w:t>
      </w:r>
      <w:r>
        <w:rPr>
          <w:b w:val="0"/>
          <w:bCs w:val="0"/>
        </w:rPr>
      </w:r>
    </w:p>
    <w:p>
      <w:pPr>
        <w:pStyle w:val="BodyText"/>
        <w:spacing w:line="240" w:lineRule="auto" w:before="56"/>
        <w:ind w:left="877" w:right="747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7"/>
        <w:ind w:left="877" w:right="7471"/>
        <w:jc w:val="left"/>
        <w:rPr>
          <w:b w:val="0"/>
          <w:bCs w:val="0"/>
        </w:rPr>
      </w:pPr>
      <w:r>
        <w:rPr>
          <w:rFonts w:ascii="宋体" w:hAnsi="宋体" w:cs="宋体" w:eastAsia="宋体" w:hint="default"/>
        </w:rPr>
        <w:t>31</w:t>
      </w:r>
      <w:r>
        <w:rPr/>
        <w:t>、</w:t>
      </w:r>
      <w:r>
        <w:rPr>
          <w:spacing w:val="-24"/>
        </w:rPr>
        <w:t> </w:t>
      </w:r>
      <w:r>
        <w:rPr/>
        <w:t>衍生金融负债</w:t>
      </w:r>
      <w:r>
        <w:rPr>
          <w:b w:val="0"/>
          <w:bCs w:val="0"/>
        </w:rPr>
      </w:r>
    </w:p>
    <w:p>
      <w:pPr>
        <w:pStyle w:val="BodyText"/>
        <w:spacing w:line="240" w:lineRule="auto" w:before="58"/>
        <w:ind w:left="877" w:right="7471"/>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60" w:bottom="1380" w:left="400" w:right="680"/>
        </w:sectPr>
      </w:pPr>
    </w:p>
    <w:p>
      <w:pPr>
        <w:pStyle w:val="Heading5"/>
        <w:spacing w:line="290" w:lineRule="auto" w:before="36"/>
        <w:ind w:left="877" w:right="-16"/>
        <w:jc w:val="left"/>
        <w:rPr>
          <w:b w:val="0"/>
          <w:bCs w:val="0"/>
        </w:rPr>
      </w:pPr>
      <w:r>
        <w:rPr>
          <w:rFonts w:ascii="宋体" w:hAnsi="宋体" w:cs="宋体" w:eastAsia="宋体" w:hint="default"/>
        </w:rPr>
        <w:t>32</w:t>
      </w:r>
      <w:r>
        <w:rPr/>
        <w:t>、</w:t>
      </w:r>
      <w:r>
        <w:rPr>
          <w:spacing w:val="-25"/>
        </w:rPr>
        <w:t> </w:t>
      </w:r>
      <w:r>
        <w:rPr/>
        <w:t>应付款项</w:t>
      </w:r>
      <w:r>
        <w:rPr>
          <w:w w:val="100"/>
        </w:rPr>
        <w:t> </w:t>
      </w:r>
      <w:r>
        <w:rPr>
          <w:rFonts w:ascii="宋体" w:hAnsi="宋体" w:cs="宋体" w:eastAsia="宋体" w:hint="default"/>
        </w:rPr>
        <w:t>(1).</w:t>
      </w:r>
      <w:r>
        <w:rPr/>
        <w:t>应付款项列示</w:t>
      </w:r>
      <w:r>
        <w:rPr>
          <w:b w:val="0"/>
          <w:bCs w:val="0"/>
        </w:rPr>
      </w:r>
    </w:p>
    <w:p>
      <w:pPr>
        <w:pStyle w:val="BodyText"/>
        <w:spacing w:line="240" w:lineRule="auto" w:before="14"/>
        <w:ind w:left="87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877" w:right="0"/>
        <w:jc w:val="left"/>
      </w:pPr>
      <w:r>
        <w:rPr/>
        <w:t>单位：元币种：人民币</w:t>
      </w:r>
    </w:p>
    <w:p>
      <w:pPr>
        <w:spacing w:after="0" w:line="240" w:lineRule="auto"/>
        <w:jc w:val="left"/>
        <w:sectPr>
          <w:type w:val="continuous"/>
          <w:pgSz w:w="11910" w:h="16840"/>
          <w:pgMar w:top="1060" w:bottom="1380" w:left="400" w:right="680"/>
          <w:cols w:num="2" w:equalWidth="0">
            <w:col w:w="2570" w:space="4403"/>
            <w:col w:w="3857"/>
          </w:cols>
        </w:sectPr>
      </w:pPr>
    </w:p>
    <w:p>
      <w:pPr>
        <w:spacing w:line="240" w:lineRule="auto" w:before="7"/>
        <w:rPr>
          <w:rFonts w:ascii="宋体" w:hAnsi="宋体" w:cs="宋体" w:eastAsia="宋体" w:hint="default"/>
          <w:sz w:val="2"/>
          <w:szCs w:val="2"/>
        </w:rPr>
      </w:pPr>
    </w:p>
    <w:tbl>
      <w:tblPr>
        <w:tblW w:w="0" w:type="auto"/>
        <w:jc w:val="left"/>
        <w:tblInd w:w="764" w:type="dxa"/>
        <w:tblLayout w:type="fixed"/>
        <w:tblCellMar>
          <w:top w:w="0" w:type="dxa"/>
          <w:left w:w="0" w:type="dxa"/>
          <w:bottom w:w="0" w:type="dxa"/>
          <w:right w:w="0" w:type="dxa"/>
        </w:tblCellMar>
        <w:tblLook w:val="01E0"/>
      </w:tblPr>
      <w:tblGrid>
        <w:gridCol w:w="2975"/>
        <w:gridCol w:w="3161"/>
        <w:gridCol w:w="3154"/>
      </w:tblGrid>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8"/>
              <w:jc w:val="right"/>
              <w:rPr>
                <w:rFonts w:ascii="宋体" w:hAnsi="宋体" w:cs="宋体" w:eastAsia="宋体" w:hint="default"/>
                <w:sz w:val="21"/>
                <w:szCs w:val="21"/>
              </w:rPr>
            </w:pPr>
            <w:r>
              <w:rPr>
                <w:rFonts w:ascii="宋体" w:hAnsi="宋体" w:cs="宋体" w:eastAsia="宋体" w:hint="default"/>
                <w:sz w:val="21"/>
                <w:szCs w:val="21"/>
              </w:rPr>
              <w:t>项目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应付清算款</w:t>
            </w:r>
          </w:p>
        </w:tc>
        <w:tc>
          <w:tcPr>
            <w:tcW w:w="3161"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455,279,931.43</w:t>
            </w:r>
          </w:p>
        </w:tc>
      </w:tr>
      <w:tr>
        <w:trPr>
          <w:trHeight w:val="28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8"/>
              <w:jc w:val="right"/>
              <w:rPr>
                <w:rFonts w:ascii="宋体" w:hAnsi="宋体" w:cs="宋体" w:eastAsia="宋体" w:hint="default"/>
                <w:sz w:val="21"/>
                <w:szCs w:val="21"/>
              </w:rPr>
            </w:pPr>
            <w:r>
              <w:rPr>
                <w:rFonts w:ascii="宋体" w:hAnsi="宋体" w:cs="宋体" w:eastAsia="宋体" w:hint="default"/>
                <w:sz w:val="21"/>
                <w:szCs w:val="21"/>
              </w:rPr>
              <w:t>合计</w:t>
            </w:r>
          </w:p>
        </w:tc>
        <w:tc>
          <w:tcPr>
            <w:tcW w:w="3161"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455,279,931.43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74" w:lineRule="exact" w:before="36"/>
        <w:ind w:left="877" w:right="7471"/>
        <w:jc w:val="left"/>
      </w:pPr>
      <w:r>
        <w:rPr/>
        <w:t>其他说明</w:t>
      </w:r>
    </w:p>
    <w:p>
      <w:pPr>
        <w:pStyle w:val="BodyText"/>
        <w:spacing w:line="274" w:lineRule="exact"/>
        <w:ind w:left="877" w:right="7471"/>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400" w:right="680"/>
        </w:sectPr>
      </w:pPr>
    </w:p>
    <w:p>
      <w:pPr>
        <w:pStyle w:val="Heading5"/>
        <w:spacing w:line="290" w:lineRule="auto" w:before="36"/>
        <w:ind w:left="877" w:right="-16"/>
        <w:jc w:val="left"/>
        <w:rPr>
          <w:b w:val="0"/>
          <w:bCs w:val="0"/>
        </w:rPr>
      </w:pPr>
      <w:r>
        <w:rPr>
          <w:rFonts w:ascii="宋体" w:hAnsi="宋体" w:cs="宋体" w:eastAsia="宋体" w:hint="default"/>
        </w:rPr>
        <w:t>33</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87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877" w:right="0"/>
        <w:jc w:val="left"/>
      </w:pPr>
      <w:r>
        <w:rPr/>
        <w:t>单位：元币种：人民币</w:t>
      </w:r>
    </w:p>
    <w:p>
      <w:pPr>
        <w:spacing w:after="0" w:line="240" w:lineRule="auto"/>
        <w:jc w:val="left"/>
        <w:sectPr>
          <w:type w:val="continuous"/>
          <w:pgSz w:w="11910" w:h="16840"/>
          <w:pgMar w:top="1060" w:bottom="1380" w:left="400" w:right="680"/>
          <w:cols w:num="2" w:equalWidth="0">
            <w:col w:w="2992" w:space="3981"/>
            <w:col w:w="3857"/>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64"/>
        <w:gridCol w:w="2185"/>
        <w:gridCol w:w="2036"/>
        <w:gridCol w:w="1957"/>
        <w:gridCol w:w="2050"/>
      </w:tblGrid>
      <w:tr>
        <w:trPr>
          <w:trHeight w:val="284"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1,338,133,782.63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1,133,834,514.86</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1,096,233,920.10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1,375,734,377.39</w:t>
            </w: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二、离职后福利</w:t>
            </w:r>
            <w:r>
              <w:rPr>
                <w:rFonts w:ascii="宋体" w:hAnsi="宋体" w:cs="宋体" w:eastAsia="宋体" w:hint="default"/>
                <w:spacing w:val="-7"/>
                <w:sz w:val="21"/>
                <w:szCs w:val="21"/>
              </w:rPr>
              <w:t>-</w:t>
            </w:r>
            <w:r>
              <w:rPr>
                <w:rFonts w:ascii="宋体" w:hAnsi="宋体" w:cs="宋体" w:eastAsia="宋体" w:hint="default"/>
                <w:spacing w:val="-7"/>
                <w:sz w:val="21"/>
                <w:szCs w:val="21"/>
              </w:rPr>
              <w:t>设定提</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12,747,814.97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86,410,588.23</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93,207,037.38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5,951,365.82</w:t>
            </w:r>
          </w:p>
        </w:tc>
      </w:tr>
    </w:tbl>
    <w:p>
      <w:pPr>
        <w:spacing w:after="0" w:line="241" w:lineRule="exact"/>
        <w:jc w:val="right"/>
        <w:rPr>
          <w:rFonts w:ascii="宋体" w:hAnsi="宋体" w:cs="宋体" w:eastAsia="宋体" w:hint="default"/>
          <w:sz w:val="21"/>
          <w:szCs w:val="21"/>
        </w:rPr>
        <w:sectPr>
          <w:type w:val="continuous"/>
          <w:pgSz w:w="11910" w:h="16840"/>
          <w:pgMar w:top="1060" w:bottom="1380" w:left="400" w:right="680"/>
        </w:sectPr>
      </w:pPr>
    </w:p>
    <w:p>
      <w:pPr>
        <w:spacing w:line="240" w:lineRule="auto" w:before="0"/>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364"/>
        <w:gridCol w:w="2185"/>
        <w:gridCol w:w="2036"/>
        <w:gridCol w:w="1957"/>
        <w:gridCol w:w="2050"/>
      </w:tblGrid>
      <w:tr>
        <w:trPr>
          <w:trHeight w:val="284"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21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sz w:val="21"/>
              </w:rPr>
              <w:t>1,350,881,597.60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1,220,245,103.09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1,189,440,957.48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1,381,685,743.21</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400" w:right="600"/>
        </w:sectPr>
      </w:pPr>
    </w:p>
    <w:p>
      <w:pPr>
        <w:pStyle w:val="Heading5"/>
        <w:spacing w:line="240" w:lineRule="auto" w:before="36"/>
        <w:ind w:left="87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87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7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400" w:right="600"/>
          <w:cols w:num="2" w:equalWidth="0">
            <w:col w:w="2570" w:space="4509"/>
            <w:col w:w="3831"/>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328"/>
        <w:gridCol w:w="2185"/>
        <w:gridCol w:w="2079"/>
        <w:gridCol w:w="1995"/>
        <w:gridCol w:w="2035"/>
      </w:tblGrid>
      <w:tr>
        <w:trPr>
          <w:trHeight w:val="281"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1,289,476,774.17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981,353,764.40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942,793,440.00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1,328,037,098.57</w:t>
            </w: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5,201,026.91</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22,243,534.39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22,237,867.72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5,206,693.58</w:t>
            </w: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8,036,140.88</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64,557,936.72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59,538,004.89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13,056,072.71</w:t>
            </w:r>
          </w:p>
        </w:tc>
      </w:tr>
      <w:tr>
        <w:trPr>
          <w:trHeight w:val="281"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7,894,409.66</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60,316,393.31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55,255,765.82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12,955,037.15</w:t>
            </w: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41,541.92</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758,841.53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774,479.87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25,903.58</w:t>
            </w: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86,197.97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3,350,196.50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3,361,262.49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75,131.98</w:t>
            </w:r>
          </w:p>
        </w:tc>
      </w:tr>
      <w:tr>
        <w:trPr>
          <w:trHeight w:val="281"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13,991.33</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132,505.38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146,496.71</w:t>
            </w:r>
          </w:p>
        </w:tc>
        <w:tc>
          <w:tcPr>
            <w:tcW w:w="20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795,446.60</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45,275,411.75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45,242,450.35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828,408.00</w:t>
            </w:r>
          </w:p>
        </w:tc>
      </w:tr>
      <w:tr>
        <w:trPr>
          <w:trHeight w:val="554"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五、工会经费和职工教</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34,624,394.07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20,403,867.60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26,422,157.14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28,606,104.53</w:t>
            </w: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1,338,133,782.63</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1,133,834,514.86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1,096,233,920.10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1,375,734,377.39</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400" w:right="600"/>
        </w:sectPr>
      </w:pPr>
    </w:p>
    <w:p>
      <w:pPr>
        <w:pStyle w:val="Heading5"/>
        <w:spacing w:line="240" w:lineRule="auto" w:before="36"/>
        <w:ind w:left="87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87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77" w:right="0"/>
        <w:jc w:val="left"/>
      </w:pPr>
      <w:r>
        <w:rPr/>
        <w:t>单位：元币种：人民币</w:t>
      </w:r>
    </w:p>
    <w:p>
      <w:pPr>
        <w:spacing w:after="0" w:line="240" w:lineRule="auto"/>
        <w:jc w:val="left"/>
        <w:sectPr>
          <w:type w:val="continuous"/>
          <w:pgSz w:w="11910" w:h="16840"/>
          <w:pgMar w:top="1060" w:bottom="1380" w:left="400" w:right="600"/>
          <w:cols w:num="2" w:equalWidth="0">
            <w:col w:w="2992" w:space="3981"/>
            <w:col w:w="3937"/>
          </w:cols>
        </w:sectPr>
      </w:pPr>
    </w:p>
    <w:p>
      <w:pPr>
        <w:spacing w:line="240" w:lineRule="auto" w:before="7"/>
        <w:rPr>
          <w:rFonts w:ascii="宋体" w:hAnsi="宋体" w:cs="宋体" w:eastAsia="宋体" w:hint="default"/>
          <w:sz w:val="2"/>
          <w:szCs w:val="2"/>
        </w:rPr>
      </w:pPr>
    </w:p>
    <w:tbl>
      <w:tblPr>
        <w:tblW w:w="0" w:type="auto"/>
        <w:jc w:val="left"/>
        <w:tblInd w:w="761" w:type="dxa"/>
        <w:tblLayout w:type="fixed"/>
        <w:tblCellMar>
          <w:top w:w="0" w:type="dxa"/>
          <w:left w:w="0" w:type="dxa"/>
          <w:bottom w:w="0" w:type="dxa"/>
          <w:right w:w="0" w:type="dxa"/>
        </w:tblCellMar>
        <w:tblLook w:val="01E0"/>
      </w:tblPr>
      <w:tblGrid>
        <w:gridCol w:w="2655"/>
        <w:gridCol w:w="1666"/>
        <w:gridCol w:w="1652"/>
        <w:gridCol w:w="1682"/>
        <w:gridCol w:w="1635"/>
      </w:tblGrid>
      <w:tr>
        <w:trPr>
          <w:trHeight w:val="288"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6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4,368,937.61</w:t>
            </w:r>
          </w:p>
        </w:tc>
        <w:tc>
          <w:tcPr>
            <w:tcW w:w="165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54,859,399.67</w:t>
            </w:r>
          </w:p>
        </w:tc>
        <w:tc>
          <w:tcPr>
            <w:tcW w:w="168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54,947,131.16</w:t>
            </w:r>
          </w:p>
        </w:tc>
        <w:tc>
          <w:tcPr>
            <w:tcW w:w="16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4,281,206.12</w:t>
            </w:r>
          </w:p>
        </w:tc>
      </w:tr>
      <w:tr>
        <w:trPr>
          <w:trHeight w:val="288"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66"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62,238.93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1,772,151.64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1,783,437.36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50,953.21</w:t>
            </w:r>
          </w:p>
        </w:tc>
      </w:tr>
      <w:tr>
        <w:trPr>
          <w:trHeight w:val="288"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66"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8,316,638.43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29,779,036.92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36,476,468.86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1,619,206.49</w:t>
            </w:r>
          </w:p>
        </w:tc>
      </w:tr>
      <w:tr>
        <w:trPr>
          <w:trHeight w:val="288" w:hRule="exact"/>
        </w:trPr>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12,747,814.97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86,410,588.23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93,207,037.38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5,951,365.82</w:t>
            </w:r>
          </w:p>
        </w:tc>
      </w:tr>
    </w:tbl>
    <w:p>
      <w:pPr>
        <w:pStyle w:val="BodyText"/>
        <w:spacing w:line="239" w:lineRule="exact"/>
        <w:ind w:left="877" w:right="0"/>
        <w:jc w:val="left"/>
      </w:pPr>
      <w:r>
        <w:rPr/>
        <w:t>备注：上表中基本养老保险数据包括公司缴纳的补充养老保险。</w:t>
      </w:r>
    </w:p>
    <w:p>
      <w:pPr>
        <w:pStyle w:val="BodyText"/>
        <w:spacing w:line="272" w:lineRule="exact"/>
        <w:ind w:left="877" w:right="0"/>
        <w:jc w:val="left"/>
      </w:pPr>
      <w:r>
        <w:rPr/>
        <w:t>其他说明：</w:t>
      </w:r>
    </w:p>
    <w:p>
      <w:pPr>
        <w:pStyle w:val="BodyText"/>
        <w:spacing w:line="274" w:lineRule="exact"/>
        <w:ind w:left="877"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400" w:right="600"/>
        </w:sectPr>
      </w:pPr>
    </w:p>
    <w:p>
      <w:pPr>
        <w:pStyle w:val="Heading5"/>
        <w:spacing w:line="240" w:lineRule="auto" w:before="36"/>
        <w:ind w:left="877" w:right="-18"/>
        <w:jc w:val="left"/>
        <w:rPr>
          <w:b w:val="0"/>
          <w:bCs w:val="0"/>
        </w:rPr>
      </w:pPr>
      <w:r>
        <w:rPr>
          <w:rFonts w:ascii="宋体" w:hAnsi="宋体" w:cs="宋体" w:eastAsia="宋体" w:hint="default"/>
        </w:rPr>
        <w:t>34</w:t>
      </w:r>
      <w:r>
        <w:rPr/>
        <w:t>、</w:t>
      </w:r>
      <w:r>
        <w:rPr>
          <w:spacing w:val="-24"/>
        </w:rPr>
        <w:t> </w:t>
      </w:r>
      <w:r>
        <w:rPr/>
        <w:t>应交税费</w:t>
      </w:r>
      <w:r>
        <w:rPr>
          <w:b w:val="0"/>
          <w:bCs w:val="0"/>
        </w:rPr>
      </w:r>
    </w:p>
    <w:p>
      <w:pPr>
        <w:pStyle w:val="BodyText"/>
        <w:spacing w:line="240" w:lineRule="auto" w:before="56"/>
        <w:ind w:left="8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877" w:right="0"/>
        <w:jc w:val="left"/>
      </w:pPr>
      <w:r>
        <w:rPr/>
        <w:t>单位：元币种：人民币</w:t>
      </w:r>
    </w:p>
    <w:p>
      <w:pPr>
        <w:spacing w:after="0" w:line="240" w:lineRule="auto"/>
        <w:jc w:val="left"/>
        <w:sectPr>
          <w:type w:val="continuous"/>
          <w:pgSz w:w="11910" w:h="16840"/>
          <w:pgMar w:top="1060" w:bottom="1380" w:left="400" w:right="600"/>
          <w:cols w:num="2" w:equalWidth="0">
            <w:col w:w="2455" w:space="4518"/>
            <w:col w:w="3937"/>
          </w:cols>
        </w:sectPr>
      </w:pPr>
    </w:p>
    <w:p>
      <w:pPr>
        <w:spacing w:line="240" w:lineRule="auto" w:before="4"/>
        <w:rPr>
          <w:rFonts w:ascii="宋体" w:hAnsi="宋体" w:cs="宋体" w:eastAsia="宋体" w:hint="default"/>
          <w:sz w:val="2"/>
          <w:szCs w:val="2"/>
        </w:rPr>
      </w:pPr>
    </w:p>
    <w:tbl>
      <w:tblPr>
        <w:tblW w:w="0" w:type="auto"/>
        <w:jc w:val="left"/>
        <w:tblInd w:w="840" w:type="dxa"/>
        <w:tblLayout w:type="fixed"/>
        <w:tblCellMar>
          <w:top w:w="0" w:type="dxa"/>
          <w:left w:w="0" w:type="dxa"/>
          <w:bottom w:w="0" w:type="dxa"/>
          <w:right w:w="0" w:type="dxa"/>
        </w:tblCellMar>
        <w:tblLook w:val="01E0"/>
      </w:tblPr>
      <w:tblGrid>
        <w:gridCol w:w="3061"/>
        <w:gridCol w:w="3034"/>
        <w:gridCol w:w="3041"/>
      </w:tblGrid>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13,982,040.67</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9,411,870.50</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47,876,431.86</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172,671,796.36</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15,042,943.26</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17,843,710.47</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1,612,558.70</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1,107,075.00</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教育费附加及地方教育费附加</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1,145,571.69</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784,826.20</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380,406.32</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323,292.37</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2,937,439.21</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242.45</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82,977,391.71</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202,142,813.35</w:t>
            </w:r>
          </w:p>
        </w:tc>
      </w:tr>
    </w:tbl>
    <w:p>
      <w:pPr>
        <w:pStyle w:val="BodyText"/>
        <w:spacing w:line="240" w:lineRule="exact"/>
        <w:ind w:left="877" w:right="0"/>
        <w:jc w:val="left"/>
      </w:pPr>
      <w:r>
        <w:rPr/>
        <w:t>其他说明：</w:t>
      </w:r>
    </w:p>
    <w:p>
      <w:pPr>
        <w:pStyle w:val="BodyText"/>
        <w:spacing w:line="274" w:lineRule="exact"/>
        <w:ind w:left="877" w:right="0"/>
        <w:jc w:val="left"/>
      </w:pPr>
      <w:r>
        <w:rPr>
          <w:w w:val="100"/>
        </w:rPr>
        <w:t>无</w:t>
      </w:r>
    </w:p>
    <w:p>
      <w:pPr>
        <w:spacing w:after="0" w:line="274" w:lineRule="exact"/>
        <w:jc w:val="left"/>
        <w:sectPr>
          <w:type w:val="continuous"/>
          <w:pgSz w:w="11910" w:h="16840"/>
          <w:pgMar w:top="1060" w:bottom="1380" w:left="400" w:right="6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00" w:right="300"/>
        </w:sectPr>
      </w:pPr>
    </w:p>
    <w:p>
      <w:pPr>
        <w:pStyle w:val="Heading5"/>
        <w:spacing w:line="240" w:lineRule="auto" w:before="36"/>
        <w:ind w:left="677" w:right="-18"/>
        <w:jc w:val="left"/>
        <w:rPr>
          <w:b w:val="0"/>
          <w:bCs w:val="0"/>
        </w:rPr>
      </w:pPr>
      <w:r>
        <w:rPr>
          <w:rFonts w:ascii="宋体" w:hAnsi="宋体" w:cs="宋体" w:eastAsia="宋体" w:hint="default"/>
        </w:rPr>
        <w:t>35</w:t>
      </w:r>
      <w:r>
        <w:rPr/>
        <w:t>、</w:t>
      </w:r>
      <w:r>
        <w:rPr>
          <w:spacing w:val="-24"/>
        </w:rPr>
        <w:t> </w:t>
      </w:r>
      <w:r>
        <w:rPr/>
        <w:t>应付利息</w:t>
      </w:r>
      <w:r>
        <w:rPr>
          <w:b w:val="0"/>
          <w:bCs w:val="0"/>
        </w:rPr>
      </w:r>
    </w:p>
    <w:p>
      <w:pPr>
        <w:pStyle w:val="BodyText"/>
        <w:spacing w:line="240" w:lineRule="auto" w:before="56"/>
        <w:ind w:left="6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300"/>
          <w:cols w:num="2" w:equalWidth="0">
            <w:col w:w="2255" w:space="4718"/>
            <w:col w:w="4037"/>
          </w:cols>
        </w:sectPr>
      </w:pPr>
    </w:p>
    <w:p>
      <w:pPr>
        <w:spacing w:line="240" w:lineRule="auto" w:before="4"/>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3210"/>
        <w:gridCol w:w="3017"/>
        <w:gridCol w:w="3063"/>
      </w:tblGrid>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1,209,129.71</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987,777.76</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344,166.66</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其中：转融通融入资金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640,000.00</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16,335,616.44</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收益凭证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32,640,423.46</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66,418,872.51</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卖出回购</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4,632,479.39</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6,550,096.17</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次级债券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448,010,137.00</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171,641,780.82</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69,578,447.12</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102,688,356.16</w:t>
            </w:r>
          </w:p>
        </w:tc>
      </w:tr>
      <w:tr>
        <w:trPr>
          <w:trHeight w:val="28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573,394,010.88</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347,643,272.32</w:t>
            </w:r>
          </w:p>
        </w:tc>
      </w:tr>
    </w:tbl>
    <w:p>
      <w:pPr>
        <w:spacing w:line="240" w:lineRule="auto" w:before="7"/>
        <w:rPr>
          <w:rFonts w:ascii="宋体" w:hAnsi="宋体" w:cs="宋体" w:eastAsia="宋体" w:hint="default"/>
          <w:sz w:val="15"/>
          <w:szCs w:val="15"/>
        </w:rPr>
      </w:pPr>
    </w:p>
    <w:p>
      <w:pPr>
        <w:pStyle w:val="BodyText"/>
        <w:spacing w:line="272" w:lineRule="exact" w:before="64"/>
        <w:ind w:left="677" w:right="8475"/>
        <w:jc w:val="left"/>
      </w:pPr>
      <w:r>
        <w:rPr>
          <w:spacing w:val="-2"/>
        </w:rPr>
        <w:t>应付利息的说明：</w:t>
      </w:r>
      <w:r>
        <w:rPr>
          <w:spacing w:val="-89"/>
        </w:rPr>
        <w:t> </w:t>
      </w:r>
      <w:r>
        <w:rPr>
          <w:spacing w:val="-89"/>
        </w:rPr>
      </w:r>
      <w:r>
        <w:rPr/>
        <w:t>无</w:t>
      </w:r>
    </w:p>
    <w:p>
      <w:pPr>
        <w:spacing w:line="240" w:lineRule="auto" w:before="3"/>
        <w:rPr>
          <w:rFonts w:ascii="宋体" w:hAnsi="宋体" w:cs="宋体" w:eastAsia="宋体" w:hint="default"/>
          <w:sz w:val="26"/>
          <w:szCs w:val="26"/>
        </w:rPr>
      </w:pPr>
    </w:p>
    <w:p>
      <w:pPr>
        <w:pStyle w:val="Heading5"/>
        <w:spacing w:line="240" w:lineRule="auto"/>
        <w:ind w:left="677" w:right="1243"/>
        <w:jc w:val="left"/>
        <w:rPr>
          <w:b w:val="0"/>
          <w:bCs w:val="0"/>
        </w:rPr>
      </w:pPr>
      <w:r>
        <w:rPr>
          <w:rFonts w:ascii="宋体" w:hAnsi="宋体" w:cs="宋体" w:eastAsia="宋体" w:hint="default"/>
        </w:rPr>
        <w:t>36</w:t>
      </w:r>
      <w:r>
        <w:rPr/>
        <w:t>、</w:t>
      </w:r>
      <w:r>
        <w:rPr>
          <w:spacing w:val="-24"/>
        </w:rPr>
        <w:t> </w:t>
      </w:r>
      <w:r>
        <w:rPr/>
        <w:t>持有待售负债</w:t>
      </w:r>
      <w:r>
        <w:rPr>
          <w:b w:val="0"/>
          <w:bCs w:val="0"/>
        </w:rPr>
      </w:r>
    </w:p>
    <w:p>
      <w:pPr>
        <w:pStyle w:val="BodyText"/>
        <w:spacing w:line="240" w:lineRule="auto" w:before="58"/>
        <w:ind w:left="677" w:right="1243"/>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677" w:right="1243"/>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5"/>
        <w:tabs>
          <w:tab w:pos="1308" w:val="left" w:leader="none"/>
        </w:tabs>
        <w:spacing w:line="240" w:lineRule="auto" w:before="56"/>
        <w:ind w:left="677" w:right="1243"/>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9"/>
        <w:ind w:left="677" w:right="1243"/>
        <w:jc w:val="left"/>
      </w:pPr>
      <w:r>
        <w:rPr/>
        <w:t>□适用 √不适用</w:t>
      </w:r>
    </w:p>
    <w:p>
      <w:pPr>
        <w:spacing w:line="240" w:lineRule="auto" w:before="7"/>
        <w:rPr>
          <w:rFonts w:ascii="宋体" w:hAnsi="宋体" w:cs="宋体" w:eastAsia="宋体" w:hint="default"/>
          <w:sz w:val="23"/>
          <w:szCs w:val="23"/>
        </w:rPr>
      </w:pPr>
    </w:p>
    <w:p>
      <w:pPr>
        <w:pStyle w:val="BodyText"/>
        <w:spacing w:line="273" w:lineRule="exact"/>
        <w:ind w:left="677" w:right="1243"/>
        <w:jc w:val="left"/>
      </w:pPr>
      <w:r>
        <w:rPr/>
        <w:t>其他说明，包括利率区间：</w:t>
      </w:r>
    </w:p>
    <w:p>
      <w:pPr>
        <w:pStyle w:val="BodyText"/>
        <w:spacing w:line="273" w:lineRule="exact"/>
        <w:ind w:left="677" w:right="1243"/>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600" w:right="300"/>
        </w:sectPr>
      </w:pPr>
    </w:p>
    <w:p>
      <w:pPr>
        <w:pStyle w:val="Heading5"/>
        <w:spacing w:line="240" w:lineRule="auto" w:before="36"/>
        <w:ind w:left="677" w:right="-18"/>
        <w:jc w:val="left"/>
        <w:rPr>
          <w:b w:val="0"/>
          <w:bCs w:val="0"/>
        </w:rPr>
      </w:pPr>
      <w:r>
        <w:rPr>
          <w:rFonts w:ascii="宋体" w:hAnsi="宋体" w:cs="宋体" w:eastAsia="宋体" w:hint="default"/>
        </w:rPr>
        <w:t>38</w:t>
      </w:r>
      <w:r>
        <w:rPr/>
        <w:t>、</w:t>
      </w:r>
      <w:r>
        <w:rPr>
          <w:spacing w:val="-25"/>
        </w:rPr>
        <w:t> </w:t>
      </w:r>
      <w:r>
        <w:rPr/>
        <w:t>应付债券</w:t>
      </w:r>
      <w:r>
        <w:rPr>
          <w:b w:val="0"/>
          <w:bCs w:val="0"/>
        </w:rPr>
      </w:r>
    </w:p>
    <w:p>
      <w:pPr>
        <w:pStyle w:val="BodyText"/>
        <w:spacing w:line="240" w:lineRule="auto" w:before="56"/>
        <w:ind w:left="6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300"/>
          <w:cols w:num="2" w:equalWidth="0">
            <w:col w:w="2255" w:space="4718"/>
            <w:col w:w="403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67"/>
        <w:gridCol w:w="434"/>
        <w:gridCol w:w="874"/>
        <w:gridCol w:w="581"/>
        <w:gridCol w:w="1457"/>
        <w:gridCol w:w="581"/>
        <w:gridCol w:w="1601"/>
        <w:gridCol w:w="1308"/>
        <w:gridCol w:w="1309"/>
        <w:gridCol w:w="1457"/>
      </w:tblGrid>
      <w:tr>
        <w:trPr>
          <w:trHeight w:val="1573"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80"/>
              <w:jc w:val="right"/>
              <w:rPr>
                <w:rFonts w:ascii="宋体" w:hAnsi="宋体" w:cs="宋体" w:eastAsia="宋体" w:hint="default"/>
                <w:sz w:val="20"/>
                <w:szCs w:val="20"/>
              </w:rPr>
            </w:pPr>
            <w:r>
              <w:rPr>
                <w:rFonts w:ascii="宋体" w:hAnsi="宋体" w:cs="宋体" w:eastAsia="宋体" w:hint="default"/>
                <w:w w:val="95"/>
                <w:sz w:val="20"/>
                <w:szCs w:val="20"/>
              </w:rPr>
              <w:t>债券类型</w:t>
            </w:r>
            <w:r>
              <w:rPr>
                <w:rFonts w:ascii="宋体" w:hAnsi="宋体" w:cs="宋体" w:eastAsia="宋体" w:hint="default"/>
                <w:sz w:val="20"/>
                <w:szCs w:val="20"/>
              </w:rPr>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60" w:lineRule="exact"/>
              <w:ind w:left="107" w:right="110"/>
              <w:jc w:val="left"/>
              <w:rPr>
                <w:rFonts w:ascii="宋体" w:hAnsi="宋体" w:cs="宋体" w:eastAsia="宋体" w:hint="default"/>
                <w:sz w:val="20"/>
                <w:szCs w:val="20"/>
              </w:rPr>
            </w:pPr>
            <w:r>
              <w:rPr>
                <w:rFonts w:ascii="宋体" w:hAnsi="宋体" w:cs="宋体" w:eastAsia="宋体" w:hint="default"/>
                <w:sz w:val="20"/>
                <w:szCs w:val="20"/>
              </w:rPr>
              <w:t>面</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60" w:lineRule="exact"/>
              <w:ind w:left="328" w:right="131" w:hanging="200"/>
              <w:jc w:val="left"/>
              <w:rPr>
                <w:rFonts w:ascii="宋体" w:hAnsi="宋体" w:cs="宋体" w:eastAsia="宋体" w:hint="default"/>
                <w:sz w:val="20"/>
                <w:szCs w:val="20"/>
              </w:rPr>
            </w:pPr>
            <w:r>
              <w:rPr>
                <w:rFonts w:ascii="宋体" w:hAnsi="宋体" w:cs="宋体" w:eastAsia="宋体" w:hint="default"/>
                <w:sz w:val="20"/>
                <w:szCs w:val="20"/>
              </w:rPr>
              <w:t>起息日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82" w:right="182"/>
              <w:jc w:val="both"/>
              <w:rPr>
                <w:rFonts w:ascii="宋体" w:hAnsi="宋体" w:cs="宋体" w:eastAsia="宋体" w:hint="default"/>
                <w:sz w:val="20"/>
                <w:szCs w:val="20"/>
              </w:rPr>
            </w:pPr>
            <w:r>
              <w:rPr>
                <w:rFonts w:ascii="宋体" w:hAnsi="宋体" w:cs="宋体" w:eastAsia="宋体" w:hint="default"/>
                <w:sz w:val="20"/>
                <w:szCs w:val="20"/>
              </w:rPr>
              <w:t>债</w:t>
            </w:r>
            <w:r>
              <w:rPr>
                <w:rFonts w:ascii="宋体" w:hAnsi="宋体" w:cs="宋体" w:eastAsia="宋体" w:hint="default"/>
                <w:w w:val="99"/>
                <w:sz w:val="20"/>
                <w:szCs w:val="20"/>
              </w:rPr>
              <w:t> </w:t>
            </w:r>
            <w:r>
              <w:rPr>
                <w:rFonts w:ascii="宋体" w:hAnsi="宋体" w:cs="宋体" w:eastAsia="宋体" w:hint="default"/>
                <w:sz w:val="20"/>
                <w:szCs w:val="20"/>
              </w:rPr>
              <w:t>券</w:t>
            </w:r>
            <w:r>
              <w:rPr>
                <w:rFonts w:ascii="宋体" w:hAnsi="宋体" w:cs="宋体" w:eastAsia="宋体" w:hint="default"/>
                <w:w w:val="99"/>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限</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sz w:val="20"/>
                <w:szCs w:val="20"/>
              </w:rPr>
              <w:t>发行金额</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79" w:right="0"/>
              <w:jc w:val="both"/>
              <w:rPr>
                <w:rFonts w:ascii="宋体" w:hAnsi="宋体" w:cs="宋体" w:eastAsia="宋体" w:hint="default"/>
                <w:sz w:val="20"/>
                <w:szCs w:val="20"/>
              </w:rPr>
            </w:pPr>
            <w:r>
              <w:rPr>
                <w:rFonts w:ascii="宋体" w:hAnsi="宋体" w:cs="宋体" w:eastAsia="宋体" w:hint="default"/>
                <w:w w:val="99"/>
                <w:sz w:val="20"/>
                <w:szCs w:val="20"/>
              </w:rPr>
              <w:t>票</w:t>
            </w:r>
            <w:r>
              <w:rPr>
                <w:rFonts w:ascii="宋体" w:hAnsi="宋体" w:cs="宋体" w:eastAsia="宋体" w:hint="default"/>
                <w:sz w:val="20"/>
                <w:szCs w:val="20"/>
              </w:rPr>
            </w:r>
          </w:p>
          <w:p>
            <w:pPr>
              <w:pStyle w:val="TableParagraph"/>
              <w:spacing w:line="260" w:lineRule="exact" w:before="24"/>
              <w:ind w:left="179" w:right="185"/>
              <w:jc w:val="both"/>
              <w:rPr>
                <w:rFonts w:ascii="宋体" w:hAnsi="宋体" w:cs="宋体" w:eastAsia="宋体" w:hint="default"/>
                <w:sz w:val="20"/>
                <w:szCs w:val="20"/>
              </w:rPr>
            </w:pPr>
            <w:r>
              <w:rPr>
                <w:rFonts w:ascii="宋体" w:hAnsi="宋体" w:cs="宋体" w:eastAsia="宋体" w:hint="default"/>
                <w:sz w:val="20"/>
                <w:szCs w:val="20"/>
              </w:rPr>
              <w:t>面</w:t>
            </w:r>
            <w:r>
              <w:rPr>
                <w:rFonts w:ascii="宋体" w:hAnsi="宋体" w:cs="宋体" w:eastAsia="宋体" w:hint="default"/>
                <w:w w:val="99"/>
                <w:sz w:val="20"/>
                <w:szCs w:val="20"/>
              </w:rPr>
              <w:t> </w:t>
            </w:r>
            <w:r>
              <w:rPr>
                <w:rFonts w:ascii="宋体" w:hAnsi="宋体" w:cs="宋体" w:eastAsia="宋体" w:hint="default"/>
                <w:sz w:val="20"/>
                <w:szCs w:val="20"/>
              </w:rPr>
              <w:t>利</w:t>
            </w:r>
            <w:r>
              <w:rPr>
                <w:rFonts w:ascii="宋体" w:hAnsi="宋体" w:cs="宋体" w:eastAsia="宋体" w:hint="default"/>
                <w:w w:val="99"/>
                <w:sz w:val="20"/>
                <w:szCs w:val="20"/>
              </w:rPr>
              <w:t> </w:t>
            </w:r>
            <w:r>
              <w:rPr>
                <w:rFonts w:ascii="宋体" w:hAnsi="宋体" w:cs="宋体" w:eastAsia="宋体" w:hint="default"/>
                <w:sz w:val="20"/>
                <w:szCs w:val="20"/>
              </w:rPr>
              <w:t>率</w:t>
            </w:r>
          </w:p>
          <w:p>
            <w:pPr>
              <w:pStyle w:val="TableParagraph"/>
              <w:spacing w:line="237" w:lineRule="exact"/>
              <w:ind w:left="129" w:right="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p>
          <w:p>
            <w:pPr>
              <w:pStyle w:val="TableParagraph"/>
              <w:spacing w:line="260" w:lineRule="exact"/>
              <w:ind w:left="179" w:right="0"/>
              <w:jc w:val="both"/>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4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2014</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一期次级债券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2014/10/28</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sz w:val="13"/>
              </w:rPr>
              <w:t>1,000,000,000.00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6.25</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46" w:right="0"/>
              <w:jc w:val="left"/>
              <w:rPr>
                <w:rFonts w:ascii="宋体" w:hAnsi="宋体" w:cs="宋体" w:eastAsia="宋体" w:hint="default"/>
                <w:sz w:val="13"/>
                <w:szCs w:val="13"/>
              </w:rPr>
            </w:pPr>
            <w:r>
              <w:rPr>
                <w:rFonts w:ascii="宋体"/>
                <w:sz w:val="13"/>
              </w:rPr>
              <w:t>1,000,000,000.00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2014</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二期次级债券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2014/11/17</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sz w:val="13"/>
              </w:rPr>
              <w:t>1,000,000,000.00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5.95</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46" w:right="0"/>
              <w:jc w:val="left"/>
              <w:rPr>
                <w:rFonts w:ascii="宋体" w:hAnsi="宋体" w:cs="宋体" w:eastAsia="宋体" w:hint="default"/>
                <w:sz w:val="13"/>
                <w:szCs w:val="13"/>
              </w:rPr>
            </w:pPr>
            <w:r>
              <w:rPr>
                <w:rFonts w:ascii="宋体"/>
                <w:sz w:val="13"/>
              </w:rPr>
              <w:t>1,000,000,000.00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2015</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一期次级债券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2015/3/23</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sz w:val="13"/>
              </w:rPr>
              <w:t>1,000,000,000.00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5.85</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46" w:right="0"/>
              <w:jc w:val="left"/>
              <w:rPr>
                <w:rFonts w:ascii="宋体" w:hAnsi="宋体" w:cs="宋体" w:eastAsia="宋体" w:hint="default"/>
                <w:sz w:val="13"/>
                <w:szCs w:val="13"/>
              </w:rPr>
            </w:pPr>
            <w:r>
              <w:rPr>
                <w:rFonts w:ascii="宋体"/>
                <w:sz w:val="13"/>
              </w:rPr>
              <w:t>1,000,000,000.00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2015</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二期次级债券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2015/4/29</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sz w:val="13"/>
              </w:rPr>
              <w:t>1,500,000,000.00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6.05</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46" w:right="0"/>
              <w:jc w:val="left"/>
              <w:rPr>
                <w:rFonts w:ascii="宋体" w:hAnsi="宋体" w:cs="宋体" w:eastAsia="宋体" w:hint="default"/>
                <w:sz w:val="13"/>
                <w:szCs w:val="13"/>
              </w:rPr>
            </w:pPr>
            <w:r>
              <w:rPr>
                <w:rFonts w:ascii="宋体"/>
                <w:sz w:val="13"/>
              </w:rPr>
              <w:t>1,500,000,000.00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1,500,000,000.00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2016</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一期次级债券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2016/5/23</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sz w:val="13"/>
              </w:rPr>
              <w:t>1,000,000,000.00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4.00</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46" w:right="0"/>
              <w:jc w:val="left"/>
              <w:rPr>
                <w:rFonts w:ascii="宋体" w:hAnsi="宋体" w:cs="宋体" w:eastAsia="宋体" w:hint="default"/>
                <w:sz w:val="13"/>
                <w:szCs w:val="13"/>
              </w:rPr>
            </w:pPr>
            <w:r>
              <w:rPr>
                <w:rFonts w:ascii="宋体"/>
                <w:sz w:val="13"/>
              </w:rPr>
              <w:t>1,000,000,000.00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2016</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二期次级债券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2016/6/16</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sz w:val="13"/>
              </w:rPr>
              <w:t>1,000,000,000.00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5.30</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446" w:right="0"/>
              <w:jc w:val="left"/>
              <w:rPr>
                <w:rFonts w:ascii="宋体" w:hAnsi="宋体" w:cs="宋体" w:eastAsia="宋体" w:hint="default"/>
                <w:sz w:val="13"/>
                <w:szCs w:val="13"/>
              </w:rPr>
            </w:pPr>
            <w:r>
              <w:rPr>
                <w:rFonts w:ascii="宋体"/>
                <w:sz w:val="13"/>
              </w:rPr>
              <w:t>1,000,000,000.00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83" w:right="0"/>
              <w:jc w:val="left"/>
              <w:rPr>
                <w:rFonts w:ascii="宋体" w:hAnsi="宋体" w:cs="宋体" w:eastAsia="宋体" w:hint="default"/>
                <w:sz w:val="13"/>
                <w:szCs w:val="13"/>
              </w:rPr>
            </w:pPr>
            <w:r>
              <w:rPr>
                <w:rFonts w:ascii="宋体"/>
                <w:sz w:val="13"/>
              </w:rPr>
              <w:t>400,000,000.00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600,000,000.00</w:t>
            </w:r>
            <w:r>
              <w:rPr>
                <w:rFonts w:ascii="宋体"/>
                <w:sz w:val="13"/>
              </w:rPr>
            </w:r>
          </w:p>
        </w:tc>
      </w:tr>
      <w:tr>
        <w:trPr>
          <w:trHeight w:val="182"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44"/>
              <w:jc w:val="right"/>
              <w:rPr>
                <w:rFonts w:ascii="宋体" w:hAnsi="宋体" w:cs="宋体" w:eastAsia="宋体" w:hint="default"/>
                <w:sz w:val="13"/>
                <w:szCs w:val="13"/>
              </w:rPr>
            </w:pPr>
            <w:r>
              <w:rPr>
                <w:rFonts w:ascii="宋体" w:hAnsi="宋体" w:cs="宋体" w:eastAsia="宋体" w:hint="default"/>
                <w:w w:val="95"/>
                <w:sz w:val="13"/>
                <w:szCs w:val="13"/>
              </w:rPr>
              <w:t>财通证券股份有</w:t>
            </w:r>
            <w:r>
              <w:rPr>
                <w:rFonts w:ascii="宋体" w:hAnsi="宋体" w:cs="宋体" w:eastAsia="宋体" w:hint="default"/>
                <w:sz w:val="13"/>
                <w:szCs w:val="13"/>
              </w:rPr>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2018/3/19</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02" w:right="0"/>
              <w:jc w:val="left"/>
              <w:rPr>
                <w:rFonts w:ascii="宋体" w:hAnsi="宋体" w:cs="宋体" w:eastAsia="宋体" w:hint="default"/>
                <w:sz w:val="13"/>
                <w:szCs w:val="13"/>
              </w:rPr>
            </w:pPr>
            <w:r>
              <w:rPr>
                <w:rFonts w:ascii="宋体"/>
                <w:sz w:val="13"/>
              </w:rPr>
              <w:t>3,000,000,000.00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5.85</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45" w:right="0"/>
              <w:jc w:val="center"/>
              <w:rPr>
                <w:rFonts w:ascii="宋体" w:hAnsi="宋体" w:cs="宋体" w:eastAsia="宋体" w:hint="default"/>
                <w:sz w:val="13"/>
                <w:szCs w:val="13"/>
              </w:rPr>
            </w:pPr>
            <w:r>
              <w:rPr>
                <w:rFonts w:ascii="宋体"/>
                <w:sz w:val="13"/>
              </w:rPr>
              <w:t>3,000,000,000.00</w:t>
            </w: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3,000,000,000.00</w:t>
            </w:r>
            <w:r>
              <w:rPr>
                <w:rFonts w:ascii="宋体"/>
                <w:sz w:val="13"/>
              </w:rPr>
            </w:r>
          </w:p>
        </w:tc>
      </w:tr>
    </w:tbl>
    <w:p>
      <w:pPr>
        <w:spacing w:after="0" w:line="145" w:lineRule="exact"/>
        <w:jc w:val="right"/>
        <w:rPr>
          <w:rFonts w:ascii="宋体" w:hAnsi="宋体" w:cs="宋体" w:eastAsia="宋体" w:hint="default"/>
          <w:sz w:val="13"/>
          <w:szCs w:val="13"/>
        </w:rPr>
        <w:sectPr>
          <w:type w:val="continuous"/>
          <w:pgSz w:w="11910" w:h="16840"/>
          <w:pgMar w:top="1060" w:bottom="1380" w:left="600" w:right="3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167"/>
        <w:gridCol w:w="434"/>
        <w:gridCol w:w="874"/>
        <w:gridCol w:w="581"/>
        <w:gridCol w:w="1457"/>
        <w:gridCol w:w="581"/>
        <w:gridCol w:w="1601"/>
        <w:gridCol w:w="1308"/>
        <w:gridCol w:w="1309"/>
        <w:gridCol w:w="1457"/>
      </w:tblGrid>
      <w:tr>
        <w:trPr>
          <w:trHeight w:val="353"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98" w:right="0"/>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2018</w:t>
            </w:r>
            <w:r>
              <w:rPr>
                <w:rFonts w:ascii="宋体" w:hAnsi="宋体" w:cs="宋体" w:eastAsia="宋体" w:hint="default"/>
                <w:spacing w:val="-47"/>
                <w:sz w:val="13"/>
                <w:szCs w:val="13"/>
              </w:rPr>
              <w:t> </w:t>
            </w:r>
            <w:r>
              <w:rPr>
                <w:rFonts w:ascii="宋体" w:hAnsi="宋体" w:cs="宋体" w:eastAsia="宋体" w:hint="default"/>
                <w:sz w:val="13"/>
                <w:szCs w:val="13"/>
              </w:rPr>
              <w:t>年第</w:t>
            </w:r>
          </w:p>
          <w:p>
            <w:pPr>
              <w:pStyle w:val="TableParagraph"/>
              <w:spacing w:line="169" w:lineRule="exact"/>
              <w:ind w:left="98" w:right="0"/>
              <w:jc w:val="left"/>
              <w:rPr>
                <w:rFonts w:ascii="宋体" w:hAnsi="宋体" w:cs="宋体" w:eastAsia="宋体" w:hint="default"/>
                <w:sz w:val="13"/>
                <w:szCs w:val="13"/>
              </w:rPr>
            </w:pPr>
            <w:r>
              <w:rPr>
                <w:rFonts w:ascii="宋体" w:hAnsi="宋体" w:cs="宋体" w:eastAsia="宋体" w:hint="default"/>
                <w:sz w:val="13"/>
                <w:szCs w:val="13"/>
              </w:rPr>
              <w:t>一期次级债券</w:t>
            </w:r>
          </w:p>
        </w:tc>
        <w:tc>
          <w:tcPr>
            <w:tcW w:w="434"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2018</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二期次级债券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69" w:right="0"/>
              <w:jc w:val="center"/>
              <w:rPr>
                <w:rFonts w:ascii="宋体" w:hAnsi="宋体" w:cs="宋体" w:eastAsia="宋体" w:hint="default"/>
                <w:sz w:val="13"/>
                <w:szCs w:val="13"/>
              </w:rPr>
            </w:pPr>
            <w:r>
              <w:rPr>
                <w:rFonts w:ascii="宋体"/>
                <w:sz w:val="13"/>
              </w:rPr>
              <w:t>2018/4/17</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2,500,000,000.00</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5.40</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2,500,000,000.00</w:t>
            </w:r>
            <w:r>
              <w:rPr>
                <w:rFonts w:ascii="宋体"/>
                <w:sz w:val="13"/>
              </w:rPr>
            </w: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2018</w:t>
            </w:r>
            <w:r>
              <w:rPr>
                <w:rFonts w:ascii="宋体" w:hAnsi="宋体" w:cs="宋体" w:eastAsia="宋体" w:hint="default"/>
                <w:spacing w:val="-47"/>
                <w:sz w:val="13"/>
                <w:szCs w:val="13"/>
              </w:rPr>
              <w:t> </w:t>
            </w:r>
            <w:r>
              <w:rPr>
                <w:rFonts w:ascii="宋体" w:hAnsi="宋体" w:cs="宋体" w:eastAsia="宋体" w:hint="default"/>
                <w:sz w:val="13"/>
                <w:szCs w:val="13"/>
              </w:rPr>
              <w:t>年第</w:t>
            </w:r>
            <w:r>
              <w:rPr>
                <w:rFonts w:ascii="宋体" w:hAnsi="宋体" w:cs="宋体" w:eastAsia="宋体" w:hint="default"/>
                <w:w w:val="99"/>
                <w:sz w:val="13"/>
                <w:szCs w:val="13"/>
              </w:rPr>
              <w:t> </w:t>
            </w:r>
            <w:r>
              <w:rPr>
                <w:rFonts w:ascii="宋体" w:hAnsi="宋体" w:cs="宋体" w:eastAsia="宋体" w:hint="default"/>
                <w:sz w:val="13"/>
                <w:szCs w:val="13"/>
              </w:rPr>
              <w:t>三期次级债券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69" w:right="0"/>
              <w:jc w:val="center"/>
              <w:rPr>
                <w:rFonts w:ascii="宋体" w:hAnsi="宋体" w:cs="宋体" w:eastAsia="宋体" w:hint="default"/>
                <w:sz w:val="13"/>
                <w:szCs w:val="13"/>
              </w:rPr>
            </w:pPr>
            <w:r>
              <w:rPr>
                <w:rFonts w:ascii="宋体"/>
                <w:sz w:val="13"/>
              </w:rPr>
              <w:t>2018/8/23</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2,500,000,000.00</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5.19</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2,500,000,000.00</w:t>
            </w:r>
            <w:r>
              <w:rPr>
                <w:rFonts w:ascii="宋体"/>
                <w:sz w:val="13"/>
              </w:rPr>
            </w: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2014</w:t>
            </w:r>
            <w:r>
              <w:rPr>
                <w:rFonts w:ascii="宋体" w:hAnsi="宋体" w:cs="宋体" w:eastAsia="宋体" w:hint="default"/>
                <w:spacing w:val="-47"/>
                <w:sz w:val="13"/>
                <w:szCs w:val="13"/>
              </w:rPr>
              <w:t> </w:t>
            </w:r>
            <w:r>
              <w:rPr>
                <w:rFonts w:ascii="宋体" w:hAnsi="宋体" w:cs="宋体" w:eastAsia="宋体" w:hint="default"/>
                <w:sz w:val="13"/>
                <w:szCs w:val="13"/>
              </w:rPr>
              <w:t>年公</w:t>
            </w:r>
            <w:r>
              <w:rPr>
                <w:rFonts w:ascii="宋体" w:hAnsi="宋体" w:cs="宋体" w:eastAsia="宋体" w:hint="default"/>
                <w:w w:val="99"/>
                <w:sz w:val="13"/>
                <w:szCs w:val="13"/>
              </w:rPr>
              <w:t> </w:t>
            </w:r>
            <w:r>
              <w:rPr>
                <w:rFonts w:ascii="宋体" w:hAnsi="宋体" w:cs="宋体" w:eastAsia="宋体" w:hint="default"/>
                <w:sz w:val="13"/>
                <w:szCs w:val="13"/>
              </w:rPr>
              <w:t>司债券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69" w:right="0"/>
              <w:jc w:val="center"/>
              <w:rPr>
                <w:rFonts w:ascii="宋体" w:hAnsi="宋体" w:cs="宋体" w:eastAsia="宋体" w:hint="default"/>
                <w:sz w:val="13"/>
                <w:szCs w:val="13"/>
              </w:rPr>
            </w:pPr>
            <w:r>
              <w:rPr>
                <w:rFonts w:ascii="宋体"/>
                <w:sz w:val="13"/>
              </w:rPr>
              <w:t>2015/5/19</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1,500,000,000.00</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4.00</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1,500,000,000.00</w:t>
            </w:r>
            <w:r>
              <w:rPr>
                <w:rFonts w:ascii="宋体"/>
                <w:sz w:val="13"/>
              </w:rPr>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1,330,960,000.00</w:t>
            </w:r>
            <w:r>
              <w:rPr>
                <w:rFonts w:ascii="宋体"/>
                <w:sz w:val="13"/>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169,040,000.00</w:t>
            </w:r>
            <w:r>
              <w:rPr>
                <w:rFonts w:ascii="宋体"/>
                <w:sz w:val="13"/>
              </w:rPr>
            </w:r>
          </w:p>
        </w:tc>
      </w:tr>
      <w:tr>
        <w:trPr>
          <w:trHeight w:val="521"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财通证券股份有</w:t>
            </w:r>
          </w:p>
          <w:p>
            <w:pPr>
              <w:pStyle w:val="TableParagraph"/>
              <w:spacing w:line="168" w:lineRule="exact" w:before="16"/>
              <w:ind w:left="98" w:right="103"/>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pacing w:val="-47"/>
                <w:sz w:val="13"/>
                <w:szCs w:val="13"/>
              </w:rPr>
              <w:t> </w:t>
            </w:r>
            <w:r>
              <w:rPr>
                <w:rFonts w:ascii="宋体" w:hAnsi="宋体" w:cs="宋体" w:eastAsia="宋体" w:hint="default"/>
                <w:sz w:val="13"/>
                <w:szCs w:val="13"/>
              </w:rPr>
              <w:t>2016</w:t>
            </w:r>
            <w:r>
              <w:rPr>
                <w:rFonts w:ascii="宋体" w:hAnsi="宋体" w:cs="宋体" w:eastAsia="宋体" w:hint="default"/>
                <w:spacing w:val="-47"/>
                <w:sz w:val="13"/>
                <w:szCs w:val="13"/>
              </w:rPr>
              <w:t> </w:t>
            </w:r>
            <w:r>
              <w:rPr>
                <w:rFonts w:ascii="宋体" w:hAnsi="宋体" w:cs="宋体" w:eastAsia="宋体" w:hint="default"/>
                <w:sz w:val="13"/>
                <w:szCs w:val="13"/>
              </w:rPr>
              <w:t>年公</w:t>
            </w:r>
            <w:r>
              <w:rPr>
                <w:rFonts w:ascii="宋体" w:hAnsi="宋体" w:cs="宋体" w:eastAsia="宋体" w:hint="default"/>
                <w:w w:val="99"/>
                <w:sz w:val="13"/>
                <w:szCs w:val="13"/>
              </w:rPr>
              <w:t> </w:t>
            </w:r>
            <w:r>
              <w:rPr>
                <w:rFonts w:ascii="宋体" w:hAnsi="宋体" w:cs="宋体" w:eastAsia="宋体" w:hint="default"/>
                <w:sz w:val="13"/>
                <w:szCs w:val="13"/>
              </w:rPr>
              <w:t>司债券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34" w:right="0"/>
              <w:jc w:val="center"/>
              <w:rPr>
                <w:rFonts w:ascii="宋体" w:hAnsi="宋体" w:cs="宋体" w:eastAsia="宋体" w:hint="default"/>
                <w:sz w:val="13"/>
                <w:szCs w:val="13"/>
              </w:rPr>
            </w:pPr>
            <w:r>
              <w:rPr>
                <w:rFonts w:ascii="宋体"/>
                <w:sz w:val="13"/>
              </w:rPr>
              <w:t>2016/3/4</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2,500,000,000.00</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3.15</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2,492,642,370.99</w:t>
            </w:r>
            <w:r>
              <w:rPr>
                <w:rFonts w:ascii="宋体"/>
                <w:sz w:val="13"/>
              </w:rPr>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3"/>
                <w:szCs w:val="13"/>
              </w:rPr>
            </w:pPr>
            <w:r>
              <w:rPr>
                <w:rFonts w:ascii="宋体"/>
                <w:w w:val="95"/>
                <w:sz w:val="13"/>
              </w:rPr>
              <w:t>6,289,308.18</w:t>
            </w:r>
            <w:r>
              <w:rPr>
                <w:rFonts w:ascii="宋体"/>
                <w:sz w:val="13"/>
              </w:rPr>
            </w: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2,498,931,679.17</w:t>
            </w:r>
            <w:r>
              <w:rPr>
                <w:rFonts w:ascii="宋体"/>
                <w:sz w:val="13"/>
              </w:rPr>
            </w:r>
          </w:p>
        </w:tc>
      </w:tr>
      <w:tr>
        <w:trPr>
          <w:trHeight w:val="350"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98" w:right="0"/>
              <w:jc w:val="left"/>
              <w:rPr>
                <w:rFonts w:ascii="宋体" w:hAnsi="宋体" w:cs="宋体" w:eastAsia="宋体" w:hint="default"/>
                <w:sz w:val="13"/>
                <w:szCs w:val="13"/>
              </w:rPr>
            </w:pPr>
            <w:r>
              <w:rPr>
                <w:rFonts w:ascii="宋体" w:hAnsi="宋体" w:cs="宋体" w:eastAsia="宋体" w:hint="default"/>
                <w:sz w:val="13"/>
                <w:szCs w:val="13"/>
              </w:rPr>
              <w:t>财通证券财鑫通</w:t>
            </w:r>
          </w:p>
          <w:p>
            <w:pPr>
              <w:pStyle w:val="TableParagraph"/>
              <w:spacing w:line="169" w:lineRule="exact"/>
              <w:ind w:left="98" w:right="0"/>
              <w:jc w:val="left"/>
              <w:rPr>
                <w:rFonts w:ascii="宋体" w:hAnsi="宋体" w:cs="宋体" w:eastAsia="宋体" w:hint="default"/>
                <w:sz w:val="13"/>
                <w:szCs w:val="13"/>
              </w:rPr>
            </w:pPr>
            <w:r>
              <w:rPr>
                <w:rFonts w:ascii="宋体" w:hAnsi="宋体" w:cs="宋体" w:eastAsia="宋体" w:hint="default"/>
                <w:sz w:val="13"/>
                <w:szCs w:val="13"/>
              </w:rPr>
              <w:t>38</w:t>
            </w:r>
            <w:r>
              <w:rPr>
                <w:rFonts w:ascii="宋体" w:hAnsi="宋体" w:cs="宋体" w:eastAsia="宋体" w:hint="default"/>
                <w:spacing w:val="-35"/>
                <w:sz w:val="13"/>
                <w:szCs w:val="13"/>
              </w:rPr>
              <w:t> </w:t>
            </w:r>
            <w:r>
              <w:rPr>
                <w:rFonts w:ascii="宋体" w:hAnsi="宋体" w:cs="宋体" w:eastAsia="宋体" w:hint="default"/>
                <w:sz w:val="13"/>
                <w:szCs w:val="13"/>
              </w:rPr>
              <w:t>号收益凭证</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9"/>
                <w:sz w:val="13"/>
              </w:rPr>
              <w:t>-</w:t>
            </w:r>
            <w:r>
              <w:rPr>
                <w:rFonts w:ascii="宋体"/>
                <w:sz w:val="13"/>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34" w:right="0"/>
              <w:jc w:val="center"/>
              <w:rPr>
                <w:rFonts w:ascii="宋体" w:hAnsi="宋体" w:cs="宋体" w:eastAsia="宋体" w:hint="default"/>
                <w:sz w:val="13"/>
                <w:szCs w:val="13"/>
              </w:rPr>
            </w:pPr>
            <w:r>
              <w:rPr>
                <w:rFonts w:ascii="宋体"/>
                <w:sz w:val="13"/>
              </w:rPr>
              <w:t>2017/9/5</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hAnsi="宋体" w:cs="宋体" w:eastAsia="宋体" w:hint="default"/>
                <w:sz w:val="13"/>
                <w:szCs w:val="13"/>
              </w:rPr>
              <w:t>667</w:t>
            </w:r>
            <w:r>
              <w:rPr>
                <w:rFonts w:ascii="宋体" w:hAnsi="宋体" w:cs="宋体" w:eastAsia="宋体" w:hint="default"/>
                <w:spacing w:val="-33"/>
                <w:sz w:val="13"/>
                <w:szCs w:val="13"/>
              </w:rPr>
              <w:t> </w:t>
            </w:r>
            <w:r>
              <w:rPr>
                <w:rFonts w:ascii="宋体" w:hAnsi="宋体" w:cs="宋体" w:eastAsia="宋体" w:hint="default"/>
                <w:sz w:val="13"/>
                <w:szCs w:val="13"/>
              </w:rPr>
              <w:t>日</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400,000,000.00</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5.20</w:t>
            </w:r>
            <w:r>
              <w:rPr>
                <w:rFonts w:ascii="宋体"/>
                <w:sz w:val="13"/>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400,000,000.00</w:t>
            </w:r>
            <w:r>
              <w:rPr>
                <w:rFonts w:ascii="宋体"/>
                <w:sz w:val="13"/>
              </w:rPr>
            </w:r>
          </w:p>
        </w:tc>
        <w:tc>
          <w:tcPr>
            <w:tcW w:w="1308"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400,000,000.00</w:t>
            </w:r>
            <w:r>
              <w:rPr>
                <w:rFonts w:ascii="宋体"/>
                <w:sz w:val="13"/>
              </w:rPr>
            </w:r>
          </w:p>
        </w:tc>
      </w:tr>
      <w:tr>
        <w:trPr>
          <w:trHeight w:val="413" w:hRule="exact"/>
        </w:trPr>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6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434"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宋体" w:hAnsi="宋体" w:cs="宋体" w:eastAsia="宋体" w:hint="default"/>
                <w:sz w:val="13"/>
                <w:szCs w:val="13"/>
              </w:rPr>
            </w:pPr>
            <w:r>
              <w:rPr>
                <w:rFonts w:ascii="宋体"/>
                <w:w w:val="95"/>
                <w:sz w:val="13"/>
              </w:rPr>
              <w:t>18,900,000,000.00</w:t>
            </w:r>
            <w:r>
              <w:rPr>
                <w:rFonts w:ascii="宋体"/>
                <w:sz w:val="13"/>
              </w:rPr>
            </w:r>
          </w:p>
        </w:tc>
        <w:tc>
          <w:tcPr>
            <w:tcW w:w="58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宋体" w:hAnsi="宋体" w:cs="宋体" w:eastAsia="宋体" w:hint="default"/>
                <w:sz w:val="13"/>
                <w:szCs w:val="13"/>
              </w:rPr>
            </w:pPr>
            <w:r>
              <w:rPr>
                <w:rFonts w:ascii="宋体"/>
                <w:w w:val="95"/>
                <w:sz w:val="13"/>
              </w:rPr>
              <w:t>10,892,642,370.99</w:t>
            </w:r>
            <w:r>
              <w:rPr>
                <w:rFonts w:ascii="宋体"/>
                <w:sz w:val="13"/>
              </w:rPr>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3"/>
              <w:jc w:val="right"/>
              <w:rPr>
                <w:rFonts w:ascii="宋体" w:hAnsi="宋体" w:cs="宋体" w:eastAsia="宋体" w:hint="default"/>
                <w:sz w:val="13"/>
                <w:szCs w:val="13"/>
              </w:rPr>
            </w:pPr>
            <w:r>
              <w:rPr>
                <w:rFonts w:ascii="宋体"/>
                <w:w w:val="95"/>
                <w:sz w:val="13"/>
              </w:rPr>
              <w:t>8,006,289,308.18</w:t>
            </w:r>
            <w:r>
              <w:rPr>
                <w:rFonts w:ascii="宋体"/>
                <w:sz w:val="13"/>
              </w:rPr>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宋体" w:hAnsi="宋体" w:cs="宋体" w:eastAsia="宋体" w:hint="default"/>
                <w:sz w:val="13"/>
                <w:szCs w:val="13"/>
              </w:rPr>
            </w:pPr>
            <w:r>
              <w:rPr>
                <w:rFonts w:ascii="宋体"/>
                <w:w w:val="95"/>
                <w:sz w:val="13"/>
              </w:rPr>
              <w:t>1,730,960,000.00</w:t>
            </w:r>
            <w:r>
              <w:rPr>
                <w:rFonts w:ascii="宋体"/>
                <w:sz w:val="13"/>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宋体" w:hAnsi="宋体" w:cs="宋体" w:eastAsia="宋体" w:hint="default"/>
                <w:sz w:val="13"/>
                <w:szCs w:val="13"/>
              </w:rPr>
            </w:pPr>
            <w:r>
              <w:rPr>
                <w:rFonts w:ascii="宋体"/>
                <w:w w:val="95"/>
                <w:sz w:val="13"/>
              </w:rPr>
              <w:t>17,167,971,679.17</w:t>
            </w:r>
            <w:r>
              <w:rPr>
                <w:rFonts w:ascii="宋体"/>
                <w:sz w:val="13"/>
              </w:rPr>
            </w:r>
          </w:p>
        </w:tc>
      </w:tr>
    </w:tbl>
    <w:p>
      <w:pPr>
        <w:spacing w:line="240" w:lineRule="auto" w:before="7"/>
        <w:rPr>
          <w:rFonts w:ascii="宋体" w:hAnsi="宋体" w:cs="宋体" w:eastAsia="宋体" w:hint="default"/>
          <w:sz w:val="18"/>
          <w:szCs w:val="18"/>
        </w:rPr>
      </w:pPr>
    </w:p>
    <w:p>
      <w:pPr>
        <w:pStyle w:val="BodyText"/>
        <w:spacing w:line="274" w:lineRule="exact" w:before="36"/>
        <w:ind w:left="677" w:right="1243"/>
        <w:jc w:val="left"/>
      </w:pPr>
      <w:r>
        <w:rPr/>
        <w:t>应付债券说明，包括可转换公司债券的转股条件、转股时间：</w:t>
      </w:r>
    </w:p>
    <w:p>
      <w:pPr>
        <w:pStyle w:val="BodyText"/>
        <w:spacing w:line="274" w:lineRule="exact"/>
        <w:ind w:left="1097" w:right="0"/>
        <w:jc w:val="left"/>
      </w:pPr>
      <w:r>
        <w:rPr>
          <w:spacing w:val="-6"/>
        </w:rPr>
        <w:t>（</w:t>
      </w:r>
      <w:r>
        <w:rPr>
          <w:rFonts w:ascii="宋体" w:hAnsi="宋体" w:cs="宋体" w:eastAsia="宋体" w:hint="default"/>
          <w:spacing w:val="-6"/>
        </w:rPr>
        <w:t>1</w:t>
      </w:r>
      <w:r>
        <w:rPr>
          <w:spacing w:val="-6"/>
        </w:rPr>
        <w:t>）公司</w:t>
      </w:r>
      <w:r>
        <w:rPr>
          <w:spacing w:val="-50"/>
        </w:rPr>
        <w:t> </w:t>
      </w:r>
      <w:r>
        <w:rPr>
          <w:rFonts w:ascii="宋体" w:hAnsi="宋体" w:cs="宋体" w:eastAsia="宋体" w:hint="default"/>
        </w:rPr>
        <w:t>2016</w:t>
      </w:r>
      <w:r>
        <w:rPr>
          <w:rFonts w:ascii="宋体" w:hAnsi="宋体" w:cs="宋体" w:eastAsia="宋体" w:hint="default"/>
          <w:spacing w:val="-52"/>
        </w:rPr>
        <w:t> </w:t>
      </w:r>
      <w:r>
        <w:rPr/>
        <w:t>年第二期次级债券的发行金额</w:t>
      </w:r>
      <w:r>
        <w:rPr>
          <w:spacing w:val="-50"/>
        </w:rPr>
        <w:t> </w:t>
      </w:r>
      <w:r>
        <w:rPr>
          <w:rFonts w:ascii="宋体" w:hAnsi="宋体" w:cs="宋体" w:eastAsia="宋体" w:hint="default"/>
        </w:rPr>
        <w:t>10</w:t>
      </w:r>
      <w:r>
        <w:rPr>
          <w:rFonts w:ascii="宋体" w:hAnsi="宋体" w:cs="宋体" w:eastAsia="宋体" w:hint="default"/>
          <w:spacing w:val="-52"/>
        </w:rPr>
        <w:t> </w:t>
      </w:r>
      <w:r>
        <w:rPr>
          <w:spacing w:val="-4"/>
        </w:rPr>
        <w:t>亿元，债券期限为</w:t>
      </w:r>
      <w:r>
        <w:rPr>
          <w:spacing w:val="-52"/>
        </w:rPr>
        <w:t> </w:t>
      </w:r>
      <w:r>
        <w:rPr>
          <w:rFonts w:ascii="宋体" w:hAnsi="宋体" w:cs="宋体" w:eastAsia="宋体" w:hint="default"/>
        </w:rPr>
        <w:t>4</w:t>
      </w:r>
      <w:r>
        <w:rPr>
          <w:rFonts w:ascii="宋体" w:hAnsi="宋体" w:cs="宋体" w:eastAsia="宋体" w:hint="default"/>
          <w:spacing w:val="-50"/>
        </w:rPr>
        <w:t> </w:t>
      </w:r>
      <w:r>
        <w:rPr>
          <w:spacing w:val="-6"/>
        </w:rPr>
        <w:t>年期，附有第</w:t>
      </w:r>
      <w:r>
        <w:rPr>
          <w:spacing w:val="-49"/>
        </w:rPr>
        <w:t> </w:t>
      </w:r>
      <w:r>
        <w:rPr>
          <w:rFonts w:ascii="宋体" w:hAnsi="宋体" w:cs="宋体" w:eastAsia="宋体" w:hint="default"/>
        </w:rPr>
        <w:t>2</w:t>
      </w:r>
      <w:r>
        <w:rPr>
          <w:rFonts w:ascii="宋体" w:hAnsi="宋体" w:cs="宋体" w:eastAsia="宋体" w:hint="default"/>
          <w:spacing w:val="-50"/>
        </w:rPr>
        <w:t> </w:t>
      </w:r>
      <w:r>
        <w:rPr/>
        <w:t>年末发行</w:t>
      </w:r>
    </w:p>
    <w:p>
      <w:pPr>
        <w:pStyle w:val="BodyText"/>
        <w:spacing w:line="240" w:lineRule="auto" w:before="133"/>
        <w:ind w:left="677" w:right="1243"/>
        <w:jc w:val="left"/>
      </w:pPr>
      <w:r>
        <w:rPr/>
        <w:t>人上调票面利率选择权及投资者回售选择权。公司在本期债券存续期第</w:t>
      </w:r>
      <w:r>
        <w:rPr>
          <w:spacing w:val="-56"/>
        </w:rPr>
        <w:t> </w:t>
      </w:r>
      <w:r>
        <w:rPr>
          <w:rFonts w:ascii="宋体" w:hAnsi="宋体" w:cs="宋体" w:eastAsia="宋体" w:hint="default"/>
        </w:rPr>
        <w:t>2</w:t>
      </w:r>
      <w:r>
        <w:rPr>
          <w:rFonts w:ascii="宋体" w:hAnsi="宋体" w:cs="宋体" w:eastAsia="宋体" w:hint="default"/>
          <w:spacing w:val="-56"/>
        </w:rPr>
        <w:t> </w:t>
      </w:r>
      <w:r>
        <w:rPr/>
        <w:t>年末选择上调本期债券票</w:t>
      </w:r>
    </w:p>
    <w:p>
      <w:pPr>
        <w:pStyle w:val="BodyText"/>
        <w:spacing w:line="240" w:lineRule="auto" w:before="133"/>
        <w:ind w:left="677" w:right="1243"/>
        <w:jc w:val="left"/>
      </w:pPr>
      <w:r>
        <w:rPr/>
        <w:t>面利率，投资者回售金额为</w:t>
      </w:r>
      <w:r>
        <w:rPr>
          <w:spacing w:val="-54"/>
        </w:rPr>
        <w:t> </w:t>
      </w:r>
      <w:r>
        <w:rPr>
          <w:rFonts w:ascii="宋体" w:hAnsi="宋体" w:cs="宋体" w:eastAsia="宋体" w:hint="default"/>
        </w:rPr>
        <w:t>4</w:t>
      </w:r>
      <w:r>
        <w:rPr>
          <w:rFonts w:ascii="宋体" w:hAnsi="宋体" w:cs="宋体" w:eastAsia="宋体" w:hint="default"/>
          <w:spacing w:val="-54"/>
        </w:rPr>
        <w:t> </w:t>
      </w:r>
      <w:r>
        <w:rPr/>
        <w:t>亿元（不含利息）。</w:t>
      </w:r>
    </w:p>
    <w:p>
      <w:pPr>
        <w:pStyle w:val="BodyText"/>
        <w:spacing w:line="240" w:lineRule="auto" w:before="133"/>
        <w:ind w:left="1097" w:right="1243"/>
        <w:jc w:val="left"/>
      </w:pPr>
      <w:r>
        <w:rPr/>
        <w:t>公司</w:t>
      </w:r>
      <w:r>
        <w:rPr>
          <w:spacing w:val="-54"/>
        </w:rPr>
        <w:t> </w:t>
      </w:r>
      <w:r>
        <w:rPr>
          <w:rFonts w:ascii="宋体" w:hAnsi="宋体" w:cs="宋体" w:eastAsia="宋体" w:hint="default"/>
        </w:rPr>
        <w:t>2014</w:t>
      </w:r>
      <w:r>
        <w:rPr>
          <w:rFonts w:ascii="宋体" w:hAnsi="宋体" w:cs="宋体" w:eastAsia="宋体" w:hint="default"/>
          <w:spacing w:val="-56"/>
        </w:rPr>
        <w:t> </w:t>
      </w:r>
      <w:r>
        <w:rPr/>
        <w:t>年公司债券的发行金额</w:t>
      </w:r>
      <w:r>
        <w:rPr>
          <w:spacing w:val="-53"/>
        </w:rPr>
        <w:t> </w:t>
      </w:r>
      <w:r>
        <w:rPr>
          <w:rFonts w:ascii="宋体" w:hAnsi="宋体" w:cs="宋体" w:eastAsia="宋体" w:hint="default"/>
        </w:rPr>
        <w:t>15</w:t>
      </w:r>
      <w:r>
        <w:rPr>
          <w:rFonts w:ascii="宋体" w:hAnsi="宋体" w:cs="宋体" w:eastAsia="宋体" w:hint="default"/>
          <w:spacing w:val="-56"/>
        </w:rPr>
        <w:t> </w:t>
      </w:r>
      <w:r>
        <w:rPr/>
        <w:t>亿元，债券期限为</w:t>
      </w:r>
      <w:r>
        <w:rPr>
          <w:spacing w:val="-54"/>
        </w:rPr>
        <w:t> </w:t>
      </w:r>
      <w:r>
        <w:rPr>
          <w:rFonts w:ascii="宋体" w:hAnsi="宋体" w:cs="宋体" w:eastAsia="宋体" w:hint="default"/>
        </w:rPr>
        <w:t>5</w:t>
      </w:r>
      <w:r>
        <w:rPr>
          <w:rFonts w:ascii="宋体" w:hAnsi="宋体" w:cs="宋体" w:eastAsia="宋体" w:hint="default"/>
          <w:spacing w:val="-54"/>
        </w:rPr>
        <w:t> </w:t>
      </w:r>
      <w:r>
        <w:rPr/>
        <w:t>年期，附有第</w:t>
      </w:r>
      <w:r>
        <w:rPr>
          <w:spacing w:val="-54"/>
        </w:rPr>
        <w:t> </w:t>
      </w:r>
      <w:r>
        <w:rPr>
          <w:rFonts w:ascii="宋体" w:hAnsi="宋体" w:cs="宋体" w:eastAsia="宋体" w:hint="default"/>
        </w:rPr>
        <w:t>3</w:t>
      </w:r>
      <w:r>
        <w:rPr>
          <w:rFonts w:ascii="宋体" w:hAnsi="宋体" w:cs="宋体" w:eastAsia="宋体" w:hint="default"/>
          <w:spacing w:val="-56"/>
        </w:rPr>
        <w:t> </w:t>
      </w:r>
      <w:r>
        <w:rPr/>
        <w:t>年末发行人上调票面</w:t>
      </w:r>
    </w:p>
    <w:p>
      <w:pPr>
        <w:pStyle w:val="BodyText"/>
        <w:spacing w:line="240" w:lineRule="auto" w:before="133"/>
        <w:ind w:left="677" w:right="1243"/>
        <w:jc w:val="left"/>
      </w:pPr>
      <w:r>
        <w:rPr/>
        <w:t>利率选择权及投资者回售选择权。公司在本期债券存续期第</w:t>
      </w:r>
      <w:r>
        <w:rPr>
          <w:spacing w:val="-55"/>
        </w:rPr>
        <w:t> </w:t>
      </w:r>
      <w:r>
        <w:rPr>
          <w:rFonts w:ascii="宋体" w:hAnsi="宋体" w:cs="宋体" w:eastAsia="宋体" w:hint="default"/>
        </w:rPr>
        <w:t>3</w:t>
      </w:r>
      <w:r>
        <w:rPr>
          <w:rFonts w:ascii="宋体" w:hAnsi="宋体" w:cs="宋体" w:eastAsia="宋体" w:hint="default"/>
          <w:spacing w:val="-57"/>
        </w:rPr>
        <w:t> </w:t>
      </w:r>
      <w:r>
        <w:rPr/>
        <w:t>年末未选择上调本期债券票面利率，</w:t>
      </w:r>
    </w:p>
    <w:p>
      <w:pPr>
        <w:pStyle w:val="BodyText"/>
        <w:spacing w:line="240" w:lineRule="auto" w:before="135"/>
        <w:ind w:left="677" w:right="1243"/>
        <w:jc w:val="left"/>
      </w:pPr>
      <w:r>
        <w:rPr/>
        <w:t>投资者回售金额为</w:t>
      </w:r>
      <w:r>
        <w:rPr>
          <w:spacing w:val="-56"/>
        </w:rPr>
        <w:t> </w:t>
      </w:r>
      <w:r>
        <w:rPr>
          <w:rFonts w:ascii="宋体" w:hAnsi="宋体" w:cs="宋体" w:eastAsia="宋体" w:hint="default"/>
        </w:rPr>
        <w:t>13.3096</w:t>
      </w:r>
      <w:r>
        <w:rPr>
          <w:rFonts w:ascii="宋体" w:hAnsi="宋体" w:cs="宋体" w:eastAsia="宋体" w:hint="default"/>
          <w:spacing w:val="-56"/>
        </w:rPr>
        <w:t> </w:t>
      </w:r>
      <w:r>
        <w:rPr/>
        <w:t>亿元（不含利息）。</w:t>
      </w:r>
    </w:p>
    <w:p>
      <w:pPr>
        <w:pStyle w:val="BodyText"/>
        <w:spacing w:line="240" w:lineRule="auto" w:before="133"/>
        <w:ind w:left="1097" w:right="1243"/>
        <w:jc w:val="left"/>
      </w:pPr>
      <w:r>
        <w:rPr/>
        <w:t>本公司</w:t>
      </w:r>
      <w:r>
        <w:rPr>
          <w:spacing w:val="-55"/>
        </w:rPr>
        <w:t> </w:t>
      </w:r>
      <w:r>
        <w:rPr>
          <w:rFonts w:ascii="宋体" w:hAnsi="宋体" w:cs="宋体" w:eastAsia="宋体" w:hint="default"/>
        </w:rPr>
        <w:t>2016</w:t>
      </w:r>
      <w:r>
        <w:rPr>
          <w:rFonts w:ascii="宋体" w:hAnsi="宋体" w:cs="宋体" w:eastAsia="宋体" w:hint="default"/>
          <w:spacing w:val="-55"/>
        </w:rPr>
        <w:t> </w:t>
      </w:r>
      <w:r>
        <w:rPr/>
        <w:t>年按面值平价发行</w:t>
      </w:r>
      <w:r>
        <w:rPr>
          <w:spacing w:val="-54"/>
        </w:rPr>
        <w:t> </w:t>
      </w:r>
      <w:r>
        <w:rPr>
          <w:rFonts w:ascii="宋体" w:hAnsi="宋体" w:cs="宋体" w:eastAsia="宋体" w:hint="default"/>
        </w:rPr>
        <w:t>25.00</w:t>
      </w:r>
      <w:r>
        <w:rPr>
          <w:rFonts w:ascii="宋体" w:hAnsi="宋体" w:cs="宋体" w:eastAsia="宋体" w:hint="default"/>
          <w:spacing w:val="-57"/>
        </w:rPr>
        <w:t> </w:t>
      </w:r>
      <w:r>
        <w:rPr/>
        <w:t>亿元公司债券，支付的承销费用</w:t>
      </w:r>
      <w:r>
        <w:rPr>
          <w:spacing w:val="-55"/>
        </w:rPr>
        <w:t> </w:t>
      </w:r>
      <w:r>
        <w:rPr>
          <w:rFonts w:ascii="宋体" w:hAnsi="宋体" w:cs="宋体" w:eastAsia="宋体" w:hint="default"/>
        </w:rPr>
        <w:t>2,000.00</w:t>
      </w:r>
      <w:r>
        <w:rPr>
          <w:rFonts w:ascii="宋体" w:hAnsi="宋体" w:cs="宋体" w:eastAsia="宋体" w:hint="default"/>
          <w:spacing w:val="-54"/>
        </w:rPr>
        <w:t> </w:t>
      </w:r>
      <w:r>
        <w:rPr/>
        <w:t>万元在债券存</w:t>
      </w:r>
    </w:p>
    <w:p>
      <w:pPr>
        <w:pStyle w:val="BodyText"/>
        <w:spacing w:line="240" w:lineRule="auto" w:before="133"/>
        <w:ind w:left="677" w:right="1243"/>
        <w:jc w:val="left"/>
      </w:pPr>
      <w:r>
        <w:rPr/>
        <w:t>续期间进行摊销，本期摊销</w:t>
      </w:r>
      <w:r>
        <w:rPr>
          <w:spacing w:val="-53"/>
        </w:rPr>
        <w:t> </w:t>
      </w:r>
      <w:r>
        <w:rPr>
          <w:rFonts w:ascii="宋体" w:hAnsi="宋体" w:cs="宋体" w:eastAsia="宋体" w:hint="default"/>
        </w:rPr>
        <w:t>6,289,308.18</w:t>
      </w:r>
      <w:r>
        <w:rPr>
          <w:rFonts w:ascii="宋体" w:hAnsi="宋体" w:cs="宋体" w:eastAsia="宋体" w:hint="default"/>
          <w:spacing w:val="-53"/>
        </w:rPr>
        <w:t> </w:t>
      </w:r>
      <w:r>
        <w:rPr>
          <w:spacing w:val="-3"/>
        </w:rPr>
        <w:t>元。</w:t>
      </w:r>
      <w:r>
        <w:rPr/>
      </w:r>
    </w:p>
    <w:p>
      <w:pPr>
        <w:pStyle w:val="BodyText"/>
        <w:spacing w:line="240" w:lineRule="auto" w:before="133"/>
        <w:ind w:left="1097" w:right="1243"/>
        <w:jc w:val="left"/>
      </w:pPr>
      <w:r>
        <w:rPr/>
        <w:t>（</w:t>
      </w:r>
      <w:r>
        <w:rPr>
          <w:rFonts w:ascii="宋体" w:hAnsi="宋体" w:cs="宋体" w:eastAsia="宋体" w:hint="default"/>
        </w:rPr>
        <w:t>2</w:t>
      </w:r>
      <w:r>
        <w:rPr/>
        <w:t>）上表中面值金额信息为单张债券面值。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ind w:left="677" w:right="1243"/>
        <w:jc w:val="left"/>
        <w:rPr>
          <w:b w:val="0"/>
          <w:bCs w:val="0"/>
        </w:rPr>
      </w:pPr>
      <w:r>
        <w:rPr>
          <w:rFonts w:ascii="宋体" w:hAnsi="宋体" w:cs="宋体" w:eastAsia="宋体" w:hint="default"/>
        </w:rPr>
        <w:t>39</w:t>
      </w:r>
      <w:r>
        <w:rPr/>
        <w:t>、</w:t>
      </w:r>
      <w:r>
        <w:rPr>
          <w:spacing w:val="-23"/>
        </w:rPr>
        <w:t> </w:t>
      </w:r>
      <w:r>
        <w:rPr/>
        <w:t>长期应付职工薪酬</w:t>
      </w:r>
      <w:r>
        <w:rPr>
          <w:b w:val="0"/>
          <w:bCs w:val="0"/>
        </w:rPr>
      </w:r>
    </w:p>
    <w:p>
      <w:pPr>
        <w:pStyle w:val="BodyText"/>
        <w:spacing w:line="240" w:lineRule="auto" w:before="56"/>
        <w:ind w:left="677" w:right="1243"/>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677" w:right="1243"/>
        <w:jc w:val="left"/>
        <w:rPr>
          <w:b w:val="0"/>
          <w:bCs w:val="0"/>
        </w:rPr>
      </w:pPr>
      <w:r>
        <w:rPr>
          <w:rFonts w:ascii="宋体" w:hAnsi="宋体" w:cs="宋体" w:eastAsia="宋体" w:hint="default"/>
        </w:rPr>
        <w:t>40</w:t>
      </w:r>
      <w:r>
        <w:rPr/>
        <w:t>、</w:t>
      </w:r>
      <w:r>
        <w:rPr>
          <w:spacing w:val="-24"/>
        </w:rPr>
        <w:t> </w:t>
      </w:r>
      <w:r>
        <w:rPr/>
        <w:t>预计负债</w:t>
      </w:r>
      <w:r>
        <w:rPr>
          <w:b w:val="0"/>
          <w:bCs w:val="0"/>
        </w:rPr>
      </w:r>
    </w:p>
    <w:p>
      <w:pPr>
        <w:pStyle w:val="BodyText"/>
        <w:spacing w:line="240" w:lineRule="auto" w:before="58"/>
        <w:ind w:left="677" w:right="1243"/>
        <w:jc w:val="left"/>
      </w:pPr>
      <w:r>
        <w:rPr/>
        <w:t>□适用 √不适用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600" w:right="300"/>
        </w:sectPr>
      </w:pPr>
    </w:p>
    <w:p>
      <w:pPr>
        <w:pStyle w:val="Heading5"/>
        <w:spacing w:line="240" w:lineRule="auto" w:before="36"/>
        <w:ind w:left="677" w:right="-18"/>
        <w:jc w:val="left"/>
        <w:rPr>
          <w:b w:val="0"/>
          <w:bCs w:val="0"/>
        </w:rPr>
      </w:pPr>
      <w:r>
        <w:rPr>
          <w:rFonts w:ascii="宋体" w:hAnsi="宋体" w:cs="宋体" w:eastAsia="宋体" w:hint="default"/>
        </w:rPr>
        <w:t>41</w:t>
      </w:r>
      <w:r>
        <w:rPr/>
        <w:t>、</w:t>
      </w:r>
      <w:r>
        <w:rPr>
          <w:spacing w:val="-25"/>
        </w:rPr>
        <w:t> </w:t>
      </w:r>
      <w:r>
        <w:rPr/>
        <w:t>其他负债</w:t>
      </w:r>
      <w:r>
        <w:rPr>
          <w:b w:val="0"/>
          <w:bCs w:val="0"/>
        </w:rPr>
      </w:r>
    </w:p>
    <w:p>
      <w:pPr>
        <w:pStyle w:val="BodyText"/>
        <w:spacing w:line="240" w:lineRule="auto" w:before="56"/>
        <w:ind w:left="67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060" w:bottom="1380" w:left="600" w:right="300"/>
          <w:cols w:num="2" w:equalWidth="0">
            <w:col w:w="2255" w:space="4718"/>
            <w:col w:w="4037"/>
          </w:cols>
        </w:sectPr>
      </w:pPr>
    </w:p>
    <w:p>
      <w:pPr>
        <w:spacing w:line="240" w:lineRule="auto" w:before="4"/>
        <w:rPr>
          <w:rFonts w:ascii="宋体" w:hAnsi="宋体" w:cs="宋体" w:eastAsia="宋体" w:hint="default"/>
          <w:sz w:val="2"/>
          <w:szCs w:val="2"/>
        </w:rPr>
      </w:pPr>
    </w:p>
    <w:tbl>
      <w:tblPr>
        <w:tblW w:w="0" w:type="auto"/>
        <w:jc w:val="left"/>
        <w:tblInd w:w="640" w:type="dxa"/>
        <w:tblLayout w:type="fixed"/>
        <w:tblCellMar>
          <w:top w:w="0" w:type="dxa"/>
          <w:left w:w="0" w:type="dxa"/>
          <w:bottom w:w="0" w:type="dxa"/>
          <w:right w:w="0" w:type="dxa"/>
        </w:tblCellMar>
        <w:tblLook w:val="01E0"/>
      </w:tblPr>
      <w:tblGrid>
        <w:gridCol w:w="3044"/>
        <w:gridCol w:w="3046"/>
        <w:gridCol w:w="3046"/>
      </w:tblGrid>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518,374,346.82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293,593,728.65</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代理兑付债券款</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8,456,816.89</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8,529,556.89</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15,884,799.34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44,376,640.83</w:t>
            </w: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443,053.31</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1,658,759.84</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543,159,016.36</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348,158,686.21</w:t>
            </w:r>
          </w:p>
        </w:tc>
      </w:tr>
    </w:tbl>
    <w:p>
      <w:pPr>
        <w:spacing w:line="240" w:lineRule="auto" w:before="7"/>
        <w:rPr>
          <w:rFonts w:ascii="宋体" w:hAnsi="宋体" w:cs="宋体" w:eastAsia="宋体" w:hint="default"/>
          <w:sz w:val="15"/>
          <w:szCs w:val="15"/>
        </w:rPr>
      </w:pPr>
    </w:p>
    <w:p>
      <w:pPr>
        <w:pStyle w:val="BodyText"/>
        <w:spacing w:line="240" w:lineRule="auto" w:before="36"/>
        <w:ind w:left="677" w:right="1243"/>
        <w:jc w:val="left"/>
      </w:pPr>
      <w:r>
        <w:rPr/>
        <w:t>其他负债的说明：</w:t>
      </w:r>
    </w:p>
    <w:p>
      <w:pPr>
        <w:spacing w:after="0" w:line="240" w:lineRule="auto"/>
        <w:jc w:val="left"/>
        <w:sectPr>
          <w:type w:val="continuous"/>
          <w:pgSz w:w="11910" w:h="16840"/>
          <w:pgMar w:top="1060" w:bottom="1380" w:left="600" w:right="300"/>
        </w:sectPr>
      </w:pPr>
    </w:p>
    <w:p>
      <w:pPr>
        <w:spacing w:line="240" w:lineRule="auto" w:before="9"/>
        <w:rPr>
          <w:rFonts w:ascii="宋体" w:hAnsi="宋体" w:cs="宋体" w:eastAsia="宋体" w:hint="default"/>
          <w:sz w:val="18"/>
          <w:szCs w:val="18"/>
        </w:rPr>
      </w:pPr>
    </w:p>
    <w:p>
      <w:pPr>
        <w:pStyle w:val="BodyText"/>
        <w:spacing w:line="355" w:lineRule="auto" w:before="36"/>
        <w:ind w:left="237" w:right="7932"/>
        <w:jc w:val="left"/>
      </w:pPr>
      <w:r>
        <w:rPr>
          <w:rFonts w:ascii="宋体" w:hAnsi="宋体" w:cs="宋体" w:eastAsia="宋体" w:hint="default"/>
          <w:spacing w:val="-1"/>
        </w:rPr>
        <w:t>(1)</w:t>
      </w:r>
      <w:r>
        <w:rPr>
          <w:spacing w:val="-1"/>
        </w:rPr>
        <w:t>其他应付款</w:t>
      </w:r>
      <w:r>
        <w:rPr>
          <w:spacing w:val="-96"/>
        </w:rPr>
        <w:t> </w:t>
      </w:r>
      <w:r>
        <w:rPr>
          <w:spacing w:val="-96"/>
        </w:rPr>
      </w:r>
      <w:r>
        <w:rPr>
          <w:rFonts w:ascii="宋体" w:hAnsi="宋体" w:cs="宋体" w:eastAsia="宋体" w:hint="default"/>
        </w:rPr>
        <w:t>1)</w:t>
      </w:r>
      <w:r>
        <w:rPr/>
        <w:t>明细情况</w:t>
      </w:r>
    </w:p>
    <w:p>
      <w:pPr>
        <w:spacing w:line="240" w:lineRule="auto" w:before="1"/>
        <w:rPr>
          <w:rFonts w:ascii="宋体" w:hAnsi="宋体" w:cs="宋体" w:eastAsia="宋体" w:hint="default"/>
          <w:sz w:val="5"/>
          <w:szCs w:val="5"/>
        </w:rPr>
      </w:pPr>
    </w:p>
    <w:tbl>
      <w:tblPr>
        <w:tblW w:w="0" w:type="auto"/>
        <w:jc w:val="left"/>
        <w:tblInd w:w="198" w:type="dxa"/>
        <w:tblLayout w:type="fixed"/>
        <w:tblCellMar>
          <w:top w:w="0" w:type="dxa"/>
          <w:left w:w="0" w:type="dxa"/>
          <w:bottom w:w="0" w:type="dxa"/>
          <w:right w:w="0" w:type="dxa"/>
        </w:tblCellMar>
        <w:tblLook w:val="01E0"/>
      </w:tblPr>
      <w:tblGrid>
        <w:gridCol w:w="3555"/>
        <w:gridCol w:w="2799"/>
        <w:gridCol w:w="2160"/>
      </w:tblGrid>
      <w:tr>
        <w:trPr>
          <w:trHeight w:val="307"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应付经纪人佣金及风险金</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4"/>
              <w:jc w:val="right"/>
              <w:rPr>
                <w:rFonts w:ascii="宋体" w:hAnsi="宋体" w:cs="宋体" w:eastAsia="宋体" w:hint="default"/>
                <w:sz w:val="21"/>
                <w:szCs w:val="21"/>
              </w:rPr>
            </w:pPr>
            <w:r>
              <w:rPr>
                <w:rFonts w:ascii="宋体"/>
                <w:spacing w:val="-1"/>
                <w:sz w:val="21"/>
              </w:rPr>
              <w:t>19,455,442.09</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19,001,661.29</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应付证券投资者保护基金</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8,962,684.61</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12,385,995.00</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收益互换预收款</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360,482,966.12</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170,000,000.00</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购买商品及服务款</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52,220,833.08</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48,151,371.98</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债务重组款项</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17,638,709.02</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17,638,709.02</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47,123,678.72</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17,456,888.41</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12,490,033.18</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8,959,102.95</w:t>
            </w:r>
          </w:p>
        </w:tc>
      </w:tr>
      <w:tr>
        <w:trPr>
          <w:trHeight w:val="308"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9" w:lineRule="exact"/>
              <w:ind w:left="3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1"/>
                <w:szCs w:val="21"/>
              </w:rPr>
            </w:pPr>
            <w:r>
              <w:rPr>
                <w:rFonts w:ascii="宋体"/>
                <w:spacing w:val="-1"/>
                <w:sz w:val="21"/>
              </w:rPr>
              <w:t>518,374,346.82</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293,593,728.65</w:t>
            </w:r>
          </w:p>
        </w:tc>
      </w:tr>
    </w:tbl>
    <w:p>
      <w:pPr>
        <w:pStyle w:val="BodyText"/>
        <w:spacing w:line="241" w:lineRule="exact"/>
        <w:ind w:left="237" w:right="130"/>
        <w:jc w:val="left"/>
      </w:pP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3555"/>
        <w:gridCol w:w="2799"/>
        <w:gridCol w:w="2160"/>
      </w:tblGrid>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64"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8"/>
                <w:sz w:val="21"/>
                <w:szCs w:val="21"/>
              </w:rPr>
              <w:t>吸收合并天和证券经纪有限公司债</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务重组款</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17,638,709.02</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sz w:val="21"/>
                <w:szCs w:val="21"/>
              </w:rPr>
              <w:t>债务重组遗留</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应付恒生电子软件款</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8,668,340.90</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7"/>
              <w:jc w:val="center"/>
              <w:rPr>
                <w:rFonts w:ascii="宋体" w:hAnsi="宋体" w:cs="宋体" w:eastAsia="宋体" w:hint="default"/>
                <w:sz w:val="21"/>
                <w:szCs w:val="21"/>
              </w:rPr>
            </w:pPr>
            <w:r>
              <w:rPr>
                <w:rFonts w:ascii="宋体" w:hAnsi="宋体" w:cs="宋体" w:eastAsia="宋体" w:hint="default"/>
                <w:sz w:val="21"/>
                <w:szCs w:val="21"/>
              </w:rPr>
              <w:t>尚未达付款条件</w:t>
            </w:r>
          </w:p>
        </w:tc>
      </w:tr>
      <w:tr>
        <w:trPr>
          <w:trHeight w:val="566"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pacing w:val="8"/>
                <w:sz w:val="21"/>
                <w:szCs w:val="21"/>
              </w:rPr>
              <w:t>永安国富资产管理有限公司管理的</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产品收益互换预收款</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4"/>
              <w:jc w:val="right"/>
              <w:rPr>
                <w:rFonts w:ascii="宋体" w:hAnsi="宋体" w:cs="宋体" w:eastAsia="宋体" w:hint="default"/>
                <w:sz w:val="21"/>
                <w:szCs w:val="21"/>
              </w:rPr>
            </w:pPr>
            <w:r>
              <w:rPr>
                <w:rFonts w:ascii="宋体"/>
                <w:spacing w:val="-1"/>
                <w:sz w:val="21"/>
              </w:rPr>
              <w:t>135,000,000.00</w:t>
            </w:r>
          </w:p>
        </w:tc>
        <w:tc>
          <w:tcPr>
            <w:tcW w:w="2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尚未到期</w:t>
            </w:r>
          </w:p>
        </w:tc>
      </w:tr>
      <w:tr>
        <w:trPr>
          <w:trHeight w:val="305" w:hRule="exact"/>
        </w:trPr>
        <w:tc>
          <w:tcPr>
            <w:tcW w:w="3555"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33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9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161,307,049.92</w:t>
            </w:r>
          </w:p>
        </w:tc>
        <w:tc>
          <w:tcPr>
            <w:tcW w:w="2160" w:type="dxa"/>
            <w:tcBorders>
              <w:top w:val="single" w:sz="8" w:space="0" w:color="000000"/>
              <w:left w:val="single" w:sz="8" w:space="0" w:color="000000"/>
              <w:bottom w:val="single" w:sz="8" w:space="0" w:color="000000"/>
              <w:right w:val="nil" w:sz="6" w:space="0" w:color="auto"/>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left="237" w:right="130"/>
        <w:jc w:val="left"/>
      </w:pPr>
      <w:r>
        <w:rPr>
          <w:rFonts w:ascii="宋体" w:hAnsi="宋体" w:cs="宋体" w:eastAsia="宋体" w:hint="default"/>
        </w:rPr>
        <w:t>(2)</w:t>
      </w:r>
      <w:r>
        <w:rPr/>
        <w:t>代理兑付债券款</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124"/>
        <w:gridCol w:w="1666"/>
        <w:gridCol w:w="1282"/>
        <w:gridCol w:w="1450"/>
        <w:gridCol w:w="1306"/>
        <w:gridCol w:w="1476"/>
      </w:tblGrid>
      <w:tr>
        <w:trPr>
          <w:trHeight w:val="296" w:hRule="exact"/>
        </w:trPr>
        <w:tc>
          <w:tcPr>
            <w:tcW w:w="2124" w:type="dxa"/>
            <w:vMerge w:val="restart"/>
            <w:tcBorders>
              <w:top w:val="single" w:sz="8" w:space="0" w:color="000000"/>
              <w:left w:val="nil" w:sz="6" w:space="0" w:color="auto"/>
              <w:right w:val="single" w:sz="8" w:space="0" w:color="000000"/>
            </w:tcBorders>
          </w:tcPr>
          <w:p>
            <w:pPr>
              <w:pStyle w:val="TableParagraph"/>
              <w:spacing w:line="240" w:lineRule="auto" w:before="120"/>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66" w:type="dxa"/>
            <w:vMerge w:val="restart"/>
            <w:tcBorders>
              <w:top w:val="single" w:sz="8" w:space="0" w:color="000000"/>
              <w:left w:val="single" w:sz="8" w:space="0" w:color="000000"/>
              <w:right w:val="single" w:sz="8" w:space="0" w:color="000000"/>
            </w:tcBorders>
          </w:tcPr>
          <w:p>
            <w:pPr>
              <w:pStyle w:val="TableParagraph"/>
              <w:spacing w:line="240" w:lineRule="auto" w:before="120"/>
              <w:ind w:left="5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82" w:type="dxa"/>
            <w:tcBorders>
              <w:top w:val="single" w:sz="8" w:space="0" w:color="000000"/>
              <w:left w:val="single" w:sz="8" w:space="0" w:color="000000"/>
              <w:bottom w:val="nil" w:sz="6" w:space="0" w:color="auto"/>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本期收到</w:t>
            </w:r>
          </w:p>
        </w:tc>
        <w:tc>
          <w:tcPr>
            <w:tcW w:w="1450" w:type="dxa"/>
            <w:vMerge w:val="restart"/>
            <w:tcBorders>
              <w:top w:val="single" w:sz="8" w:space="0" w:color="000000"/>
              <w:left w:val="single" w:sz="8" w:space="0" w:color="000000"/>
              <w:right w:val="single" w:sz="8" w:space="0" w:color="000000"/>
            </w:tcBorders>
          </w:tcPr>
          <w:p>
            <w:pPr>
              <w:pStyle w:val="TableParagraph"/>
              <w:spacing w:line="274" w:lineRule="exact" w:before="9"/>
              <w:ind w:left="504" w:right="185" w:hanging="315"/>
              <w:jc w:val="left"/>
              <w:rPr>
                <w:rFonts w:ascii="宋体" w:hAnsi="宋体" w:cs="宋体" w:eastAsia="宋体" w:hint="default"/>
                <w:sz w:val="21"/>
                <w:szCs w:val="21"/>
              </w:rPr>
            </w:pPr>
            <w:r>
              <w:rPr>
                <w:rFonts w:ascii="宋体" w:hAnsi="宋体" w:cs="宋体" w:eastAsia="宋体" w:hint="default"/>
                <w:sz w:val="21"/>
                <w:szCs w:val="21"/>
              </w:rPr>
              <w:t>本期已兑付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w:t>
            </w:r>
          </w:p>
        </w:tc>
        <w:tc>
          <w:tcPr>
            <w:tcW w:w="1306" w:type="dxa"/>
            <w:vMerge w:val="restart"/>
            <w:tcBorders>
              <w:top w:val="single" w:sz="8" w:space="0" w:color="000000"/>
              <w:left w:val="single" w:sz="8" w:space="0" w:color="000000"/>
              <w:right w:val="single" w:sz="8" w:space="0" w:color="000000"/>
            </w:tcBorders>
          </w:tcPr>
          <w:p>
            <w:pPr>
              <w:pStyle w:val="TableParagraph"/>
              <w:spacing w:line="274" w:lineRule="exact" w:before="9"/>
              <w:ind w:left="220" w:right="116" w:hanging="106"/>
              <w:jc w:val="left"/>
              <w:rPr>
                <w:rFonts w:ascii="宋体" w:hAnsi="宋体" w:cs="宋体" w:eastAsia="宋体" w:hint="default"/>
                <w:sz w:val="21"/>
                <w:szCs w:val="21"/>
              </w:rPr>
            </w:pPr>
            <w:r>
              <w:rPr>
                <w:rFonts w:ascii="宋体" w:hAnsi="宋体" w:cs="宋体" w:eastAsia="宋体" w:hint="default"/>
                <w:sz w:val="21"/>
                <w:szCs w:val="21"/>
              </w:rPr>
              <w:t>本期结转手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续费收入</w:t>
            </w:r>
          </w:p>
        </w:tc>
        <w:tc>
          <w:tcPr>
            <w:tcW w:w="1476" w:type="dxa"/>
            <w:vMerge w:val="restart"/>
            <w:tcBorders>
              <w:top w:val="single" w:sz="8" w:space="0" w:color="000000"/>
              <w:left w:val="single" w:sz="8" w:space="0" w:color="000000"/>
              <w:right w:val="nil" w:sz="6" w:space="0" w:color="auto"/>
            </w:tcBorders>
          </w:tcPr>
          <w:p>
            <w:pPr>
              <w:pStyle w:val="TableParagraph"/>
              <w:spacing w:line="240" w:lineRule="auto" w:before="120"/>
              <w:ind w:left="41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2" w:hRule="exact"/>
        </w:trPr>
        <w:tc>
          <w:tcPr>
            <w:tcW w:w="2124" w:type="dxa"/>
            <w:vMerge/>
            <w:tcBorders>
              <w:left w:val="nil" w:sz="6" w:space="0" w:color="auto"/>
              <w:bottom w:val="single" w:sz="8" w:space="0" w:color="000000"/>
              <w:right w:val="single" w:sz="8" w:space="0" w:color="000000"/>
            </w:tcBorders>
          </w:tcPr>
          <w:p>
            <w:pPr/>
          </w:p>
        </w:tc>
        <w:tc>
          <w:tcPr>
            <w:tcW w:w="1666" w:type="dxa"/>
            <w:vMerge/>
            <w:tcBorders>
              <w:left w:val="single" w:sz="8" w:space="0" w:color="000000"/>
              <w:bottom w:val="single" w:sz="8" w:space="0" w:color="000000"/>
              <w:right w:val="single" w:sz="8" w:space="0" w:color="000000"/>
            </w:tcBorders>
          </w:tcPr>
          <w:p>
            <w:pPr/>
          </w:p>
        </w:tc>
        <w:tc>
          <w:tcPr>
            <w:tcW w:w="1282" w:type="dxa"/>
            <w:tcBorders>
              <w:top w:val="nil" w:sz="6" w:space="0" w:color="auto"/>
              <w:left w:val="single" w:sz="8" w:space="0" w:color="000000"/>
              <w:bottom w:val="single" w:sz="8" w:space="0" w:color="000000"/>
              <w:right w:val="single" w:sz="8"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兑付资金</w:t>
            </w:r>
          </w:p>
        </w:tc>
        <w:tc>
          <w:tcPr>
            <w:tcW w:w="1450" w:type="dxa"/>
            <w:vMerge/>
            <w:tcBorders>
              <w:left w:val="single" w:sz="8" w:space="0" w:color="000000"/>
              <w:bottom w:val="single" w:sz="8" w:space="0" w:color="000000"/>
              <w:right w:val="single" w:sz="8" w:space="0" w:color="000000"/>
            </w:tcBorders>
          </w:tcPr>
          <w:p>
            <w:pPr/>
          </w:p>
        </w:tc>
        <w:tc>
          <w:tcPr>
            <w:tcW w:w="1306" w:type="dxa"/>
            <w:vMerge/>
            <w:tcBorders>
              <w:left w:val="single" w:sz="8" w:space="0" w:color="000000"/>
              <w:bottom w:val="single" w:sz="8" w:space="0" w:color="000000"/>
              <w:right w:val="single" w:sz="8" w:space="0" w:color="000000"/>
            </w:tcBorders>
          </w:tcPr>
          <w:p>
            <w:pPr/>
          </w:p>
        </w:tc>
        <w:tc>
          <w:tcPr>
            <w:tcW w:w="1476" w:type="dxa"/>
            <w:vMerge/>
            <w:tcBorders>
              <w:left w:val="single" w:sz="8" w:space="0" w:color="000000"/>
              <w:bottom w:val="single" w:sz="8" w:space="0" w:color="000000"/>
              <w:right w:val="nil" w:sz="6" w:space="0" w:color="auto"/>
            </w:tcBorders>
          </w:tcPr>
          <w:p>
            <w:pPr/>
          </w:p>
        </w:tc>
      </w:tr>
      <w:tr>
        <w:trPr>
          <w:trHeight w:val="305" w:hRule="exact"/>
        </w:trPr>
        <w:tc>
          <w:tcPr>
            <w:tcW w:w="2124"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8,529,556.89</w:t>
            </w:r>
          </w:p>
        </w:tc>
        <w:tc>
          <w:tcPr>
            <w:tcW w:w="1282"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72,740.00</w:t>
            </w:r>
          </w:p>
        </w:tc>
        <w:tc>
          <w:tcPr>
            <w:tcW w:w="1306"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sz w:val="21"/>
              </w:rPr>
              <w:t>8,456,816.89</w:t>
            </w:r>
          </w:p>
        </w:tc>
      </w:tr>
      <w:tr>
        <w:trPr>
          <w:trHeight w:val="307" w:hRule="exact"/>
        </w:trPr>
        <w:tc>
          <w:tcPr>
            <w:tcW w:w="2124"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8,529,556.89</w:t>
            </w:r>
          </w:p>
        </w:tc>
        <w:tc>
          <w:tcPr>
            <w:tcW w:w="1282"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72,740.00</w:t>
            </w:r>
          </w:p>
        </w:tc>
        <w:tc>
          <w:tcPr>
            <w:tcW w:w="1306"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sz w:val="21"/>
              </w:rPr>
              <w:t>8,456,816.89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3"/>
          <w:pgSz w:w="11910" w:h="16840"/>
          <w:pgMar w:footer="1195" w:header="882" w:top="1120" w:bottom="1380" w:left="1040" w:right="1320"/>
          <w:pgNumType w:start="165"/>
        </w:sectPr>
      </w:pPr>
    </w:p>
    <w:p>
      <w:pPr>
        <w:pStyle w:val="Heading5"/>
        <w:spacing w:line="240" w:lineRule="auto" w:before="174"/>
        <w:ind w:left="237" w:right="-18"/>
        <w:jc w:val="left"/>
        <w:rPr>
          <w:b w:val="0"/>
          <w:bCs w:val="0"/>
        </w:rPr>
      </w:pPr>
      <w:r>
        <w:rPr>
          <w:rFonts w:ascii="宋体" w:hAnsi="宋体" w:cs="宋体" w:eastAsia="宋体" w:hint="default"/>
        </w:rPr>
        <w:t>42</w:t>
      </w:r>
      <w:r>
        <w:rPr/>
        <w:t>、</w:t>
      </w:r>
      <w:r>
        <w:rPr>
          <w:spacing w:val="-25"/>
        </w:rPr>
        <w:t> </w:t>
      </w:r>
      <w:r>
        <w:rPr/>
        <w:t>股本</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060" w:bottom="1380" w:left="1040" w:right="1320"/>
          <w:cols w:num="2" w:equalWidth="0">
            <w:col w:w="1815" w:space="5158"/>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19"/>
        <w:gridCol w:w="1582"/>
        <w:gridCol w:w="958"/>
        <w:gridCol w:w="958"/>
        <w:gridCol w:w="1030"/>
        <w:gridCol w:w="1044"/>
        <w:gridCol w:w="1018"/>
        <w:gridCol w:w="1582"/>
      </w:tblGrid>
      <w:tr>
        <w:trPr>
          <w:trHeight w:val="284" w:hRule="exact"/>
        </w:trPr>
        <w:tc>
          <w:tcPr>
            <w:tcW w:w="1119" w:type="dxa"/>
            <w:vMerge w:val="restart"/>
            <w:tcBorders>
              <w:top w:val="single" w:sz="4" w:space="0" w:color="000000"/>
              <w:left w:val="single" w:sz="4" w:space="0" w:color="000000"/>
              <w:right w:val="single" w:sz="4" w:space="0" w:color="000000"/>
            </w:tcBorders>
          </w:tcPr>
          <w:p>
            <w:pP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119"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6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2" w:type="dxa"/>
            <w:vMerge/>
            <w:tcBorders>
              <w:left w:val="single" w:sz="4" w:space="0" w:color="000000"/>
              <w:bottom w:val="single" w:sz="4" w:space="0" w:color="000000"/>
              <w:right w:val="single" w:sz="4" w:space="0" w:color="000000"/>
            </w:tcBorders>
          </w:tcPr>
          <w:p>
            <w:pPr/>
          </w:p>
        </w:tc>
      </w:tr>
      <w:tr>
        <w:trPr>
          <w:trHeight w:val="28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3,589,000,000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3,589,000,000</w:t>
            </w:r>
          </w:p>
        </w:tc>
      </w:tr>
    </w:tbl>
    <w:p>
      <w:pPr>
        <w:pStyle w:val="BodyText"/>
        <w:spacing w:line="290" w:lineRule="auto" w:before="26"/>
        <w:ind w:left="237" w:right="8239"/>
        <w:jc w:val="left"/>
      </w:pPr>
      <w:r>
        <w:rPr/>
        <w:t>其他说明：</w:t>
      </w:r>
      <w:r>
        <w:rPr>
          <w:spacing w:val="-102"/>
        </w:rPr>
        <w:t> </w:t>
      </w:r>
      <w:r>
        <w:rPr>
          <w:spacing w:val="-102"/>
        </w:rPr>
      </w:r>
      <w:r>
        <w:rPr/>
        <w:t>无</w:t>
      </w:r>
    </w:p>
    <w:p>
      <w:pPr>
        <w:spacing w:line="240" w:lineRule="auto" w:before="10"/>
        <w:rPr>
          <w:rFonts w:ascii="宋体" w:hAnsi="宋体" w:cs="宋体" w:eastAsia="宋体" w:hint="default"/>
          <w:sz w:val="24"/>
          <w:szCs w:val="24"/>
        </w:rPr>
      </w:pPr>
    </w:p>
    <w:p>
      <w:pPr>
        <w:pStyle w:val="Heading5"/>
        <w:spacing w:line="240" w:lineRule="auto"/>
        <w:ind w:left="237" w:right="130"/>
        <w:jc w:val="left"/>
        <w:rPr>
          <w:b w:val="0"/>
          <w:bCs w:val="0"/>
        </w:rPr>
      </w:pPr>
      <w:r>
        <w:rPr>
          <w:rFonts w:ascii="宋体" w:hAnsi="宋体" w:cs="宋体" w:eastAsia="宋体" w:hint="default"/>
        </w:rPr>
        <w:t>43</w:t>
      </w:r>
      <w:r>
        <w:rPr/>
        <w:t>、</w:t>
      </w:r>
      <w:r>
        <w:rPr>
          <w:spacing w:val="-23"/>
        </w:rPr>
        <w:t> </w:t>
      </w:r>
      <w:r>
        <w:rPr/>
        <w:t>其他权益工具</w:t>
      </w:r>
      <w:r>
        <w:rPr>
          <w:b w:val="0"/>
          <w:bCs w:val="0"/>
        </w:rPr>
      </w:r>
    </w:p>
    <w:p>
      <w:pPr>
        <w:pStyle w:val="Heading5"/>
        <w:spacing w:line="240" w:lineRule="auto" w:before="58"/>
        <w:ind w:left="237" w:right="13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74" w:lineRule="exact" w:before="56"/>
        <w:ind w:left="237" w:right="130"/>
        <w:jc w:val="left"/>
      </w:pPr>
      <w:r>
        <w:rPr/>
        <w:t>√适用 □不适用</w:t>
      </w:r>
    </w:p>
    <w:p>
      <w:pPr>
        <w:pStyle w:val="BodyText"/>
        <w:spacing w:line="274" w:lineRule="exact"/>
        <w:ind w:left="657" w:right="130"/>
        <w:jc w:val="left"/>
      </w:pPr>
      <w:r>
        <w:rPr/>
        <w:t>经中国证监会核准，公司于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月发行了</w:t>
      </w:r>
      <w:r>
        <w:rPr>
          <w:spacing w:val="-55"/>
        </w:rPr>
        <w:t> </w:t>
      </w:r>
      <w:r>
        <w:rPr>
          <w:rFonts w:ascii="宋体" w:hAnsi="宋体" w:cs="宋体" w:eastAsia="宋体" w:hint="default"/>
        </w:rPr>
        <w:t>2016</w:t>
      </w:r>
      <w:r>
        <w:rPr>
          <w:rFonts w:ascii="宋体" w:hAnsi="宋体" w:cs="宋体" w:eastAsia="宋体" w:hint="default"/>
          <w:spacing w:val="-54"/>
        </w:rPr>
        <w:t> </w:t>
      </w:r>
      <w:r>
        <w:rPr/>
        <w:t>年永续次级债（第一期）</w:t>
      </w:r>
      <w:r>
        <w:rPr>
          <w:rFonts w:ascii="宋体" w:hAnsi="宋体" w:cs="宋体" w:eastAsia="宋体" w:hint="default"/>
        </w:rPr>
        <w:t>5</w:t>
      </w:r>
      <w:r>
        <w:rPr>
          <w:rFonts w:ascii="宋体" w:hAnsi="宋体" w:cs="宋体" w:eastAsia="宋体" w:hint="default"/>
          <w:spacing w:val="-54"/>
        </w:rPr>
        <w:t> </w:t>
      </w:r>
      <w:r>
        <w:rPr/>
        <w:t>亿元，起息日</w:t>
      </w:r>
    </w:p>
    <w:p>
      <w:pPr>
        <w:pStyle w:val="BodyText"/>
        <w:spacing w:line="355" w:lineRule="auto" w:before="133"/>
        <w:ind w:left="237" w:right="130"/>
        <w:jc w:val="left"/>
      </w:pPr>
      <w:r>
        <w:rPr/>
        <w:t>为</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26</w:t>
      </w:r>
      <w:r>
        <w:rPr>
          <w:rFonts w:ascii="宋体" w:hAnsi="宋体" w:cs="宋体" w:eastAsia="宋体" w:hint="default"/>
          <w:spacing w:val="-54"/>
        </w:rPr>
        <w:t> </w:t>
      </w:r>
      <w:r>
        <w:rPr/>
        <w:t>日，前</w:t>
      </w:r>
      <w:r>
        <w:rPr>
          <w:spacing w:val="-56"/>
        </w:rPr>
        <w:t> </w:t>
      </w:r>
      <w:r>
        <w:rPr>
          <w:rFonts w:ascii="宋体" w:hAnsi="宋体" w:cs="宋体" w:eastAsia="宋体" w:hint="default"/>
        </w:rPr>
        <w:t>5</w:t>
      </w:r>
      <w:r>
        <w:rPr>
          <w:rFonts w:ascii="宋体" w:hAnsi="宋体" w:cs="宋体" w:eastAsia="宋体" w:hint="default"/>
          <w:spacing w:val="-54"/>
        </w:rPr>
        <w:t> </w:t>
      </w:r>
      <w:r>
        <w:rPr/>
        <w:t>个计息年度的票面利率为</w:t>
      </w:r>
      <w:r>
        <w:rPr>
          <w:spacing w:val="-53"/>
        </w:rPr>
        <w:t> </w:t>
      </w:r>
      <w:r>
        <w:rPr>
          <w:rFonts w:ascii="宋体" w:hAnsi="宋体" w:cs="宋体" w:eastAsia="宋体" w:hint="default"/>
        </w:rPr>
        <w:t>4.60%</w:t>
      </w:r>
      <w:r>
        <w:rPr/>
        <w:t>。本公司发行的永续债无固定到期日，</w:t>
      </w:r>
      <w:r>
        <w:rPr>
          <w:w w:val="100"/>
        </w:rPr>
        <w:t> </w:t>
      </w:r>
      <w:r>
        <w:rPr>
          <w:spacing w:val="-2"/>
        </w:rPr>
        <w:t>对于永续债票面利息，本公司有权递延支付，发行文件中并未规定交付现金或其他金融资产给其他</w:t>
      </w:r>
    </w:p>
    <w:p>
      <w:pPr>
        <w:spacing w:after="0" w:line="355" w:lineRule="auto"/>
        <w:jc w:val="left"/>
        <w:sectPr>
          <w:type w:val="continuous"/>
          <w:pgSz w:w="11910" w:h="16840"/>
          <w:pgMar w:top="1060" w:bottom="1380" w:left="1040" w:right="1320"/>
        </w:sectPr>
      </w:pPr>
    </w:p>
    <w:p>
      <w:pPr>
        <w:spacing w:line="240" w:lineRule="auto" w:before="9"/>
        <w:rPr>
          <w:rFonts w:ascii="宋体" w:hAnsi="宋体" w:cs="宋体" w:eastAsia="宋体" w:hint="default"/>
          <w:sz w:val="18"/>
          <w:szCs w:val="18"/>
        </w:rPr>
      </w:pPr>
    </w:p>
    <w:p>
      <w:pPr>
        <w:pStyle w:val="BodyText"/>
        <w:spacing w:line="355" w:lineRule="auto" w:before="36"/>
        <w:ind w:left="137" w:right="0"/>
        <w:jc w:val="left"/>
      </w:pPr>
      <w:r>
        <w:rPr>
          <w:spacing w:val="-2"/>
        </w:rPr>
        <w:t>单位的合同义务，或在潜在不利条件下与其他单位交换金融资产或金融负债的合同义务，符合相关</w:t>
      </w:r>
      <w:r>
        <w:rPr>
          <w:spacing w:val="-25"/>
        </w:rPr>
        <w:t> </w:t>
      </w:r>
      <w:r>
        <w:rPr>
          <w:spacing w:val="-25"/>
        </w:rPr>
      </w:r>
      <w:r>
        <w:rPr/>
        <w:t>条件而确认为权益工具。</w:t>
      </w:r>
    </w:p>
    <w:p>
      <w:pPr>
        <w:spacing w:line="240" w:lineRule="auto" w:before="13"/>
        <w:rPr>
          <w:rFonts w:ascii="宋体" w:hAnsi="宋体" w:cs="宋体" w:eastAsia="宋体" w:hint="default"/>
          <w:sz w:val="27"/>
          <w:szCs w:val="27"/>
        </w:rPr>
      </w:pPr>
    </w:p>
    <w:p>
      <w:pPr>
        <w:pStyle w:val="Heading5"/>
        <w:spacing w:line="240" w:lineRule="auto"/>
        <w:ind w:left="137" w:right="0"/>
        <w:jc w:val="both"/>
        <w:rPr>
          <w:b w:val="0"/>
          <w:bCs w:val="0"/>
        </w:rPr>
      </w:pPr>
      <w:r>
        <w:rPr>
          <w:rFonts w:ascii="宋体" w:hAnsi="宋体" w:cs="宋体" w:eastAsia="宋体" w:hint="default"/>
        </w:rPr>
        <w:t>(2)</w:t>
      </w:r>
      <w:r>
        <w:rPr>
          <w:rFonts w:ascii="宋体" w:hAnsi="宋体" w:cs="宋体" w:eastAsia="宋体" w:hint="default"/>
          <w:spacing w:val="-2"/>
        </w:rPr>
        <w:t> </w:t>
      </w:r>
      <w:r>
        <w:rPr/>
        <w:t>其他金融工具划分至其他权益工具的情况（划分依据、主要条款和股利或利息的设定机制等）</w:t>
      </w:r>
      <w:r>
        <w:rPr>
          <w:b w:val="0"/>
          <w:bCs w:val="0"/>
        </w:rPr>
      </w:r>
    </w:p>
    <w:p>
      <w:pPr>
        <w:pStyle w:val="BodyText"/>
        <w:spacing w:line="274" w:lineRule="exact" w:before="56"/>
        <w:ind w:left="137" w:right="0"/>
        <w:jc w:val="both"/>
      </w:pPr>
      <w:r>
        <w:rPr/>
        <w:t>√适用  □不适用</w:t>
      </w:r>
    </w:p>
    <w:p>
      <w:pPr>
        <w:pStyle w:val="BodyText"/>
        <w:spacing w:line="274" w:lineRule="exact"/>
        <w:ind w:left="557" w:right="0"/>
        <w:jc w:val="left"/>
      </w:pPr>
      <w:r>
        <w:rPr/>
        <w:t>经中国证监会核准，公司于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月发行了</w:t>
      </w:r>
      <w:r>
        <w:rPr>
          <w:spacing w:val="-55"/>
        </w:rPr>
        <w:t> </w:t>
      </w:r>
      <w:r>
        <w:rPr>
          <w:rFonts w:ascii="宋体" w:hAnsi="宋体" w:cs="宋体" w:eastAsia="宋体" w:hint="default"/>
        </w:rPr>
        <w:t>2016</w:t>
      </w:r>
      <w:r>
        <w:rPr>
          <w:rFonts w:ascii="宋体" w:hAnsi="宋体" w:cs="宋体" w:eastAsia="宋体" w:hint="default"/>
          <w:spacing w:val="-54"/>
        </w:rPr>
        <w:t> </w:t>
      </w:r>
      <w:r>
        <w:rPr/>
        <w:t>年永续次级债（第一期）</w:t>
      </w:r>
      <w:r>
        <w:rPr>
          <w:rFonts w:ascii="宋体" w:hAnsi="宋体" w:cs="宋体" w:eastAsia="宋体" w:hint="default"/>
        </w:rPr>
        <w:t>5</w:t>
      </w:r>
      <w:r>
        <w:rPr>
          <w:rFonts w:ascii="宋体" w:hAnsi="宋体" w:cs="宋体" w:eastAsia="宋体" w:hint="default"/>
          <w:spacing w:val="-54"/>
        </w:rPr>
        <w:t> </w:t>
      </w:r>
      <w:r>
        <w:rPr/>
        <w:t>亿元，起息日</w:t>
      </w:r>
    </w:p>
    <w:p>
      <w:pPr>
        <w:pStyle w:val="BodyText"/>
        <w:spacing w:line="357" w:lineRule="auto" w:before="133"/>
        <w:ind w:left="137" w:right="189"/>
        <w:jc w:val="both"/>
      </w:pPr>
      <w:r>
        <w:rPr/>
        <w:t>为</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26</w:t>
      </w:r>
      <w:r>
        <w:rPr>
          <w:rFonts w:ascii="宋体" w:hAnsi="宋体" w:cs="宋体" w:eastAsia="宋体" w:hint="default"/>
          <w:spacing w:val="-54"/>
        </w:rPr>
        <w:t> </w:t>
      </w:r>
      <w:r>
        <w:rPr/>
        <w:t>日，前</w:t>
      </w:r>
      <w:r>
        <w:rPr>
          <w:spacing w:val="-56"/>
        </w:rPr>
        <w:t> </w:t>
      </w:r>
      <w:r>
        <w:rPr>
          <w:rFonts w:ascii="宋体" w:hAnsi="宋体" w:cs="宋体" w:eastAsia="宋体" w:hint="default"/>
        </w:rPr>
        <w:t>5</w:t>
      </w:r>
      <w:r>
        <w:rPr>
          <w:rFonts w:ascii="宋体" w:hAnsi="宋体" w:cs="宋体" w:eastAsia="宋体" w:hint="default"/>
          <w:spacing w:val="-54"/>
        </w:rPr>
        <w:t> </w:t>
      </w:r>
      <w:r>
        <w:rPr/>
        <w:t>个计息年度的票面利率为</w:t>
      </w:r>
      <w:r>
        <w:rPr>
          <w:spacing w:val="-53"/>
        </w:rPr>
        <w:t> </w:t>
      </w:r>
      <w:r>
        <w:rPr>
          <w:rFonts w:ascii="宋体" w:hAnsi="宋体" w:cs="宋体" w:eastAsia="宋体" w:hint="default"/>
        </w:rPr>
        <w:t>4.60%</w:t>
      </w:r>
      <w:r>
        <w:rPr/>
        <w:t>。本公司发行的永续债无固定到期日，</w:t>
      </w:r>
      <w:r>
        <w:rPr>
          <w:w w:val="100"/>
        </w:rPr>
        <w:t> </w:t>
      </w:r>
      <w:r>
        <w:rPr>
          <w:spacing w:val="-2"/>
        </w:rPr>
        <w:t>对于永续债票面利息，本公司有权递延支付，发行文件中并未规定交付现金或其他金融资产给其他</w:t>
      </w:r>
      <w:r>
        <w:rPr>
          <w:spacing w:val="-25"/>
        </w:rPr>
        <w:t> </w:t>
      </w:r>
      <w:r>
        <w:rPr>
          <w:spacing w:val="-25"/>
        </w:rPr>
      </w:r>
      <w:r>
        <w:rPr>
          <w:spacing w:val="-2"/>
        </w:rPr>
        <w:t>单位的合同义务，或在潜在不利条件下与其他单位交换金融资产或金融负债的合同义务，符合相关</w:t>
      </w:r>
      <w:r>
        <w:rPr>
          <w:spacing w:val="-25"/>
        </w:rPr>
        <w:t> </w:t>
      </w:r>
      <w:r>
        <w:rPr>
          <w:spacing w:val="-25"/>
        </w:rPr>
      </w:r>
      <w:r>
        <w:rPr/>
        <w:t>条件而确认为权益工具。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0"/>
        <w:ind w:left="137" w:right="0"/>
        <w:jc w:val="both"/>
        <w:rPr>
          <w:b w:val="0"/>
          <w:bCs w:val="0"/>
        </w:rPr>
      </w:pPr>
      <w:r>
        <w:rPr>
          <w:rFonts w:ascii="宋体" w:hAnsi="宋体" w:cs="宋体" w:eastAsia="宋体" w:hint="default"/>
        </w:rPr>
        <w:t>(3)</w:t>
      </w:r>
      <w:r>
        <w:rPr>
          <w:rFonts w:ascii="宋体" w:hAnsi="宋体" w:cs="宋体" w:eastAsia="宋体" w:hint="default"/>
          <w:spacing w:val="-3"/>
        </w:rPr>
        <w:t> </w:t>
      </w:r>
      <w:r>
        <w:rPr/>
        <w:t>期末发行在外的优先股、永续债等金融工具变动情况表</w:t>
      </w:r>
      <w:r>
        <w:rPr>
          <w:b w:val="0"/>
          <w:bCs w:val="0"/>
        </w:rPr>
      </w:r>
    </w:p>
    <w:p>
      <w:pPr>
        <w:pStyle w:val="BodyText"/>
        <w:spacing w:line="240" w:lineRule="auto" w:before="58"/>
        <w:ind w:left="137" w:right="0"/>
        <w:jc w:val="both"/>
      </w:pPr>
      <w:r>
        <w:rPr/>
        <w:t>√适用 □不适用</w:t>
      </w:r>
    </w:p>
    <w:p>
      <w:pPr>
        <w:spacing w:line="240" w:lineRule="auto" w:before="5"/>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86"/>
        <w:gridCol w:w="1171"/>
        <w:gridCol w:w="1786"/>
        <w:gridCol w:w="442"/>
        <w:gridCol w:w="567"/>
        <w:gridCol w:w="482"/>
        <w:gridCol w:w="542"/>
        <w:gridCol w:w="1171"/>
        <w:gridCol w:w="1789"/>
      </w:tblGrid>
      <w:tr>
        <w:trPr>
          <w:trHeight w:val="348" w:hRule="exact"/>
        </w:trPr>
        <w:tc>
          <w:tcPr>
            <w:tcW w:w="1186" w:type="dxa"/>
            <w:vMerge w:val="restart"/>
            <w:tcBorders>
              <w:top w:val="single" w:sz="4" w:space="0" w:color="000000"/>
              <w:left w:val="single" w:sz="4" w:space="0" w:color="000000"/>
              <w:right w:val="single" w:sz="4" w:space="0" w:color="000000"/>
            </w:tcBorders>
          </w:tcPr>
          <w:p>
            <w:pPr>
              <w:pStyle w:val="TableParagraph"/>
              <w:spacing w:line="272" w:lineRule="exact" w:before="169"/>
              <w:ind w:left="168" w:right="57" w:hanging="106"/>
              <w:jc w:val="left"/>
              <w:rPr>
                <w:rFonts w:ascii="宋体" w:hAnsi="宋体" w:cs="宋体" w:eastAsia="宋体" w:hint="default"/>
                <w:sz w:val="21"/>
                <w:szCs w:val="21"/>
              </w:rPr>
            </w:pPr>
            <w:r>
              <w:rPr>
                <w:rFonts w:ascii="宋体" w:hAnsi="宋体" w:cs="宋体" w:eastAsia="宋体" w:hint="default"/>
                <w:sz w:val="21"/>
                <w:szCs w:val="21"/>
              </w:rPr>
              <w:t>发行在外的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金融工具</w:t>
            </w:r>
          </w:p>
        </w:tc>
        <w:tc>
          <w:tcPr>
            <w:tcW w:w="2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557" w:hRule="exact"/>
        </w:trPr>
        <w:tc>
          <w:tcPr>
            <w:tcW w:w="1186"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5,000,000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500,000,000.00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5,000,000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500,000,000.00</w:t>
            </w:r>
          </w:p>
        </w:tc>
      </w:tr>
      <w:tr>
        <w:trPr>
          <w:trHeight w:val="351"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5,000,000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500,000,000.00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pacing w:val="-1"/>
                <w:sz w:val="21"/>
              </w:rPr>
              <w:t>5,000,000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500,000,000.00</w:t>
            </w:r>
          </w:p>
        </w:tc>
      </w:tr>
    </w:tbl>
    <w:p>
      <w:pPr>
        <w:spacing w:line="240" w:lineRule="auto" w:before="3"/>
        <w:rPr>
          <w:rFonts w:ascii="宋体" w:hAnsi="宋体" w:cs="宋体" w:eastAsia="宋体" w:hint="default"/>
          <w:sz w:val="21"/>
          <w:szCs w:val="21"/>
        </w:rPr>
      </w:pPr>
    </w:p>
    <w:p>
      <w:pPr>
        <w:pStyle w:val="BodyText"/>
        <w:spacing w:line="274" w:lineRule="exact"/>
        <w:ind w:left="137" w:right="0"/>
        <w:jc w:val="both"/>
      </w:pPr>
      <w:r>
        <w:rPr/>
        <w:t>其他权益工具本期增减变动情况、变动原因说明，以及相关会计处理的依据：</w:t>
      </w:r>
    </w:p>
    <w:p>
      <w:pPr>
        <w:pStyle w:val="BodyText"/>
        <w:spacing w:line="272" w:lineRule="exact"/>
        <w:ind w:left="137" w:right="0"/>
        <w:jc w:val="both"/>
      </w:pPr>
      <w:r>
        <w:rPr/>
        <w:t>√适用 □不适用</w:t>
      </w:r>
    </w:p>
    <w:p>
      <w:pPr>
        <w:pStyle w:val="BodyText"/>
        <w:spacing w:line="357" w:lineRule="auto"/>
        <w:ind w:left="137" w:right="148" w:firstLine="480"/>
        <w:jc w:val="both"/>
      </w:pPr>
      <w:r>
        <w:rPr/>
        <w:t>根据《企业会计准则第</w:t>
      </w:r>
      <w:r>
        <w:rPr>
          <w:spacing w:val="-57"/>
        </w:rPr>
        <w:t> </w:t>
      </w:r>
      <w:r>
        <w:rPr>
          <w:rFonts w:ascii="宋体" w:hAnsi="宋体" w:cs="宋体" w:eastAsia="宋体" w:hint="default"/>
        </w:rPr>
        <w:t>22</w:t>
      </w:r>
      <w:r>
        <w:rPr>
          <w:rFonts w:ascii="宋体" w:hAnsi="宋体" w:cs="宋体" w:eastAsia="宋体" w:hint="default"/>
          <w:spacing w:val="-60"/>
        </w:rPr>
        <w:t> </w:t>
      </w:r>
      <w:r>
        <w:rPr/>
        <w:t>号——金融工具确认和计量》《企业会计准则第</w:t>
      </w:r>
      <w:r>
        <w:rPr>
          <w:spacing w:val="-58"/>
        </w:rPr>
        <w:t> </w:t>
      </w:r>
      <w:r>
        <w:rPr>
          <w:rFonts w:ascii="宋体" w:hAnsi="宋体" w:cs="宋体" w:eastAsia="宋体" w:hint="default"/>
        </w:rPr>
        <w:t>37</w:t>
      </w:r>
      <w:r>
        <w:rPr>
          <w:rFonts w:ascii="宋体" w:hAnsi="宋体" w:cs="宋体" w:eastAsia="宋体" w:hint="default"/>
          <w:spacing w:val="-59"/>
        </w:rPr>
        <w:t> </w:t>
      </w:r>
      <w:r>
        <w:rPr/>
        <w:t>号——金融工具</w:t>
      </w:r>
      <w:r>
        <w:rPr>
          <w:w w:val="100"/>
        </w:rPr>
        <w:t> </w:t>
      </w:r>
      <w:r>
        <w:rPr>
          <w:spacing w:val="-2"/>
        </w:rPr>
        <w:t>列报》以及财政部印发的《金融负债与权益工具的区分及相关会计处理规定》</w:t>
      </w:r>
      <w:r>
        <w:rPr>
          <w:rFonts w:ascii="宋体" w:hAnsi="宋体" w:cs="宋体" w:eastAsia="宋体" w:hint="default"/>
          <w:spacing w:val="-2"/>
        </w:rPr>
        <w:t>(</w:t>
      </w:r>
      <w:r>
        <w:rPr>
          <w:spacing w:val="-2"/>
        </w:rPr>
        <w:t>财会〔</w:t>
      </w:r>
      <w:r>
        <w:rPr>
          <w:rFonts w:ascii="宋体" w:hAnsi="宋体" w:cs="宋体" w:eastAsia="宋体" w:hint="default"/>
          <w:spacing w:val="-2"/>
        </w:rPr>
        <w:t>2014</w:t>
      </w:r>
      <w:r>
        <w:rPr>
          <w:spacing w:val="-2"/>
        </w:rPr>
        <w:t>〕</w:t>
      </w:r>
      <w:r>
        <w:rPr>
          <w:rFonts w:ascii="宋体" w:hAnsi="宋体" w:cs="宋体" w:eastAsia="宋体" w:hint="default"/>
          <w:spacing w:val="-2"/>
        </w:rPr>
        <w:t>13</w:t>
      </w:r>
      <w:r>
        <w:rPr>
          <w:rFonts w:ascii="宋体" w:hAnsi="宋体" w:cs="宋体" w:eastAsia="宋体" w:hint="default"/>
        </w:rPr>
        <w:t> </w:t>
      </w:r>
      <w:r>
        <w:rPr>
          <w:spacing w:val="-2"/>
        </w:rPr>
        <w:t>号</w:t>
      </w:r>
      <w:r>
        <w:rPr>
          <w:rFonts w:ascii="宋体" w:hAnsi="宋体" w:cs="宋体" w:eastAsia="宋体" w:hint="default"/>
          <w:spacing w:val="-2"/>
        </w:rPr>
        <w:t>)</w:t>
      </w:r>
      <w:r>
        <w:rPr>
          <w:rFonts w:ascii="宋体" w:hAnsi="宋体" w:cs="宋体" w:eastAsia="宋体" w:hint="default"/>
          <w:spacing w:val="-83"/>
        </w:rPr>
        <w:t> </w:t>
      </w:r>
      <w:r>
        <w:rPr>
          <w:spacing w:val="-4"/>
        </w:rPr>
        <w:t>的相关规定，公司</w:t>
      </w:r>
      <w:r>
        <w:rPr>
          <w:spacing w:val="-29"/>
        </w:rPr>
        <w:t> </w:t>
      </w:r>
      <w:r>
        <w:rPr>
          <w:rFonts w:ascii="宋体" w:hAnsi="宋体" w:cs="宋体" w:eastAsia="宋体" w:hint="default"/>
        </w:rPr>
        <w:t>2016</w:t>
      </w:r>
      <w:r>
        <w:rPr>
          <w:rFonts w:ascii="宋体" w:hAnsi="宋体" w:cs="宋体" w:eastAsia="宋体" w:hint="default"/>
          <w:spacing w:val="-29"/>
        </w:rPr>
        <w:t> </w:t>
      </w:r>
      <w:r>
        <w:rPr>
          <w:spacing w:val="-3"/>
        </w:rPr>
        <w:t>年永续次级债（第一期）因发行文件中并未规定交付现金或其他金融资产给</w:t>
      </w:r>
      <w:r>
        <w:rPr>
          <w:spacing w:val="-95"/>
        </w:rPr>
        <w:t> </w:t>
      </w:r>
      <w:r>
        <w:rPr>
          <w:spacing w:val="-95"/>
        </w:rPr>
      </w:r>
      <w:r>
        <w:rPr>
          <w:spacing w:val="-2"/>
        </w:rPr>
        <w:t>其他单位的合同义务，或在潜在不利条件下与其他单位交换金融资产或金融负债的合同义务，符合</w:t>
      </w:r>
      <w:r>
        <w:rPr>
          <w:spacing w:val="-25"/>
        </w:rPr>
        <w:t> </w:t>
      </w:r>
      <w:r>
        <w:rPr>
          <w:spacing w:val="-25"/>
        </w:rPr>
      </w:r>
      <w:r>
        <w:rPr/>
        <w:t>相关条件而确认为权益工具。</w:t>
      </w:r>
    </w:p>
    <w:p>
      <w:pPr>
        <w:spacing w:line="240" w:lineRule="auto" w:before="3"/>
        <w:rPr>
          <w:rFonts w:ascii="宋体" w:hAnsi="宋体" w:cs="宋体" w:eastAsia="宋体" w:hint="default"/>
          <w:sz w:val="26"/>
          <w:szCs w:val="26"/>
        </w:rPr>
      </w:pPr>
    </w:p>
    <w:p>
      <w:pPr>
        <w:pStyle w:val="BodyText"/>
        <w:spacing w:line="273" w:lineRule="exact"/>
        <w:ind w:left="137" w:right="0"/>
        <w:jc w:val="both"/>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137" w:right="0"/>
        <w:jc w:val="both"/>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4"/>
          <w:pgSz w:w="11910" w:h="16840"/>
          <w:pgMar w:footer="1195" w:header="882" w:top="1120" w:bottom="1380" w:left="1140" w:right="1400"/>
          <w:pgNumType w:start="166"/>
        </w:sectPr>
      </w:pPr>
    </w:p>
    <w:p>
      <w:pPr>
        <w:pStyle w:val="Heading5"/>
        <w:spacing w:line="240" w:lineRule="auto" w:before="36"/>
        <w:ind w:left="137" w:right="-18"/>
        <w:jc w:val="left"/>
        <w:rPr>
          <w:b w:val="0"/>
          <w:bCs w:val="0"/>
        </w:rPr>
      </w:pPr>
      <w:r>
        <w:rPr>
          <w:rFonts w:ascii="宋体" w:hAnsi="宋体" w:cs="宋体" w:eastAsia="宋体" w:hint="default"/>
        </w:rPr>
        <w:t>44</w:t>
      </w:r>
      <w:r>
        <w:rPr/>
        <w:t>、</w:t>
      </w:r>
      <w:r>
        <w:rPr>
          <w:spacing w:val="-24"/>
        </w:rPr>
        <w:t> </w:t>
      </w:r>
      <w:r>
        <w:rPr/>
        <w:t>资本公积</w:t>
      </w:r>
      <w:r>
        <w:rPr>
          <w:b w:val="0"/>
          <w:bCs w:val="0"/>
        </w:rPr>
      </w:r>
    </w:p>
    <w:p>
      <w:pPr>
        <w:pStyle w:val="BodyText"/>
        <w:spacing w:line="240" w:lineRule="auto" w:before="58"/>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060" w:bottom="1380" w:left="1140" w:right="1400"/>
          <w:cols w:num="2" w:equalWidth="0">
            <w:col w:w="1715" w:space="5258"/>
            <w:col w:w="23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21"/>
        <w:gridCol w:w="1837"/>
        <w:gridCol w:w="1870"/>
        <w:gridCol w:w="1855"/>
        <w:gridCol w:w="1853"/>
      </w:tblGrid>
      <w:tr>
        <w:trPr>
          <w:trHeight w:val="28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8,262,913,631.63</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8,262,913,631.63</w:t>
            </w:r>
          </w:p>
        </w:tc>
      </w:tr>
      <w:tr>
        <w:trPr>
          <w:trHeight w:val="28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3,217,193.35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3,217,193.35</w:t>
            </w:r>
          </w:p>
        </w:tc>
      </w:tr>
      <w:tr>
        <w:trPr>
          <w:trHeight w:val="28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8,266,130,824.98</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8,266,130,824.98</w:t>
            </w:r>
          </w:p>
        </w:tc>
      </w:tr>
    </w:tbl>
    <w:p>
      <w:pPr>
        <w:pStyle w:val="BodyText"/>
        <w:spacing w:line="241" w:lineRule="exact"/>
        <w:ind w:left="137" w:right="0"/>
        <w:jc w:val="left"/>
      </w:pPr>
      <w:r>
        <w:rPr/>
        <w:t>其他说明，包括本期增减变动情况、变动原因说明：</w:t>
      </w:r>
    </w:p>
    <w:p>
      <w:pPr>
        <w:pStyle w:val="BodyText"/>
        <w:spacing w:line="240" w:lineRule="auto" w:before="133"/>
        <w:ind w:left="137" w:right="0"/>
        <w:jc w:val="left"/>
      </w:pPr>
      <w:r>
        <w:rPr>
          <w:w w:val="100"/>
        </w:rPr>
        <w:t>无</w:t>
      </w:r>
    </w:p>
    <w:p>
      <w:pPr>
        <w:spacing w:after="0" w:line="240" w:lineRule="auto"/>
        <w:jc w:val="left"/>
        <w:sectPr>
          <w:type w:val="continuous"/>
          <w:pgSz w:w="11910" w:h="16840"/>
          <w:pgMar w:top="1060" w:bottom="1380" w:left="1140" w:right="14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spacing w:line="240" w:lineRule="auto" w:before="36"/>
        <w:ind w:left="817" w:right="3955"/>
        <w:jc w:val="left"/>
        <w:rPr>
          <w:b w:val="0"/>
          <w:bCs w:val="0"/>
        </w:rPr>
      </w:pPr>
      <w:r>
        <w:rPr>
          <w:rFonts w:ascii="宋体" w:hAnsi="宋体" w:cs="宋体" w:eastAsia="宋体" w:hint="default"/>
        </w:rPr>
        <w:t>45</w:t>
      </w:r>
      <w:r>
        <w:rPr/>
        <w:t>、</w:t>
      </w:r>
      <w:r>
        <w:rPr>
          <w:spacing w:val="-24"/>
        </w:rPr>
        <w:t> </w:t>
      </w:r>
      <w:r>
        <w:rPr/>
        <w:t>库存股</w:t>
      </w:r>
      <w:r>
        <w:rPr>
          <w:b w:val="0"/>
          <w:bCs w:val="0"/>
        </w:rPr>
      </w:r>
    </w:p>
    <w:p>
      <w:pPr>
        <w:pStyle w:val="BodyText"/>
        <w:spacing w:line="240" w:lineRule="auto" w:before="56"/>
        <w:ind w:left="817" w:right="3955"/>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460" w:right="20"/>
        </w:sectPr>
      </w:pPr>
    </w:p>
    <w:p>
      <w:pPr>
        <w:pStyle w:val="Heading5"/>
        <w:spacing w:line="240" w:lineRule="auto" w:before="36"/>
        <w:ind w:left="817" w:right="-19"/>
        <w:jc w:val="left"/>
        <w:rPr>
          <w:b w:val="0"/>
          <w:bCs w:val="0"/>
        </w:rPr>
      </w:pPr>
      <w:r>
        <w:rPr>
          <w:rFonts w:ascii="宋体" w:hAnsi="宋体" w:cs="宋体" w:eastAsia="宋体" w:hint="default"/>
        </w:rPr>
        <w:t>46</w:t>
      </w:r>
      <w:r>
        <w:rPr/>
        <w:t>、</w:t>
      </w:r>
      <w:r>
        <w:rPr>
          <w:spacing w:val="-23"/>
        </w:rPr>
        <w:t> </w:t>
      </w:r>
      <w:r>
        <w:rPr/>
        <w:t>其他综合收益</w:t>
      </w:r>
      <w:r>
        <w:rPr>
          <w:b w:val="0"/>
          <w:bCs w:val="0"/>
        </w:rPr>
      </w:r>
    </w:p>
    <w:p>
      <w:pPr>
        <w:pStyle w:val="BodyText"/>
        <w:spacing w:line="240" w:lineRule="auto" w:before="56"/>
        <w:ind w:left="8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7" w:right="0"/>
        <w:jc w:val="left"/>
      </w:pPr>
      <w:r>
        <w:rPr/>
        <w:t>单位：元币种：人民币</w:t>
      </w:r>
    </w:p>
    <w:p>
      <w:pPr>
        <w:spacing w:after="0" w:line="240" w:lineRule="auto"/>
        <w:jc w:val="left"/>
        <w:sectPr>
          <w:type w:val="continuous"/>
          <w:pgSz w:w="11910" w:h="16840"/>
          <w:pgMar w:top="1060" w:bottom="1380" w:left="460" w:right="20"/>
          <w:cols w:num="2" w:equalWidth="0">
            <w:col w:w="2589" w:space="4384"/>
            <w:col w:w="4457"/>
          </w:cols>
        </w:sectPr>
      </w:pPr>
    </w:p>
    <w:p>
      <w:pPr>
        <w:spacing w:line="240" w:lineRule="auto" w:before="4"/>
        <w:rPr>
          <w:rFonts w:ascii="宋体" w:hAnsi="宋体" w:cs="宋体" w:eastAsia="宋体" w:hint="default"/>
          <w:sz w:val="2"/>
          <w:szCs w:val="2"/>
        </w:rPr>
      </w:pPr>
    </w:p>
    <w:tbl>
      <w:tblPr>
        <w:tblW w:w="0" w:type="auto"/>
        <w:jc w:val="left"/>
        <w:tblInd w:w="783" w:type="dxa"/>
        <w:tblLayout w:type="fixed"/>
        <w:tblCellMar>
          <w:top w:w="0" w:type="dxa"/>
          <w:left w:w="0" w:type="dxa"/>
          <w:bottom w:w="0" w:type="dxa"/>
          <w:right w:w="0" w:type="dxa"/>
        </w:tblCellMar>
        <w:tblLook w:val="01E0"/>
      </w:tblPr>
      <w:tblGrid>
        <w:gridCol w:w="5262"/>
        <w:gridCol w:w="2002"/>
        <w:gridCol w:w="1945"/>
      </w:tblGrid>
      <w:tr>
        <w:trPr>
          <w:trHeight w:val="32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．可供出售金融资产产生的利得（损失）金额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-385,816,012.11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300,153,335.70</w:t>
            </w: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-350,381,755.50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33,267,573.13</w:t>
            </w:r>
          </w:p>
        </w:tc>
      </w:tr>
      <w:tr>
        <w:trPr>
          <w:trHeight w:val="28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1,140,744,833.86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154,884,958.07</w:t>
            </w: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-1,176,179,090.47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112,000,804.50</w:t>
            </w:r>
          </w:p>
        </w:tc>
      </w:tr>
      <w:tr>
        <w:trPr>
          <w:trHeight w:val="55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按照权益法核算的在被投资单位其他综合收益中所享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-114,210,435.88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22,912,662.73</w:t>
            </w:r>
          </w:p>
        </w:tc>
      </w:tr>
      <w:tr>
        <w:trPr>
          <w:trHeight w:val="55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-114,210,435.88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22,912,662.73</w:t>
            </w: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．现金流量套期工具产生的利得（或损失）金额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．外币财务报表折算差额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19,914,396.34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-27,355,754.36</w:t>
            </w: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19,914,396.34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-27,355,754.36</w:t>
            </w: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-1,270,475,130.01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107,557,712.87</w:t>
            </w:r>
          </w:p>
        </w:tc>
      </w:tr>
    </w:tbl>
    <w:p>
      <w:pPr>
        <w:pStyle w:val="BodyText"/>
        <w:spacing w:line="290" w:lineRule="auto" w:before="26"/>
        <w:ind w:left="817" w:right="3955"/>
        <w:jc w:val="left"/>
      </w:pPr>
      <w:r>
        <w:rPr/>
        <w:t>其他综合收益说明：</w:t>
      </w:r>
      <w:r>
        <w:rPr>
          <w:w w:val="100"/>
        </w:rPr>
        <w:t> </w:t>
      </w:r>
      <w:r>
        <w:rPr>
          <w:spacing w:val="-2"/>
        </w:rPr>
        <w:t>本期，归属于母公司股东的其他综合收益情况如下：</w:t>
      </w: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210"/>
        <w:gridCol w:w="1409"/>
        <w:gridCol w:w="1457"/>
        <w:gridCol w:w="1454"/>
        <w:gridCol w:w="1455"/>
        <w:gridCol w:w="1604"/>
        <w:gridCol w:w="1164"/>
        <w:gridCol w:w="1452"/>
      </w:tblGrid>
      <w:tr>
        <w:trPr>
          <w:trHeight w:val="295" w:hRule="exact"/>
        </w:trPr>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0" w:hRule="exact"/>
        </w:trPr>
        <w:tc>
          <w:tcPr>
            <w:tcW w:w="1210"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53" w:right="183" w:hanging="272"/>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hanging="80"/>
              <w:jc w:val="left"/>
              <w:rPr>
                <w:rFonts w:ascii="宋体" w:hAnsi="宋体" w:cs="宋体" w:eastAsia="宋体" w:hint="default"/>
                <w:sz w:val="18"/>
                <w:szCs w:val="18"/>
              </w:rPr>
            </w:pPr>
            <w:r>
              <w:rPr>
                <w:rFonts w:ascii="宋体" w:hAnsi="宋体" w:cs="宋体" w:eastAsia="宋体" w:hint="default"/>
                <w:spacing w:val="-4"/>
                <w:sz w:val="18"/>
                <w:szCs w:val="18"/>
              </w:rPr>
              <w:t>减：前期计入其</w:t>
            </w:r>
          </w:p>
          <w:p>
            <w:pPr>
              <w:pStyle w:val="TableParagraph"/>
              <w:spacing w:line="232" w:lineRule="exact" w:before="24"/>
              <w:ind w:left="271" w:right="180" w:hanging="89"/>
              <w:jc w:val="left"/>
              <w:rPr>
                <w:rFonts w:ascii="宋体" w:hAnsi="宋体" w:cs="宋体" w:eastAsia="宋体" w:hint="default"/>
                <w:sz w:val="18"/>
                <w:szCs w:val="18"/>
              </w:rPr>
            </w:pPr>
            <w:r>
              <w:rPr>
                <w:rFonts w:ascii="宋体" w:hAnsi="宋体" w:cs="宋体" w:eastAsia="宋体" w:hint="default"/>
                <w:sz w:val="18"/>
                <w:szCs w:val="18"/>
              </w:rPr>
              <w:t>他综合收益当 期转入损益</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05" w:right="166"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5" w:right="125"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452" w:type="dxa"/>
            <w:vMerge/>
            <w:tcBorders>
              <w:left w:val="single" w:sz="4" w:space="0" w:color="000000"/>
              <w:bottom w:val="single" w:sz="4" w:space="0" w:color="000000"/>
              <w:right w:val="single" w:sz="4" w:space="0" w:color="000000"/>
            </w:tcBorders>
          </w:tcPr>
          <w:p>
            <w:pPr/>
          </w:p>
        </w:tc>
      </w:tr>
      <w:tr>
        <w:trPr>
          <w:trHeight w:val="943"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9"/>
                <w:sz w:val="18"/>
                <w:szCs w:val="18"/>
              </w:rPr>
              <w:t>以后将重分</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00" w:right="77"/>
              <w:jc w:val="both"/>
              <w:rPr>
                <w:rFonts w:ascii="宋体" w:hAnsi="宋体" w:cs="宋体" w:eastAsia="宋体" w:hint="default"/>
                <w:sz w:val="18"/>
                <w:szCs w:val="18"/>
              </w:rPr>
            </w:pPr>
            <w:r>
              <w:rPr>
                <w:rFonts w:ascii="宋体" w:hAnsi="宋体" w:cs="宋体" w:eastAsia="宋体" w:hint="default"/>
                <w:spacing w:val="19"/>
                <w:sz w:val="18"/>
                <w:szCs w:val="18"/>
              </w:rPr>
              <w:t>类进损益的</w:t>
            </w:r>
            <w:r>
              <w:rPr>
                <w:rFonts w:ascii="宋体" w:hAnsi="宋体" w:cs="宋体" w:eastAsia="宋体" w:hint="default"/>
                <w:spacing w:val="-66"/>
                <w:sz w:val="18"/>
                <w:szCs w:val="18"/>
              </w:rPr>
              <w:t> </w:t>
            </w:r>
            <w:r>
              <w:rPr>
                <w:rFonts w:ascii="宋体" w:hAnsi="宋体" w:cs="宋体" w:eastAsia="宋体" w:hint="default"/>
                <w:spacing w:val="19"/>
                <w:sz w:val="18"/>
                <w:szCs w:val="18"/>
              </w:rPr>
              <w:t>其他综合收</w:t>
            </w:r>
            <w:r>
              <w:rPr>
                <w:rFonts w:ascii="宋体" w:hAnsi="宋体" w:cs="宋体" w:eastAsia="宋体" w:hint="default"/>
                <w:spacing w:val="-66"/>
                <w:sz w:val="18"/>
                <w:szCs w:val="18"/>
              </w:rPr>
              <w:t> </w:t>
            </w:r>
            <w:r>
              <w:rPr>
                <w:rFonts w:ascii="宋体" w:hAnsi="宋体" w:cs="宋体" w:eastAsia="宋体" w:hint="default"/>
                <w:sz w:val="18"/>
                <w:szCs w:val="18"/>
              </w:rPr>
              <w:t>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738,930,368.21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-480,112,051.65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5"/>
                <w:szCs w:val="15"/>
              </w:rPr>
            </w:pPr>
            <w:r>
              <w:rPr>
                <w:rFonts w:ascii="宋体"/>
                <w:sz w:val="15"/>
              </w:rPr>
              <w:t>1,140,744,833.86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-350,381,755.50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-1,274,699,372.33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4,224,242.32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-535,769,004.12</w:t>
            </w:r>
          </w:p>
        </w:tc>
      </w:tr>
      <w:tr>
        <w:trPr>
          <w:trHeight w:val="164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5"/>
                <w:sz w:val="18"/>
                <w:szCs w:val="18"/>
              </w:rPr>
              <w:t>：</w:t>
            </w:r>
            <w:r>
              <w:rPr>
                <w:rFonts w:ascii="宋体" w:hAnsi="宋体" w:cs="宋体" w:eastAsia="宋体" w:hint="default"/>
                <w:sz w:val="18"/>
                <w:szCs w:val="18"/>
              </w:rPr>
              <w:t>权益法</w:t>
            </w:r>
          </w:p>
          <w:p>
            <w:pPr>
              <w:pStyle w:val="TableParagraph"/>
              <w:spacing w:line="237" w:lineRule="auto" w:before="2"/>
              <w:ind w:left="100" w:right="77"/>
              <w:jc w:val="both"/>
              <w:rPr>
                <w:rFonts w:ascii="宋体" w:hAnsi="宋体" w:cs="宋体" w:eastAsia="宋体" w:hint="default"/>
                <w:sz w:val="18"/>
                <w:szCs w:val="18"/>
              </w:rPr>
            </w:pPr>
            <w:r>
              <w:rPr>
                <w:rFonts w:ascii="宋体" w:hAnsi="宋体" w:cs="宋体" w:eastAsia="宋体" w:hint="default"/>
                <w:spacing w:val="19"/>
                <w:sz w:val="18"/>
                <w:szCs w:val="18"/>
              </w:rPr>
              <w:t>下在被投资</w:t>
            </w:r>
            <w:r>
              <w:rPr>
                <w:rFonts w:ascii="宋体" w:hAnsi="宋体" w:cs="宋体" w:eastAsia="宋体" w:hint="default"/>
                <w:spacing w:val="-66"/>
                <w:sz w:val="18"/>
                <w:szCs w:val="18"/>
              </w:rPr>
              <w:t> </w:t>
            </w:r>
            <w:r>
              <w:rPr>
                <w:rFonts w:ascii="宋体" w:hAnsi="宋体" w:cs="宋体" w:eastAsia="宋体" w:hint="default"/>
                <w:spacing w:val="19"/>
                <w:sz w:val="18"/>
                <w:szCs w:val="18"/>
              </w:rPr>
              <w:t>单位以后将</w:t>
            </w:r>
            <w:r>
              <w:rPr>
                <w:rFonts w:ascii="宋体" w:hAnsi="宋体" w:cs="宋体" w:eastAsia="宋体" w:hint="default"/>
                <w:spacing w:val="-66"/>
                <w:sz w:val="18"/>
                <w:szCs w:val="18"/>
              </w:rPr>
              <w:t> </w:t>
            </w:r>
            <w:r>
              <w:rPr>
                <w:rFonts w:ascii="宋体" w:hAnsi="宋体" w:cs="宋体" w:eastAsia="宋体" w:hint="default"/>
                <w:spacing w:val="19"/>
                <w:sz w:val="18"/>
                <w:szCs w:val="18"/>
              </w:rPr>
              <w:t>重分类进损</w:t>
            </w:r>
            <w:r>
              <w:rPr>
                <w:rFonts w:ascii="宋体" w:hAnsi="宋体" w:cs="宋体" w:eastAsia="宋体" w:hint="default"/>
                <w:spacing w:val="-66"/>
                <w:sz w:val="18"/>
                <w:szCs w:val="18"/>
              </w:rPr>
              <w:t> </w:t>
            </w:r>
            <w:r>
              <w:rPr>
                <w:rFonts w:ascii="宋体" w:hAnsi="宋体" w:cs="宋体" w:eastAsia="宋体" w:hint="default"/>
                <w:spacing w:val="19"/>
                <w:sz w:val="18"/>
                <w:szCs w:val="18"/>
              </w:rPr>
              <w:t>益的其他综</w:t>
            </w:r>
            <w:r>
              <w:rPr>
                <w:rFonts w:ascii="宋体" w:hAnsi="宋体" w:cs="宋体" w:eastAsia="宋体" w:hint="default"/>
                <w:spacing w:val="-66"/>
                <w:sz w:val="18"/>
                <w:szCs w:val="18"/>
              </w:rPr>
              <w:t> </w:t>
            </w:r>
            <w:r>
              <w:rPr>
                <w:rFonts w:ascii="宋体" w:hAnsi="宋体" w:cs="宋体" w:eastAsia="宋体" w:hint="default"/>
                <w:spacing w:val="19"/>
                <w:sz w:val="18"/>
                <w:szCs w:val="18"/>
              </w:rPr>
              <w:t>合收益中享</w:t>
            </w:r>
            <w:r>
              <w:rPr>
                <w:rFonts w:ascii="宋体" w:hAnsi="宋体" w:cs="宋体" w:eastAsia="宋体" w:hint="default"/>
                <w:spacing w:val="-66"/>
                <w:sz w:val="18"/>
                <w:szCs w:val="18"/>
              </w:rPr>
              <w:t> </w:t>
            </w:r>
            <w:r>
              <w:rPr>
                <w:rFonts w:ascii="宋体" w:hAnsi="宋体" w:cs="宋体" w:eastAsia="宋体" w:hint="default"/>
                <w:sz w:val="18"/>
                <w:szCs w:val="18"/>
              </w:rPr>
              <w:t>有的份额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70,199,032.73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-114,210,435.88</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-114,199,324.72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-11,111.16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-44,000,291.99</w:t>
            </w:r>
          </w:p>
        </w:tc>
      </w:tr>
    </w:tbl>
    <w:p>
      <w:pPr>
        <w:spacing w:after="0" w:line="240" w:lineRule="auto"/>
        <w:jc w:val="right"/>
        <w:rPr>
          <w:rFonts w:ascii="宋体" w:hAnsi="宋体" w:cs="宋体" w:eastAsia="宋体" w:hint="default"/>
          <w:sz w:val="15"/>
          <w:szCs w:val="15"/>
        </w:rPr>
        <w:sectPr>
          <w:type w:val="continuous"/>
          <w:pgSz w:w="11910" w:h="16840"/>
          <w:pgMar w:top="1060" w:bottom="1380" w:left="460" w:right="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10"/>
        <w:gridCol w:w="1409"/>
        <w:gridCol w:w="1457"/>
        <w:gridCol w:w="1454"/>
        <w:gridCol w:w="1455"/>
        <w:gridCol w:w="1604"/>
        <w:gridCol w:w="1164"/>
        <w:gridCol w:w="1452"/>
      </w:tblGrid>
      <w:tr>
        <w:trPr>
          <w:trHeight w:val="94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19"/>
                <w:sz w:val="18"/>
                <w:szCs w:val="18"/>
              </w:rPr>
              <w:t>可供出售金</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ind w:left="100" w:right="77"/>
              <w:jc w:val="both"/>
              <w:rPr>
                <w:rFonts w:ascii="宋体" w:hAnsi="宋体" w:cs="宋体" w:eastAsia="宋体" w:hint="default"/>
                <w:sz w:val="18"/>
                <w:szCs w:val="18"/>
              </w:rPr>
            </w:pPr>
            <w:r>
              <w:rPr>
                <w:rFonts w:ascii="宋体" w:hAnsi="宋体" w:cs="宋体" w:eastAsia="宋体" w:hint="default"/>
                <w:spacing w:val="19"/>
                <w:sz w:val="18"/>
                <w:szCs w:val="18"/>
              </w:rPr>
              <w:t>融资产公允</w:t>
            </w:r>
            <w:r>
              <w:rPr>
                <w:rFonts w:ascii="宋体" w:hAnsi="宋体" w:cs="宋体" w:eastAsia="宋体" w:hint="default"/>
                <w:spacing w:val="-66"/>
                <w:sz w:val="18"/>
                <w:szCs w:val="18"/>
              </w:rPr>
              <w:t> </w:t>
            </w:r>
            <w:r>
              <w:rPr>
                <w:rFonts w:ascii="宋体" w:hAnsi="宋体" w:cs="宋体" w:eastAsia="宋体" w:hint="default"/>
                <w:spacing w:val="19"/>
                <w:sz w:val="18"/>
                <w:szCs w:val="18"/>
              </w:rPr>
              <w:t>价值变动损</w:t>
            </w:r>
            <w:r>
              <w:rPr>
                <w:rFonts w:ascii="宋体" w:hAnsi="宋体" w:cs="宋体" w:eastAsia="宋体" w:hint="default"/>
                <w:spacing w:val="-66"/>
                <w:sz w:val="18"/>
                <w:szCs w:val="18"/>
              </w:rPr>
              <w:t> </w:t>
            </w:r>
            <w:r>
              <w:rPr>
                <w:rFonts w:ascii="宋体" w:hAnsi="宋体" w:cs="宋体" w:eastAsia="宋体" w:hint="default"/>
                <w:sz w:val="18"/>
                <w:szCs w:val="18"/>
              </w:rPr>
              <w:t>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665,001,818.51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-385,816,012.11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1,140,744,833.86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-350,381,755.50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-1,180,414,443.95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4,235,353.48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-515,412,625.44</w:t>
            </w:r>
          </w:p>
        </w:tc>
      </w:tr>
      <w:tr>
        <w:trPr>
          <w:trHeight w:val="478"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外币财务报</w:t>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表折算差额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3,729,516.97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19,914,396.34</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19,914,396.34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5"/>
                <w:szCs w:val="15"/>
              </w:rPr>
            </w:pPr>
            <w:r>
              <w:rPr>
                <w:rFonts w:ascii="宋体"/>
                <w:spacing w:val="-2"/>
                <w:sz w:val="15"/>
              </w:rPr>
              <w:t>23,643,913.31</w:t>
            </w:r>
          </w:p>
        </w:tc>
      </w:tr>
      <w:tr>
        <w:trPr>
          <w:trHeight w:val="478"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9"/>
                <w:sz w:val="18"/>
                <w:szCs w:val="18"/>
              </w:rPr>
              <w:t>其他综合收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738,930,368.21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-480,112,051.65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1,140,744,833.86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-350,381,755.50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2"/>
                <w:sz w:val="15"/>
              </w:rPr>
              <w:t>-1,274,699,372.33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2"/>
                <w:sz w:val="15"/>
              </w:rPr>
              <w:t>4,224,242.32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5"/>
                <w:szCs w:val="15"/>
              </w:rPr>
            </w:pPr>
            <w:r>
              <w:rPr>
                <w:rFonts w:ascii="宋体"/>
                <w:spacing w:val="-2"/>
                <w:sz w:val="15"/>
              </w:rPr>
              <w:t>-535,769,004.12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817" w:right="3955"/>
        <w:jc w:val="left"/>
        <w:rPr>
          <w:b w:val="0"/>
          <w:bCs w:val="0"/>
        </w:rPr>
      </w:pPr>
      <w:r>
        <w:rPr>
          <w:rFonts w:ascii="宋体" w:hAnsi="宋体" w:cs="宋体" w:eastAsia="宋体" w:hint="default"/>
        </w:rPr>
        <w:t>47</w:t>
      </w:r>
      <w:r>
        <w:rPr/>
        <w:t>、</w:t>
      </w:r>
      <w:r>
        <w:rPr>
          <w:spacing w:val="-24"/>
        </w:rPr>
        <w:t> </w:t>
      </w:r>
      <w:r>
        <w:rPr/>
        <w:t>专项储备</w:t>
      </w:r>
      <w:r>
        <w:rPr>
          <w:b w:val="0"/>
          <w:bCs w:val="0"/>
        </w:rPr>
      </w:r>
    </w:p>
    <w:p>
      <w:pPr>
        <w:pStyle w:val="BodyText"/>
        <w:spacing w:line="240" w:lineRule="auto" w:before="58"/>
        <w:ind w:left="817" w:right="3955"/>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460" w:right="20"/>
        </w:sectPr>
      </w:pPr>
    </w:p>
    <w:p>
      <w:pPr>
        <w:pStyle w:val="Heading5"/>
        <w:spacing w:line="240" w:lineRule="auto" w:before="36"/>
        <w:ind w:left="817" w:right="-18"/>
        <w:jc w:val="left"/>
        <w:rPr>
          <w:b w:val="0"/>
          <w:bCs w:val="0"/>
        </w:rPr>
      </w:pPr>
      <w:r>
        <w:rPr>
          <w:rFonts w:ascii="宋体" w:hAnsi="宋体" w:cs="宋体" w:eastAsia="宋体" w:hint="default"/>
        </w:rPr>
        <w:t>48</w:t>
      </w:r>
      <w:r>
        <w:rPr/>
        <w:t>、</w:t>
      </w:r>
      <w:r>
        <w:rPr>
          <w:spacing w:val="-24"/>
        </w:rPr>
        <w:t> </w:t>
      </w:r>
      <w:r>
        <w:rPr/>
        <w:t>盈余公积</w:t>
      </w:r>
      <w:r>
        <w:rPr>
          <w:b w:val="0"/>
          <w:bCs w:val="0"/>
        </w:rPr>
      </w:r>
    </w:p>
    <w:p>
      <w:pPr>
        <w:pStyle w:val="BodyText"/>
        <w:spacing w:line="240" w:lineRule="auto" w:before="58"/>
        <w:ind w:left="8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7" w:right="0"/>
        <w:jc w:val="left"/>
      </w:pPr>
      <w:r>
        <w:rPr/>
        <w:t>单位：元币种：人民币</w:t>
      </w:r>
    </w:p>
    <w:p>
      <w:pPr>
        <w:spacing w:after="0" w:line="240" w:lineRule="auto"/>
        <w:jc w:val="left"/>
        <w:sectPr>
          <w:type w:val="continuous"/>
          <w:pgSz w:w="11910" w:h="16840"/>
          <w:pgMar w:top="1060" w:bottom="1380" w:left="460" w:right="20"/>
          <w:cols w:num="2" w:equalWidth="0">
            <w:col w:w="2395" w:space="4578"/>
            <w:col w:w="4457"/>
          </w:cols>
        </w:sectPr>
      </w:pP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488"/>
        <w:gridCol w:w="1894"/>
        <w:gridCol w:w="2028"/>
        <w:gridCol w:w="1466"/>
        <w:gridCol w:w="2259"/>
      </w:tblGrid>
      <w:tr>
        <w:trPr>
          <w:trHeight w:val="28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654,931,871.10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64,082,275.16</w:t>
            </w:r>
          </w:p>
        </w:tc>
        <w:tc>
          <w:tcPr>
            <w:tcW w:w="1466"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719,014,146.26</w:t>
            </w: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51,218,116.63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6,408,227.52</w:t>
            </w:r>
          </w:p>
        </w:tc>
        <w:tc>
          <w:tcPr>
            <w:tcW w:w="1466"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57,626,344.15</w:t>
            </w: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706,149,987.73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70,490,502.68</w:t>
            </w:r>
          </w:p>
        </w:tc>
        <w:tc>
          <w:tcPr>
            <w:tcW w:w="1466"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776,640,490.41</w:t>
            </w:r>
          </w:p>
        </w:tc>
      </w:tr>
    </w:tbl>
    <w:p>
      <w:pPr>
        <w:spacing w:line="240" w:lineRule="auto" w:before="11"/>
        <w:rPr>
          <w:rFonts w:ascii="宋体" w:hAnsi="宋体" w:cs="宋体" w:eastAsia="宋体" w:hint="default"/>
          <w:sz w:val="22"/>
          <w:szCs w:val="22"/>
        </w:rPr>
      </w:pPr>
    </w:p>
    <w:p>
      <w:pPr>
        <w:pStyle w:val="BodyText"/>
        <w:spacing w:line="410" w:lineRule="auto" w:before="36"/>
        <w:ind w:left="1237" w:right="0" w:hanging="420"/>
        <w:jc w:val="left"/>
      </w:pPr>
      <w:r>
        <w:rPr/>
        <w:t>盈余公积说明，包括本期增减变动情况、变动原因说明：</w:t>
      </w:r>
      <w:r>
        <w:rPr>
          <w:w w:val="100"/>
        </w:rPr>
        <w:t> </w:t>
      </w:r>
      <w:r>
        <w:rPr>
          <w:spacing w:val="-2"/>
        </w:rPr>
        <w:t>本期法定盈余公积和任意盈余公积增加系分别按照母公司本期实现净利润的</w:t>
      </w:r>
      <w:r>
        <w:rPr>
          <w:rFonts w:ascii="宋体" w:hAnsi="宋体" w:cs="宋体" w:eastAsia="宋体" w:hint="default"/>
          <w:spacing w:val="-2"/>
        </w:rPr>
        <w:t>10%</w:t>
      </w:r>
      <w:r>
        <w:rPr>
          <w:spacing w:val="-2"/>
        </w:rPr>
        <w:t>和</w:t>
      </w:r>
      <w:r>
        <w:rPr>
          <w:rFonts w:ascii="宋体" w:hAnsi="宋体" w:cs="宋体" w:eastAsia="宋体" w:hint="default"/>
          <w:spacing w:val="-2"/>
        </w:rPr>
        <w:t>1%</w:t>
      </w:r>
      <w:r>
        <w:rPr>
          <w:spacing w:val="-2"/>
        </w:rPr>
        <w:t>计提。</w:t>
      </w: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380" w:left="460" w:right="20"/>
        </w:sectPr>
      </w:pPr>
    </w:p>
    <w:p>
      <w:pPr>
        <w:pStyle w:val="Heading5"/>
        <w:spacing w:line="240" w:lineRule="auto" w:before="36"/>
        <w:ind w:left="817" w:right="-18"/>
        <w:jc w:val="left"/>
        <w:rPr>
          <w:b w:val="0"/>
          <w:bCs w:val="0"/>
        </w:rPr>
      </w:pPr>
      <w:r>
        <w:rPr>
          <w:rFonts w:ascii="宋体" w:hAnsi="宋体" w:cs="宋体" w:eastAsia="宋体" w:hint="default"/>
        </w:rPr>
        <w:t>49</w:t>
      </w:r>
      <w:r>
        <w:rPr/>
        <w:t>、</w:t>
      </w:r>
      <w:r>
        <w:rPr>
          <w:spacing w:val="-24"/>
        </w:rPr>
        <w:t> </w:t>
      </w:r>
      <w:r>
        <w:rPr/>
        <w:t>一般风险准备</w:t>
      </w:r>
      <w:r>
        <w:rPr>
          <w:b w:val="0"/>
          <w:bCs w:val="0"/>
        </w:rPr>
      </w:r>
    </w:p>
    <w:p>
      <w:pPr>
        <w:pStyle w:val="BodyText"/>
        <w:spacing w:line="240" w:lineRule="auto" w:before="58"/>
        <w:ind w:left="8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7" w:right="0"/>
        <w:jc w:val="left"/>
      </w:pPr>
      <w:r>
        <w:rPr/>
        <w:t>单位：元币种：人民币</w:t>
      </w:r>
    </w:p>
    <w:p>
      <w:pPr>
        <w:spacing w:after="0" w:line="240" w:lineRule="auto"/>
        <w:jc w:val="left"/>
        <w:sectPr>
          <w:type w:val="continuous"/>
          <w:pgSz w:w="11910" w:h="16840"/>
          <w:pgMar w:top="1060" w:bottom="1380" w:left="460" w:right="20"/>
          <w:cols w:num="2" w:equalWidth="0">
            <w:col w:w="2589" w:space="4384"/>
            <w:col w:w="4457"/>
          </w:cols>
        </w:sectPr>
      </w:pPr>
    </w:p>
    <w:p>
      <w:pPr>
        <w:spacing w:line="240" w:lineRule="auto" w:before="7"/>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1244"/>
        <w:gridCol w:w="1985"/>
        <w:gridCol w:w="1699"/>
        <w:gridCol w:w="994"/>
        <w:gridCol w:w="1133"/>
        <w:gridCol w:w="1995"/>
      </w:tblGrid>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firstLine="5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般</w:t>
            </w:r>
            <w:r>
              <w:rPr>
                <w:rFonts w:ascii="宋体" w:hAnsi="宋体" w:cs="宋体" w:eastAsia="宋体" w:hint="default"/>
                <w:spacing w:val="-45"/>
                <w:sz w:val="21"/>
                <w:szCs w:val="21"/>
              </w:rPr>
              <w:t> </w:t>
            </w:r>
            <w:r>
              <w:rPr>
                <w:rFonts w:ascii="宋体" w:hAnsi="宋体" w:cs="宋体" w:eastAsia="宋体" w:hint="default"/>
                <w:sz w:val="21"/>
                <w:szCs w:val="21"/>
              </w:rPr>
              <w:t>风</w:t>
            </w:r>
            <w:r>
              <w:rPr>
                <w:rFonts w:ascii="宋体" w:hAnsi="宋体" w:cs="宋体" w:eastAsia="宋体" w:hint="default"/>
                <w:spacing w:val="-42"/>
                <w:sz w:val="21"/>
                <w:szCs w:val="21"/>
              </w:rPr>
              <w:t> </w:t>
            </w:r>
            <w:r>
              <w:rPr>
                <w:rFonts w:ascii="宋体" w:hAnsi="宋体" w:cs="宋体" w:eastAsia="宋体" w:hint="default"/>
                <w:sz w:val="21"/>
                <w:szCs w:val="21"/>
              </w:rPr>
              <w:t>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971,303,930.73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 w:right="0"/>
              <w:jc w:val="center"/>
              <w:rPr>
                <w:rFonts w:ascii="宋体" w:hAnsi="宋体" w:cs="宋体" w:eastAsia="宋体" w:hint="default"/>
                <w:sz w:val="21"/>
                <w:szCs w:val="21"/>
              </w:rPr>
            </w:pPr>
            <w:r>
              <w:rPr>
                <w:rFonts w:ascii="宋体"/>
                <w:sz w:val="21"/>
              </w:rPr>
              <w:t>205,069,991.02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1,176,373,921.75</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42"/>
                <w:sz w:val="21"/>
                <w:szCs w:val="21"/>
              </w:rPr>
              <w:t> </w:t>
            </w:r>
            <w:r>
              <w:rPr>
                <w:rFonts w:ascii="宋体" w:hAnsi="宋体" w:cs="宋体" w:eastAsia="宋体" w:hint="default"/>
                <w:sz w:val="21"/>
                <w:szCs w:val="21"/>
              </w:rPr>
              <w:t>易</w:t>
            </w:r>
            <w:r>
              <w:rPr>
                <w:rFonts w:ascii="宋体" w:hAnsi="宋体" w:cs="宋体" w:eastAsia="宋体" w:hint="default"/>
                <w:spacing w:val="-45"/>
                <w:sz w:val="21"/>
                <w:szCs w:val="21"/>
              </w:rPr>
              <w:t> </w:t>
            </w:r>
            <w:r>
              <w:rPr>
                <w:rFonts w:ascii="宋体" w:hAnsi="宋体" w:cs="宋体" w:eastAsia="宋体" w:hint="default"/>
                <w:sz w:val="21"/>
                <w:szCs w:val="21"/>
              </w:rPr>
              <w:t>风</w:t>
            </w:r>
            <w:r>
              <w:rPr>
                <w:rFonts w:ascii="宋体" w:hAnsi="宋体" w:cs="宋体" w:eastAsia="宋体" w:hint="default"/>
                <w:spacing w:val="-42"/>
                <w:sz w:val="21"/>
                <w:szCs w:val="21"/>
              </w:rPr>
              <w:t> </w:t>
            </w:r>
            <w:r>
              <w:rPr>
                <w:rFonts w:ascii="宋体" w:hAnsi="宋体" w:cs="宋体" w:eastAsia="宋体" w:hint="default"/>
                <w:sz w:val="21"/>
                <w:szCs w:val="21"/>
              </w:rPr>
              <w:t>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917,623,403.11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center"/>
              <w:rPr>
                <w:rFonts w:ascii="宋体" w:hAnsi="宋体" w:cs="宋体" w:eastAsia="宋体" w:hint="default"/>
                <w:sz w:val="21"/>
                <w:szCs w:val="21"/>
              </w:rPr>
            </w:pPr>
            <w:r>
              <w:rPr>
                <w:rFonts w:ascii="宋体"/>
                <w:sz w:val="21"/>
              </w:rPr>
              <w:t>71,200,387.28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10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988,823,790.39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1,888,927,333.84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276,270,378.30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2,165,197,712.14</w:t>
            </w:r>
          </w:p>
        </w:tc>
      </w:tr>
    </w:tbl>
    <w:p>
      <w:pPr>
        <w:spacing w:line="240" w:lineRule="auto" w:before="6"/>
        <w:rPr>
          <w:rFonts w:ascii="宋体" w:hAnsi="宋体" w:cs="宋体" w:eastAsia="宋体" w:hint="default"/>
          <w:sz w:val="18"/>
          <w:szCs w:val="18"/>
        </w:rPr>
      </w:pPr>
    </w:p>
    <w:p>
      <w:pPr>
        <w:pStyle w:val="BodyText"/>
        <w:spacing w:line="273" w:lineRule="exact" w:before="36"/>
        <w:ind w:left="817" w:right="3955"/>
        <w:jc w:val="left"/>
      </w:pPr>
      <w:r>
        <w:rPr/>
        <w:t>一般风险准备的说明</w:t>
      </w:r>
    </w:p>
    <w:p>
      <w:pPr>
        <w:pStyle w:val="BodyText"/>
        <w:spacing w:line="357" w:lineRule="auto"/>
        <w:ind w:left="817" w:right="1528" w:firstLine="480"/>
        <w:jc w:val="both"/>
      </w:pPr>
      <w:r>
        <w:rPr/>
        <w:t>一般风险准备和交易风险准备增加系根据中国证监会证监机构字〔</w:t>
      </w:r>
      <w:r>
        <w:rPr>
          <w:rFonts w:ascii="宋体" w:hAnsi="宋体" w:cs="宋体" w:eastAsia="宋体" w:hint="default"/>
        </w:rPr>
        <w:t>2007</w:t>
      </w:r>
      <w:r>
        <w:rPr/>
        <w:t>〕第</w:t>
      </w:r>
      <w:r>
        <w:rPr>
          <w:spacing w:val="-64"/>
        </w:rPr>
        <w:t> </w:t>
      </w:r>
      <w:r>
        <w:rPr>
          <w:rFonts w:ascii="宋体" w:hAnsi="宋体" w:cs="宋体" w:eastAsia="宋体" w:hint="default"/>
        </w:rPr>
        <w:t>320</w:t>
      </w:r>
      <w:r>
        <w:rPr>
          <w:rFonts w:ascii="宋体" w:hAnsi="宋体" w:cs="宋体" w:eastAsia="宋体" w:hint="default"/>
          <w:spacing w:val="-63"/>
        </w:rPr>
        <w:t> </w:t>
      </w:r>
      <w:r>
        <w:rPr/>
        <w:t>号文及公司股</w:t>
      </w:r>
      <w:r>
        <w:rPr>
          <w:w w:val="100"/>
        </w:rPr>
        <w:t> </w:t>
      </w:r>
      <w:r>
        <w:rPr/>
        <w:t>东大会决议等，按母公司实现净利润的一定比例计提。</w:t>
      </w:r>
      <w:r>
        <w:rPr>
          <w:rFonts w:ascii="宋体" w:hAnsi="宋体" w:cs="宋体" w:eastAsia="宋体" w:hint="default"/>
        </w:rPr>
        <w:t>2018</w:t>
      </w:r>
      <w:r>
        <w:rPr>
          <w:rFonts w:ascii="宋体" w:hAnsi="宋体" w:cs="宋体" w:eastAsia="宋体" w:hint="default"/>
          <w:spacing w:val="-59"/>
        </w:rPr>
        <w:t> </w:t>
      </w:r>
      <w:r>
        <w:rPr/>
        <w:t>年度一般风险准备计提比例为</w:t>
      </w:r>
      <w:r>
        <w:rPr>
          <w:spacing w:val="-57"/>
        </w:rPr>
        <w:t> </w:t>
      </w:r>
      <w:r>
        <w:rPr>
          <w:rFonts w:ascii="宋体" w:hAnsi="宋体" w:cs="宋体" w:eastAsia="宋体" w:hint="default"/>
        </w:rPr>
        <w:t>11%</w:t>
      </w:r>
      <w:r>
        <w:rPr/>
        <w:t>，交</w:t>
      </w:r>
      <w:r>
        <w:rPr>
          <w:spacing w:val="-3"/>
          <w:w w:val="100"/>
        </w:rPr>
        <w:t> </w:t>
      </w:r>
      <w:r>
        <w:rPr/>
        <w:t>易风险准备计提比例为</w:t>
      </w:r>
      <w:r>
        <w:rPr>
          <w:spacing w:val="-56"/>
        </w:rPr>
        <w:t> </w:t>
      </w:r>
      <w:r>
        <w:rPr>
          <w:rFonts w:ascii="宋体" w:hAnsi="宋体" w:cs="宋体" w:eastAsia="宋体" w:hint="default"/>
        </w:rPr>
        <w:t>10%</w:t>
      </w:r>
      <w:r>
        <w:rPr/>
        <w:t>。</w:t>
      </w:r>
    </w:p>
    <w:p>
      <w:pPr>
        <w:pStyle w:val="BodyText"/>
        <w:spacing w:line="355" w:lineRule="auto" w:before="30"/>
        <w:ind w:left="817" w:right="1569" w:firstLine="420"/>
        <w:jc w:val="both"/>
      </w:pPr>
      <w:r>
        <w:rPr>
          <w:spacing w:val="-2"/>
        </w:rPr>
        <w:t>一般风险准备还包括公司下属子公司根据所属行业或所属地区适用法律提取的一般风险准备和</w:t>
      </w:r>
      <w:r>
        <w:rPr>
          <w:w w:val="100"/>
        </w:rPr>
        <w:t> </w:t>
      </w:r>
      <w:r>
        <w:rPr/>
        <w:t>交易风险准备。</w:t>
      </w:r>
    </w:p>
    <w:p>
      <w:pPr>
        <w:spacing w:after="0" w:line="355" w:lineRule="auto"/>
        <w:jc w:val="both"/>
        <w:sectPr>
          <w:type w:val="continuous"/>
          <w:pgSz w:w="11910" w:h="16840"/>
          <w:pgMar w:top="1060" w:bottom="1380" w:left="460" w:right="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320"/>
        </w:sectPr>
      </w:pPr>
    </w:p>
    <w:p>
      <w:pPr>
        <w:pStyle w:val="Heading5"/>
        <w:spacing w:line="240" w:lineRule="auto" w:before="36"/>
        <w:ind w:left="217" w:right="-2"/>
        <w:jc w:val="left"/>
        <w:rPr>
          <w:b w:val="0"/>
          <w:bCs w:val="0"/>
        </w:rPr>
      </w:pPr>
      <w:r>
        <w:rPr>
          <w:rFonts w:ascii="宋体" w:hAnsi="宋体" w:cs="宋体" w:eastAsia="宋体" w:hint="default"/>
        </w:rPr>
        <w:t>50</w:t>
      </w:r>
      <w:r>
        <w:rPr/>
        <w:t>、</w:t>
      </w:r>
      <w:r>
        <w:rPr>
          <w:spacing w:val="-24"/>
        </w:rPr>
        <w:t> </w:t>
      </w:r>
      <w:r>
        <w:rPr/>
        <w:t>未分配利润</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795" w:space="5178"/>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88"/>
        <w:gridCol w:w="3250"/>
        <w:gridCol w:w="269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5,101,093,725.61</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4,097,429,812.12</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调整期初未分配利润合计数（调增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，调减－）</w:t>
            </w:r>
          </w:p>
        </w:tc>
        <w:tc>
          <w:tcPr>
            <w:tcW w:w="3250" w:type="dxa"/>
            <w:tcBorders>
              <w:top w:val="single" w:sz="4" w:space="0" w:color="000000"/>
              <w:left w:val="single" w:sz="4" w:space="0" w:color="000000"/>
              <w:bottom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5,101,093,725.61</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4,097,429,812.12</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加：本期归属于母公司所有者的净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818,836,066.51</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1,503,931,618.18</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64,082,275.16</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137,549,813.16</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6,408,227.52</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13,754,981.32</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205,069,991.02</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171,089,576.26</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提取交易风险准备</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71,200,387.28</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154,872,183.95</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支付永续债利息</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23,001,150.00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23,001,150.00</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646,020,000.00</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4,904,147,761.14</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5,101,093,725.61</w:t>
            </w:r>
          </w:p>
        </w:tc>
      </w:tr>
    </w:tbl>
    <w:p>
      <w:pPr>
        <w:spacing w:line="240" w:lineRule="auto" w:before="2"/>
        <w:rPr>
          <w:rFonts w:ascii="宋体" w:hAnsi="宋体" w:cs="宋体" w:eastAsia="宋体" w:hint="default"/>
          <w:sz w:val="20"/>
          <w:szCs w:val="20"/>
        </w:rPr>
      </w:pPr>
    </w:p>
    <w:p>
      <w:pPr>
        <w:pStyle w:val="BodyText"/>
        <w:spacing w:line="408" w:lineRule="auto" w:before="36"/>
        <w:ind w:left="217" w:right="1425"/>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pStyle w:val="BodyText"/>
        <w:spacing w:line="261" w:lineRule="exact"/>
        <w:ind w:left="217" w:right="0"/>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133"/>
        <w:ind w:left="217" w:right="0"/>
        <w:jc w:val="left"/>
      </w:pPr>
      <w:r>
        <w:rPr>
          <w:rFonts w:ascii="宋体" w:hAnsi="宋体" w:cs="宋体" w:eastAsia="宋体" w:hint="default"/>
        </w:rPr>
        <w:t>3</w:t>
      </w:r>
      <w:r>
        <w:rPr/>
        <w:t>、由于重大会计差错更正，影响期初未分配利润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136"/>
        <w:ind w:left="217" w:right="0"/>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40" w:lineRule="auto" w:before="133"/>
        <w:ind w:left="217" w:right="0"/>
        <w:jc w:val="left"/>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60" w:right="1320"/>
        </w:sectPr>
      </w:pPr>
    </w:p>
    <w:p>
      <w:pPr>
        <w:pStyle w:val="Heading5"/>
        <w:spacing w:line="240" w:lineRule="auto" w:before="36"/>
        <w:ind w:left="217" w:right="-19"/>
        <w:jc w:val="left"/>
        <w:rPr>
          <w:b w:val="0"/>
          <w:bCs w:val="0"/>
        </w:rPr>
      </w:pPr>
      <w:r>
        <w:rPr>
          <w:rFonts w:ascii="宋体" w:hAnsi="宋体" w:cs="宋体" w:eastAsia="宋体" w:hint="default"/>
        </w:rPr>
        <w:t>51</w:t>
      </w:r>
      <w:r>
        <w:rPr/>
        <w:t>、</w:t>
      </w:r>
      <w:r>
        <w:rPr>
          <w:spacing w:val="-22"/>
        </w:rPr>
        <w:t> </w:t>
      </w:r>
      <w:r>
        <w:rPr/>
        <w:t>手续费及佣金净收入</w:t>
      </w:r>
      <w:r>
        <w:rPr>
          <w:b w:val="0"/>
          <w:bCs w:val="0"/>
        </w:rPr>
      </w:r>
    </w:p>
    <w:p>
      <w:pPr>
        <w:pStyle w:val="Heading5"/>
        <w:spacing w:line="240" w:lineRule="auto" w:before="56"/>
        <w:ind w:left="217" w:right="-19"/>
        <w:jc w:val="left"/>
        <w:rPr>
          <w:b w:val="0"/>
          <w:bCs w:val="0"/>
        </w:rPr>
      </w:pPr>
      <w:r>
        <w:rPr>
          <w:rFonts w:ascii="宋体" w:hAnsi="宋体" w:cs="宋体" w:eastAsia="宋体" w:hint="default"/>
        </w:rPr>
        <w:t>(1)</w:t>
      </w:r>
      <w:r>
        <w:rPr>
          <w:rFonts w:ascii="宋体" w:hAnsi="宋体" w:cs="宋体" w:eastAsia="宋体" w:hint="default"/>
          <w:spacing w:val="-3"/>
        </w:rPr>
        <w:t> </w:t>
      </w:r>
      <w:r>
        <w:rPr/>
        <w:t>手续费及佣金净收入情况</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060" w:right="1320"/>
          <w:cols w:num="2" w:equalWidth="0">
            <w:col w:w="2959" w:space="4120"/>
            <w:col w:w="2451"/>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04"/>
        <w:gridCol w:w="3092"/>
        <w:gridCol w:w="3094"/>
      </w:tblGrid>
      <w:tr>
        <w:trPr>
          <w:trHeight w:val="28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1,551,976,187.27</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1,857,814,128.13</w:t>
            </w:r>
          </w:p>
        </w:tc>
      </w:tr>
      <w:tr>
        <w:trPr>
          <w:trHeight w:val="28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708,239,726.22</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934,669,962.06</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625,192,806.91</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847,947,753.83</w:t>
            </w:r>
          </w:p>
        </w:tc>
      </w:tr>
      <w:tr>
        <w:trPr>
          <w:trHeight w:val="28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代销金融产品业务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48,931,333.20</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45,849,947.09</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209,251,644.22</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239,616,048.07</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120,265,919.78</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132,931,509.40</w:t>
            </w:r>
          </w:p>
        </w:tc>
      </w:tr>
      <w:tr>
        <w:trPr>
          <w:trHeight w:val="28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证券保荐业务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3,945,895.21</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625,134.50</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财务顾问业务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85,039,829.23</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106,059,404.17</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资产管理业务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623,285,025.41</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674,258,936.65</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投资咨询业务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7,231,409.78</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4,467,730.31</w:t>
            </w:r>
          </w:p>
        </w:tc>
      </w:tr>
      <w:tr>
        <w:trPr>
          <w:trHeight w:val="28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3,968,381.64</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4,801,451.04</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61,563,151.93</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75,449,479.30</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56,196,359.49</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75,346,367.64</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56,196,359.49</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75,346,367.64</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5,366,792.44</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94,339.62</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341" w:type="dxa"/>
        <w:tblLayout w:type="fixed"/>
        <w:tblCellMar>
          <w:top w:w="0" w:type="dxa"/>
          <w:left w:w="0" w:type="dxa"/>
          <w:bottom w:w="0" w:type="dxa"/>
          <w:right w:w="0" w:type="dxa"/>
        </w:tblCellMar>
        <w:tblLook w:val="01E0"/>
      </w:tblPr>
      <w:tblGrid>
        <w:gridCol w:w="3104"/>
        <w:gridCol w:w="3092"/>
        <w:gridCol w:w="3094"/>
      </w:tblGrid>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5,366,792.44</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94,339.62</w:t>
            </w:r>
          </w:p>
        </w:tc>
      </w:tr>
      <w:tr>
        <w:trPr>
          <w:trHeight w:val="28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92" w:type="dxa"/>
            <w:tcBorders>
              <w:top w:val="single" w:sz="6" w:space="0" w:color="000000"/>
              <w:left w:val="single" w:sz="6" w:space="0" w:color="000000"/>
              <w:bottom w:val="single" w:sz="6" w:space="0" w:color="000000"/>
              <w:right w:val="single" w:sz="6" w:space="0" w:color="000000"/>
            </w:tcBorders>
          </w:tcPr>
          <w:p>
            <w:pP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8,772.04</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1,490,413,035.34</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1,782,364,648.83</w:t>
            </w:r>
          </w:p>
        </w:tc>
      </w:tr>
      <w:tr>
        <w:trPr>
          <w:trHeight w:val="28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其中：财务顾问业务净收入</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85,039,829.23</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106,059,404.17</w:t>
            </w:r>
          </w:p>
        </w:tc>
      </w:tr>
      <w:tr>
        <w:trPr>
          <w:trHeight w:val="55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—并购重组财务顾问业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务净收入</w:t>
            </w:r>
            <w:r>
              <w:rPr>
                <w:rFonts w:ascii="宋体" w:hAnsi="宋体" w:cs="宋体" w:eastAsia="宋体" w:hint="default"/>
                <w:sz w:val="21"/>
                <w:szCs w:val="21"/>
              </w:rPr>
              <w:t>--</w:t>
            </w:r>
            <w:r>
              <w:rPr>
                <w:rFonts w:ascii="宋体" w:hAnsi="宋体" w:cs="宋体" w:eastAsia="宋体" w:hint="default"/>
                <w:sz w:val="21"/>
                <w:szCs w:val="21"/>
              </w:rPr>
              <w:t>境内上市公司</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7,169,811.31</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1,096,698.12</w:t>
            </w:r>
          </w:p>
        </w:tc>
      </w:tr>
      <w:tr>
        <w:trPr>
          <w:trHeight w:val="559"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—并购重组财务顾问业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务净收入</w:t>
            </w:r>
            <w:r>
              <w:rPr>
                <w:rFonts w:ascii="宋体" w:hAnsi="宋体" w:cs="宋体" w:eastAsia="宋体" w:hint="default"/>
                <w:sz w:val="21"/>
                <w:szCs w:val="21"/>
              </w:rPr>
              <w:t>--</w:t>
            </w:r>
            <w:r>
              <w:rPr>
                <w:rFonts w:ascii="宋体" w:hAnsi="宋体" w:cs="宋体" w:eastAsia="宋体" w:hint="default"/>
                <w:sz w:val="21"/>
                <w:szCs w:val="21"/>
              </w:rPr>
              <w:t>其他</w:t>
            </w:r>
          </w:p>
        </w:tc>
        <w:tc>
          <w:tcPr>
            <w:tcW w:w="3092" w:type="dxa"/>
            <w:tcBorders>
              <w:top w:val="single" w:sz="6" w:space="0" w:color="000000"/>
              <w:left w:val="single" w:sz="6" w:space="0" w:color="000000"/>
              <w:bottom w:val="single" w:sz="6" w:space="0" w:color="000000"/>
              <w:right w:val="single" w:sz="6" w:space="0" w:color="000000"/>
            </w:tcBorders>
          </w:tcPr>
          <w:p>
            <w:pPr/>
          </w:p>
        </w:tc>
        <w:tc>
          <w:tcPr>
            <w:tcW w:w="30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—其他财务顾问业务净</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77,870,017.92</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104,962,706.05</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5"/>
          <w:pgSz w:w="11910" w:h="16840"/>
          <w:pgMar w:footer="1195" w:header="882" w:top="1120" w:bottom="1380" w:left="820" w:right="1100"/>
        </w:sectPr>
      </w:pPr>
    </w:p>
    <w:p>
      <w:pPr>
        <w:pStyle w:val="Heading5"/>
        <w:spacing w:line="240" w:lineRule="auto" w:before="36"/>
        <w:ind w:left="457" w:right="-18"/>
        <w:jc w:val="left"/>
        <w:rPr>
          <w:b w:val="0"/>
          <w:bCs w:val="0"/>
        </w:rPr>
      </w:pPr>
      <w:r>
        <w:rPr>
          <w:rFonts w:ascii="宋体" w:hAnsi="宋体" w:cs="宋体" w:eastAsia="宋体" w:hint="default"/>
        </w:rPr>
        <w:t>(2)</w:t>
      </w:r>
      <w:r>
        <w:rPr>
          <w:rFonts w:ascii="宋体" w:hAnsi="宋体" w:cs="宋体" w:eastAsia="宋体" w:hint="default"/>
          <w:spacing w:val="-4"/>
        </w:rPr>
        <w:t> </w:t>
      </w:r>
      <w:r>
        <w:rPr/>
        <w:t>代理销售金融产品业务</w:t>
      </w:r>
      <w:r>
        <w:rPr>
          <w:b w:val="0"/>
          <w:bCs w:val="0"/>
        </w:rPr>
      </w:r>
    </w:p>
    <w:p>
      <w:pPr>
        <w:pStyle w:val="BodyText"/>
        <w:spacing w:line="240" w:lineRule="auto" w:before="59"/>
        <w:ind w:left="4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457" w:right="0"/>
        <w:jc w:val="left"/>
      </w:pPr>
      <w:r>
        <w:rPr/>
        <w:t>单位：元币种：人民币</w:t>
      </w:r>
    </w:p>
    <w:p>
      <w:pPr>
        <w:spacing w:after="0" w:line="240" w:lineRule="auto"/>
        <w:jc w:val="left"/>
        <w:sectPr>
          <w:type w:val="continuous"/>
          <w:pgSz w:w="11910" w:h="16840"/>
          <w:pgMar w:top="1060" w:bottom="1380" w:left="820" w:right="1100"/>
          <w:cols w:num="2" w:equalWidth="0">
            <w:col w:w="2987" w:space="3986"/>
            <w:col w:w="3017"/>
          </w:cols>
        </w:sectPr>
      </w:pPr>
    </w:p>
    <w:p>
      <w:pPr>
        <w:spacing w:line="240" w:lineRule="auto" w:before="7"/>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2043"/>
        <w:gridCol w:w="2055"/>
        <w:gridCol w:w="1625"/>
        <w:gridCol w:w="1946"/>
        <w:gridCol w:w="1621"/>
      </w:tblGrid>
      <w:tr>
        <w:trPr>
          <w:trHeight w:val="283" w:hRule="exact"/>
        </w:trPr>
        <w:tc>
          <w:tcPr>
            <w:tcW w:w="2043" w:type="dxa"/>
            <w:vMerge w:val="restart"/>
            <w:tcBorders>
              <w:top w:val="single" w:sz="4" w:space="0" w:color="000000"/>
              <w:left w:val="single" w:sz="4" w:space="0" w:color="000000"/>
              <w:right w:val="single" w:sz="4" w:space="0" w:color="000000"/>
            </w:tcBorders>
          </w:tcPr>
          <w:p>
            <w:pPr>
              <w:pStyle w:val="TableParagraph"/>
              <w:spacing w:line="240" w:lineRule="auto" w:before="105"/>
              <w:ind w:left="175" w:right="0"/>
              <w:jc w:val="left"/>
              <w:rPr>
                <w:rFonts w:ascii="宋体" w:hAnsi="宋体" w:cs="宋体" w:eastAsia="宋体" w:hint="default"/>
                <w:sz w:val="21"/>
                <w:szCs w:val="21"/>
              </w:rPr>
            </w:pPr>
            <w:r>
              <w:rPr>
                <w:rFonts w:ascii="宋体" w:hAnsi="宋体" w:cs="宋体" w:eastAsia="宋体" w:hint="default"/>
                <w:sz w:val="21"/>
                <w:szCs w:val="21"/>
              </w:rPr>
              <w:t>代销金融产品业务</w:t>
            </w:r>
          </w:p>
        </w:tc>
        <w:tc>
          <w:tcPr>
            <w:tcW w:w="3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3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2043" w:type="dxa"/>
            <w:vMerge/>
            <w:tcBorders>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销售总金额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销售总收入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销售总金额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销售总收入</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11,531,290,483.51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48,917,437.53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7,881,626,469.95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43,503,907.35</w:t>
            </w:r>
          </w:p>
        </w:tc>
      </w:tr>
      <w:tr>
        <w:trPr>
          <w:trHeight w:val="28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w:t>
            </w:r>
          </w:p>
        </w:tc>
        <w:tc>
          <w:tcPr>
            <w:tcW w:w="205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132,850,000.00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240,613.21</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95,919,000.00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13,895.67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258,046,000.00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2,105,426.53</w:t>
            </w:r>
          </w:p>
        </w:tc>
      </w:tr>
      <w:tr>
        <w:trPr>
          <w:trHeight w:val="28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11,627,209,483.51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48,931,333.20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8,272,522,469.95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45,849,947.09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820" w:right="1100"/>
        </w:sectPr>
      </w:pPr>
    </w:p>
    <w:p>
      <w:pPr>
        <w:pStyle w:val="Heading5"/>
        <w:spacing w:line="240" w:lineRule="auto" w:before="36"/>
        <w:ind w:left="457" w:right="-19"/>
        <w:jc w:val="left"/>
        <w:rPr>
          <w:b w:val="0"/>
          <w:bCs w:val="0"/>
        </w:rPr>
      </w:pPr>
      <w:r>
        <w:rPr>
          <w:rFonts w:ascii="宋体" w:hAnsi="宋体" w:cs="宋体" w:eastAsia="宋体" w:hint="default"/>
        </w:rPr>
        <w:t>(3)</w:t>
      </w:r>
      <w:r>
        <w:rPr>
          <w:rFonts w:ascii="宋体" w:hAnsi="宋体" w:cs="宋体" w:eastAsia="宋体" w:hint="default"/>
          <w:spacing w:val="-2"/>
        </w:rPr>
        <w:t> </w:t>
      </w:r>
      <w:r>
        <w:rPr/>
        <w:t>资产管理业务</w:t>
      </w:r>
      <w:r>
        <w:rPr>
          <w:b w:val="0"/>
          <w:bCs w:val="0"/>
        </w:rPr>
      </w:r>
    </w:p>
    <w:p>
      <w:pPr>
        <w:pStyle w:val="BodyText"/>
        <w:spacing w:line="240" w:lineRule="auto" w:before="59"/>
        <w:ind w:left="4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457" w:right="0"/>
        <w:jc w:val="left"/>
      </w:pPr>
      <w:r>
        <w:rPr/>
        <w:t>单位：元币种：人民币</w:t>
      </w:r>
    </w:p>
    <w:p>
      <w:pPr>
        <w:spacing w:after="0" w:line="240" w:lineRule="auto"/>
        <w:jc w:val="left"/>
        <w:sectPr>
          <w:type w:val="continuous"/>
          <w:pgSz w:w="11910" w:h="16840"/>
          <w:pgMar w:top="1060" w:bottom="1380" w:left="820" w:right="1100"/>
          <w:cols w:num="2" w:equalWidth="0">
            <w:col w:w="2145" w:space="4828"/>
            <w:col w:w="301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52"/>
        <w:gridCol w:w="2055"/>
        <w:gridCol w:w="2055"/>
        <w:gridCol w:w="1946"/>
        <w:gridCol w:w="2053"/>
      </w:tblGrid>
      <w:tr>
        <w:trPr>
          <w:trHeight w:val="28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hAnsi="宋体" w:cs="宋体" w:eastAsia="宋体" w:hint="default"/>
                <w:sz w:val="21"/>
                <w:szCs w:val="21"/>
              </w:rPr>
              <w:t>集合资产管理业务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hAnsi="宋体" w:cs="宋体" w:eastAsia="宋体" w:hint="default"/>
                <w:sz w:val="21"/>
                <w:szCs w:val="21"/>
              </w:rPr>
              <w:t>定向资产管理业务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专项资产管理业务</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9" w:right="0"/>
              <w:jc w:val="left"/>
              <w:rPr>
                <w:rFonts w:ascii="宋体" w:hAnsi="宋体" w:cs="宋体" w:eastAsia="宋体" w:hint="default"/>
                <w:sz w:val="21"/>
                <w:szCs w:val="21"/>
              </w:rPr>
            </w:pPr>
            <w:r>
              <w:rPr>
                <w:rFonts w:ascii="宋体" w:hAnsi="宋体" w:cs="宋体" w:eastAsia="宋体" w:hint="default"/>
                <w:sz w:val="21"/>
                <w:szCs w:val="21"/>
              </w:rPr>
              <w:t>公募基金业务</w:t>
            </w: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期末产品数量</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期末客户数量</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173,887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53,414</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其中：个人客户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173,719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53,042</w:t>
            </w: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机构客户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期初受托资金</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74,492,206,887.17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58,969,481,692.98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3,549,906,300.00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8,851,683,602.05</w:t>
            </w:r>
          </w:p>
        </w:tc>
      </w:tr>
      <w:tr>
        <w:trPr>
          <w:trHeight w:val="829"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其中：自有资金</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投入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224,879,180.17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3,900,000,000.00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90,000,000.00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590,044,873.55</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0" w:right="0"/>
              <w:jc w:val="left"/>
              <w:rPr>
                <w:rFonts w:ascii="宋体" w:hAnsi="宋体" w:cs="宋体" w:eastAsia="宋体" w:hint="default"/>
                <w:sz w:val="21"/>
                <w:szCs w:val="21"/>
              </w:rPr>
            </w:pPr>
            <w:r>
              <w:rPr>
                <w:rFonts w:ascii="宋体" w:hAnsi="宋体" w:cs="宋体" w:eastAsia="宋体" w:hint="default"/>
                <w:sz w:val="21"/>
                <w:szCs w:val="21"/>
              </w:rPr>
              <w:t>个人客户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59,263,072,483.59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486,581,622.86</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1,879,653,704.02</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0" w:right="0"/>
              <w:jc w:val="left"/>
              <w:rPr>
                <w:rFonts w:ascii="宋体" w:hAnsi="宋体" w:cs="宋体" w:eastAsia="宋体" w:hint="default"/>
                <w:sz w:val="21"/>
                <w:szCs w:val="21"/>
              </w:rPr>
            </w:pPr>
            <w:r>
              <w:rPr>
                <w:rFonts w:ascii="宋体" w:hAnsi="宋体" w:cs="宋体" w:eastAsia="宋体" w:hint="default"/>
                <w:sz w:val="21"/>
                <w:szCs w:val="21"/>
              </w:rPr>
              <w:t>机构客户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15,004,255,223.41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54,582,900,070.12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3,459,906,300.00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6,381,985,024.48</w:t>
            </w: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期末受托资金</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67,378,319,288.70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sz w:val="21"/>
              </w:rPr>
              <w:t>46,839,555,036.90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2,469,695,900.00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25,673,000,936.88</w:t>
            </w:r>
          </w:p>
        </w:tc>
      </w:tr>
      <w:tr>
        <w:trPr>
          <w:trHeight w:val="8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其中：自有资金</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投入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62,000,291.67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2,830,995,601.76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15,000,000.00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1,973,716,252.43</w:t>
            </w: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个人客户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63,567,563,939.82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201,003,204.37</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5,976,478,501.62</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0" w:right="0"/>
              <w:jc w:val="left"/>
              <w:rPr>
                <w:rFonts w:ascii="宋体" w:hAnsi="宋体" w:cs="宋体" w:eastAsia="宋体" w:hint="default"/>
                <w:sz w:val="21"/>
                <w:szCs w:val="21"/>
              </w:rPr>
            </w:pPr>
            <w:r>
              <w:rPr>
                <w:rFonts w:ascii="宋体" w:hAnsi="宋体" w:cs="宋体" w:eastAsia="宋体" w:hint="default"/>
                <w:sz w:val="21"/>
                <w:szCs w:val="21"/>
              </w:rPr>
              <w:t>机构客户</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3,748,755,057.21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43,807,556,230.77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2,454,695,900.00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17,722,806,182.83</w:t>
            </w: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末</w:t>
            </w:r>
            <w:r>
              <w:rPr>
                <w:rFonts w:ascii="宋体" w:hAnsi="宋体" w:cs="宋体" w:eastAsia="宋体" w:hint="default"/>
                <w:spacing w:val="-69"/>
                <w:sz w:val="21"/>
                <w:szCs w:val="21"/>
              </w:rPr>
              <w:t> </w:t>
            </w: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受</w:t>
            </w:r>
            <w:r>
              <w:rPr>
                <w:rFonts w:ascii="宋体" w:hAnsi="宋体" w:cs="宋体" w:eastAsia="宋体" w:hint="default"/>
                <w:spacing w:val="-71"/>
                <w:sz w:val="21"/>
                <w:szCs w:val="21"/>
              </w:rPr>
              <w:t> </w:t>
            </w:r>
            <w:r>
              <w:rPr>
                <w:rFonts w:ascii="宋体" w:hAnsi="宋体" w:cs="宋体" w:eastAsia="宋体" w:hint="default"/>
                <w:sz w:val="21"/>
                <w:szCs w:val="21"/>
              </w:rPr>
              <w:t>托</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73,170,838,269.99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48,555,505,392.36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2,567,199,702.28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29,252,920,285.81</w:t>
            </w:r>
          </w:p>
        </w:tc>
      </w:tr>
    </w:tbl>
    <w:p>
      <w:pPr>
        <w:spacing w:after="0" w:line="241" w:lineRule="exact"/>
        <w:jc w:val="right"/>
        <w:rPr>
          <w:rFonts w:ascii="宋体" w:hAnsi="宋体" w:cs="宋体" w:eastAsia="宋体" w:hint="default"/>
          <w:sz w:val="21"/>
          <w:szCs w:val="21"/>
        </w:rPr>
        <w:sectPr>
          <w:type w:val="continuous"/>
          <w:pgSz w:w="11910" w:h="16840"/>
          <w:pgMar w:top="1060" w:bottom="1380" w:left="820" w:right="110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652"/>
        <w:gridCol w:w="2055"/>
        <w:gridCol w:w="2055"/>
        <w:gridCol w:w="1946"/>
        <w:gridCol w:w="2053"/>
      </w:tblGrid>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资产初始成本</w:t>
            </w:r>
          </w:p>
        </w:tc>
        <w:tc>
          <w:tcPr>
            <w:tcW w:w="2055"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其中：股票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276,351,980.12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3,880,986,233.24</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243,611,908.25</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6"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9,907,000.00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6,292,529.40</w:t>
            </w: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0" w:right="0"/>
              <w:jc w:val="left"/>
              <w:rPr>
                <w:rFonts w:ascii="宋体" w:hAnsi="宋体" w:cs="宋体" w:eastAsia="宋体" w:hint="default"/>
                <w:sz w:val="21"/>
                <w:szCs w:val="21"/>
              </w:rPr>
            </w:pPr>
            <w:r>
              <w:rPr>
                <w:rFonts w:ascii="宋体" w:hAnsi="宋体" w:cs="宋体" w:eastAsia="宋体" w:hint="default"/>
                <w:sz w:val="21"/>
                <w:szCs w:val="21"/>
              </w:rPr>
              <w:t>其他债券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62,412,252,794.05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20,592,995,148.34</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22,633,545,033.23</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6"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682,293,978.36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455,453,389.44</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资产支持证券</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464,831,566.58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1,996,060,300.00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262,824,231.03</w:t>
            </w: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买</w:t>
            </w:r>
            <w:r>
              <w:rPr>
                <w:rFonts w:ascii="宋体" w:hAnsi="宋体" w:cs="宋体" w:eastAsia="宋体" w:hint="default"/>
                <w:spacing w:val="-71"/>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返</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融</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宋体" w:hAnsi="宋体" w:cs="宋体" w:eastAsia="宋体" w:hint="default"/>
                <w:sz w:val="21"/>
                <w:szCs w:val="21"/>
              </w:rPr>
            </w:pPr>
            <w:r>
              <w:rPr>
                <w:rFonts w:ascii="宋体"/>
                <w:spacing w:val="-1"/>
                <w:sz w:val="21"/>
              </w:rPr>
              <w:t>5,740,275,768.54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pacing w:val="-1"/>
                <w:sz w:val="21"/>
              </w:rPr>
              <w:t>1,989,943,144.08</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pacing w:val="-1"/>
                <w:sz w:val="21"/>
              </w:rPr>
              <w:t>6,106,646,583.90</w:t>
            </w:r>
          </w:p>
        </w:tc>
      </w:tr>
      <w:tr>
        <w:trPr>
          <w:trHeight w:val="41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3,587,140,262.34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9,827,288,412.24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2,567,199,702.28</w:t>
            </w: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2,691,920.00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9,802,871,765.02</w:t>
            </w:r>
          </w:p>
        </w:tc>
        <w:tc>
          <w:tcPr>
            <w:tcW w:w="1946"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当</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理</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业务净收入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461,628,297.95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59,914,157.52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4,461,177.44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70,305,313.91</w:t>
            </w:r>
          </w:p>
        </w:tc>
      </w:tr>
    </w:tbl>
    <w:p>
      <w:pPr>
        <w:pStyle w:val="BodyText"/>
        <w:spacing w:line="240" w:lineRule="exact"/>
        <w:ind w:left="457" w:right="0"/>
        <w:jc w:val="left"/>
      </w:pPr>
      <w:r>
        <w:rPr>
          <w:spacing w:val="-3"/>
        </w:rPr>
        <w:t>备注</w:t>
      </w:r>
      <w:r>
        <w:rPr>
          <w:rFonts w:ascii="宋体" w:hAnsi="宋体" w:cs="宋体" w:eastAsia="宋体" w:hint="default"/>
          <w:spacing w:val="-3"/>
        </w:rPr>
        <w:t>:</w:t>
      </w:r>
      <w:r>
        <w:rPr>
          <w:spacing w:val="-3"/>
        </w:rPr>
        <w:t>本公司主要通过子公司财通证券资管开展资产管理业务，上表数据为该公司本期资产管理业务</w:t>
      </w:r>
    </w:p>
    <w:p>
      <w:pPr>
        <w:pStyle w:val="BodyText"/>
        <w:spacing w:line="272" w:lineRule="exact" w:before="27"/>
        <w:ind w:left="457" w:right="6215"/>
        <w:jc w:val="left"/>
      </w:pPr>
      <w:r>
        <w:rPr/>
        <w:t>情况。</w:t>
      </w:r>
      <w:r>
        <w:rPr>
          <w:spacing w:val="-102"/>
        </w:rPr>
        <w:t> </w:t>
      </w:r>
      <w:r>
        <w:rPr>
          <w:spacing w:val="-2"/>
        </w:rPr>
        <w:t>手续费及佣金净收入的说明：</w:t>
      </w:r>
    </w:p>
    <w:p>
      <w:pPr>
        <w:pStyle w:val="BodyText"/>
        <w:spacing w:line="249" w:lineRule="exact"/>
        <w:ind w:left="457"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6"/>
          <w:pgSz w:w="11910" w:h="16840"/>
          <w:pgMar w:footer="1195" w:header="882" w:top="1120" w:bottom="1380" w:left="820" w:right="1100"/>
          <w:pgNumType w:start="171"/>
        </w:sectPr>
      </w:pPr>
    </w:p>
    <w:p>
      <w:pPr>
        <w:pStyle w:val="Heading5"/>
        <w:spacing w:line="240" w:lineRule="auto" w:before="36"/>
        <w:ind w:left="457" w:right="-1"/>
        <w:jc w:val="left"/>
        <w:rPr>
          <w:b w:val="0"/>
          <w:bCs w:val="0"/>
        </w:rPr>
      </w:pPr>
      <w:r>
        <w:rPr>
          <w:rFonts w:ascii="宋体" w:hAnsi="宋体" w:cs="宋体" w:eastAsia="宋体" w:hint="default"/>
        </w:rPr>
        <w:t>52</w:t>
      </w:r>
      <w:r>
        <w:rPr/>
        <w:t>、</w:t>
      </w:r>
      <w:r>
        <w:rPr>
          <w:spacing w:val="-25"/>
        </w:rPr>
        <w:t> </w:t>
      </w:r>
      <w:r>
        <w:rPr/>
        <w:t>利息净收入</w:t>
      </w:r>
      <w:r>
        <w:rPr>
          <w:b w:val="0"/>
          <w:bCs w:val="0"/>
        </w:rPr>
      </w:r>
    </w:p>
    <w:p>
      <w:pPr>
        <w:pStyle w:val="BodyText"/>
        <w:spacing w:line="240" w:lineRule="auto" w:before="56"/>
        <w:ind w:left="4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457" w:right="0"/>
        <w:jc w:val="left"/>
      </w:pPr>
      <w:r>
        <w:rPr/>
        <w:t>单位：元币种：人民币</w:t>
      </w:r>
    </w:p>
    <w:p>
      <w:pPr>
        <w:spacing w:after="0" w:line="240" w:lineRule="auto"/>
        <w:jc w:val="left"/>
        <w:sectPr>
          <w:type w:val="continuous"/>
          <w:pgSz w:w="11910" w:h="16840"/>
          <w:pgMar w:top="1060" w:bottom="1380" w:left="820" w:right="1100"/>
          <w:cols w:num="2" w:equalWidth="0">
            <w:col w:w="2035" w:space="4938"/>
            <w:col w:w="3017"/>
          </w:cols>
        </w:sectPr>
      </w:pP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459"/>
        <w:gridCol w:w="2916"/>
        <w:gridCol w:w="2914"/>
      </w:tblGrid>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1,353,759,382.67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1,172,303,580.89</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存放金融同业利息收入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333,795,631.81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349,562,087.16</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其中：自有资金存款利息收入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91,359,219.42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70,078,905.26</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pacing w:val="-2"/>
                <w:sz w:val="21"/>
                <w:szCs w:val="21"/>
              </w:rPr>
              <w:t>客户资金存款利息收入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242,436,412.39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279,483,181.90</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融资融券利息收入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686,125,821.43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660,540,736.52</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330,887,452.26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156,743,718.87</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其中：约定购回利息收入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1,657,120.83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3,029,050.68</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pacing w:val="-2"/>
                <w:sz w:val="21"/>
                <w:szCs w:val="21"/>
              </w:rPr>
              <w:t>股权质押回购利息收入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245,668,819.20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117,232,970.73</w:t>
            </w:r>
          </w:p>
        </w:tc>
      </w:tr>
      <w:tr>
        <w:trPr>
          <w:trHeight w:val="28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拆出资金利息收入</w:t>
            </w:r>
          </w:p>
        </w:tc>
        <w:tc>
          <w:tcPr>
            <w:tcW w:w="2916" w:type="dxa"/>
            <w:tcBorders>
              <w:top w:val="single" w:sz="4" w:space="0" w:color="000000"/>
              <w:left w:val="single" w:sz="4" w:space="0" w:color="000000"/>
              <w:bottom w:val="single" w:sz="4" w:space="0" w:color="000000"/>
              <w:right w:val="single" w:sz="4" w:space="0" w:color="000000"/>
            </w:tcBorders>
          </w:tcPr>
          <w:p>
            <w:pPr/>
          </w:p>
        </w:tc>
        <w:tc>
          <w:tcPr>
            <w:tcW w:w="29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2,950,477.17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5,457,038.34</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1,220,027,472.74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909,856,494.09</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客户资金存款利息支出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42,879,671.56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50,410,862.38</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卖出回购金融资产利息支出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151,248,426.24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186,260,452.04</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20,517,760.55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7,941,710.76</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拆入资金利息支出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24,668,877.97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11,312,141.10</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其中：转融通利息支出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640,000.00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483,333.34</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53,876,973.86</w:t>
            </w:r>
          </w:p>
        </w:tc>
        <w:tc>
          <w:tcPr>
            <w:tcW w:w="29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公司债券利息支出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112,004,195.60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143,864,824.99</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收益凭证利息支出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186,095,885.68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157,083,840.83</w:t>
            </w:r>
          </w:p>
        </w:tc>
      </w:tr>
      <w:tr>
        <w:trPr>
          <w:trHeight w:val="28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次级债券利息支出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627,648,457.62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351,420,667.14</w:t>
            </w:r>
          </w:p>
        </w:tc>
      </w:tr>
      <w:tr>
        <w:trPr>
          <w:trHeight w:val="28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1,087,223.66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1,561,994.85</w:t>
            </w:r>
          </w:p>
        </w:tc>
      </w:tr>
      <w:tr>
        <w:trPr>
          <w:trHeight w:val="28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133,731,909.93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262,447,086.80</w:t>
            </w:r>
          </w:p>
        </w:tc>
      </w:tr>
    </w:tbl>
    <w:p>
      <w:pPr>
        <w:spacing w:after="0" w:line="241" w:lineRule="exact"/>
        <w:jc w:val="right"/>
        <w:rPr>
          <w:rFonts w:ascii="宋体" w:hAnsi="宋体" w:cs="宋体" w:eastAsia="宋体" w:hint="default"/>
          <w:sz w:val="21"/>
          <w:szCs w:val="21"/>
        </w:rPr>
        <w:sectPr>
          <w:type w:val="continuous"/>
          <w:pgSz w:w="11910" w:h="16840"/>
          <w:pgMar w:top="1060" w:bottom="1380" w:left="820" w:right="11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217" w:right="7408"/>
        <w:jc w:val="left"/>
      </w:pPr>
      <w:r>
        <w:rPr>
          <w:spacing w:val="-1"/>
        </w:rPr>
        <w:t>利息净收入的说明：</w:t>
      </w:r>
      <w:r>
        <w:rPr>
          <w:spacing w:val="-95"/>
        </w:rPr>
        <w:t> </w:t>
      </w:r>
      <w:r>
        <w:rPr>
          <w:spacing w:val="-95"/>
        </w:rPr>
      </w:r>
      <w:r>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60" w:right="1320"/>
        </w:sectPr>
      </w:pPr>
    </w:p>
    <w:p>
      <w:pPr>
        <w:pStyle w:val="Heading5"/>
        <w:spacing w:line="240" w:lineRule="auto" w:before="36"/>
        <w:ind w:left="217" w:right="-18"/>
        <w:jc w:val="left"/>
        <w:rPr>
          <w:b w:val="0"/>
          <w:bCs w:val="0"/>
        </w:rPr>
      </w:pPr>
      <w:r>
        <w:rPr>
          <w:rFonts w:ascii="宋体" w:hAnsi="宋体" w:cs="宋体" w:eastAsia="宋体" w:hint="default"/>
        </w:rPr>
        <w:t>53</w:t>
      </w:r>
      <w:r>
        <w:rPr/>
        <w:t>、</w:t>
      </w:r>
      <w:r>
        <w:rPr>
          <w:spacing w:val="-25"/>
        </w:rPr>
        <w:t> </w:t>
      </w:r>
      <w:r>
        <w:rPr/>
        <w:t>投资收益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060" w:bottom="1380" w:left="1060" w:right="1320"/>
          <w:cols w:num="2" w:equalWidth="0">
            <w:col w:w="1795" w:space="496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17"/>
        <w:gridCol w:w="2936"/>
        <w:gridCol w:w="2837"/>
      </w:tblGrid>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93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312,861,431.98</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494,716,147.69</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93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金融工具投资收益</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1,176,845,704.10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1,540,491,327.96</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其中：持有期间取得的收益</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1,601,628,187.22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1,306,363,431.28</w:t>
            </w:r>
          </w:p>
        </w:tc>
      </w:tr>
      <w:tr>
        <w:trPr>
          <w:trHeight w:val="557"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506,243,245.75</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493,590,258.62</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93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1,095,384,941.47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812,773,172.66</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93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处置金融工具取得的收益</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-424,782,483.12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234,127,896.68</w:t>
            </w:r>
          </w:p>
        </w:tc>
      </w:tr>
      <w:tr>
        <w:trPr>
          <w:trHeight w:val="55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-501,257,045.05</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81,910,976.36</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93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45,359,892.39</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154,884,958.07</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31,114,669.54</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-2,668,037.75</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34,390.32</w:t>
            </w:r>
          </w:p>
        </w:tc>
        <w:tc>
          <w:tcPr>
            <w:tcW w:w="28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1,489,741,526.40</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2,035,207,475.65</w:t>
            </w:r>
          </w:p>
        </w:tc>
      </w:tr>
    </w:tbl>
    <w:p>
      <w:pPr>
        <w:spacing w:line="240" w:lineRule="auto" w:before="3"/>
        <w:rPr>
          <w:rFonts w:ascii="宋体" w:hAnsi="宋体" w:cs="宋体" w:eastAsia="宋体" w:hint="default"/>
          <w:sz w:val="21"/>
          <w:szCs w:val="21"/>
        </w:rPr>
      </w:pPr>
    </w:p>
    <w:p>
      <w:pPr>
        <w:pStyle w:val="BodyText"/>
        <w:spacing w:line="247" w:lineRule="auto" w:before="36"/>
        <w:ind w:left="217" w:right="4228"/>
        <w:jc w:val="left"/>
      </w:pPr>
      <w:r>
        <w:rPr/>
        <w:t>投资收益的说明：</w:t>
      </w:r>
      <w:r>
        <w:rPr>
          <w:w w:val="100"/>
        </w:rPr>
        <w:t> </w:t>
      </w:r>
      <w:r>
        <w:rPr>
          <w:spacing w:val="-2"/>
        </w:rPr>
        <w:t>本公司不存在投资收益汇回的重大限制。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380" w:left="1060" w:right="1320"/>
        </w:sectPr>
      </w:pPr>
    </w:p>
    <w:p>
      <w:pPr>
        <w:pStyle w:val="Heading5"/>
        <w:spacing w:line="240" w:lineRule="auto" w:before="36"/>
        <w:ind w:left="217" w:right="-19"/>
        <w:jc w:val="left"/>
        <w:rPr>
          <w:b w:val="0"/>
          <w:bCs w:val="0"/>
        </w:rPr>
      </w:pPr>
      <w:r>
        <w:rPr>
          <w:rFonts w:ascii="宋体" w:hAnsi="宋体" w:cs="宋体" w:eastAsia="宋体" w:hint="default"/>
        </w:rPr>
        <w:t>54</w:t>
      </w:r>
      <w:r>
        <w:rPr/>
        <w:t>、</w:t>
      </w:r>
      <w:r>
        <w:rPr>
          <w:spacing w:val="-23"/>
        </w:rPr>
        <w:t> </w:t>
      </w:r>
      <w:r>
        <w:rPr/>
        <w:t>资产处置收益</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989" w:space="4984"/>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2,846,322.58</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2,846,322.58</w:t>
            </w:r>
          </w:p>
        </w:tc>
        <w:tc>
          <w:tcPr>
            <w:tcW w:w="30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7" w:right="0"/>
        <w:jc w:val="left"/>
      </w:pPr>
      <w:r>
        <w:rPr/>
        <w:t>其他说明：</w:t>
      </w:r>
    </w:p>
    <w:p>
      <w:pPr>
        <w:pStyle w:val="BodyText"/>
        <w:spacing w:line="274" w:lineRule="exact"/>
        <w:ind w:left="217" w:right="0"/>
        <w:jc w:val="left"/>
      </w:pPr>
      <w:r>
        <w:rPr>
          <w:w w:val="100"/>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60" w:right="1320"/>
        </w:sectPr>
      </w:pPr>
    </w:p>
    <w:p>
      <w:pPr>
        <w:pStyle w:val="Heading5"/>
        <w:spacing w:line="240" w:lineRule="auto" w:before="36"/>
        <w:ind w:left="217" w:right="-16"/>
        <w:jc w:val="left"/>
        <w:rPr>
          <w:b w:val="0"/>
          <w:bCs w:val="0"/>
        </w:rPr>
      </w:pPr>
      <w:r>
        <w:rPr>
          <w:rFonts w:ascii="宋体" w:hAnsi="宋体" w:cs="宋体" w:eastAsia="宋体" w:hint="default"/>
        </w:rPr>
        <w:t>55</w:t>
      </w:r>
      <w:r>
        <w:rPr/>
        <w:t>、</w:t>
      </w:r>
      <w:r>
        <w:rPr>
          <w:spacing w:val="-28"/>
        </w:rPr>
        <w:t> </w:t>
      </w:r>
      <w:r>
        <w:rPr/>
        <w:t>公允价值变动收益／（损失）</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3463" w:space="351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17"/>
        <w:gridCol w:w="2933"/>
        <w:gridCol w:w="2840"/>
      </w:tblGrid>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-121,083,197.29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-86,348,912.91</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129,518,966.02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-8,656,655.82</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517"/>
        <w:gridCol w:w="2933"/>
        <w:gridCol w:w="2840"/>
      </w:tblGrid>
      <w:tr>
        <w:trPr>
          <w:trHeight w:val="28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7" w:right="0"/>
              <w:jc w:val="left"/>
              <w:rPr>
                <w:rFonts w:ascii="宋体" w:hAnsi="宋体" w:cs="宋体" w:eastAsia="宋体" w:hint="default"/>
                <w:sz w:val="21"/>
                <w:szCs w:val="21"/>
              </w:rPr>
            </w:pPr>
            <w:r>
              <w:rPr>
                <w:rFonts w:ascii="宋体"/>
                <w:sz w:val="21"/>
              </w:rPr>
              <w:t>8,435,768.73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2" w:right="0"/>
              <w:jc w:val="left"/>
              <w:rPr>
                <w:rFonts w:ascii="宋体" w:hAnsi="宋体" w:cs="宋体" w:eastAsia="宋体" w:hint="default"/>
                <w:sz w:val="21"/>
                <w:szCs w:val="21"/>
              </w:rPr>
            </w:pPr>
            <w:r>
              <w:rPr>
                <w:rFonts w:ascii="宋体"/>
                <w:sz w:val="21"/>
              </w:rPr>
              <w:t>-95,005,568.73</w:t>
            </w:r>
          </w:p>
        </w:tc>
      </w:tr>
    </w:tbl>
    <w:p>
      <w:pPr>
        <w:spacing w:line="240" w:lineRule="auto" w:before="3"/>
        <w:rPr>
          <w:rFonts w:ascii="宋体" w:hAnsi="宋体" w:cs="宋体" w:eastAsia="宋体" w:hint="default"/>
          <w:sz w:val="21"/>
          <w:szCs w:val="21"/>
        </w:rPr>
      </w:pPr>
    </w:p>
    <w:p>
      <w:pPr>
        <w:pStyle w:val="BodyText"/>
        <w:spacing w:line="247" w:lineRule="auto" w:before="36"/>
        <w:ind w:left="217" w:right="6732"/>
        <w:jc w:val="left"/>
      </w:pPr>
      <w:r>
        <w:rPr>
          <w:spacing w:val="-2"/>
        </w:rPr>
        <w:t>公允价值变动收益的说明：</w:t>
      </w:r>
      <w:r>
        <w:rPr>
          <w:spacing w:val="-82"/>
        </w:rPr>
        <w:t> </w:t>
      </w:r>
      <w:r>
        <w:rPr>
          <w:spacing w:val="-82"/>
        </w:rPr>
      </w:r>
      <w:r>
        <w:rPr/>
        <w:t>无</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320"/>
        </w:sectPr>
      </w:pPr>
    </w:p>
    <w:p>
      <w:pPr>
        <w:pStyle w:val="Heading5"/>
        <w:spacing w:line="240" w:lineRule="auto" w:before="36"/>
        <w:ind w:left="217" w:right="-18"/>
        <w:jc w:val="left"/>
        <w:rPr>
          <w:b w:val="0"/>
          <w:bCs w:val="0"/>
        </w:rPr>
      </w:pPr>
      <w:r>
        <w:rPr>
          <w:rFonts w:ascii="宋体" w:hAnsi="宋体" w:cs="宋体" w:eastAsia="宋体" w:hint="default"/>
        </w:rPr>
        <w:t>56</w:t>
      </w:r>
      <w:r>
        <w:rPr/>
        <w:t>、</w:t>
      </w:r>
      <w:r>
        <w:rPr>
          <w:spacing w:val="-24"/>
        </w:rPr>
        <w:t> </w:t>
      </w:r>
      <w:r>
        <w:rPr/>
        <w:t>其他收益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795" w:space="5178"/>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31,864,973.63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23,360,206.15</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31,864,973.63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23,360,206.15</w:t>
            </w:r>
          </w:p>
        </w:tc>
      </w:tr>
    </w:tbl>
    <w:p>
      <w:pPr>
        <w:pStyle w:val="BodyText"/>
        <w:spacing w:line="240" w:lineRule="exact"/>
        <w:ind w:left="217" w:right="0"/>
        <w:jc w:val="left"/>
      </w:pPr>
      <w:r>
        <w:rPr/>
        <w:t>其他说明：</w:t>
      </w:r>
    </w:p>
    <w:p>
      <w:pPr>
        <w:pStyle w:val="BodyText"/>
        <w:spacing w:line="273" w:lineRule="exact"/>
        <w:ind w:left="217" w:right="0"/>
        <w:jc w:val="left"/>
      </w:pPr>
      <w:r>
        <w:rPr>
          <w:w w:val="100"/>
        </w:rPr>
        <w:t>无</w:t>
      </w:r>
    </w:p>
    <w:p>
      <w:pPr>
        <w:spacing w:line="240" w:lineRule="auto" w:before="4"/>
        <w:rPr>
          <w:rFonts w:ascii="宋体" w:hAnsi="宋体" w:cs="宋体" w:eastAsia="宋体" w:hint="default"/>
          <w:sz w:val="28"/>
          <w:szCs w:val="28"/>
        </w:rPr>
      </w:pPr>
    </w:p>
    <w:p>
      <w:pPr>
        <w:pStyle w:val="Heading5"/>
        <w:spacing w:line="240" w:lineRule="auto"/>
        <w:ind w:left="217" w:right="0"/>
        <w:jc w:val="left"/>
        <w:rPr>
          <w:b w:val="0"/>
          <w:bCs w:val="0"/>
        </w:rPr>
      </w:pPr>
      <w:r>
        <w:rPr>
          <w:rFonts w:ascii="宋体" w:hAnsi="宋体" w:cs="宋体" w:eastAsia="宋体" w:hint="default"/>
        </w:rPr>
        <w:t>57</w:t>
      </w:r>
      <w:r>
        <w:rPr/>
        <w:t>、</w:t>
      </w:r>
      <w:r>
        <w:rPr>
          <w:spacing w:val="-23"/>
        </w:rPr>
        <w:t> </w:t>
      </w:r>
      <w:r>
        <w:rPr/>
        <w:t>其他业务收入</w:t>
      </w:r>
      <w:r>
        <w:rPr>
          <w:b w:val="0"/>
          <w:bCs w:val="0"/>
        </w:rPr>
      </w:r>
    </w:p>
    <w:p>
      <w:pPr>
        <w:pStyle w:val="BodyText"/>
        <w:spacing w:line="240" w:lineRule="auto" w:before="56"/>
        <w:ind w:left="217" w:right="0"/>
        <w:jc w:val="left"/>
      </w:pPr>
      <w:r>
        <w:rPr/>
        <w:t>√适用 □不适用</w:t>
      </w:r>
    </w:p>
    <w:p>
      <w:pPr>
        <w:spacing w:line="240" w:lineRule="auto" w:before="2"/>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541"/>
        <w:gridCol w:w="2523"/>
        <w:gridCol w:w="2977"/>
      </w:tblGrid>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5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6,218,279.97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5,702,462.72</w:t>
            </w:r>
          </w:p>
        </w:tc>
      </w:tr>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2,596,441.01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3,567,917.76</w:t>
            </w:r>
          </w:p>
        </w:tc>
      </w:tr>
      <w:tr>
        <w:trPr>
          <w:trHeight w:val="295"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8,814,720.98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9,270,380.48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380" w:left="1060" w:right="1320"/>
        </w:sectPr>
      </w:pPr>
    </w:p>
    <w:p>
      <w:pPr>
        <w:pStyle w:val="Heading5"/>
        <w:spacing w:line="240" w:lineRule="auto" w:before="36"/>
        <w:ind w:left="217" w:right="-2"/>
        <w:jc w:val="left"/>
        <w:rPr>
          <w:b w:val="0"/>
          <w:bCs w:val="0"/>
        </w:rPr>
      </w:pPr>
      <w:r>
        <w:rPr>
          <w:rFonts w:ascii="宋体" w:hAnsi="宋体" w:cs="宋体" w:eastAsia="宋体" w:hint="default"/>
        </w:rPr>
        <w:t>58</w:t>
      </w:r>
      <w:r>
        <w:rPr/>
        <w:t>、</w:t>
      </w:r>
      <w:r>
        <w:rPr>
          <w:spacing w:val="-24"/>
        </w:rPr>
        <w:t> </w:t>
      </w:r>
      <w:r>
        <w:rPr/>
        <w:t>税金及附加</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795" w:space="5178"/>
            <w:col w:w="255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24"/>
        <w:gridCol w:w="2321"/>
        <w:gridCol w:w="2324"/>
        <w:gridCol w:w="2321"/>
      </w:tblGrid>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8,629,313.65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9,483,956.52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3,749,193.32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4,136,268.89</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3%</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2,497,419.73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2,758,395.41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2,484,094.95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3,634,943.71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按规定缴纳</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17,360,021.65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20,013,564.53</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2" w:lineRule="exact" w:before="64"/>
        <w:ind w:left="217" w:right="7408"/>
        <w:jc w:val="left"/>
      </w:pPr>
      <w:r>
        <w:rPr>
          <w:spacing w:val="-1"/>
        </w:rPr>
        <w:t>税金及附加的说明：</w:t>
      </w:r>
      <w:r>
        <w:rPr>
          <w:spacing w:val="-95"/>
        </w:rPr>
        <w:t> </w:t>
      </w:r>
      <w:r>
        <w:rPr>
          <w:spacing w:val="-95"/>
        </w:rPr>
      </w:r>
      <w:r>
        <w:rPr/>
        <w:t>无</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060" w:right="1320"/>
        </w:sectPr>
      </w:pPr>
    </w:p>
    <w:p>
      <w:pPr>
        <w:pStyle w:val="Heading5"/>
        <w:spacing w:line="240" w:lineRule="auto" w:before="36"/>
        <w:ind w:left="217" w:right="-19"/>
        <w:jc w:val="left"/>
        <w:rPr>
          <w:b w:val="0"/>
          <w:bCs w:val="0"/>
        </w:rPr>
      </w:pPr>
      <w:r>
        <w:rPr>
          <w:rFonts w:ascii="宋体" w:hAnsi="宋体" w:cs="宋体" w:eastAsia="宋体" w:hint="default"/>
        </w:rPr>
        <w:t>59</w:t>
      </w:r>
      <w:r>
        <w:rPr/>
        <w:t>、</w:t>
      </w:r>
      <w:r>
        <w:rPr>
          <w:spacing w:val="-23"/>
        </w:rPr>
        <w:t> </w:t>
      </w:r>
      <w:r>
        <w:rPr/>
        <w:t>业务及管理费</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989" w:space="4984"/>
            <w:col w:w="255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0"/>
        <w:gridCol w:w="3082"/>
        <w:gridCol w:w="3080"/>
      </w:tblGrid>
      <w:tr>
        <w:trPr>
          <w:trHeight w:val="286"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80"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080"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7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1,220,245,103.09</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1,420,576,586.18</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7" w:right="0"/>
              <w:jc w:val="left"/>
              <w:rPr>
                <w:rFonts w:ascii="宋体" w:hAnsi="宋体" w:cs="宋体" w:eastAsia="宋体" w:hint="default"/>
                <w:sz w:val="21"/>
                <w:szCs w:val="21"/>
              </w:rPr>
            </w:pPr>
            <w:r>
              <w:rPr>
                <w:rFonts w:ascii="宋体" w:hAnsi="宋体" w:cs="宋体" w:eastAsia="宋体" w:hint="default"/>
                <w:sz w:val="21"/>
                <w:szCs w:val="21"/>
              </w:rPr>
              <w:t>营销支出</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5"/>
              <w:jc w:val="right"/>
              <w:rPr>
                <w:rFonts w:ascii="宋体" w:hAnsi="宋体" w:cs="宋体" w:eastAsia="宋体" w:hint="default"/>
                <w:sz w:val="21"/>
                <w:szCs w:val="21"/>
              </w:rPr>
            </w:pPr>
            <w:r>
              <w:rPr>
                <w:rFonts w:ascii="宋体"/>
                <w:spacing w:val="-1"/>
                <w:sz w:val="21"/>
              </w:rPr>
              <w:t>265,640,698.17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145,041,388.31</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132,592,960.76</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116,079,425.22</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44,840,863.42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39,286,276.74</w:t>
            </w:r>
          </w:p>
        </w:tc>
      </w:tr>
      <w:tr>
        <w:trPr>
          <w:trHeight w:val="286"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hAnsi="宋体" w:cs="宋体" w:eastAsia="宋体" w:hint="default"/>
                <w:sz w:val="21"/>
                <w:szCs w:val="21"/>
              </w:rPr>
              <w:t>邮电通讯费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41,050,505.53</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32,138,823.92</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7" w:right="0"/>
              <w:jc w:val="left"/>
              <w:rPr>
                <w:rFonts w:ascii="宋体" w:hAnsi="宋体" w:cs="宋体" w:eastAsia="宋体" w:hint="default"/>
                <w:sz w:val="21"/>
                <w:szCs w:val="21"/>
              </w:rPr>
            </w:pPr>
            <w:r>
              <w:rPr>
                <w:rFonts w:ascii="宋体" w:hAnsi="宋体" w:cs="宋体" w:eastAsia="宋体" w:hint="default"/>
                <w:sz w:val="21"/>
                <w:szCs w:val="21"/>
              </w:rPr>
              <w:t>交易所设施使用费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5"/>
              <w:jc w:val="right"/>
              <w:rPr>
                <w:rFonts w:ascii="宋体" w:hAnsi="宋体" w:cs="宋体" w:eastAsia="宋体" w:hint="default"/>
                <w:sz w:val="21"/>
                <w:szCs w:val="21"/>
              </w:rPr>
            </w:pPr>
            <w:r>
              <w:rPr>
                <w:rFonts w:ascii="宋体"/>
                <w:spacing w:val="-1"/>
                <w:sz w:val="21"/>
              </w:rPr>
              <w:t>32,713,061.38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27,413,016.47</w:t>
            </w:r>
          </w:p>
        </w:tc>
      </w:tr>
    </w:tbl>
    <w:p>
      <w:pPr>
        <w:spacing w:after="0" w:line="243"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080"/>
        <w:gridCol w:w="3082"/>
        <w:gridCol w:w="3080"/>
      </w:tblGrid>
      <w:tr>
        <w:trPr>
          <w:trHeight w:val="288" w:hRule="exact"/>
        </w:trPr>
        <w:tc>
          <w:tcPr>
            <w:tcW w:w="3080"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7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28,731,309.28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25,486,459.12</w:t>
            </w:r>
          </w:p>
        </w:tc>
      </w:tr>
      <w:tr>
        <w:trPr>
          <w:trHeight w:val="286"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25,778,574.97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28,235,884.65</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5"/>
              <w:jc w:val="right"/>
              <w:rPr>
                <w:rFonts w:ascii="宋体" w:hAnsi="宋体" w:cs="宋体" w:eastAsia="宋体" w:hint="default"/>
                <w:sz w:val="21"/>
                <w:szCs w:val="21"/>
              </w:rPr>
            </w:pPr>
            <w:r>
              <w:rPr>
                <w:rFonts w:ascii="宋体"/>
                <w:spacing w:val="-1"/>
                <w:sz w:val="21"/>
              </w:rPr>
              <w:t>25,654,576.35</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23,587,732.39</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hAnsi="宋体" w:cs="宋体" w:eastAsia="宋体" w:hint="default"/>
                <w:sz w:val="21"/>
                <w:szCs w:val="21"/>
              </w:rPr>
              <w:t>电子设备运转费</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24,276,024.43</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14,662,773.43</w:t>
            </w:r>
          </w:p>
        </w:tc>
      </w:tr>
      <w:tr>
        <w:trPr>
          <w:trHeight w:val="288"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213,370,415.22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209,719,086.11</w:t>
            </w:r>
          </w:p>
        </w:tc>
      </w:tr>
      <w:tr>
        <w:trPr>
          <w:trHeight w:val="288" w:hRule="exact"/>
        </w:trPr>
        <w:tc>
          <w:tcPr>
            <w:tcW w:w="308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2,054,894,092.60</w:t>
            </w:r>
          </w:p>
        </w:tc>
        <w:tc>
          <w:tcPr>
            <w:tcW w:w="30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spacing w:val="-1"/>
                <w:sz w:val="21"/>
              </w:rPr>
              <w:t>2,082,227,452.54</w:t>
            </w:r>
          </w:p>
        </w:tc>
      </w:tr>
    </w:tbl>
    <w:p>
      <w:pPr>
        <w:spacing w:line="240" w:lineRule="auto" w:before="5"/>
        <w:rPr>
          <w:rFonts w:ascii="宋体" w:hAnsi="宋体" w:cs="宋体" w:eastAsia="宋体" w:hint="default"/>
          <w:sz w:val="15"/>
          <w:szCs w:val="15"/>
        </w:rPr>
      </w:pPr>
    </w:p>
    <w:p>
      <w:pPr>
        <w:pStyle w:val="BodyText"/>
        <w:spacing w:line="240" w:lineRule="auto" w:before="36"/>
        <w:ind w:left="217" w:right="7178"/>
        <w:jc w:val="left"/>
      </w:pPr>
      <w:r>
        <w:rPr>
          <w:spacing w:val="-2"/>
        </w:rPr>
        <w:t>业务及管理费的说明：</w:t>
      </w:r>
      <w:r>
        <w:rPr>
          <w:spacing w:val="-85"/>
        </w:rPr>
        <w:t> </w:t>
      </w:r>
      <w:r>
        <w:rPr>
          <w:spacing w:val="-85"/>
        </w:rPr>
      </w:r>
      <w:r>
        <w:rPr/>
        <w:t>无</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60" w:right="1320"/>
        </w:sectPr>
      </w:pPr>
    </w:p>
    <w:p>
      <w:pPr>
        <w:pStyle w:val="Heading5"/>
        <w:spacing w:line="240" w:lineRule="auto" w:before="36"/>
        <w:ind w:left="217" w:right="-19"/>
        <w:jc w:val="left"/>
        <w:rPr>
          <w:b w:val="0"/>
          <w:bCs w:val="0"/>
        </w:rPr>
      </w:pPr>
      <w:r>
        <w:rPr>
          <w:rFonts w:ascii="宋体" w:hAnsi="宋体" w:cs="宋体" w:eastAsia="宋体" w:hint="default"/>
        </w:rPr>
        <w:t>60</w:t>
      </w:r>
      <w:r>
        <w:rPr/>
        <w:t>、</w:t>
      </w:r>
      <w:r>
        <w:rPr>
          <w:spacing w:val="-23"/>
        </w:rPr>
        <w:t> </w:t>
      </w:r>
      <w:r>
        <w:rPr/>
        <w:t>资产减值损失</w:t>
      </w:r>
      <w:r>
        <w:rPr>
          <w:b w:val="0"/>
          <w:bCs w:val="0"/>
        </w:rPr>
      </w:r>
    </w:p>
    <w:p>
      <w:pPr>
        <w:pStyle w:val="BodyText"/>
        <w:spacing w:line="240" w:lineRule="auto" w:before="57"/>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989" w:space="4984"/>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8"/>
        <w:gridCol w:w="2643"/>
        <w:gridCol w:w="3159"/>
      </w:tblGrid>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7,998,012.28</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-457,979.20</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149,843,267.61</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52,063,060.68</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50,708,921.84</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43,489,458.81</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208,550,201.73</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95,094,540.29</w:t>
            </w:r>
          </w:p>
        </w:tc>
      </w:tr>
    </w:tbl>
    <w:p>
      <w:pPr>
        <w:pStyle w:val="BodyText"/>
        <w:spacing w:line="240" w:lineRule="auto" w:before="26"/>
        <w:ind w:left="217" w:right="0"/>
        <w:jc w:val="left"/>
      </w:pPr>
      <w:r>
        <w:rPr/>
        <w:t>其他说明：</w:t>
      </w:r>
    </w:p>
    <w:p>
      <w:pPr>
        <w:pStyle w:val="BodyText"/>
        <w:spacing w:line="240" w:lineRule="auto" w:before="56"/>
        <w:ind w:left="637" w:right="0"/>
        <w:jc w:val="left"/>
      </w:pPr>
      <w:r>
        <w:rPr/>
        <w:t>本期坏账损失中含收回以前年度核销的应收南方证券债权分配款项</w:t>
      </w:r>
      <w:r>
        <w:rPr>
          <w:spacing w:val="-55"/>
        </w:rPr>
        <w:t> </w:t>
      </w:r>
      <w:r>
        <w:rPr>
          <w:rFonts w:ascii="宋体" w:hAnsi="宋体" w:cs="宋体" w:eastAsia="宋体" w:hint="default"/>
        </w:rPr>
        <w:t>1,340,782.57</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060" w:right="1320"/>
        </w:sectPr>
      </w:pPr>
    </w:p>
    <w:p>
      <w:pPr>
        <w:spacing w:line="290" w:lineRule="auto" w:before="36"/>
        <w:ind w:left="217" w:right="209" w:firstLine="0"/>
        <w:jc w:val="left"/>
        <w:rPr>
          <w:rFonts w:ascii="宋体" w:hAnsi="宋体" w:cs="宋体" w:eastAsia="宋体" w:hint="default"/>
          <w:sz w:val="21"/>
          <w:szCs w:val="21"/>
        </w:rPr>
      </w:pPr>
      <w:r>
        <w:rPr>
          <w:rFonts w:ascii="宋体" w:hAnsi="宋体" w:cs="宋体" w:eastAsia="宋体" w:hint="default"/>
          <w:b/>
          <w:bCs/>
          <w:sz w:val="21"/>
          <w:szCs w:val="21"/>
        </w:rPr>
        <w:t>61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2" w:val="left" w:leader="none"/>
        </w:tabs>
        <w:spacing w:line="229" w:lineRule="exact"/>
        <w:ind w:left="217"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060" w:bottom="1380" w:left="1060" w:right="1320"/>
          <w:cols w:num="2" w:equalWidth="0">
            <w:col w:w="2006" w:space="475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68"/>
        <w:gridCol w:w="2367"/>
        <w:gridCol w:w="2376"/>
        <w:gridCol w:w="2379"/>
      </w:tblGrid>
      <w:tr>
        <w:trPr>
          <w:trHeight w:val="55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64"/>
              <w:jc w:val="right"/>
              <w:rPr>
                <w:rFonts w:ascii="宋体" w:hAnsi="宋体" w:cs="宋体" w:eastAsia="宋体" w:hint="default"/>
                <w:sz w:val="21"/>
                <w:szCs w:val="21"/>
              </w:rPr>
            </w:pPr>
            <w:r>
              <w:rPr>
                <w:rFonts w:ascii="宋体" w:hAnsi="宋体" w:cs="宋体" w:eastAsia="宋体" w:hint="default"/>
                <w:sz w:val="21"/>
                <w:szCs w:val="21"/>
              </w:rPr>
              <w:t>项目</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154,758.59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223,467.52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154,758.59</w:t>
            </w:r>
          </w:p>
        </w:tc>
      </w:tr>
      <w:tr>
        <w:trPr>
          <w:trHeight w:val="55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154,758.59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223,467.52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154,758.59</w:t>
            </w:r>
          </w:p>
        </w:tc>
      </w:tr>
      <w:tr>
        <w:trPr>
          <w:trHeight w:val="283"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529,085.62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1,757,259.07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529,085.62</w:t>
            </w:r>
          </w:p>
        </w:tc>
      </w:tr>
      <w:tr>
        <w:trPr>
          <w:trHeight w:val="283"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4"/>
              <w:jc w:val="right"/>
              <w:rPr>
                <w:rFonts w:ascii="宋体" w:hAnsi="宋体" w:cs="宋体" w:eastAsia="宋体" w:hint="default"/>
                <w:sz w:val="21"/>
                <w:szCs w:val="21"/>
              </w:rPr>
            </w:pPr>
            <w:r>
              <w:rPr>
                <w:rFonts w:ascii="宋体" w:hAnsi="宋体" w:cs="宋体" w:eastAsia="宋体" w:hint="default"/>
                <w:sz w:val="21"/>
                <w:szCs w:val="21"/>
              </w:rPr>
              <w:t>合计</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683,844.21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1,980,726.59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683,844.21</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9"/>
        <w:rPr>
          <w:rFonts w:ascii="宋体" w:hAnsi="宋体" w:cs="宋体" w:eastAsia="宋体" w:hint="default"/>
          <w:sz w:val="18"/>
          <w:szCs w:val="18"/>
        </w:rPr>
      </w:pPr>
    </w:p>
    <w:p>
      <w:pPr>
        <w:pStyle w:val="BodyText"/>
        <w:spacing w:line="273" w:lineRule="exact" w:before="36"/>
        <w:ind w:left="217" w:right="0"/>
        <w:jc w:val="left"/>
      </w:pPr>
      <w:r>
        <w:rPr/>
        <w:t>计入当期损益的政府补助</w:t>
      </w:r>
    </w:p>
    <w:p>
      <w:pPr>
        <w:pStyle w:val="BodyText"/>
        <w:spacing w:line="357" w:lineRule="auto"/>
        <w:ind w:left="217" w:right="7714"/>
        <w:jc w:val="left"/>
      </w:pPr>
      <w:r>
        <w:rPr/>
        <w:t>□适用 √不适用</w:t>
      </w:r>
      <w:r>
        <w:rPr>
          <w:w w:val="100"/>
        </w:rPr>
        <w:t> </w:t>
      </w:r>
      <w:r>
        <w:rPr/>
        <w:t>其他说明：</w:t>
      </w:r>
    </w:p>
    <w:p>
      <w:pPr>
        <w:pStyle w:val="BodyText"/>
        <w:spacing w:line="240" w:lineRule="exact"/>
        <w:ind w:left="217" w:right="0"/>
        <w:jc w:val="left"/>
      </w:pPr>
      <w:r>
        <w:rPr/>
        <w:t>□适用 √不适用</w:t>
      </w: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60" w:right="1320"/>
        </w:sectPr>
      </w:pPr>
    </w:p>
    <w:p>
      <w:pPr>
        <w:pStyle w:val="Heading5"/>
        <w:spacing w:line="240" w:lineRule="auto" w:before="36"/>
        <w:ind w:left="217" w:right="-2"/>
        <w:jc w:val="left"/>
        <w:rPr>
          <w:b w:val="0"/>
          <w:bCs w:val="0"/>
        </w:rPr>
      </w:pPr>
      <w:r>
        <w:rPr>
          <w:rFonts w:ascii="宋体" w:hAnsi="宋体" w:cs="宋体" w:eastAsia="宋体" w:hint="default"/>
        </w:rPr>
        <w:t>62</w:t>
      </w:r>
      <w:r>
        <w:rPr/>
        <w:t>、</w:t>
      </w:r>
      <w:r>
        <w:rPr>
          <w:spacing w:val="-24"/>
        </w:rPr>
        <w:t> </w:t>
      </w:r>
      <w:r>
        <w:rPr/>
        <w:t>营业外支出</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795" w:space="5178"/>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1"/>
        <w:gridCol w:w="2439"/>
        <w:gridCol w:w="2391"/>
        <w:gridCol w:w="2379"/>
      </w:tblGrid>
      <w:tr>
        <w:trPr>
          <w:trHeight w:val="55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168,993.65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81,773.07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168,993.65</w:t>
            </w:r>
          </w:p>
        </w:tc>
      </w:tr>
      <w:tr>
        <w:trPr>
          <w:trHeight w:val="281"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8,448,000.00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12,530,000.00</w:t>
            </w:r>
          </w:p>
        </w:tc>
      </w:tr>
      <w:tr>
        <w:trPr>
          <w:trHeight w:val="283"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269,459.91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721,151.60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269,459.91</w:t>
            </w:r>
          </w:p>
        </w:tc>
      </w:tr>
      <w:tr>
        <w:trPr>
          <w:trHeight w:val="283"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2,319.28</w:t>
            </w: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2,020,147.53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518,938.81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2,020,147.53</w:t>
            </w:r>
          </w:p>
        </w:tc>
      </w:tr>
      <w:tr>
        <w:trPr>
          <w:trHeight w:val="283"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14,989,344.77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9,772,182.76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14,988,601.09</w:t>
            </w:r>
          </w:p>
        </w:tc>
      </w:tr>
    </w:tbl>
    <w:p>
      <w:pPr>
        <w:spacing w:line="240" w:lineRule="auto" w:before="1"/>
        <w:rPr>
          <w:rFonts w:ascii="宋体" w:hAnsi="宋体" w:cs="宋体" w:eastAsia="宋体" w:hint="default"/>
          <w:sz w:val="23"/>
          <w:szCs w:val="23"/>
        </w:rPr>
      </w:pPr>
    </w:p>
    <w:p>
      <w:pPr>
        <w:pStyle w:val="BodyText"/>
        <w:spacing w:line="290" w:lineRule="auto" w:before="36"/>
        <w:ind w:left="217" w:right="7408"/>
        <w:jc w:val="left"/>
      </w:pPr>
      <w:r>
        <w:rPr>
          <w:spacing w:val="-1"/>
        </w:rPr>
        <w:t>营业外支出的说明：</w:t>
      </w:r>
      <w:r>
        <w:rPr>
          <w:spacing w:val="-95"/>
        </w:rPr>
        <w:t> </w:t>
      </w:r>
      <w:r>
        <w:rPr>
          <w:spacing w:val="-95"/>
        </w:rPr>
      </w:r>
      <w:r>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060" w:right="1320"/>
        </w:sectPr>
      </w:pPr>
    </w:p>
    <w:p>
      <w:pPr>
        <w:pStyle w:val="Heading5"/>
        <w:spacing w:line="290" w:lineRule="auto" w:before="36"/>
        <w:ind w:left="217" w:right="-19"/>
        <w:jc w:val="left"/>
        <w:rPr>
          <w:b w:val="0"/>
          <w:bCs w:val="0"/>
        </w:rPr>
      </w:pPr>
      <w:r>
        <w:rPr>
          <w:rFonts w:ascii="宋体" w:hAnsi="宋体" w:cs="宋体" w:eastAsia="宋体" w:hint="default"/>
        </w:rPr>
        <w:t>63</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1910" w:space="5063"/>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243"/>
        <w:gridCol w:w="2955"/>
        <w:gridCol w:w="2938"/>
      </w:tblGrid>
      <w:tr>
        <w:trPr>
          <w:trHeight w:val="290"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06"/>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114,565,974.61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408,455,457.67</w:t>
            </w:r>
          </w:p>
        </w:tc>
      </w:tr>
      <w:tr>
        <w:trPr>
          <w:trHeight w:val="28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-56,545,809.97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-75,324,752.14</w:t>
            </w:r>
          </w:p>
        </w:tc>
      </w:tr>
      <w:tr>
        <w:trPr>
          <w:trHeight w:val="28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6"/>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58,020,164.64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333,130,705.53</w:t>
            </w:r>
          </w:p>
        </w:tc>
      </w:tr>
    </w:tbl>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320"/>
        </w:sectPr>
      </w:pPr>
    </w:p>
    <w:p>
      <w:pPr>
        <w:pStyle w:val="Heading5"/>
        <w:spacing w:line="240" w:lineRule="auto" w:before="36"/>
        <w:ind w:left="217" w:right="-17"/>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9"/>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3595" w:space="3378"/>
            <w:col w:w="255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4419"/>
        <w:gridCol w:w="4717"/>
      </w:tblGrid>
      <w:tr>
        <w:trPr>
          <w:trHeight w:val="281"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17"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717"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871,064,546.81</w:t>
            </w:r>
          </w:p>
        </w:tc>
      </w:tr>
      <w:tr>
        <w:trPr>
          <w:trHeight w:val="288"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217,766,136.71</w:t>
            </w:r>
          </w:p>
        </w:tc>
      </w:tr>
      <w:tr>
        <w:trPr>
          <w:trHeight w:val="286"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-3,236,986.53</w:t>
            </w:r>
          </w:p>
        </w:tc>
      </w:tr>
      <w:tr>
        <w:trPr>
          <w:trHeight w:val="288"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3,811,822.67</w:t>
            </w:r>
          </w:p>
        </w:tc>
      </w:tr>
      <w:tr>
        <w:trPr>
          <w:trHeight w:val="288"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-166,234,450.73</w:t>
            </w:r>
          </w:p>
        </w:tc>
      </w:tr>
      <w:tr>
        <w:trPr>
          <w:trHeight w:val="288"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5,110,963.05</w:t>
            </w:r>
          </w:p>
        </w:tc>
      </w:tr>
      <w:tr>
        <w:trPr>
          <w:trHeight w:val="559"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-2,313,405.34</w:t>
            </w:r>
          </w:p>
        </w:tc>
      </w:tr>
      <w:tr>
        <w:trPr>
          <w:trHeight w:val="560"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6,378,208.58</w:t>
            </w:r>
          </w:p>
        </w:tc>
      </w:tr>
      <w:tr>
        <w:trPr>
          <w:trHeight w:val="288" w:hRule="exact"/>
        </w:trPr>
        <w:tc>
          <w:tcPr>
            <w:tcW w:w="4419"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w:t>
            </w:r>
          </w:p>
        </w:tc>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-3,262,123.77</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419"/>
        <w:gridCol w:w="4717"/>
      </w:tblGrid>
      <w:tr>
        <w:trPr>
          <w:trHeight w:val="288" w:hRule="exact"/>
        </w:trPr>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7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58,020,164.64</w:t>
            </w:r>
          </w:p>
        </w:tc>
      </w:tr>
    </w:tbl>
    <w:p>
      <w:pPr>
        <w:spacing w:line="240" w:lineRule="auto" w:before="1"/>
        <w:rPr>
          <w:rFonts w:ascii="宋体" w:hAnsi="宋体" w:cs="宋体" w:eastAsia="宋体" w:hint="default"/>
          <w:sz w:val="23"/>
          <w:szCs w:val="23"/>
        </w:rPr>
      </w:pPr>
    </w:p>
    <w:p>
      <w:pPr>
        <w:pStyle w:val="BodyText"/>
        <w:spacing w:line="240" w:lineRule="auto" w:before="36"/>
        <w:ind w:left="137" w:right="0"/>
        <w:jc w:val="left"/>
      </w:pPr>
      <w:r>
        <w:rPr/>
        <w:t>其他说明：</w:t>
      </w:r>
    </w:p>
    <w:p>
      <w:pPr>
        <w:pStyle w:val="BodyText"/>
        <w:spacing w:line="240" w:lineRule="auto" w:before="56"/>
        <w:ind w:left="137" w:right="0"/>
        <w:jc w:val="left"/>
      </w:pPr>
      <w:r>
        <w:rPr/>
        <w:t>□适用 √不适用</w:t>
      </w:r>
    </w:p>
    <w:p>
      <w:pPr>
        <w:spacing w:line="240" w:lineRule="auto" w:before="0"/>
        <w:rPr>
          <w:rFonts w:ascii="宋体" w:hAnsi="宋体" w:cs="宋体" w:eastAsia="宋体" w:hint="default"/>
          <w:sz w:val="20"/>
          <w:szCs w:val="20"/>
        </w:rPr>
      </w:pPr>
    </w:p>
    <w:p>
      <w:pPr>
        <w:pStyle w:val="Heading5"/>
        <w:spacing w:line="240" w:lineRule="auto" w:before="166"/>
        <w:ind w:left="137" w:right="0"/>
        <w:jc w:val="left"/>
        <w:rPr>
          <w:b w:val="0"/>
          <w:bCs w:val="0"/>
        </w:rPr>
      </w:pPr>
      <w:r>
        <w:rPr>
          <w:rFonts w:ascii="宋体" w:hAnsi="宋体" w:cs="宋体" w:eastAsia="宋体" w:hint="default"/>
        </w:rPr>
        <w:t>64</w:t>
      </w:r>
      <w:r>
        <w:rPr/>
        <w:t>、</w:t>
      </w:r>
      <w:r>
        <w:rPr>
          <w:spacing w:val="-23"/>
        </w:rPr>
        <w:t> </w:t>
      </w:r>
      <w:r>
        <w:rPr/>
        <w:t>其他综合收益</w:t>
      </w:r>
      <w:r>
        <w:rPr>
          <w:b w:val="0"/>
          <w:bCs w:val="0"/>
        </w:rPr>
      </w:r>
    </w:p>
    <w:p>
      <w:pPr>
        <w:pStyle w:val="BodyText"/>
        <w:spacing w:line="272" w:lineRule="exact" w:before="86"/>
        <w:ind w:left="137" w:right="5379"/>
        <w:jc w:val="left"/>
      </w:pPr>
      <w:r>
        <w:rPr/>
        <w:t>√适用</w:t>
      </w:r>
      <w:r>
        <w:rPr>
          <w:spacing w:val="-2"/>
        </w:rPr>
        <w:t> </w:t>
      </w:r>
      <w:r>
        <w:rPr/>
        <w:t>□不适用</w:t>
      </w:r>
      <w:r>
        <w:rPr>
          <w:spacing w:val="-103"/>
        </w:rPr>
        <w:t> </w:t>
      </w:r>
      <w:r>
        <w:rPr>
          <w:spacing w:val="-103"/>
        </w:rPr>
      </w:r>
      <w:r>
        <w:rPr/>
        <w:t>详见本报告第十一节七、</w:t>
      </w:r>
      <w:r>
        <w:rPr>
          <w:rFonts w:ascii="宋体" w:hAnsi="宋体" w:cs="宋体" w:eastAsia="宋体" w:hint="default"/>
        </w:rPr>
        <w:t>46</w:t>
      </w:r>
      <w:r>
        <w:rPr>
          <w:rFonts w:ascii="宋体" w:hAnsi="宋体" w:cs="宋体" w:eastAsia="宋体" w:hint="default"/>
          <w:spacing w:val="-55"/>
        </w:rPr>
        <w:t> </w:t>
      </w:r>
      <w:r>
        <w:rPr/>
        <w:t>其他综合收益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140" w:right="1400"/>
        </w:sectPr>
      </w:pPr>
    </w:p>
    <w:p>
      <w:pPr>
        <w:pStyle w:val="Heading5"/>
        <w:spacing w:line="240" w:lineRule="auto" w:before="36"/>
        <w:ind w:left="137" w:right="-3"/>
        <w:jc w:val="left"/>
        <w:rPr>
          <w:b w:val="0"/>
          <w:bCs w:val="0"/>
        </w:rPr>
      </w:pPr>
      <w:r>
        <w:rPr>
          <w:rFonts w:ascii="宋体" w:hAnsi="宋体" w:cs="宋体" w:eastAsia="宋体" w:hint="default"/>
        </w:rPr>
        <w:t>65</w:t>
      </w:r>
      <w:r>
        <w:rPr/>
        <w:t>、</w:t>
      </w:r>
      <w:r>
        <w:rPr>
          <w:spacing w:val="-23"/>
        </w:rPr>
        <w:t> </w:t>
      </w:r>
      <w:r>
        <w:rPr/>
        <w:t>现金流量表项目</w:t>
      </w:r>
      <w:r>
        <w:rPr>
          <w:b w:val="0"/>
          <w:bCs w:val="0"/>
        </w:rPr>
      </w:r>
    </w:p>
    <w:p>
      <w:pPr>
        <w:pStyle w:val="Heading5"/>
        <w:tabs>
          <w:tab w:pos="837" w:val="left" w:leader="none"/>
        </w:tabs>
        <w:spacing w:line="240" w:lineRule="auto" w:before="58"/>
        <w:ind w:left="137" w:right="-3"/>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37"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060" w:bottom="1380" w:left="1140" w:right="1400"/>
          <w:cols w:num="2" w:equalWidth="0">
            <w:col w:w="4002" w:space="2971"/>
            <w:col w:w="239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40"/>
        <w:gridCol w:w="2852"/>
        <w:gridCol w:w="2845"/>
      </w:tblGrid>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定期及保证金存款收回</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658,190,500.00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55,709,031.00</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其他应付款增加</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195,359,457.90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108,936,302.01</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存出保证金净减少</w:t>
            </w:r>
          </w:p>
        </w:tc>
        <w:tc>
          <w:tcPr>
            <w:tcW w:w="285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123,129,088.69</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54,527,981.97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227,710,932.78</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908,077,939.87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515,485,354.48</w:t>
            </w:r>
          </w:p>
        </w:tc>
      </w:tr>
    </w:tbl>
    <w:p>
      <w:pPr>
        <w:spacing w:line="240" w:lineRule="auto" w:before="1"/>
        <w:rPr>
          <w:rFonts w:ascii="宋体" w:hAnsi="宋体" w:cs="宋体" w:eastAsia="宋体" w:hint="default"/>
          <w:sz w:val="23"/>
          <w:szCs w:val="23"/>
        </w:rPr>
      </w:pPr>
    </w:p>
    <w:p>
      <w:pPr>
        <w:pStyle w:val="BodyText"/>
        <w:spacing w:line="290" w:lineRule="auto" w:before="36"/>
        <w:ind w:left="137" w:right="5379"/>
        <w:jc w:val="left"/>
      </w:pPr>
      <w:r>
        <w:rPr>
          <w:spacing w:val="-2"/>
        </w:rPr>
        <w:t>收到的其他与经营活动有关的现金说明：</w:t>
      </w:r>
      <w:r>
        <w:rPr>
          <w:spacing w:val="-69"/>
        </w:rPr>
        <w:t> </w:t>
      </w:r>
      <w:r>
        <w:rPr>
          <w:spacing w:val="-69"/>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140" w:right="1400"/>
        </w:sectPr>
      </w:pPr>
    </w:p>
    <w:p>
      <w:pPr>
        <w:pStyle w:val="Heading5"/>
        <w:tabs>
          <w:tab w:pos="837" w:val="left" w:leader="none"/>
        </w:tabs>
        <w:spacing w:line="240" w:lineRule="auto" w:before="36"/>
        <w:ind w:left="137" w:right="-3"/>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37"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060" w:bottom="1380" w:left="1140" w:right="1400"/>
          <w:cols w:num="2" w:equalWidth="0">
            <w:col w:w="4002" w:space="2971"/>
            <w:col w:w="23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40"/>
        <w:gridCol w:w="2832"/>
        <w:gridCol w:w="2864"/>
      </w:tblGrid>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拆入资金减少</w:t>
            </w:r>
          </w:p>
        </w:tc>
        <w:tc>
          <w:tcPr>
            <w:tcW w:w="2832"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670,000,000.00</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存出保证金净增加</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109,096,427.10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可供出售金融资产净增加</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3,355,370,636.78</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3,210,976,957.52</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以现金支付的业务及管理费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721,490,910.39</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580,281,670.19</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7,157,450.12</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27,166,695.26</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4,193,115,424.39</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4,488,425,322.97</w:t>
            </w:r>
          </w:p>
        </w:tc>
      </w:tr>
    </w:tbl>
    <w:p>
      <w:pPr>
        <w:spacing w:line="240" w:lineRule="auto" w:before="1"/>
        <w:rPr>
          <w:rFonts w:ascii="宋体" w:hAnsi="宋体" w:cs="宋体" w:eastAsia="宋体" w:hint="default"/>
          <w:sz w:val="23"/>
          <w:szCs w:val="23"/>
        </w:rPr>
      </w:pPr>
    </w:p>
    <w:p>
      <w:pPr>
        <w:pStyle w:val="BodyText"/>
        <w:spacing w:line="290" w:lineRule="auto" w:before="36"/>
        <w:ind w:left="137" w:right="5379"/>
        <w:jc w:val="left"/>
      </w:pPr>
      <w:r>
        <w:rPr>
          <w:spacing w:val="-2"/>
        </w:rPr>
        <w:t>支付的其他与经营活动有关的现金说明：</w:t>
      </w:r>
      <w:r>
        <w:rPr>
          <w:spacing w:val="-69"/>
        </w:rPr>
        <w:t> </w:t>
      </w:r>
      <w:r>
        <w:rPr>
          <w:spacing w:val="-69"/>
        </w:rPr>
      </w:r>
      <w:r>
        <w:rPr/>
        <w:t>无</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380" w:left="1140" w:right="1400"/>
        </w:sectPr>
      </w:pPr>
    </w:p>
    <w:p>
      <w:pPr>
        <w:pStyle w:val="Heading5"/>
        <w:tabs>
          <w:tab w:pos="864" w:val="left" w:leader="none"/>
        </w:tabs>
        <w:spacing w:line="240" w:lineRule="auto" w:before="36"/>
        <w:ind w:left="137"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left="13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7"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060" w:bottom="1380" w:left="1140" w:right="1400"/>
          <w:cols w:num="2" w:equalWidth="0">
            <w:col w:w="4028" w:space="3050"/>
            <w:col w:w="229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40"/>
        <w:gridCol w:w="2938"/>
        <w:gridCol w:w="2758"/>
      </w:tblGrid>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长期资产处置收入</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3,668,354.83</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367,377.37</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3,668,354.83</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367,377.37</w:t>
            </w:r>
          </w:p>
        </w:tc>
      </w:tr>
    </w:tbl>
    <w:p>
      <w:pPr>
        <w:spacing w:after="0" w:line="241" w:lineRule="exact"/>
        <w:jc w:val="right"/>
        <w:rPr>
          <w:rFonts w:ascii="宋体" w:hAnsi="宋体" w:cs="宋体" w:eastAsia="宋体" w:hint="default"/>
          <w:sz w:val="21"/>
          <w:szCs w:val="21"/>
        </w:rPr>
        <w:sectPr>
          <w:type w:val="continuous"/>
          <w:pgSz w:w="11910" w:h="16840"/>
          <w:pgMar w:top="1060" w:bottom="1380" w:left="1140" w:right="1400"/>
        </w:sectPr>
      </w:pPr>
    </w:p>
    <w:p>
      <w:pPr>
        <w:spacing w:line="240" w:lineRule="auto" w:before="9"/>
        <w:rPr>
          <w:rFonts w:ascii="宋体" w:hAnsi="宋体" w:cs="宋体" w:eastAsia="宋体" w:hint="default"/>
          <w:sz w:val="18"/>
          <w:szCs w:val="18"/>
        </w:rPr>
      </w:pPr>
    </w:p>
    <w:p>
      <w:pPr>
        <w:pStyle w:val="BodyText"/>
        <w:spacing w:line="290" w:lineRule="auto" w:before="36"/>
        <w:ind w:left="217" w:right="5497"/>
        <w:jc w:val="left"/>
      </w:pPr>
      <w:r>
        <w:rPr>
          <w:spacing w:val="-2"/>
        </w:rPr>
        <w:t>收到的其他与投资活动有关的现金说明：</w:t>
      </w:r>
      <w:r>
        <w:rPr>
          <w:spacing w:val="-69"/>
        </w:rPr>
        <w:t> </w:t>
      </w:r>
      <w:r>
        <w:rPr>
          <w:spacing w:val="-69"/>
        </w:rPr>
      </w:r>
      <w:r>
        <w:rPr/>
        <w:t>无</w:t>
      </w:r>
    </w:p>
    <w:p>
      <w:pPr>
        <w:spacing w:line="240" w:lineRule="auto" w:before="13"/>
        <w:rPr>
          <w:rFonts w:ascii="宋体" w:hAnsi="宋体" w:cs="宋体" w:eastAsia="宋体" w:hint="default"/>
          <w:sz w:val="24"/>
          <w:szCs w:val="24"/>
        </w:rPr>
      </w:pPr>
    </w:p>
    <w:p>
      <w:pPr>
        <w:pStyle w:val="Heading5"/>
        <w:tabs>
          <w:tab w:pos="944" w:val="left" w:leader="none"/>
        </w:tabs>
        <w:spacing w:line="240" w:lineRule="auto"/>
        <w:ind w:left="217"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6"/>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60" w:right="1320"/>
        </w:sectPr>
      </w:pPr>
    </w:p>
    <w:p>
      <w:pPr>
        <w:pStyle w:val="Heading5"/>
        <w:tabs>
          <w:tab w:pos="1057" w:val="left" w:leader="none"/>
        </w:tabs>
        <w:spacing w:line="240" w:lineRule="auto" w:before="36"/>
        <w:ind w:left="217" w:right="-4"/>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4221" w:space="2752"/>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440"/>
        <w:gridCol w:w="2940"/>
        <w:gridCol w:w="2756"/>
      </w:tblGrid>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收益权质押融资借款增加</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2,000,000,000.00</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2,000,000,000.00</w:t>
            </w:r>
          </w:p>
        </w:tc>
      </w:tr>
    </w:tbl>
    <w:p>
      <w:pPr>
        <w:spacing w:line="240" w:lineRule="auto" w:before="1"/>
        <w:rPr>
          <w:rFonts w:ascii="宋体" w:hAnsi="宋体" w:cs="宋体" w:eastAsia="宋体" w:hint="default"/>
          <w:sz w:val="23"/>
          <w:szCs w:val="23"/>
        </w:rPr>
      </w:pPr>
    </w:p>
    <w:p>
      <w:pPr>
        <w:pStyle w:val="BodyText"/>
        <w:spacing w:line="290" w:lineRule="auto" w:before="36"/>
        <w:ind w:left="217" w:right="5497"/>
        <w:jc w:val="left"/>
      </w:pPr>
      <w:r>
        <w:rPr>
          <w:spacing w:val="-2"/>
        </w:rPr>
        <w:t>收到的其他与筹资活动有关的现金说明：</w:t>
      </w:r>
      <w:r>
        <w:rPr>
          <w:spacing w:val="-69"/>
        </w:rPr>
        <w:t> </w:t>
      </w:r>
      <w:r>
        <w:rPr>
          <w:spacing w:val="-69"/>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320"/>
        </w:sectPr>
      </w:pPr>
    </w:p>
    <w:p>
      <w:pPr>
        <w:pStyle w:val="Heading5"/>
        <w:tabs>
          <w:tab w:pos="1057" w:val="left" w:leader="none"/>
        </w:tabs>
        <w:spacing w:line="240" w:lineRule="auto" w:before="36"/>
        <w:ind w:left="217" w:right="-4"/>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4221" w:space="2752"/>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440"/>
        <w:gridCol w:w="2940"/>
        <w:gridCol w:w="2756"/>
      </w:tblGrid>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收益权质押融资借款偿还</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3,370,000,000.00</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8,643,755.55</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28,260,265.34</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1,108,643,755.55</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3,398,260,265.34</w:t>
            </w:r>
          </w:p>
        </w:tc>
      </w:tr>
    </w:tbl>
    <w:p>
      <w:pPr>
        <w:pStyle w:val="BodyText"/>
        <w:spacing w:line="290" w:lineRule="auto" w:before="26"/>
        <w:ind w:left="217" w:right="5497"/>
        <w:jc w:val="left"/>
      </w:pPr>
      <w:r>
        <w:rPr>
          <w:spacing w:val="-2"/>
        </w:rPr>
        <w:t>支付的其他与筹资活动有关的现金说明：</w:t>
      </w:r>
      <w:r>
        <w:rPr>
          <w:spacing w:val="-69"/>
        </w:rPr>
        <w:t> </w:t>
      </w:r>
      <w:r>
        <w:rPr>
          <w:spacing w:val="-69"/>
        </w:rPr>
      </w:r>
      <w:r>
        <w:rPr/>
        <w:t>无</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320"/>
        </w:sectPr>
      </w:pPr>
    </w:p>
    <w:p>
      <w:pPr>
        <w:pStyle w:val="Heading5"/>
        <w:spacing w:line="290" w:lineRule="auto" w:before="36"/>
        <w:ind w:left="217" w:right="-18"/>
        <w:jc w:val="left"/>
        <w:rPr>
          <w:b w:val="0"/>
          <w:bCs w:val="0"/>
        </w:rPr>
      </w:pPr>
      <w:r>
        <w:rPr>
          <w:rFonts w:ascii="宋体" w:hAnsi="宋体" w:cs="宋体" w:eastAsia="宋体" w:hint="default"/>
        </w:rPr>
        <w:t>66</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2623" w:space="435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96"/>
        <w:gridCol w:w="2844"/>
        <w:gridCol w:w="2549"/>
      </w:tblGrid>
      <w:tr>
        <w:trPr>
          <w:trHeight w:val="281"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44"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549"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844" w:type="dxa"/>
            <w:tcBorders>
              <w:top w:val="single" w:sz="4" w:space="0" w:color="000000"/>
              <w:left w:val="single" w:sz="4" w:space="0" w:color="000000"/>
              <w:bottom w:val="single" w:sz="6" w:space="0" w:color="000000"/>
              <w:right w:val="single" w:sz="6" w:space="0" w:color="000000"/>
            </w:tcBorders>
          </w:tcPr>
          <w:p>
            <w:pPr/>
          </w:p>
        </w:tc>
        <w:tc>
          <w:tcPr>
            <w:tcW w:w="2549"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813,044,382.17</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1,476,811,970.05</w:t>
            </w:r>
          </w:p>
        </w:tc>
      </w:tr>
      <w:tr>
        <w:trPr>
          <w:trHeight w:val="286"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208,550,201.73</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95,094,540.29</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物资产折旧</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30,475,998.28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27,231,148.12</w:t>
            </w: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44,840,863.42</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39,286,276.74</w:t>
            </w: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21,582,011.28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16,596,460.31</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的损失（收益以“－”号填列）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-2,846,322.58</w:t>
            </w: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14,235.06</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-141,694.45</w:t>
            </w:r>
          </w:p>
        </w:tc>
      </w:tr>
      <w:tr>
        <w:trPr>
          <w:trHeight w:val="56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-8,435,768.73</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95,005,568.73</w:t>
            </w: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1,005,458,828.86</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706,535,265.94</w:t>
            </w:r>
          </w:p>
        </w:tc>
      </w:tr>
    </w:tbl>
    <w:p>
      <w:pPr>
        <w:spacing w:after="0" w:line="241"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896"/>
        <w:gridCol w:w="2844"/>
        <w:gridCol w:w="2549"/>
      </w:tblGrid>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-312,895,822.30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-494,932,451.61</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104"/>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号填</w:t>
            </w:r>
            <w:r>
              <w:rPr>
                <w:rFonts w:ascii="宋体" w:hAnsi="宋体" w:cs="宋体" w:eastAsia="宋体" w:hint="default"/>
                <w:w w:val="100"/>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-86,782,381.50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-75,303,758.16</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104"/>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号填</w:t>
            </w:r>
            <w:r>
              <w:rPr>
                <w:rFonts w:ascii="宋体" w:hAnsi="宋体" w:cs="宋体" w:eastAsia="宋体" w:hint="default"/>
                <w:w w:val="100"/>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30,236,571.53</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-20,993.98</w:t>
            </w: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的金融资产等的减少</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995,079,124.90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-951,417,305.06</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spacing w:val="-104"/>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-927,227,227.78</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-6,537,104,925.87</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spacing w:val="-104"/>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551,520,499.70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-7,877,162,728.37</w:t>
            </w:r>
          </w:p>
        </w:tc>
      </w:tr>
      <w:tr>
        <w:trPr>
          <w:trHeight w:val="28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2,362,615,194.04</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-13,479,522,627.32</w:t>
            </w:r>
          </w:p>
        </w:tc>
      </w:tr>
      <w:tr>
        <w:trPr>
          <w:trHeight w:val="559"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动：</w:t>
            </w:r>
            <w:r>
              <w:rPr>
                <w:rFonts w:ascii="宋体" w:hAnsi="宋体" w:cs="宋体" w:eastAsia="宋体" w:hint="default"/>
                <w:sz w:val="21"/>
                <w:szCs w:val="21"/>
              </w:rPr>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11,579,567,328.12</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11,260,726,648.66</w:t>
            </w:r>
          </w:p>
        </w:tc>
      </w:tr>
      <w:tr>
        <w:trPr>
          <w:trHeight w:val="286"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11,260,726,648.66</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16,476,642,111.73</w:t>
            </w: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44" w:type="dxa"/>
            <w:tcBorders>
              <w:top w:val="single" w:sz="6" w:space="0" w:color="000000"/>
              <w:left w:val="single" w:sz="4"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4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318,840,679.46</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-5,215,915,463.07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spacing w:line="240" w:lineRule="auto" w:before="36"/>
        <w:ind w:left="217" w:right="0"/>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58"/>
        <w:ind w:left="217"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0"/>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56"/>
        <w:ind w:left="217" w:right="0"/>
        <w:jc w:val="left"/>
      </w:pPr>
      <w:r>
        <w:rPr/>
        <w:t>□适用 √不适用</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60" w:right="1320"/>
        </w:sectPr>
      </w:pPr>
    </w:p>
    <w:p>
      <w:pPr>
        <w:pStyle w:val="Heading5"/>
        <w:spacing w:line="240" w:lineRule="auto" w:before="36"/>
        <w:ind w:left="217" w:right="-18"/>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2963" w:space="4010"/>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998"/>
        <w:gridCol w:w="2809"/>
      </w:tblGrid>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11,579,567,328.12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11,260,726,648.66</w:t>
            </w:r>
          </w:p>
        </w:tc>
      </w:tr>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7.26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167.26</w:t>
            </w:r>
          </w:p>
        </w:tc>
      </w:tr>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9,217,891,205.33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8,879,236,528.70</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2,361,676,115.53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2,381,489,952.70</w:t>
            </w:r>
          </w:p>
        </w:tc>
      </w:tr>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11,579,567,328.12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11,260,726,648.66</w:t>
            </w:r>
          </w:p>
        </w:tc>
      </w:tr>
    </w:tbl>
    <w:p>
      <w:pPr>
        <w:spacing w:after="0" w:line="246"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9"/>
        <w:rPr>
          <w:rFonts w:ascii="宋体" w:hAnsi="宋体" w:cs="宋体" w:eastAsia="宋体" w:hint="default"/>
          <w:sz w:val="18"/>
          <w:szCs w:val="18"/>
        </w:rPr>
      </w:pPr>
    </w:p>
    <w:p>
      <w:pPr>
        <w:pStyle w:val="BodyText"/>
        <w:spacing w:line="240" w:lineRule="auto" w:before="36"/>
        <w:ind w:left="217" w:right="0"/>
        <w:jc w:val="left"/>
      </w:pPr>
      <w:r>
        <w:rPr/>
        <w:t>其他说明：</w:t>
      </w:r>
    </w:p>
    <w:p>
      <w:pPr>
        <w:pStyle w:val="BodyText"/>
        <w:spacing w:line="240" w:lineRule="auto" w:before="56"/>
        <w:ind w:left="217" w:right="0"/>
        <w:jc w:val="left"/>
      </w:pPr>
      <w:r>
        <w:rPr/>
        <w:t>√适用 □不适用</w:t>
      </w:r>
    </w:p>
    <w:p>
      <w:pPr>
        <w:pStyle w:val="BodyText"/>
        <w:spacing w:line="240" w:lineRule="auto" w:before="58"/>
        <w:ind w:left="637" w:right="0"/>
        <w:jc w:val="left"/>
      </w:pPr>
      <w:r>
        <w:rPr/>
        <w:t>本公司将计划持有至到期的定期存款不列为现金及现金等价物。</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日该等定期存</w:t>
      </w:r>
    </w:p>
    <w:p>
      <w:pPr>
        <w:pStyle w:val="BodyText"/>
        <w:spacing w:line="240" w:lineRule="auto" w:before="133"/>
        <w:ind w:left="217" w:right="0"/>
        <w:jc w:val="left"/>
      </w:pPr>
      <w:r>
        <w:rPr/>
        <w:t>款金额为</w:t>
      </w:r>
      <w:r>
        <w:rPr>
          <w:spacing w:val="-53"/>
        </w:rPr>
        <w:t> </w:t>
      </w:r>
      <w:r>
        <w:rPr>
          <w:rFonts w:ascii="宋体" w:hAnsi="宋体" w:cs="宋体" w:eastAsia="宋体" w:hint="default"/>
        </w:rPr>
        <w:t>637,747,600.00</w:t>
      </w:r>
      <w:r>
        <w:rPr>
          <w:rFonts w:ascii="宋体" w:hAnsi="宋体" w:cs="宋体" w:eastAsia="宋体" w:hint="default"/>
          <w:spacing w:val="-55"/>
        </w:rPr>
        <w:t> </w:t>
      </w:r>
      <w:r>
        <w:rPr/>
        <w:t>元。</w:t>
      </w:r>
    </w:p>
    <w:p>
      <w:pPr>
        <w:pStyle w:val="BodyText"/>
        <w:spacing w:line="357" w:lineRule="auto" w:before="133"/>
        <w:ind w:left="217" w:right="0" w:firstLine="420"/>
        <w:jc w:val="left"/>
      </w:pPr>
      <w:r>
        <w:rPr>
          <w:spacing w:val="-3"/>
        </w:rPr>
        <w:t>期末，本公司以存放在永隆银行上海分行的人民币存款 </w:t>
      </w:r>
      <w:r>
        <w:rPr>
          <w:rFonts w:ascii="宋体" w:hAnsi="宋体" w:cs="宋体" w:eastAsia="宋体" w:hint="default"/>
        </w:rPr>
        <w:t>223,530,000.00</w:t>
      </w:r>
      <w:r>
        <w:rPr>
          <w:rFonts w:ascii="宋体" w:hAnsi="宋体" w:cs="宋体" w:eastAsia="宋体" w:hint="default"/>
          <w:spacing w:val="-64"/>
        </w:rPr>
        <w:t> </w:t>
      </w:r>
      <w:r>
        <w:rPr>
          <w:spacing w:val="-5"/>
        </w:rPr>
        <w:t>元作为保证金，为子公</w:t>
      </w:r>
      <w:r>
        <w:rPr>
          <w:w w:val="100"/>
        </w:rPr>
        <w:t> </w:t>
      </w:r>
      <w:r>
        <w:rPr/>
        <w:t>司财通香港公司向永隆银行申请贷款提供担保，该等存款不列为现金及现金等价物。</w:t>
      </w:r>
    </w:p>
    <w:p>
      <w:pPr>
        <w:pStyle w:val="BodyText"/>
        <w:spacing w:line="240" w:lineRule="auto" w:before="30"/>
        <w:ind w:left="637" w:right="0"/>
        <w:jc w:val="left"/>
      </w:pPr>
      <w:r>
        <w:rPr/>
        <w:t>子公司财通证券资管根据中国证监会《公开募集证券投资基金风险准备金监督管理暂行办法》</w:t>
      </w:r>
    </w:p>
    <w:p>
      <w:pPr>
        <w:pStyle w:val="BodyText"/>
        <w:spacing w:line="240" w:lineRule="auto" w:before="133"/>
        <w:ind w:left="217" w:right="0"/>
        <w:jc w:val="left"/>
      </w:pPr>
      <w:r>
        <w:rPr/>
        <w:t>（证监会令〔第</w:t>
      </w:r>
      <w:r>
        <w:rPr>
          <w:spacing w:val="-53"/>
        </w:rPr>
        <w:t> </w:t>
      </w:r>
      <w:r>
        <w:rPr>
          <w:rFonts w:ascii="宋体" w:hAnsi="宋体" w:cs="宋体" w:eastAsia="宋体" w:hint="default"/>
        </w:rPr>
        <w:t>94</w:t>
      </w:r>
      <w:r>
        <w:rPr>
          <w:rFonts w:ascii="宋体" w:hAnsi="宋体" w:cs="宋体" w:eastAsia="宋体" w:hint="default"/>
          <w:spacing w:val="-55"/>
        </w:rPr>
        <w:t> </w:t>
      </w:r>
      <w:r>
        <w:rPr/>
        <w:t>号〕）要求，计提风险准备金并缴存银行专户。截至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日，该风</w:t>
      </w:r>
    </w:p>
    <w:p>
      <w:pPr>
        <w:pStyle w:val="BodyText"/>
        <w:spacing w:line="240" w:lineRule="auto" w:before="133"/>
        <w:ind w:left="217" w:right="0"/>
        <w:jc w:val="left"/>
      </w:pPr>
      <w:r>
        <w:rPr/>
        <w:t>险准备金余额为</w:t>
      </w:r>
      <w:r>
        <w:rPr>
          <w:spacing w:val="-55"/>
        </w:rPr>
        <w:t> </w:t>
      </w:r>
      <w:r>
        <w:rPr>
          <w:rFonts w:ascii="宋体" w:hAnsi="宋体" w:cs="宋体" w:eastAsia="宋体" w:hint="default"/>
        </w:rPr>
        <w:t>21,496,188.87</w:t>
      </w:r>
      <w:r>
        <w:rPr>
          <w:rFonts w:ascii="宋体" w:hAnsi="宋体" w:cs="宋体" w:eastAsia="宋体" w:hint="default"/>
          <w:spacing w:val="-57"/>
        </w:rPr>
        <w:t> </w:t>
      </w:r>
      <w:r>
        <w:rPr/>
        <w:t>元，不列为现金及现金等价物。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90" w:lineRule="auto" w:before="0"/>
        <w:ind w:left="217" w:right="0" w:firstLine="0"/>
        <w:jc w:val="left"/>
        <w:rPr>
          <w:rFonts w:ascii="宋体" w:hAnsi="宋体" w:cs="宋体" w:eastAsia="宋体" w:hint="default"/>
          <w:sz w:val="21"/>
          <w:szCs w:val="21"/>
        </w:rPr>
      </w:pPr>
      <w:r>
        <w:rPr>
          <w:rFonts w:ascii="宋体" w:hAnsi="宋体" w:cs="宋体" w:eastAsia="宋体" w:hint="default"/>
          <w:b/>
          <w:bCs/>
          <w:sz w:val="21"/>
          <w:szCs w:val="21"/>
        </w:rPr>
        <w:t>67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217" w:right="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60" w:right="1320"/>
        </w:sectPr>
      </w:pPr>
    </w:p>
    <w:p>
      <w:pPr>
        <w:pStyle w:val="Heading5"/>
        <w:spacing w:line="240" w:lineRule="auto" w:before="36"/>
        <w:ind w:left="217" w:right="-18"/>
        <w:jc w:val="left"/>
        <w:rPr>
          <w:b w:val="0"/>
          <w:bCs w:val="0"/>
        </w:rPr>
      </w:pPr>
      <w:r>
        <w:rPr>
          <w:rFonts w:ascii="宋体" w:hAnsi="宋体" w:cs="宋体" w:eastAsia="宋体" w:hint="default"/>
        </w:rPr>
        <w:t>68</w:t>
      </w:r>
      <w:r>
        <w:rPr/>
        <w:t>、</w:t>
      </w:r>
      <w:r>
        <w:rPr>
          <w:spacing w:val="-26"/>
        </w:rPr>
        <w:t> </w:t>
      </w:r>
      <w:r>
        <w:rPr/>
        <w:t>所有权或使用权受到限制的资产</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3674" w:space="3299"/>
            <w:col w:w="2557"/>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243"/>
        <w:gridCol w:w="3125"/>
        <w:gridCol w:w="2768"/>
      </w:tblGrid>
      <w:tr>
        <w:trPr>
          <w:trHeight w:val="284"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2"/>
              <w:jc w:val="right"/>
              <w:rPr>
                <w:rFonts w:ascii="宋体" w:hAnsi="宋体" w:cs="宋体" w:eastAsia="宋体" w:hint="default"/>
                <w:sz w:val="21"/>
                <w:szCs w:val="21"/>
              </w:rPr>
            </w:pPr>
            <w:r>
              <w:rPr>
                <w:rFonts w:ascii="宋体" w:hAnsi="宋体" w:cs="宋体" w:eastAsia="宋体" w:hint="default"/>
                <w:sz w:val="21"/>
                <w:szCs w:val="21"/>
              </w:rPr>
              <w:t>项目</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828" w:hRule="exact"/>
        </w:trPr>
        <w:tc>
          <w:tcPr>
            <w:tcW w:w="324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2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245,026,188.87</w:t>
            </w:r>
          </w:p>
        </w:tc>
        <w:tc>
          <w:tcPr>
            <w:tcW w:w="2768"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2"/>
                <w:sz w:val="21"/>
                <w:szCs w:val="21"/>
              </w:rPr>
              <w:t> </w:t>
            </w:r>
            <w:r>
              <w:rPr>
                <w:rFonts w:ascii="宋体" w:hAnsi="宋体" w:cs="宋体" w:eastAsia="宋体" w:hint="default"/>
                <w:sz w:val="21"/>
                <w:szCs w:val="21"/>
              </w:rPr>
              <w:t>223,530,000.00</w:t>
            </w:r>
            <w:r>
              <w:rPr>
                <w:rFonts w:ascii="宋体" w:hAnsi="宋体" w:cs="宋体" w:eastAsia="宋体" w:hint="default"/>
                <w:spacing w:val="-51"/>
                <w:sz w:val="21"/>
                <w:szCs w:val="21"/>
              </w:rPr>
              <w:t> </w:t>
            </w:r>
            <w:r>
              <w:rPr>
                <w:rFonts w:ascii="宋体" w:hAnsi="宋体" w:cs="宋体" w:eastAsia="宋体" w:hint="default"/>
                <w:spacing w:val="-3"/>
                <w:sz w:val="21"/>
                <w:szCs w:val="21"/>
              </w:rPr>
              <w:t>元用于</w:t>
            </w:r>
            <w:r>
              <w:rPr>
                <w:rFonts w:ascii="宋体" w:hAnsi="宋体" w:cs="宋体" w:eastAsia="宋体" w:hint="default"/>
                <w:sz w:val="21"/>
                <w:szCs w:val="21"/>
              </w:rPr>
            </w:r>
          </w:p>
          <w:p>
            <w:pPr>
              <w:pStyle w:val="TableParagraph"/>
              <w:spacing w:line="272" w:lineRule="exact" w:before="27"/>
              <w:ind w:left="26" w:right="4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z w:val="21"/>
                <w:szCs w:val="21"/>
              </w:rPr>
              <w:t>21,496,188.87</w:t>
            </w:r>
            <w:r>
              <w:rPr>
                <w:rFonts w:ascii="宋体" w:hAnsi="宋体" w:cs="宋体" w:eastAsia="宋体" w:hint="default"/>
                <w:spacing w:val="-52"/>
                <w:sz w:val="21"/>
                <w:szCs w:val="21"/>
              </w:rPr>
              <w:t> </w:t>
            </w:r>
            <w:r>
              <w:rPr>
                <w:rFonts w:ascii="宋体" w:hAnsi="宋体" w:cs="宋体" w:eastAsia="宋体" w:hint="default"/>
                <w:sz w:val="21"/>
                <w:szCs w:val="21"/>
              </w:rPr>
              <w:t>元作为</w:t>
            </w:r>
            <w:r>
              <w:rPr>
                <w:rFonts w:ascii="宋体" w:hAnsi="宋体" w:cs="宋体" w:eastAsia="宋体" w:hint="default"/>
                <w:w w:val="100"/>
                <w:sz w:val="21"/>
                <w:szCs w:val="21"/>
              </w:rPr>
              <w:t> </w:t>
            </w:r>
            <w:r>
              <w:rPr>
                <w:rFonts w:ascii="宋体" w:hAnsi="宋体" w:cs="宋体" w:eastAsia="宋体" w:hint="default"/>
                <w:sz w:val="21"/>
                <w:szCs w:val="21"/>
              </w:rPr>
              <w:t>风险准备金而受限</w:t>
            </w:r>
          </w:p>
        </w:tc>
      </w:tr>
      <w:tr>
        <w:trPr>
          <w:trHeight w:val="288"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82,589,935.51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用于转融通融入资金</w:t>
            </w:r>
          </w:p>
        </w:tc>
      </w:tr>
      <w:tr>
        <w:trPr>
          <w:trHeight w:val="559"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4,921,623,988.00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用于正回购交易担保物</w:t>
            </w:r>
          </w:p>
        </w:tc>
      </w:tr>
      <w:tr>
        <w:trPr>
          <w:trHeight w:val="562" w:hRule="exact"/>
        </w:trPr>
        <w:tc>
          <w:tcPr>
            <w:tcW w:w="32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395,957,065.16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1"/>
                <w:sz w:val="21"/>
                <w:szCs w:val="21"/>
              </w:rPr>
              <w:t>融出证券</w:t>
            </w:r>
          </w:p>
        </w:tc>
      </w:tr>
      <w:tr>
        <w:trPr>
          <w:trHeight w:val="286" w:hRule="exact"/>
        </w:trPr>
        <w:tc>
          <w:tcPr>
            <w:tcW w:w="324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94,486,273.10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融出证券</w:t>
            </w:r>
          </w:p>
        </w:tc>
      </w:tr>
      <w:tr>
        <w:trPr>
          <w:trHeight w:val="288"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02"/>
              <w:jc w:val="right"/>
              <w:rPr>
                <w:rFonts w:ascii="宋体" w:hAnsi="宋体" w:cs="宋体" w:eastAsia="宋体" w:hint="default"/>
                <w:sz w:val="21"/>
                <w:szCs w:val="21"/>
              </w:rPr>
            </w:pPr>
            <w:r>
              <w:rPr>
                <w:rFonts w:ascii="宋体" w:hAnsi="宋体" w:cs="宋体" w:eastAsia="宋体" w:hint="default"/>
                <w:sz w:val="21"/>
                <w:szCs w:val="21"/>
              </w:rPr>
              <w:t>合计</w:t>
            </w:r>
          </w:p>
        </w:tc>
        <w:tc>
          <w:tcPr>
            <w:tcW w:w="3125"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5,739,683,450.64</w:t>
            </w:r>
          </w:p>
        </w:tc>
        <w:tc>
          <w:tcPr>
            <w:tcW w:w="2768"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90" w:lineRule="auto" w:before="36"/>
        <w:ind w:left="217" w:right="8239"/>
        <w:jc w:val="left"/>
      </w:pPr>
      <w:r>
        <w:rPr/>
        <w:t>其他说明：</w:t>
      </w:r>
      <w:r>
        <w:rPr>
          <w:spacing w:val="-102"/>
        </w:rPr>
        <w:t> </w:t>
      </w:r>
      <w:r>
        <w:rPr>
          <w:spacing w:val="-102"/>
        </w:rPr>
      </w:r>
      <w:r>
        <w:rPr/>
        <w:t>无</w:t>
      </w: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1060" w:right="1320"/>
        </w:sectPr>
      </w:pPr>
    </w:p>
    <w:p>
      <w:pPr>
        <w:pStyle w:val="Heading5"/>
        <w:tabs>
          <w:tab w:pos="917" w:val="left" w:leader="none"/>
        </w:tabs>
        <w:spacing w:line="290" w:lineRule="auto" w:before="36"/>
        <w:ind w:left="217" w:right="0"/>
        <w:jc w:val="left"/>
        <w:rPr>
          <w:b w:val="0"/>
          <w:bCs w:val="0"/>
        </w:rPr>
      </w:pPr>
      <w:r>
        <w:rPr>
          <w:rFonts w:ascii="宋体" w:hAnsi="宋体" w:cs="宋体" w:eastAsia="宋体" w:hint="default"/>
        </w:rPr>
        <w:t>69</w:t>
      </w:r>
      <w:r>
        <w:rPr/>
        <w:t>、</w:t>
      </w:r>
      <w:r>
        <w:rPr>
          <w:spacing w:val="-25"/>
        </w:rPr>
        <w:t> </w:t>
      </w:r>
      <w:r>
        <w:rPr/>
        <w:t>外币货币性项目</w:t>
      </w:r>
      <w:r>
        <w:rPr>
          <w:w w:val="100"/>
        </w:rPr>
        <w:t> </w:t>
      </w:r>
      <w:r>
        <w:rPr>
          <w:rFonts w:ascii="宋体" w:hAnsi="宋体" w:cs="宋体" w:eastAsia="宋体" w:hint="default"/>
          <w:w w:val="95"/>
        </w:rPr>
        <w:t>(1).</w:t>
        <w:tab/>
      </w:r>
      <w:r>
        <w:rPr/>
        <w:t>外币货币性项目</w:t>
      </w:r>
      <w:r>
        <w:rPr>
          <w:b w:val="0"/>
          <w:bCs w:val="0"/>
        </w:rPr>
      </w:r>
    </w:p>
    <w:p>
      <w:pPr>
        <w:pStyle w:val="BodyText"/>
        <w:spacing w:line="240" w:lineRule="auto" w:before="12"/>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7" w:right="0"/>
        <w:jc w:val="left"/>
      </w:pPr>
      <w:r>
        <w:rPr/>
        <w:t>单位：元</w:t>
      </w:r>
    </w:p>
    <w:p>
      <w:pPr>
        <w:spacing w:after="0" w:line="240" w:lineRule="auto"/>
        <w:jc w:val="left"/>
        <w:sectPr>
          <w:type w:val="continuous"/>
          <w:pgSz w:w="11910" w:h="16840"/>
          <w:pgMar w:top="1060" w:bottom="1380" w:left="1060" w:right="1320"/>
          <w:cols w:num="2" w:equalWidth="0">
            <w:col w:w="2397" w:space="5837"/>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75"/>
        <w:gridCol w:w="2102"/>
        <w:gridCol w:w="2112"/>
        <w:gridCol w:w="2101"/>
      </w:tblGrid>
      <w:tr>
        <w:trPr>
          <w:trHeight w:val="55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435,004,961.52</w:t>
            </w:r>
          </w:p>
        </w:tc>
      </w:tr>
      <w:tr>
        <w:trPr>
          <w:trHeight w:val="28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25,174,329.51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172,776,458.29</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299,279,277.82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262,228,503.23</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376,475,439.03</w:t>
            </w:r>
          </w:p>
        </w:tc>
      </w:tr>
    </w:tbl>
    <w:p>
      <w:pPr>
        <w:spacing w:after="0" w:line="243" w:lineRule="exact"/>
        <w:jc w:val="right"/>
        <w:rPr>
          <w:rFonts w:ascii="宋体" w:hAnsi="宋体" w:cs="宋体" w:eastAsia="宋体" w:hint="default"/>
          <w:sz w:val="21"/>
          <w:szCs w:val="21"/>
        </w:rPr>
        <w:sectPr>
          <w:type w:val="continuous"/>
          <w:pgSz w:w="11910" w:h="16840"/>
          <w:pgMar w:top="1060" w:bottom="1380" w:left="1060" w:right="13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75"/>
        <w:gridCol w:w="2102"/>
        <w:gridCol w:w="2112"/>
        <w:gridCol w:w="2101"/>
      </w:tblGrid>
      <w:tr>
        <w:trPr>
          <w:trHeight w:val="28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429,668,385.11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376,475,439.03</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580,936,579.77</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663,018,225.60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580,936,569.27</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21,044,291.04</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666,002.51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4,570,908.43</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18,800,938.84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16,473,382.61</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8,931,302.55</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73,283.68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502,960.55</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9,619,198.81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8,428,342.00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47,221,796.95</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6,234,077.52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42,785,720.84</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5,062,857.92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4,436,076.11</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2,291,164.00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1,853,064.00</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438,100.00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10,342,111.86</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11,803,368.93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10,342,111.86</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682,997,900.00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779,500,000.00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682,997,900.00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15,114,450.00</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17,250,000.00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15,114,450.00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6,822,173.07</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485.28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3,330.57</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7,782,290.00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6,818,842.50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343,725,210.62</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16,314,729.15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111,971,249.10</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264,498,928.92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231,753,961.52</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23,256,035.70</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-40,999.69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-281,389.07</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26,863,073.24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23,537,424.77</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1,209,129.71</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1,379,970.00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1,209,129.71</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2,989,006.46</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241,263.73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1,655,841.23</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1,521,530.73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1,333,165.23</w:t>
            </w:r>
          </w:p>
        </w:tc>
      </w:tr>
    </w:tbl>
    <w:p>
      <w:pPr>
        <w:spacing w:line="240" w:lineRule="auto" w:before="2"/>
        <w:rPr>
          <w:rFonts w:ascii="宋体" w:hAnsi="宋体" w:cs="宋体" w:eastAsia="宋体" w:hint="default"/>
          <w:sz w:val="20"/>
          <w:szCs w:val="20"/>
        </w:rPr>
      </w:pPr>
    </w:p>
    <w:p>
      <w:pPr>
        <w:pStyle w:val="BodyText"/>
        <w:spacing w:line="290" w:lineRule="auto" w:before="36"/>
        <w:ind w:left="217" w:right="8239"/>
        <w:jc w:val="left"/>
      </w:pPr>
      <w:r>
        <w:rPr/>
        <w:t>其他说明：</w:t>
      </w:r>
      <w:r>
        <w:rPr>
          <w:spacing w:val="-102"/>
        </w:rPr>
        <w:t> </w:t>
      </w:r>
      <w:r>
        <w:rPr>
          <w:spacing w:val="-102"/>
        </w:rPr>
      </w:r>
      <w:r>
        <w:rPr/>
        <w:t>无</w:t>
      </w:r>
    </w:p>
    <w:p>
      <w:pPr>
        <w:spacing w:line="240" w:lineRule="auto" w:before="10"/>
        <w:rPr>
          <w:rFonts w:ascii="宋体" w:hAnsi="宋体" w:cs="宋体" w:eastAsia="宋体" w:hint="default"/>
          <w:sz w:val="24"/>
          <w:szCs w:val="24"/>
        </w:rPr>
      </w:pPr>
    </w:p>
    <w:p>
      <w:pPr>
        <w:pStyle w:val="Heading5"/>
        <w:tabs>
          <w:tab w:pos="917" w:val="left" w:leader="none"/>
        </w:tabs>
        <w:spacing w:line="240" w:lineRule="auto"/>
        <w:ind w:left="637" w:right="232"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境外经营实体说明，包括对于重要的境外经营实体，应披露其境外主要经营地、记账本位币</w:t>
      </w:r>
      <w:r>
        <w:rPr>
          <w:spacing w:val="-53"/>
        </w:rPr>
        <w:t> </w:t>
      </w:r>
      <w:r>
        <w:rPr>
          <w:spacing w:val="-53"/>
        </w:rPr>
      </w:r>
      <w:r>
        <w:rPr/>
        <w:t>及选择依据，记账本位币发生变化的还应披露原因。</w:t>
      </w:r>
      <w:r>
        <w:rPr>
          <w:b w:val="0"/>
          <w:bCs w:val="0"/>
        </w:rPr>
      </w:r>
    </w:p>
    <w:p>
      <w:pPr>
        <w:pStyle w:val="BodyText"/>
        <w:spacing w:line="274" w:lineRule="exact" w:before="56"/>
        <w:ind w:left="217" w:right="0"/>
        <w:jc w:val="left"/>
      </w:pPr>
      <w:r>
        <w:rPr/>
        <w:t>√适用 □不适用</w:t>
      </w:r>
    </w:p>
    <w:p>
      <w:pPr>
        <w:pStyle w:val="BodyText"/>
        <w:spacing w:line="355" w:lineRule="auto"/>
        <w:ind w:left="217" w:right="0" w:firstLine="480"/>
        <w:jc w:val="left"/>
      </w:pPr>
      <w:r>
        <w:rPr>
          <w:spacing w:val="-2"/>
        </w:rPr>
        <w:t>公司全资子公司财通香港及其下属境外子公司，主要经营地为香港特别行政区，记账本位币为</w:t>
      </w:r>
      <w:r>
        <w:rPr>
          <w:w w:val="100"/>
        </w:rPr>
        <w:t> </w:t>
      </w:r>
      <w:r>
        <w:rPr/>
        <w:t>港币。</w:t>
      </w:r>
    </w:p>
    <w:p>
      <w:pPr>
        <w:spacing w:after="0" w:line="355" w:lineRule="auto"/>
        <w:jc w:val="left"/>
        <w:sectPr>
          <w:footerReference w:type="default" r:id="rId67"/>
          <w:pgSz w:w="11910" w:h="16840"/>
          <w:pgMar w:footer="1195" w:header="882" w:top="1120" w:bottom="1380" w:left="1060" w:right="1320"/>
        </w:sectPr>
      </w:pPr>
    </w:p>
    <w:p>
      <w:pPr>
        <w:spacing w:line="240" w:lineRule="auto" w:before="9"/>
        <w:rPr>
          <w:rFonts w:ascii="宋体" w:hAnsi="宋体" w:cs="宋体" w:eastAsia="宋体" w:hint="default"/>
          <w:sz w:val="18"/>
          <w:szCs w:val="18"/>
        </w:rPr>
      </w:pPr>
    </w:p>
    <w:p>
      <w:pPr>
        <w:pStyle w:val="Heading5"/>
        <w:spacing w:line="240" w:lineRule="auto" w:before="36"/>
        <w:ind w:left="217" w:right="0"/>
        <w:jc w:val="left"/>
        <w:rPr>
          <w:b w:val="0"/>
          <w:bCs w:val="0"/>
        </w:rPr>
      </w:pPr>
      <w:r>
        <w:rPr>
          <w:rFonts w:ascii="宋体" w:hAnsi="宋体" w:cs="宋体" w:eastAsia="宋体" w:hint="default"/>
        </w:rPr>
        <w:t>70</w:t>
      </w:r>
      <w:r>
        <w:rPr/>
        <w:t>、</w:t>
      </w:r>
      <w:r>
        <w:rPr>
          <w:spacing w:val="-25"/>
        </w:rPr>
        <w:t> </w:t>
      </w:r>
      <w:r>
        <w:rPr/>
        <w:t>套期</w:t>
      </w:r>
      <w:r>
        <w:rPr>
          <w:b w:val="0"/>
          <w:bCs w:val="0"/>
        </w:rPr>
      </w:r>
    </w:p>
    <w:p>
      <w:pPr>
        <w:pStyle w:val="BodyText"/>
        <w:spacing w:line="240" w:lineRule="auto" w:before="56"/>
        <w:ind w:left="217"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68"/>
          <w:pgSz w:w="11910" w:h="16840"/>
          <w:pgMar w:footer="1195" w:header="882" w:top="1120" w:bottom="1380" w:left="1060" w:right="1320"/>
        </w:sectPr>
      </w:pPr>
    </w:p>
    <w:p>
      <w:pPr>
        <w:pStyle w:val="Heading5"/>
        <w:spacing w:line="240" w:lineRule="auto" w:before="36"/>
        <w:ind w:left="217" w:right="-16"/>
        <w:jc w:val="left"/>
        <w:rPr>
          <w:b w:val="0"/>
          <w:bCs w:val="0"/>
        </w:rPr>
      </w:pPr>
      <w:r>
        <w:rPr>
          <w:rFonts w:ascii="宋体" w:hAnsi="宋体" w:cs="宋体" w:eastAsia="宋体" w:hint="default"/>
        </w:rPr>
        <w:t>71</w:t>
      </w:r>
      <w:r>
        <w:rPr/>
        <w:t>、</w:t>
      </w:r>
      <w:r>
        <w:rPr>
          <w:spacing w:val="-25"/>
        </w:rPr>
        <w:t> </w:t>
      </w:r>
      <w:r>
        <w:rPr/>
        <w:t>政府补助</w:t>
      </w:r>
      <w:r>
        <w:rPr>
          <w:b w:val="0"/>
          <w:bCs w:val="0"/>
        </w:rPr>
      </w:r>
    </w:p>
    <w:p>
      <w:pPr>
        <w:pStyle w:val="Heading5"/>
        <w:tabs>
          <w:tab w:pos="641" w:val="left" w:leader="none"/>
        </w:tabs>
        <w:spacing w:line="240" w:lineRule="auto" w:before="58"/>
        <w:ind w:left="217" w:right="-16"/>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060" w:bottom="1380" w:left="1060" w:right="1320"/>
          <w:cols w:num="2" w:equalWidth="0">
            <w:col w:w="2332" w:space="4641"/>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28"/>
        <w:gridCol w:w="2917"/>
        <w:gridCol w:w="1728"/>
        <w:gridCol w:w="2917"/>
      </w:tblGrid>
      <w:tr>
        <w:trPr>
          <w:trHeight w:val="65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21"/>
                <w:szCs w:val="21"/>
              </w:rPr>
            </w:pPr>
            <w:r>
              <w:rPr>
                <w:rFonts w:ascii="宋体" w:hAnsi="宋体" w:cs="宋体" w:eastAsia="宋体" w:hint="default"/>
                <w:spacing w:val="-1"/>
                <w:sz w:val="21"/>
                <w:szCs w:val="21"/>
              </w:rPr>
              <w:t>计入当期损益的金额</w:t>
            </w:r>
          </w:p>
        </w:tc>
      </w:tr>
      <w:tr>
        <w:trPr>
          <w:trHeight w:val="82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金融服务业发展</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资助</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23,042,000.00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23,042,000.00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8,822,973.63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8,822,973.63</w:t>
            </w:r>
          </w:p>
        </w:tc>
      </w:tr>
      <w:tr>
        <w:trPr>
          <w:trHeight w:val="41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31,864,973.63</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31,864,973.63</w:t>
            </w:r>
          </w:p>
        </w:tc>
      </w:tr>
    </w:tbl>
    <w:p>
      <w:pPr>
        <w:spacing w:line="240" w:lineRule="auto" w:before="1"/>
        <w:rPr>
          <w:rFonts w:ascii="宋体" w:hAnsi="宋体" w:cs="宋体" w:eastAsia="宋体" w:hint="default"/>
          <w:sz w:val="23"/>
          <w:szCs w:val="23"/>
        </w:rPr>
      </w:pPr>
    </w:p>
    <w:p>
      <w:pPr>
        <w:pStyle w:val="Heading5"/>
        <w:tabs>
          <w:tab w:pos="641" w:val="left" w:leader="none"/>
        </w:tabs>
        <w:spacing w:line="240" w:lineRule="auto" w:before="36"/>
        <w:ind w:left="217" w:right="0"/>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2" w:lineRule="exact" w:before="86"/>
        <w:ind w:left="217" w:right="7714"/>
        <w:jc w:val="left"/>
      </w:pPr>
      <w:r>
        <w:rPr/>
        <w:t>□适用 √不适用</w:t>
      </w:r>
      <w:r>
        <w:rPr>
          <w:w w:val="100"/>
        </w:rPr>
        <w:t> </w:t>
      </w:r>
      <w:r>
        <w:rPr/>
        <w:t>其他说明</w:t>
      </w:r>
    </w:p>
    <w:p>
      <w:pPr>
        <w:pStyle w:val="BodyText"/>
        <w:spacing w:line="249" w:lineRule="exact"/>
        <w:ind w:left="217" w:right="0"/>
        <w:jc w:val="left"/>
      </w:pPr>
      <w:r>
        <w:rPr>
          <w:w w:val="100"/>
        </w:rPr>
        <w:t>无</w:t>
      </w:r>
    </w:p>
    <w:p>
      <w:pPr>
        <w:spacing w:line="240" w:lineRule="auto" w:before="2"/>
        <w:rPr>
          <w:rFonts w:ascii="宋体" w:hAnsi="宋体" w:cs="宋体" w:eastAsia="宋体" w:hint="default"/>
          <w:sz w:val="28"/>
          <w:szCs w:val="28"/>
        </w:rPr>
      </w:pPr>
    </w:p>
    <w:p>
      <w:pPr>
        <w:pStyle w:val="Heading5"/>
        <w:spacing w:line="240" w:lineRule="auto"/>
        <w:ind w:left="217" w:right="0"/>
        <w:jc w:val="left"/>
        <w:rPr>
          <w:b w:val="0"/>
          <w:bCs w:val="0"/>
        </w:rPr>
      </w:pPr>
      <w:r>
        <w:rPr>
          <w:rFonts w:ascii="宋体" w:hAnsi="宋体" w:cs="宋体" w:eastAsia="宋体" w:hint="default"/>
        </w:rPr>
        <w:t>72</w:t>
      </w:r>
      <w:r>
        <w:rPr/>
        <w:t>、</w:t>
      </w:r>
      <w:r>
        <w:rPr>
          <w:spacing w:val="-25"/>
        </w:rPr>
        <w:t> </w:t>
      </w:r>
      <w:r>
        <w:rPr/>
        <w:t>其他</w:t>
      </w:r>
      <w:r>
        <w:rPr>
          <w:b w:val="0"/>
          <w:bCs w:val="0"/>
        </w:rPr>
      </w:r>
    </w:p>
    <w:p>
      <w:pPr>
        <w:pStyle w:val="BodyText"/>
        <w:spacing w:line="240" w:lineRule="auto" w:before="56"/>
        <w:ind w:left="217" w:right="0"/>
        <w:jc w:val="left"/>
      </w:pPr>
      <w:r>
        <w:rPr/>
        <w:t>□适用 √不适用</w:t>
      </w:r>
    </w:p>
    <w:p>
      <w:pPr>
        <w:spacing w:line="240" w:lineRule="auto" w:before="2"/>
        <w:rPr>
          <w:rFonts w:ascii="宋体" w:hAnsi="宋体" w:cs="宋体" w:eastAsia="宋体" w:hint="default"/>
          <w:sz w:val="28"/>
          <w:szCs w:val="28"/>
        </w:rPr>
      </w:pPr>
    </w:p>
    <w:p>
      <w:pPr>
        <w:pStyle w:val="Heading5"/>
        <w:spacing w:line="240" w:lineRule="auto"/>
        <w:ind w:left="217" w:right="0"/>
        <w:jc w:val="left"/>
        <w:rPr>
          <w:b w:val="0"/>
          <w:bCs w:val="0"/>
        </w:rPr>
      </w:pPr>
      <w:r>
        <w:rPr/>
        <w:t>八、资产证券化业务的会计处理</w:t>
      </w:r>
      <w:r>
        <w:rPr>
          <w:b w:val="0"/>
          <w:bCs w:val="0"/>
        </w:rPr>
      </w:r>
    </w:p>
    <w:p>
      <w:pPr>
        <w:spacing w:line="290" w:lineRule="auto" w:before="58"/>
        <w:ind w:left="217" w:right="73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九、合并范围的变更</w:t>
      </w:r>
      <w:r>
        <w:rPr>
          <w:rFonts w:ascii="宋体" w:hAnsi="宋体" w:cs="宋体" w:eastAsia="宋体" w:hint="default"/>
          <w:sz w:val="21"/>
          <w:szCs w:val="21"/>
        </w:rPr>
      </w:r>
    </w:p>
    <w:p>
      <w:pPr>
        <w:pStyle w:val="Heading5"/>
        <w:spacing w:line="240" w:lineRule="auto" w:before="14"/>
        <w:ind w:left="217"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1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7"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9"/>
        <w:ind w:left="217"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7" w:right="0"/>
        <w:jc w:val="left"/>
      </w:pPr>
      <w:r>
        <w:rPr/>
        <w:t>□适用 √不适用</w:t>
      </w:r>
    </w:p>
    <w:p>
      <w:pPr>
        <w:spacing w:after="0" w:line="240" w:lineRule="auto"/>
        <w:jc w:val="left"/>
        <w:sectPr>
          <w:type w:val="continuous"/>
          <w:pgSz w:w="11910" w:h="16840"/>
          <w:pgMar w:top="1060" w:bottom="1380" w:left="10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footerReference w:type="default" r:id="rId70"/>
          <w:pgSz w:w="16840" w:h="11910" w:orient="landscape"/>
          <w:pgMar w:header="882" w:footer="1195" w:top="1120" w:bottom="1380" w:left="1300" w:right="1380"/>
          <w:pgNumType w:start="182"/>
        </w:sectPr>
      </w:pPr>
    </w:p>
    <w:p>
      <w:pPr>
        <w:spacing w:line="240" w:lineRule="auto" w:before="1"/>
        <w:rPr>
          <w:rFonts w:ascii="宋体" w:hAnsi="宋体" w:cs="宋体" w:eastAsia="宋体" w:hint="default"/>
          <w:sz w:val="14"/>
          <w:szCs w:val="14"/>
        </w:rPr>
      </w:pPr>
    </w:p>
    <w:p>
      <w:pPr>
        <w:spacing w:line="290" w:lineRule="auto"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085"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060" w:bottom="1380" w:left="1300" w:right="1380"/>
          <w:cols w:num="2" w:equalWidth="0">
            <w:col w:w="4975" w:space="6799"/>
            <w:col w:w="2386"/>
          </w:cols>
        </w:sectPr>
      </w:pPr>
    </w:p>
    <w:p>
      <w:pPr>
        <w:spacing w:line="240" w:lineRule="auto" w:before="4"/>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855"/>
        <w:gridCol w:w="758"/>
        <w:gridCol w:w="953"/>
        <w:gridCol w:w="968"/>
        <w:gridCol w:w="965"/>
        <w:gridCol w:w="1142"/>
        <w:gridCol w:w="1426"/>
        <w:gridCol w:w="1099"/>
        <w:gridCol w:w="1164"/>
        <w:gridCol w:w="1150"/>
        <w:gridCol w:w="1262"/>
        <w:gridCol w:w="1296"/>
        <w:gridCol w:w="864"/>
      </w:tblGrid>
      <w:tr>
        <w:trPr>
          <w:trHeight w:val="1918"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317" w:right="0"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57" w:right="55"/>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置价款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 w:right="-5" w:firstLine="5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68" w:right="56"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57" w:right="53"/>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0" w:right="36"/>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5"/>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9" w:right="14"/>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49" w:lineRule="exact"/>
              <w:ind w:left="2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52" w:right="45"/>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43" w:right="4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6"/>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 w:right="9"/>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2"/>
              <w:ind w:left="7" w:right="3"/>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137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both"/>
              <w:rPr>
                <w:rFonts w:ascii="宋体" w:hAnsi="宋体" w:cs="宋体" w:eastAsia="宋体" w:hint="default"/>
                <w:sz w:val="21"/>
                <w:szCs w:val="21"/>
              </w:rPr>
            </w:pPr>
            <w:r>
              <w:rPr>
                <w:rFonts w:ascii="宋体" w:hAnsi="宋体" w:cs="宋体" w:eastAsia="宋体" w:hint="default"/>
                <w:sz w:val="21"/>
                <w:szCs w:val="21"/>
              </w:rPr>
              <w:t>杭州财通</w:t>
            </w:r>
          </w:p>
          <w:p>
            <w:pPr>
              <w:pStyle w:val="TableParagraph"/>
              <w:spacing w:line="237" w:lineRule="auto"/>
              <w:ind w:left="2" w:right="0"/>
              <w:jc w:val="both"/>
              <w:rPr>
                <w:rFonts w:ascii="宋体" w:hAnsi="宋体" w:cs="宋体" w:eastAsia="宋体" w:hint="default"/>
                <w:sz w:val="21"/>
                <w:szCs w:val="21"/>
              </w:rPr>
            </w:pPr>
            <w:r>
              <w:rPr>
                <w:rFonts w:ascii="宋体" w:hAnsi="宋体" w:cs="宋体" w:eastAsia="宋体" w:hint="default"/>
                <w:sz w:val="21"/>
                <w:szCs w:val="21"/>
              </w:rPr>
              <w:t>富榕股权</w:t>
            </w:r>
            <w:r>
              <w:rPr>
                <w:rFonts w:ascii="宋体" w:hAnsi="宋体" w:cs="宋体" w:eastAsia="宋体" w:hint="default"/>
                <w:w w:val="100"/>
                <w:sz w:val="21"/>
                <w:szCs w:val="21"/>
              </w:rPr>
              <w:t> </w:t>
            </w:r>
            <w:r>
              <w:rPr>
                <w:rFonts w:ascii="宋体" w:hAnsi="宋体" w:cs="宋体" w:eastAsia="宋体" w:hint="default"/>
                <w:sz w:val="21"/>
                <w:szCs w:val="21"/>
              </w:rPr>
              <w:t>投资合伙</w:t>
            </w:r>
            <w:r>
              <w:rPr>
                <w:rFonts w:ascii="宋体" w:hAnsi="宋体" w:cs="宋体" w:eastAsia="宋体" w:hint="default"/>
                <w:w w:val="100"/>
                <w:sz w:val="21"/>
                <w:szCs w:val="21"/>
              </w:rPr>
              <w:t> </w:t>
            </w:r>
            <w:r>
              <w:rPr>
                <w:rFonts w:ascii="宋体" w:hAnsi="宋体" w:cs="宋体" w:eastAsia="宋体" w:hint="default"/>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75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83.28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退伙</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0" w:right="36" w:hanging="420"/>
              <w:jc w:val="left"/>
              <w:rPr>
                <w:rFonts w:ascii="宋体" w:hAnsi="宋体" w:cs="宋体" w:eastAsia="宋体" w:hint="default"/>
                <w:sz w:val="21"/>
                <w:szCs w:val="21"/>
              </w:rPr>
            </w:pPr>
            <w:r>
              <w:rPr>
                <w:rFonts w:ascii="宋体" w:hAnsi="宋体" w:cs="宋体" w:eastAsia="宋体" w:hint="default"/>
                <w:sz w:val="21"/>
                <w:szCs w:val="21"/>
              </w:rPr>
              <w:t>完成工商变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更</w:t>
            </w:r>
          </w:p>
        </w:tc>
        <w:tc>
          <w:tcPr>
            <w:tcW w:w="14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sz w:val="21"/>
              </w:rPr>
              <w:t>16.72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杭州财通</w:t>
            </w:r>
          </w:p>
          <w:p>
            <w:pPr>
              <w:pStyle w:val="TableParagraph"/>
              <w:spacing w:line="237" w:lineRule="auto" w:before="2"/>
              <w:ind w:right="-2"/>
              <w:jc w:val="both"/>
              <w:rPr>
                <w:rFonts w:ascii="宋体" w:hAnsi="宋体" w:cs="宋体" w:eastAsia="宋体" w:hint="default"/>
                <w:sz w:val="21"/>
                <w:szCs w:val="21"/>
              </w:rPr>
            </w:pPr>
            <w:r>
              <w:rPr>
                <w:rFonts w:ascii="宋体" w:hAnsi="宋体" w:cs="宋体" w:eastAsia="宋体" w:hint="default"/>
                <w:sz w:val="21"/>
                <w:szCs w:val="21"/>
              </w:rPr>
              <w:t>金榛股权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投资合伙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企业（有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限合伙）</w:t>
            </w:r>
          </w:p>
        </w:tc>
        <w:tc>
          <w:tcPr>
            <w:tcW w:w="75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80.00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退伙</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460" w:right="36" w:hanging="420"/>
              <w:jc w:val="left"/>
              <w:rPr>
                <w:rFonts w:ascii="宋体" w:hAnsi="宋体" w:cs="宋体" w:eastAsia="宋体" w:hint="default"/>
                <w:sz w:val="21"/>
                <w:szCs w:val="21"/>
              </w:rPr>
            </w:pPr>
            <w:r>
              <w:rPr>
                <w:rFonts w:ascii="宋体" w:hAnsi="宋体" w:cs="宋体" w:eastAsia="宋体" w:hint="default"/>
                <w:sz w:val="21"/>
                <w:szCs w:val="21"/>
              </w:rPr>
              <w:t>完成工商变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更</w:t>
            </w:r>
          </w:p>
        </w:tc>
        <w:tc>
          <w:tcPr>
            <w:tcW w:w="14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sz w:val="21"/>
              </w:rPr>
              <w:t>20.00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40" w:right="0"/>
        <w:jc w:val="left"/>
      </w:pPr>
      <w:r>
        <w:rPr/>
        <w:t>其他说明：</w:t>
      </w:r>
    </w:p>
    <w:p>
      <w:pPr>
        <w:pStyle w:val="BodyText"/>
        <w:spacing w:line="274" w:lineRule="exact"/>
        <w:ind w:left="140" w:right="0"/>
        <w:jc w:val="left"/>
      </w:pPr>
      <w:r>
        <w:rPr/>
        <w:t>□适用 √不适用</w:t>
      </w:r>
    </w:p>
    <w:p>
      <w:pPr>
        <w:spacing w:line="240" w:lineRule="auto" w:before="9"/>
        <w:rPr>
          <w:rFonts w:ascii="宋体" w:hAnsi="宋体" w:cs="宋体" w:eastAsia="宋体" w:hint="default"/>
          <w:sz w:val="20"/>
          <w:szCs w:val="20"/>
        </w:rPr>
      </w:pPr>
    </w:p>
    <w:p>
      <w:pPr>
        <w:pStyle w:val="BodyText"/>
        <w:spacing w:line="273" w:lineRule="exact"/>
        <w:ind w:left="140" w:right="0"/>
        <w:jc w:val="left"/>
      </w:pPr>
      <w:r>
        <w:rPr/>
        <w:t>是否存在通过多次交易分步处置对子公司投资且在本期丧失控制权的情形</w:t>
      </w:r>
    </w:p>
    <w:p>
      <w:pPr>
        <w:pStyle w:val="BodyText"/>
        <w:spacing w:line="273" w:lineRule="exact"/>
        <w:ind w:left="140" w:right="0"/>
        <w:jc w:val="left"/>
      </w:pPr>
      <w:r>
        <w:rPr/>
        <w:t>□适用 √不适用</w:t>
      </w:r>
    </w:p>
    <w:p>
      <w:pPr>
        <w:spacing w:after="0" w:line="273" w:lineRule="exact"/>
        <w:jc w:val="left"/>
        <w:sectPr>
          <w:type w:val="continuous"/>
          <w:pgSz w:w="16840" w:h="11910" w:orient="landscape"/>
          <w:pgMar w:top="106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290" w:lineRule="auto" w:before="36"/>
        <w:ind w:left="220" w:right="3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220" w:right="3375"/>
        <w:jc w:val="left"/>
      </w:pPr>
      <w:r>
        <w:rPr/>
        <w:t>√适用 □不适用</w:t>
      </w:r>
    </w:p>
    <w:p>
      <w:pPr>
        <w:spacing w:line="240" w:lineRule="auto" w:before="8"/>
        <w:rPr>
          <w:rFonts w:ascii="宋体" w:hAnsi="宋体" w:cs="宋体" w:eastAsia="宋体" w:hint="default"/>
          <w:sz w:val="20"/>
          <w:szCs w:val="20"/>
        </w:rPr>
      </w:pPr>
    </w:p>
    <w:p>
      <w:pPr>
        <w:pStyle w:val="BodyText"/>
        <w:spacing w:line="240" w:lineRule="auto"/>
        <w:ind w:left="220" w:right="3375"/>
        <w:jc w:val="left"/>
      </w:pPr>
      <w:r>
        <w:rPr/>
        <w:t>（</w:t>
      </w:r>
      <w:r>
        <w:rPr>
          <w:rFonts w:ascii="宋体" w:hAnsi="宋体" w:cs="宋体" w:eastAsia="宋体" w:hint="default"/>
        </w:rPr>
        <w:t>1</w:t>
      </w:r>
      <w:r>
        <w:rPr/>
        <w:t>）新设子公司</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70"/>
        <w:gridCol w:w="1841"/>
        <w:gridCol w:w="2268"/>
        <w:gridCol w:w="1843"/>
        <w:gridCol w:w="1844"/>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实际出资额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Caitong Diversified Income</w:t>
            </w:r>
            <w:r>
              <w:rPr>
                <w:rFonts w:ascii="宋体"/>
                <w:spacing w:val="-5"/>
                <w:sz w:val="21"/>
              </w:rPr>
              <w:t> </w:t>
            </w:r>
            <w:r>
              <w:rPr>
                <w:rFonts w:ascii="宋体"/>
                <w:sz w:val="21"/>
              </w:rPr>
              <w:t>Ltd</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美元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14"/>
          <w:szCs w:val="14"/>
        </w:rPr>
      </w:pPr>
    </w:p>
    <w:p>
      <w:pPr>
        <w:pStyle w:val="BodyText"/>
        <w:spacing w:line="240" w:lineRule="auto" w:before="36"/>
        <w:ind w:left="220" w:right="3375"/>
        <w:jc w:val="left"/>
      </w:pPr>
      <w:r>
        <w:rPr/>
        <w:t>（</w:t>
      </w:r>
      <w:r>
        <w:rPr>
          <w:rFonts w:ascii="Calibri" w:hAnsi="Calibri" w:cs="Calibri" w:eastAsia="Calibri" w:hint="default"/>
        </w:rPr>
        <w:t>2</w:t>
      </w:r>
      <w:r>
        <w:rPr/>
        <w:t>）注销子公司</w:t>
      </w:r>
    </w:p>
    <w:tbl>
      <w:tblPr>
        <w:tblW w:w="0" w:type="auto"/>
        <w:jc w:val="left"/>
        <w:tblInd w:w="107" w:type="dxa"/>
        <w:tblLayout w:type="fixed"/>
        <w:tblCellMar>
          <w:top w:w="0" w:type="dxa"/>
          <w:left w:w="0" w:type="dxa"/>
          <w:bottom w:w="0" w:type="dxa"/>
          <w:right w:w="0" w:type="dxa"/>
        </w:tblCellMar>
        <w:tblLook w:val="01E0"/>
      </w:tblPr>
      <w:tblGrid>
        <w:gridCol w:w="3370"/>
        <w:gridCol w:w="1841"/>
        <w:gridCol w:w="2268"/>
        <w:gridCol w:w="1843"/>
        <w:gridCol w:w="1844"/>
      </w:tblGrid>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股权处置方式</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股权处置时点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5"/>
                <w:sz w:val="21"/>
                <w:szCs w:val="21"/>
              </w:rPr>
              <w:t> </w:t>
            </w:r>
            <w:r>
              <w:rPr>
                <w:rFonts w:ascii="宋体" w:hAnsi="宋体" w:cs="宋体" w:eastAsia="宋体" w:hint="default"/>
                <w:spacing w:val="11"/>
                <w:sz w:val="21"/>
                <w:szCs w:val="21"/>
              </w:rPr>
              <w:t>初至</w:t>
            </w:r>
            <w:r>
              <w:rPr>
                <w:rFonts w:ascii="宋体" w:hAnsi="宋体" w:cs="宋体" w:eastAsia="宋体" w:hint="default"/>
                <w:spacing w:val="-75"/>
                <w:sz w:val="21"/>
                <w:szCs w:val="21"/>
              </w:rPr>
              <w:t> </w:t>
            </w:r>
            <w:r>
              <w:rPr>
                <w:rFonts w:ascii="宋体" w:hAnsi="宋体" w:cs="宋体" w:eastAsia="宋体" w:hint="default"/>
                <w:spacing w:val="14"/>
                <w:sz w:val="21"/>
                <w:szCs w:val="21"/>
              </w:rPr>
              <w:t>处置日</w:t>
            </w:r>
            <w:r>
              <w:rPr>
                <w:rFonts w:ascii="宋体" w:hAnsi="宋体" w:cs="宋体" w:eastAsia="宋体" w:hint="default"/>
                <w:spacing w:val="-75"/>
                <w:sz w:val="21"/>
                <w:szCs w:val="21"/>
              </w:rPr>
              <w:t> </w:t>
            </w:r>
            <w:r>
              <w:rPr>
                <w:rFonts w:ascii="宋体" w:hAnsi="宋体" w:cs="宋体" w:eastAsia="宋体" w:hint="default"/>
                <w:sz w:val="21"/>
                <w:szCs w:val="21"/>
              </w:rPr>
              <w:t>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新昌智能制造转型升级股权投资基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金合伙企业（有限合伙）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598.00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绍兴上虞财通投资管理有限公司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宁波</w:t>
            </w:r>
            <w:r>
              <w:rPr>
                <w:rFonts w:ascii="宋体" w:hAnsi="宋体" w:cs="宋体" w:eastAsia="宋体" w:hint="default"/>
                <w:spacing w:val="-3"/>
                <w:w w:val="100"/>
                <w:sz w:val="21"/>
                <w:szCs w:val="21"/>
              </w:rPr>
              <w:t>红</w:t>
            </w:r>
            <w:r>
              <w:rPr>
                <w:rFonts w:ascii="宋体" w:hAnsi="宋体" w:cs="宋体" w:eastAsia="宋体" w:hint="default"/>
                <w:w w:val="100"/>
                <w:sz w:val="21"/>
                <w:szCs w:val="21"/>
              </w:rPr>
              <w:t>楠</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3"/>
                <w:w w:val="100"/>
                <w:sz w:val="21"/>
                <w:szCs w:val="21"/>
              </w:rPr>
              <w:t>企</w:t>
            </w:r>
            <w:r>
              <w:rPr>
                <w:rFonts w:ascii="宋体" w:hAnsi="宋体" w:cs="宋体" w:eastAsia="宋体" w:hint="default"/>
                <w:spacing w:val="-104"/>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限合</w:t>
            </w:r>
            <w:r>
              <w:rPr>
                <w:rFonts w:ascii="宋体" w:hAnsi="宋体" w:cs="宋体" w:eastAsia="宋体" w:hint="default"/>
                <w:spacing w:val="-3"/>
                <w:w w:val="100"/>
                <w:sz w:val="21"/>
                <w:szCs w:val="21"/>
              </w:rPr>
              <w:t>伙</w:t>
            </w:r>
            <w:r>
              <w:rPr>
                <w:rFonts w:ascii="宋体" w:hAnsi="宋体" w:cs="宋体" w:eastAsia="宋体"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1,392.43</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宁波梅山保税港区紫檀股权投资合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12"/>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1,432.43</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宁波梅山保税港区棕榈股权投资合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2"/>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1,392.43</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宁波梅山保税港区乌木股权投资合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1,392.43</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宁波梅山保税港区冷杉股权投资合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1,392.43</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宁波</w:t>
            </w:r>
            <w:r>
              <w:rPr>
                <w:rFonts w:ascii="宋体" w:hAnsi="宋体" w:cs="宋体" w:eastAsia="宋体" w:hint="default"/>
                <w:spacing w:val="-3"/>
                <w:w w:val="100"/>
                <w:sz w:val="21"/>
                <w:szCs w:val="21"/>
              </w:rPr>
              <w:t>金</w:t>
            </w:r>
            <w:r>
              <w:rPr>
                <w:rFonts w:ascii="宋体" w:hAnsi="宋体" w:cs="宋体" w:eastAsia="宋体" w:hint="default"/>
                <w:w w:val="100"/>
                <w:sz w:val="21"/>
                <w:szCs w:val="21"/>
              </w:rPr>
              <w:t>槐</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3"/>
                <w:w w:val="100"/>
                <w:sz w:val="21"/>
                <w:szCs w:val="21"/>
              </w:rPr>
              <w:t>企</w:t>
            </w:r>
            <w:r>
              <w:rPr>
                <w:rFonts w:ascii="宋体" w:hAnsi="宋体" w:cs="宋体" w:eastAsia="宋体" w:hint="default"/>
                <w:spacing w:val="-104"/>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限合</w:t>
            </w:r>
            <w:r>
              <w:rPr>
                <w:rFonts w:ascii="宋体" w:hAnsi="宋体" w:cs="宋体" w:eastAsia="宋体" w:hint="default"/>
                <w:spacing w:val="-3"/>
                <w:w w:val="100"/>
                <w:sz w:val="21"/>
                <w:szCs w:val="21"/>
              </w:rPr>
              <w:t>伙</w:t>
            </w:r>
            <w:r>
              <w:rPr>
                <w:rFonts w:ascii="宋体" w:hAnsi="宋体" w:cs="宋体" w:eastAsia="宋体" w:hint="default"/>
                <w:w w:val="10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1,723.36</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西藏达孜涌果投资有限公司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474,379.00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623,746.97</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宁波财通涌创投资管理有限公司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1,019,601.33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441,304.23</w:t>
            </w:r>
          </w:p>
        </w:tc>
      </w:tr>
    </w:tbl>
    <w:p>
      <w:pPr>
        <w:spacing w:line="240" w:lineRule="auto" w:before="12"/>
        <w:rPr>
          <w:rFonts w:ascii="宋体" w:hAnsi="宋体" w:cs="宋体" w:eastAsia="宋体" w:hint="default"/>
          <w:sz w:val="18"/>
          <w:szCs w:val="18"/>
        </w:rPr>
      </w:pPr>
    </w:p>
    <w:p>
      <w:pPr>
        <w:pStyle w:val="BodyText"/>
        <w:spacing w:line="286" w:lineRule="exact" w:before="36"/>
        <w:ind w:left="220" w:right="3375"/>
        <w:jc w:val="left"/>
      </w:pPr>
      <w:r>
        <w:rPr/>
        <w:t>（</w:t>
      </w:r>
      <w:r>
        <w:rPr>
          <w:rFonts w:ascii="Calibri" w:hAnsi="Calibri" w:cs="Calibri" w:eastAsia="Calibri" w:hint="default"/>
        </w:rPr>
        <w:t>3</w:t>
      </w:r>
      <w:r>
        <w:rPr/>
        <w:t>）结构化主体</w:t>
      </w:r>
    </w:p>
    <w:p>
      <w:pPr>
        <w:pStyle w:val="BodyText"/>
        <w:spacing w:line="286" w:lineRule="exact"/>
        <w:ind w:left="640" w:right="0"/>
        <w:jc w:val="left"/>
      </w:pPr>
      <w:r>
        <w:rPr>
          <w:rFonts w:ascii="Calibri" w:hAnsi="Calibri" w:cs="Calibri" w:eastAsia="Calibri" w:hint="default"/>
        </w:rPr>
        <w:t>2018</w:t>
      </w:r>
      <w:r>
        <w:rPr>
          <w:rFonts w:ascii="Calibri" w:hAnsi="Calibri" w:cs="Calibri" w:eastAsia="Calibri" w:hint="default"/>
          <w:spacing w:val="3"/>
        </w:rPr>
        <w:t> </w:t>
      </w:r>
      <w:r>
        <w:rPr/>
        <w:t>年，财通资本</w:t>
      </w:r>
      <w:r>
        <w:rPr>
          <w:rFonts w:ascii="Calibri" w:hAnsi="Calibri" w:cs="Calibri" w:eastAsia="Calibri" w:hint="default"/>
        </w:rPr>
        <w:t>-</w:t>
      </w:r>
      <w:r>
        <w:rPr/>
        <w:t>坤泽</w:t>
      </w:r>
      <w:r>
        <w:rPr>
          <w:spacing w:val="-58"/>
        </w:rPr>
        <w:t> </w:t>
      </w:r>
      <w:r>
        <w:rPr>
          <w:rFonts w:ascii="Calibri" w:hAnsi="Calibri" w:cs="Calibri" w:eastAsia="Calibri" w:hint="default"/>
        </w:rPr>
        <w:t>2 </w:t>
      </w:r>
      <w:r>
        <w:rPr/>
        <w:t>号证券投资基金产品已经清算，故自该资产管理计划清算之日起，不再将其纳入合并范围。</w:t>
      </w:r>
    </w:p>
    <w:p>
      <w:pPr>
        <w:spacing w:after="0" w:line="286" w:lineRule="exact"/>
        <w:jc w:val="left"/>
        <w:sectPr>
          <w:pgSz w:w="16840" w:h="11910" w:orient="landscape"/>
          <w:pgMar w:header="882" w:footer="1195" w:top="1120" w:bottom="138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0"/>
        <w:ind w:left="140"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40" w:right="0"/>
        <w:jc w:val="left"/>
      </w:pPr>
      <w:r>
        <w:rPr/>
        <w:t>□适用 √不适用</w:t>
      </w:r>
    </w:p>
    <w:p>
      <w:pPr>
        <w:spacing w:after="0" w:line="240" w:lineRule="auto"/>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tabs>
          <w:tab w:pos="1181" w:val="left" w:leader="none"/>
        </w:tabs>
        <w:spacing w:line="290" w:lineRule="auto"/>
        <w:ind w:left="538" w:right="7180"/>
        <w:jc w:val="left"/>
        <w:rPr>
          <w:b w:val="0"/>
          <w:bCs w:val="0"/>
        </w:rPr>
      </w:pPr>
      <w:r>
        <w:rPr/>
        <w:t>十、在其他主体中的权益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4"/>
        <w:ind w:left="538" w:right="718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89"/>
        <w:gridCol w:w="934"/>
        <w:gridCol w:w="893"/>
        <w:gridCol w:w="3562"/>
        <w:gridCol w:w="1042"/>
        <w:gridCol w:w="893"/>
        <w:gridCol w:w="900"/>
      </w:tblGrid>
      <w:tr>
        <w:trPr>
          <w:trHeight w:val="286" w:hRule="exact"/>
        </w:trPr>
        <w:tc>
          <w:tcPr>
            <w:tcW w:w="1589" w:type="dxa"/>
            <w:vMerge w:val="restart"/>
            <w:tcBorders>
              <w:top w:val="single" w:sz="4" w:space="0" w:color="000000"/>
              <w:left w:val="single" w:sz="4" w:space="0" w:color="000000"/>
              <w:right w:val="single" w:sz="6" w:space="0" w:color="000000"/>
            </w:tcBorders>
          </w:tcPr>
          <w:p>
            <w:pPr>
              <w:pStyle w:val="TableParagraph"/>
              <w:spacing w:line="274" w:lineRule="exact" w:before="1"/>
              <w:ind w:left="578" w:right="468"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934" w:type="dxa"/>
            <w:vMerge w:val="restart"/>
            <w:tcBorders>
              <w:top w:val="single" w:sz="4" w:space="0" w:color="000000"/>
              <w:left w:val="single" w:sz="6" w:space="0" w:color="000000"/>
              <w:right w:val="single" w:sz="6" w:space="0" w:color="000000"/>
            </w:tcBorders>
          </w:tcPr>
          <w:p>
            <w:pPr>
              <w:pStyle w:val="TableParagraph"/>
              <w:spacing w:line="274" w:lineRule="exact" w:before="1"/>
              <w:ind w:left="249" w:right="140"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93" w:type="dxa"/>
            <w:vMerge w:val="restart"/>
            <w:tcBorders>
              <w:top w:val="single" w:sz="4" w:space="0" w:color="000000"/>
              <w:left w:val="single" w:sz="6" w:space="0" w:color="000000"/>
              <w:right w:val="single" w:sz="6"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3562" w:type="dxa"/>
            <w:vMerge w:val="restart"/>
            <w:tcBorders>
              <w:top w:val="single" w:sz="4" w:space="0" w:color="000000"/>
              <w:left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93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900" w:type="dxa"/>
            <w:vMerge w:val="restart"/>
            <w:tcBorders>
              <w:top w:val="single" w:sz="4" w:space="0" w:color="000000"/>
              <w:left w:val="single" w:sz="6" w:space="0" w:color="000000"/>
              <w:right w:val="single" w:sz="4" w:space="0" w:color="000000"/>
            </w:tcBorders>
          </w:tcPr>
          <w:p>
            <w:pPr>
              <w:pStyle w:val="TableParagraph"/>
              <w:spacing w:line="274" w:lineRule="exact" w:before="1"/>
              <w:ind w:left="230" w:right="23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93" w:hRule="exact"/>
        </w:trPr>
        <w:tc>
          <w:tcPr>
            <w:tcW w:w="1589" w:type="dxa"/>
            <w:vMerge/>
            <w:tcBorders>
              <w:left w:val="single" w:sz="4" w:space="0" w:color="000000"/>
              <w:bottom w:val="single" w:sz="6" w:space="0" w:color="000000"/>
              <w:right w:val="single" w:sz="6" w:space="0" w:color="000000"/>
            </w:tcBorders>
          </w:tcPr>
          <w:p>
            <w:pPr/>
          </w:p>
        </w:tc>
        <w:tc>
          <w:tcPr>
            <w:tcW w:w="934" w:type="dxa"/>
            <w:vMerge/>
            <w:tcBorders>
              <w:left w:val="single" w:sz="6" w:space="0" w:color="000000"/>
              <w:bottom w:val="single" w:sz="6" w:space="0" w:color="000000"/>
              <w:right w:val="single" w:sz="6" w:space="0" w:color="000000"/>
            </w:tcBorders>
          </w:tcPr>
          <w:p>
            <w:pPr/>
          </w:p>
        </w:tc>
        <w:tc>
          <w:tcPr>
            <w:tcW w:w="893" w:type="dxa"/>
            <w:vMerge/>
            <w:tcBorders>
              <w:left w:val="single" w:sz="6" w:space="0" w:color="000000"/>
              <w:bottom w:val="single" w:sz="6" w:space="0" w:color="000000"/>
              <w:right w:val="single" w:sz="6" w:space="0" w:color="000000"/>
            </w:tcBorders>
          </w:tcPr>
          <w:p>
            <w:pPr/>
          </w:p>
        </w:tc>
        <w:tc>
          <w:tcPr>
            <w:tcW w:w="3562" w:type="dxa"/>
            <w:vMerge/>
            <w:tcBorders>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00" w:type="dxa"/>
            <w:vMerge/>
            <w:tcBorders>
              <w:left w:val="single" w:sz="6" w:space="0" w:color="000000"/>
              <w:bottom w:val="single" w:sz="6" w:space="0" w:color="000000"/>
              <w:right w:val="single" w:sz="4" w:space="0" w:color="000000"/>
            </w:tcBorders>
          </w:tcPr>
          <w:p>
            <w:pPr/>
          </w:p>
        </w:tc>
      </w:tr>
      <w:tr>
        <w:trPr>
          <w:trHeight w:val="71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财通证券资管</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证券资产管理业务，公开募集证券投资基金</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管理业务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sz w:val="18"/>
              </w:rPr>
              <w:t>100.00</w:t>
            </w:r>
          </w:p>
        </w:tc>
        <w:tc>
          <w:tcPr>
            <w:tcW w:w="89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2"/>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财通资本</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9"/>
                <w:sz w:val="18"/>
                <w:szCs w:val="18"/>
              </w:rPr>
              <w:t>实业投资，股权投资，投资管理，投资咨询，</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资产管理，财务咨询</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sz w:val="18"/>
              </w:rPr>
              <w:t>100.00</w:t>
            </w:r>
          </w:p>
        </w:tc>
        <w:tc>
          <w:tcPr>
            <w:tcW w:w="89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2"/>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16"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财通香港</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both"/>
              <w:rPr>
                <w:rFonts w:ascii="宋体" w:hAnsi="宋体" w:cs="宋体" w:eastAsia="宋体" w:hint="default"/>
                <w:sz w:val="18"/>
                <w:szCs w:val="18"/>
              </w:rPr>
            </w:pPr>
            <w:r>
              <w:rPr>
                <w:rFonts w:ascii="宋体" w:hAnsi="宋体" w:cs="宋体" w:eastAsia="宋体" w:hint="default"/>
                <w:sz w:val="18"/>
                <w:szCs w:val="18"/>
              </w:rPr>
              <w:t>放债人业务，提供证券买卖、</w:t>
            </w:r>
            <w:r>
              <w:rPr>
                <w:rFonts w:ascii="宋体" w:hAnsi="宋体" w:cs="宋体" w:eastAsia="宋体" w:hint="default"/>
                <w:spacing w:val="1"/>
                <w:sz w:val="18"/>
                <w:szCs w:val="18"/>
              </w:rPr>
              <w:t> </w:t>
            </w:r>
            <w:r>
              <w:rPr>
                <w:rFonts w:ascii="宋体" w:hAnsi="宋体" w:cs="宋体" w:eastAsia="宋体" w:hint="default"/>
                <w:sz w:val="18"/>
                <w:szCs w:val="18"/>
              </w:rPr>
              <w:t>孖展融资及</w:t>
            </w:r>
          </w:p>
          <w:p>
            <w:pPr>
              <w:pStyle w:val="TableParagraph"/>
              <w:spacing w:line="357" w:lineRule="auto" w:before="115"/>
              <w:ind w:left="98" w:right="99"/>
              <w:jc w:val="both"/>
              <w:rPr>
                <w:rFonts w:ascii="宋体" w:hAnsi="宋体" w:cs="宋体" w:eastAsia="宋体" w:hint="default"/>
                <w:sz w:val="18"/>
                <w:szCs w:val="18"/>
              </w:rPr>
            </w:pPr>
            <w:r>
              <w:rPr>
                <w:rFonts w:ascii="宋体" w:hAnsi="宋体" w:cs="宋体" w:eastAsia="宋体" w:hint="default"/>
                <w:sz w:val="18"/>
                <w:szCs w:val="18"/>
              </w:rPr>
              <w:t>就证券提供意见服务，提供资产</w:t>
            </w:r>
            <w:r>
              <w:rPr>
                <w:rFonts w:ascii="宋体" w:hAnsi="宋体" w:cs="宋体" w:eastAsia="宋体" w:hint="default"/>
                <w:spacing w:val="1"/>
                <w:sz w:val="18"/>
                <w:szCs w:val="18"/>
              </w:rPr>
              <w:t> </w:t>
            </w:r>
            <w:r>
              <w:rPr>
                <w:rFonts w:ascii="宋体" w:hAnsi="宋体" w:cs="宋体" w:eastAsia="宋体" w:hint="default"/>
                <w:sz w:val="18"/>
                <w:szCs w:val="18"/>
              </w:rPr>
              <w:t>管理业务</w:t>
            </w:r>
            <w:r>
              <w:rPr>
                <w:rFonts w:ascii="宋体" w:hAnsi="宋体" w:cs="宋体" w:eastAsia="宋体" w:hint="default"/>
                <w:sz w:val="18"/>
                <w:szCs w:val="18"/>
              </w:rPr>
              <w:t> </w:t>
            </w:r>
            <w:r>
              <w:rPr>
                <w:rFonts w:ascii="宋体" w:hAnsi="宋体" w:cs="宋体" w:eastAsia="宋体" w:hint="default"/>
                <w:spacing w:val="-4"/>
                <w:sz w:val="18"/>
                <w:szCs w:val="18"/>
              </w:rPr>
              <w:t>及就证券提供意见服务，投资业务，咨询业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89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财通国际证券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证券交易，就证券提供意见</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财通国际资管</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提供资产管理，就证券提供意见</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财通国际投资</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投资管理（私人基金）及意见提供</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财缘通</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投资咨询，投资管理，资产管理等</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财通国际资本</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开曼群</w:t>
            </w:r>
          </w:p>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岛</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98" w:right="0"/>
              <w:jc w:val="left"/>
              <w:rPr>
                <w:rFonts w:ascii="宋体" w:hAnsi="宋体" w:cs="宋体" w:eastAsia="宋体" w:hint="default"/>
                <w:sz w:val="18"/>
                <w:szCs w:val="18"/>
              </w:rPr>
            </w:pPr>
            <w:r>
              <w:rPr>
                <w:rFonts w:ascii="宋体" w:hAnsi="宋体" w:cs="宋体" w:eastAsia="宋体" w:hint="default"/>
                <w:sz w:val="18"/>
                <w:szCs w:val="18"/>
              </w:rPr>
              <w:t>基金及投资产品管理等</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财通创新</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金融产品投资，股权投资</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100.00</w:t>
            </w:r>
          </w:p>
        </w:tc>
        <w:tc>
          <w:tcPr>
            <w:tcW w:w="89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8"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西藏达孜仰灿投</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9"/>
                <w:sz w:val="18"/>
                <w:szCs w:val="18"/>
              </w:rPr>
              <w:t>实业投资、股权投资、投资管理、资产管理、</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投资咨询和财务咨询</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63"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宁波黑松创业投</w:t>
            </w:r>
          </w:p>
          <w:p>
            <w:pPr>
              <w:pStyle w:val="TableParagraph"/>
              <w:spacing w:line="357" w:lineRule="auto" w:before="115"/>
              <w:ind w:left="103" w:right="98"/>
              <w:jc w:val="left"/>
              <w:rPr>
                <w:rFonts w:ascii="宋体" w:hAnsi="宋体" w:cs="宋体" w:eastAsia="宋体" w:hint="default"/>
                <w:sz w:val="18"/>
                <w:szCs w:val="18"/>
              </w:rPr>
            </w:pPr>
            <w:r>
              <w:rPr>
                <w:rFonts w:ascii="宋体" w:hAnsi="宋体" w:cs="宋体" w:eastAsia="宋体" w:hint="default"/>
                <w:spacing w:val="-9"/>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创业投资及相关咨询服务</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66"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义乌市财通棒杰</w:t>
            </w:r>
          </w:p>
          <w:p>
            <w:pPr>
              <w:pStyle w:val="TableParagraph"/>
              <w:spacing w:line="357" w:lineRule="auto" w:before="115"/>
              <w:ind w:left="103" w:right="211"/>
              <w:jc w:val="left"/>
              <w:rPr>
                <w:rFonts w:ascii="宋体" w:hAnsi="宋体" w:cs="宋体" w:eastAsia="宋体" w:hint="default"/>
                <w:sz w:val="18"/>
                <w:szCs w:val="18"/>
              </w:rPr>
            </w:pPr>
            <w:r>
              <w:rPr>
                <w:rFonts w:ascii="宋体" w:hAnsi="宋体" w:cs="宋体" w:eastAsia="宋体" w:hint="default"/>
                <w:sz w:val="18"/>
                <w:szCs w:val="18"/>
              </w:rPr>
              <w:t>投资管理有限公 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义乌</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义乌</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投资管理服务、投资咨询服务</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金华财通资本投</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80.00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财通国际融资有</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尚未经营</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8"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杭州财通商旅投</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资管理有限公司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尚未经营</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51.00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64" w:hRule="exact"/>
        </w:trPr>
        <w:tc>
          <w:tcPr>
            <w:tcW w:w="1589" w:type="dxa"/>
            <w:tcBorders>
              <w:top w:val="single" w:sz="6" w:space="0" w:color="000000"/>
              <w:left w:val="single" w:sz="4" w:space="0" w:color="000000"/>
              <w:bottom w:val="single" w:sz="4"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宁波梅山保税港</w:t>
            </w:r>
          </w:p>
          <w:p>
            <w:pPr>
              <w:pStyle w:val="TableParagraph"/>
              <w:spacing w:line="357" w:lineRule="auto" w:before="115"/>
              <w:ind w:left="103" w:right="211"/>
              <w:jc w:val="left"/>
              <w:rPr>
                <w:rFonts w:ascii="宋体" w:hAnsi="宋体" w:cs="宋体" w:eastAsia="宋体" w:hint="default"/>
                <w:sz w:val="18"/>
                <w:szCs w:val="18"/>
              </w:rPr>
            </w:pPr>
            <w:r>
              <w:rPr>
                <w:rFonts w:ascii="宋体" w:hAnsi="宋体" w:cs="宋体" w:eastAsia="宋体" w:hint="default"/>
                <w:sz w:val="18"/>
                <w:szCs w:val="18"/>
              </w:rPr>
              <w:t>区财博多投资有 限公司</w:t>
            </w:r>
          </w:p>
        </w:tc>
        <w:tc>
          <w:tcPr>
            <w:tcW w:w="93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8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实业投资、投资管理、投资咨询</w:t>
            </w:r>
          </w:p>
        </w:tc>
        <w:tc>
          <w:tcPr>
            <w:tcW w:w="1042" w:type="dxa"/>
            <w:tcBorders>
              <w:top w:val="single" w:sz="6" w:space="0" w:color="000000"/>
              <w:left w:val="single" w:sz="6" w:space="0" w:color="000000"/>
              <w:bottom w:val="single" w:sz="4" w:space="0" w:color="000000"/>
              <w:right w:val="single" w:sz="6" w:space="0" w:color="000000"/>
            </w:tcBorders>
          </w:tcPr>
          <w:p>
            <w:pPr/>
          </w:p>
        </w:tc>
        <w:tc>
          <w:tcPr>
            <w:tcW w:w="8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51.00</w:t>
            </w:r>
          </w:p>
        </w:tc>
        <w:tc>
          <w:tcPr>
            <w:tcW w:w="90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headerReference w:type="default" r:id="rId71"/>
          <w:footerReference w:type="default" r:id="rId72"/>
          <w:pgSz w:w="11910" w:h="16840"/>
          <w:pgMar w:header="882" w:footer="1195" w:top="1120" w:bottom="1380" w:left="1260" w:right="600"/>
          <w:pgNumType w:start="185"/>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89"/>
        <w:gridCol w:w="934"/>
        <w:gridCol w:w="893"/>
        <w:gridCol w:w="3562"/>
        <w:gridCol w:w="1042"/>
        <w:gridCol w:w="893"/>
        <w:gridCol w:w="900"/>
      </w:tblGrid>
      <w:tr>
        <w:trPr>
          <w:trHeight w:val="1066" w:hRule="exact"/>
        </w:trPr>
        <w:tc>
          <w:tcPr>
            <w:tcW w:w="1589"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杭州财通胜栎股</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权投资合伙企业</w:t>
            </w: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未经营</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股权投资、投资管理、受托企业资产</w:t>
            </w:r>
            <w:r>
              <w:rPr>
                <w:rFonts w:ascii="宋体" w:hAnsi="宋体" w:cs="宋体" w:eastAsia="宋体" w:hint="default"/>
                <w:spacing w:val="1"/>
                <w:sz w:val="18"/>
                <w:szCs w:val="18"/>
              </w:rPr>
              <w:t> </w:t>
            </w:r>
            <w:r>
              <w:rPr>
                <w:rFonts w:ascii="宋体" w:hAnsi="宋体" w:cs="宋体" w:eastAsia="宋体" w:hint="default"/>
                <w:sz w:val="18"/>
                <w:szCs w:val="18"/>
              </w:rPr>
              <w:t>管理</w:t>
            </w:r>
          </w:p>
        </w:tc>
        <w:tc>
          <w:tcPr>
            <w:tcW w:w="104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63" w:hRule="exact"/>
        </w:trPr>
        <w:tc>
          <w:tcPr>
            <w:tcW w:w="1589"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Caitong</w:t>
            </w:r>
          </w:p>
          <w:p>
            <w:pPr>
              <w:pStyle w:val="TableParagraph"/>
              <w:spacing w:line="355" w:lineRule="auto" w:before="115"/>
              <w:ind w:left="103" w:right="480"/>
              <w:jc w:val="left"/>
              <w:rPr>
                <w:rFonts w:ascii="宋体" w:hAnsi="宋体" w:cs="宋体" w:eastAsia="宋体" w:hint="default"/>
                <w:sz w:val="18"/>
                <w:szCs w:val="18"/>
              </w:rPr>
            </w:pPr>
            <w:r>
              <w:rPr>
                <w:rFonts w:ascii="宋体"/>
                <w:sz w:val="18"/>
              </w:rPr>
              <w:t>Diversified Income</w:t>
            </w:r>
            <w:r>
              <w:rPr>
                <w:rFonts w:ascii="宋体"/>
                <w:spacing w:val="-3"/>
                <w:sz w:val="18"/>
              </w:rPr>
              <w:t> </w:t>
            </w:r>
            <w:r>
              <w:rPr>
                <w:rFonts w:ascii="宋体"/>
                <w:sz w:val="18"/>
              </w:rPr>
              <w:t>Ltd</w:t>
            </w:r>
          </w:p>
        </w:tc>
        <w:tc>
          <w:tcPr>
            <w:tcW w:w="934" w:type="dxa"/>
            <w:tcBorders>
              <w:top w:val="single" w:sz="6" w:space="0" w:color="000000"/>
              <w:left w:val="single" w:sz="6" w:space="0" w:color="000000"/>
              <w:bottom w:val="single" w:sz="4" w:space="0" w:color="000000"/>
              <w:right w:val="single" w:sz="6" w:space="0" w:color="000000"/>
            </w:tcBorders>
          </w:tcPr>
          <w:p>
            <w:pPr>
              <w:pStyle w:val="TableParagraph"/>
              <w:spacing w:line="355" w:lineRule="auto" w:before="145"/>
              <w:ind w:left="100" w:right="278"/>
              <w:jc w:val="left"/>
              <w:rPr>
                <w:rFonts w:ascii="宋体" w:hAnsi="宋体" w:cs="宋体" w:eastAsia="宋体" w:hint="default"/>
                <w:sz w:val="18"/>
                <w:szCs w:val="18"/>
              </w:rPr>
            </w:pPr>
            <w:r>
              <w:rPr>
                <w:rFonts w:ascii="宋体" w:hAnsi="宋体" w:cs="宋体" w:eastAsia="宋体" w:hint="default"/>
                <w:sz w:val="18"/>
                <w:szCs w:val="18"/>
              </w:rPr>
              <w:t>英属处 女群岛</w:t>
            </w:r>
          </w:p>
        </w:tc>
        <w:tc>
          <w:tcPr>
            <w:tcW w:w="893" w:type="dxa"/>
            <w:tcBorders>
              <w:top w:val="single" w:sz="6" w:space="0" w:color="000000"/>
              <w:left w:val="single" w:sz="6" w:space="0" w:color="000000"/>
              <w:bottom w:val="single" w:sz="4" w:space="0" w:color="000000"/>
              <w:right w:val="single" w:sz="6" w:space="0" w:color="000000"/>
            </w:tcBorders>
          </w:tcPr>
          <w:p>
            <w:pPr>
              <w:pStyle w:val="TableParagraph"/>
              <w:spacing w:line="355" w:lineRule="auto" w:before="145"/>
              <w:ind w:left="100" w:right="235"/>
              <w:jc w:val="left"/>
              <w:rPr>
                <w:rFonts w:ascii="宋体" w:hAnsi="宋体" w:cs="宋体" w:eastAsia="宋体" w:hint="default"/>
                <w:sz w:val="18"/>
                <w:szCs w:val="18"/>
              </w:rPr>
            </w:pPr>
            <w:r>
              <w:rPr>
                <w:rFonts w:ascii="宋体" w:hAnsi="宋体" w:cs="宋体" w:eastAsia="宋体" w:hint="default"/>
                <w:sz w:val="18"/>
                <w:szCs w:val="18"/>
              </w:rPr>
              <w:t>英属处 女群岛</w:t>
            </w:r>
          </w:p>
        </w:tc>
        <w:tc>
          <w:tcPr>
            <w:tcW w:w="356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42" w:type="dxa"/>
            <w:tcBorders>
              <w:top w:val="single" w:sz="6" w:space="0" w:color="000000"/>
              <w:left w:val="single" w:sz="6" w:space="0" w:color="000000"/>
              <w:bottom w:val="single" w:sz="4" w:space="0" w:color="000000"/>
              <w:right w:val="single" w:sz="6" w:space="0" w:color="000000"/>
            </w:tcBorders>
          </w:tcPr>
          <w:p>
            <w:pPr/>
          </w:p>
        </w:tc>
        <w:tc>
          <w:tcPr>
            <w:tcW w:w="89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100%</w:t>
            </w:r>
          </w:p>
        </w:tc>
        <w:tc>
          <w:tcPr>
            <w:tcW w:w="90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7"/>
        <w:rPr>
          <w:rFonts w:ascii="宋体" w:hAnsi="宋体" w:cs="宋体" w:eastAsia="宋体" w:hint="default"/>
          <w:sz w:val="15"/>
          <w:szCs w:val="15"/>
        </w:rPr>
      </w:pPr>
    </w:p>
    <w:p>
      <w:pPr>
        <w:pStyle w:val="BodyText"/>
        <w:spacing w:line="355" w:lineRule="auto" w:before="36"/>
        <w:ind w:left="538" w:right="4950"/>
        <w:jc w:val="left"/>
      </w:pPr>
      <w:r>
        <w:rPr>
          <w:spacing w:val="-2"/>
        </w:rPr>
        <w:t>在子公司的持股比例不同于表决权比例的说明：</w:t>
      </w:r>
      <w:r>
        <w:rPr>
          <w:spacing w:val="-65"/>
        </w:rPr>
        <w:t> </w:t>
      </w:r>
      <w:r>
        <w:rPr>
          <w:spacing w:val="-65"/>
        </w:rPr>
      </w:r>
      <w:r>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5" w:lineRule="auto"/>
        <w:ind w:left="538" w:right="166"/>
        <w:jc w:val="left"/>
      </w:pPr>
      <w:r>
        <w:rPr>
          <w:spacing w:val="-2"/>
        </w:rPr>
        <w:t>持有半数或以下表决权但仍控制被投资单位、以及持有半数以上表决权但不控制被投资单位的依据：</w:t>
      </w:r>
      <w:r>
        <w:rPr>
          <w:spacing w:val="-21"/>
        </w:rPr>
        <w:t> </w:t>
      </w:r>
      <w:r>
        <w:rPr>
          <w:spacing w:val="-21"/>
        </w:rPr>
      </w:r>
      <w:r>
        <w:rPr/>
        <w:t>无</w:t>
      </w:r>
    </w:p>
    <w:p>
      <w:pPr>
        <w:spacing w:line="240" w:lineRule="auto" w:before="0"/>
        <w:rPr>
          <w:rFonts w:ascii="宋体" w:hAnsi="宋体" w:cs="宋体" w:eastAsia="宋体" w:hint="default"/>
          <w:sz w:val="20"/>
          <w:szCs w:val="20"/>
        </w:rPr>
      </w:pPr>
    </w:p>
    <w:p>
      <w:pPr>
        <w:pStyle w:val="BodyText"/>
        <w:spacing w:line="355" w:lineRule="auto" w:before="178"/>
        <w:ind w:left="958" w:right="166" w:hanging="420"/>
        <w:jc w:val="left"/>
      </w:pPr>
      <w:r>
        <w:rPr/>
        <w:t>对于纳入合并范围的重要的结构化主体，控制的依据：</w:t>
      </w:r>
      <w:r>
        <w:rPr>
          <w:w w:val="100"/>
        </w:rPr>
        <w:t> </w:t>
      </w:r>
      <w:r>
        <w:rPr>
          <w:spacing w:val="-2"/>
        </w:rPr>
        <w:t>对于公司管理并投资的结构化主体</w:t>
      </w:r>
      <w:r>
        <w:rPr>
          <w:rFonts w:ascii="宋体" w:hAnsi="宋体" w:cs="宋体" w:eastAsia="宋体" w:hint="default"/>
          <w:spacing w:val="-2"/>
        </w:rPr>
        <w:t>,</w:t>
      </w:r>
      <w:r>
        <w:rPr>
          <w:spacing w:val="-2"/>
        </w:rPr>
        <w:t>公司通过评估其所持有结构化主体连同其管理人报酬所产生</w:t>
      </w:r>
    </w:p>
    <w:p>
      <w:pPr>
        <w:pStyle w:val="BodyText"/>
        <w:spacing w:line="355" w:lineRule="auto" w:before="34"/>
        <w:ind w:left="538" w:right="166"/>
        <w:jc w:val="left"/>
      </w:pPr>
      <w:r>
        <w:rPr>
          <w:spacing w:val="-2"/>
        </w:rPr>
        <w:t>的可变回报的最大风险敞口是否足够重大以致表明公司对结构化主体拥有控制权。若公司对管理的结</w:t>
      </w:r>
      <w:r>
        <w:rPr>
          <w:spacing w:val="-21"/>
        </w:rPr>
        <w:t> </w:t>
      </w:r>
      <w:r>
        <w:rPr>
          <w:spacing w:val="-21"/>
        </w:rPr>
      </w:r>
      <w:r>
        <w:rPr/>
        <w:t>构化主体拥有控制权，则将结构化主体纳入合并财务报表的合并范围。</w:t>
      </w:r>
    </w:p>
    <w:p>
      <w:pPr>
        <w:spacing w:line="240" w:lineRule="auto" w:before="0"/>
        <w:rPr>
          <w:rFonts w:ascii="宋体" w:hAnsi="宋体" w:cs="宋体" w:eastAsia="宋体" w:hint="default"/>
          <w:sz w:val="20"/>
          <w:szCs w:val="20"/>
        </w:rPr>
      </w:pPr>
    </w:p>
    <w:p>
      <w:pPr>
        <w:pStyle w:val="BodyText"/>
        <w:spacing w:line="357" w:lineRule="auto" w:before="179"/>
        <w:ind w:left="538" w:right="166"/>
        <w:jc w:val="left"/>
      </w:pPr>
      <w:r>
        <w:rPr/>
        <w:t>确定公司是代理人还是委托人的依据：</w:t>
      </w:r>
      <w:r>
        <w:rPr>
          <w:w w:val="100"/>
        </w:rPr>
        <w:t> </w:t>
      </w:r>
      <w:r>
        <w:rPr>
          <w:rFonts w:ascii="宋体" w:hAnsi="宋体" w:cs="宋体" w:eastAsia="宋体" w:hint="default"/>
          <w:spacing w:val="-2"/>
        </w:rPr>
        <w:t>1</w:t>
      </w:r>
      <w:r>
        <w:rPr>
          <w:spacing w:val="-2"/>
        </w:rPr>
        <w:t>）存在单独一方拥有实质性权利可以无条件罢免决策者的，该为代理人；</w:t>
      </w:r>
    </w:p>
    <w:p>
      <w:pPr>
        <w:pStyle w:val="BodyText"/>
        <w:spacing w:line="355" w:lineRule="auto" w:before="30"/>
        <w:ind w:left="538" w:right="166"/>
        <w:jc w:val="left"/>
      </w:pPr>
      <w:r>
        <w:rPr>
          <w:rFonts w:ascii="宋体" w:hAnsi="宋体" w:cs="宋体" w:eastAsia="宋体" w:hint="default"/>
          <w:spacing w:val="-3"/>
        </w:rPr>
        <w:t>2</w:t>
      </w:r>
      <w:r>
        <w:rPr>
          <w:spacing w:val="-3"/>
        </w:rPr>
        <w:t>）除 </w:t>
      </w:r>
      <w:r>
        <w:rPr>
          <w:rFonts w:ascii="宋体" w:hAnsi="宋体" w:cs="宋体" w:eastAsia="宋体" w:hint="default"/>
          <w:spacing w:val="-3"/>
        </w:rPr>
        <w:t>1</w:t>
      </w:r>
      <w:r>
        <w:rPr>
          <w:spacing w:val="-3"/>
        </w:rPr>
        <w:t>）以外的情况下，综合考虑决策者对被投资方的决策权范围、其他方享有的实质性权利、决策</w:t>
      </w:r>
      <w:r>
        <w:rPr>
          <w:spacing w:val="-62"/>
        </w:rPr>
        <w:t> </w:t>
      </w:r>
      <w:r>
        <w:rPr>
          <w:spacing w:val="-62"/>
        </w:rPr>
      </w:r>
      <w:r>
        <w:rPr/>
        <w:t>者的薪酬水平、决策者因持有被投资方中的其他权益所承担可变回报的风险等相关因素进行判断。</w:t>
      </w:r>
    </w:p>
    <w:p>
      <w:pPr>
        <w:spacing w:line="240" w:lineRule="auto" w:before="0"/>
        <w:rPr>
          <w:rFonts w:ascii="宋体" w:hAnsi="宋体" w:cs="宋体" w:eastAsia="宋体" w:hint="default"/>
          <w:sz w:val="20"/>
          <w:szCs w:val="20"/>
        </w:rPr>
      </w:pPr>
    </w:p>
    <w:p>
      <w:pPr>
        <w:pStyle w:val="BodyText"/>
        <w:spacing w:line="357" w:lineRule="auto" w:before="178"/>
        <w:ind w:left="538" w:right="8438"/>
        <w:jc w:val="left"/>
      </w:pPr>
      <w:r>
        <w:rPr/>
        <w:t>其他说明：</w:t>
      </w:r>
      <w:r>
        <w:rPr>
          <w:spacing w:val="-102"/>
        </w:rPr>
        <w:t> </w:t>
      </w:r>
      <w:r>
        <w:rPr>
          <w:spacing w:val="-102"/>
        </w:rPr>
      </w:r>
      <w:r>
        <w:rPr/>
        <w:t>无</w:t>
      </w:r>
    </w:p>
    <w:p>
      <w:pPr>
        <w:spacing w:line="240" w:lineRule="auto" w:before="9"/>
        <w:rPr>
          <w:rFonts w:ascii="宋体" w:hAnsi="宋体" w:cs="宋体" w:eastAsia="宋体" w:hint="default"/>
          <w:sz w:val="27"/>
          <w:szCs w:val="27"/>
        </w:rPr>
      </w:pPr>
    </w:p>
    <w:p>
      <w:pPr>
        <w:pStyle w:val="Heading5"/>
        <w:tabs>
          <w:tab w:pos="1181" w:val="left" w:leader="none"/>
        </w:tabs>
        <w:spacing w:line="240" w:lineRule="auto"/>
        <w:ind w:left="538" w:right="4950"/>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538" w:right="71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tabs>
          <w:tab w:pos="1181" w:val="left" w:leader="none"/>
        </w:tabs>
        <w:spacing w:line="240" w:lineRule="auto"/>
        <w:ind w:left="538" w:right="495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8"/>
        <w:ind w:left="538" w:right="71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tabs>
          <w:tab w:pos="1181" w:val="left" w:leader="none"/>
        </w:tabs>
        <w:spacing w:line="240" w:lineRule="auto"/>
        <w:ind w:left="538" w:right="166"/>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538" w:right="7180"/>
        <w:jc w:val="left"/>
      </w:pPr>
      <w:r>
        <w:rPr/>
        <w:t>□适用</w:t>
      </w:r>
      <w:r>
        <w:rPr>
          <w:spacing w:val="-1"/>
        </w:rPr>
        <w:t> </w:t>
      </w:r>
      <w:r>
        <w:rPr/>
        <w:t>√不适用</w:t>
      </w:r>
    </w:p>
    <w:p>
      <w:pPr>
        <w:spacing w:after="0" w:line="240" w:lineRule="auto"/>
        <w:jc w:val="left"/>
        <w:sectPr>
          <w:pgSz w:w="11910" w:h="16840"/>
          <w:pgMar w:header="882" w:footer="1195" w:top="1120" w:bottom="1380" w:left="1260" w:right="600"/>
        </w:sectPr>
      </w:pPr>
    </w:p>
    <w:p>
      <w:pPr>
        <w:spacing w:line="240" w:lineRule="auto" w:before="1"/>
        <w:rPr>
          <w:rFonts w:ascii="宋体" w:hAnsi="宋体" w:cs="宋体" w:eastAsia="宋体" w:hint="default"/>
          <w:sz w:val="25"/>
          <w:szCs w:val="25"/>
        </w:rPr>
      </w:pPr>
    </w:p>
    <w:p>
      <w:pPr>
        <w:pStyle w:val="Heading5"/>
        <w:tabs>
          <w:tab w:pos="861" w:val="left" w:leader="none"/>
        </w:tabs>
        <w:spacing w:line="240" w:lineRule="auto" w:before="36"/>
        <w:ind w:left="218" w:right="974"/>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8"/>
        <w:ind w:left="218" w:right="97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974"/>
        <w:jc w:val="left"/>
      </w:pPr>
      <w:r>
        <w:rPr/>
        <w:t>其他说明：</w:t>
      </w:r>
    </w:p>
    <w:p>
      <w:pPr>
        <w:pStyle w:val="BodyText"/>
        <w:spacing w:line="273" w:lineRule="exact"/>
        <w:ind w:left="218" w:right="97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620"/>
        </w:sectPr>
      </w:pPr>
    </w:p>
    <w:p>
      <w:pPr>
        <w:pStyle w:val="Heading5"/>
        <w:spacing w:line="240" w:lineRule="auto" w:before="36"/>
        <w:ind w:left="218" w:right="-1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218" w:right="-17"/>
        <w:jc w:val="left"/>
      </w:pPr>
      <w:r>
        <w:rPr/>
        <w:t>□适用</w:t>
      </w:r>
      <w:r>
        <w:rPr>
          <w:spacing w:val="-1"/>
        </w:rPr>
        <w:t> </w:t>
      </w:r>
      <w:r>
        <w:rPr/>
        <w:t>√不适用</w:t>
      </w:r>
    </w:p>
    <w:p>
      <w:pPr>
        <w:pStyle w:val="Heading5"/>
        <w:spacing w:line="240" w:lineRule="auto" w:before="56"/>
        <w:ind w:left="218"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18" w:right="-17"/>
        <w:jc w:val="left"/>
      </w:pPr>
      <w:r>
        <w:rPr/>
        <w:t>√适用</w:t>
      </w:r>
      <w:r>
        <w:rPr>
          <w:spacing w:val="-1"/>
        </w:rPr>
        <w:t> </w:t>
      </w:r>
      <w:r>
        <w:rPr/>
        <w:t>□不适用</w:t>
      </w:r>
    </w:p>
    <w:p>
      <w:pPr>
        <w:pStyle w:val="Heading5"/>
        <w:tabs>
          <w:tab w:pos="849" w:val="left" w:leader="none"/>
        </w:tabs>
        <w:spacing w:line="240" w:lineRule="auto" w:before="56"/>
        <w:ind w:left="218" w:right="-17"/>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spacing w:line="240" w:lineRule="auto" w:before="5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620"/>
          <w:cols w:num="2" w:equalWidth="0">
            <w:col w:w="6120" w:space="1040"/>
            <w:col w:w="255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9"/>
        <w:gridCol w:w="913"/>
        <w:gridCol w:w="890"/>
        <w:gridCol w:w="3233"/>
        <w:gridCol w:w="775"/>
        <w:gridCol w:w="891"/>
        <w:gridCol w:w="1495"/>
      </w:tblGrid>
      <w:tr>
        <w:trPr>
          <w:trHeight w:val="461" w:hRule="exact"/>
        </w:trPr>
        <w:tc>
          <w:tcPr>
            <w:tcW w:w="1279" w:type="dxa"/>
            <w:vMerge w:val="restart"/>
            <w:tcBorders>
              <w:top w:val="single" w:sz="4" w:space="0" w:color="000000"/>
              <w:left w:val="single" w:sz="4" w:space="0" w:color="000000"/>
              <w:right w:val="single" w:sz="4" w:space="0" w:color="000000"/>
            </w:tcBorders>
          </w:tcPr>
          <w:p>
            <w:pPr>
              <w:pStyle w:val="TableParagraph"/>
              <w:spacing w:line="272" w:lineRule="exact" w:before="130"/>
              <w:ind w:left="108" w:right="105"/>
              <w:jc w:val="center"/>
              <w:rPr>
                <w:rFonts w:ascii="宋体" w:hAnsi="宋体" w:cs="宋体" w:eastAsia="宋体" w:hint="default"/>
                <w:sz w:val="21"/>
                <w:szCs w:val="21"/>
              </w:rPr>
            </w:pPr>
            <w:r>
              <w:rPr>
                <w:rFonts w:ascii="宋体" w:hAnsi="宋体" w:cs="宋体" w:eastAsia="宋体" w:hint="default"/>
                <w:sz w:val="21"/>
                <w:szCs w:val="21"/>
              </w:rPr>
              <w:t>合营企业或</w:t>
            </w:r>
            <w:r>
              <w:rPr>
                <w:rFonts w:ascii="宋体" w:hAnsi="宋体" w:cs="宋体" w:eastAsia="宋体" w:hint="default"/>
                <w:w w:val="100"/>
                <w:sz w:val="21"/>
                <w:szCs w:val="21"/>
              </w:rPr>
              <w:t> </w:t>
            </w:r>
            <w:r>
              <w:rPr>
                <w:rFonts w:ascii="宋体" w:hAnsi="宋体" w:cs="宋体" w:eastAsia="宋体" w:hint="default"/>
                <w:sz w:val="21"/>
                <w:szCs w:val="21"/>
              </w:rPr>
              <w:t>联营企业名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0" w:right="134"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32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95"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对合营企业或</w:t>
            </w:r>
          </w:p>
          <w:p>
            <w:pPr>
              <w:pStyle w:val="TableParagraph"/>
              <w:spacing w:line="237" w:lineRule="auto"/>
              <w:ind w:left="112" w:right="108"/>
              <w:jc w:val="center"/>
              <w:rPr>
                <w:rFonts w:ascii="宋体" w:hAnsi="宋体" w:cs="宋体" w:eastAsia="宋体" w:hint="default"/>
                <w:sz w:val="21"/>
                <w:szCs w:val="21"/>
              </w:rPr>
            </w:pPr>
            <w:r>
              <w:rPr>
                <w:rFonts w:ascii="宋体" w:hAnsi="宋体" w:cs="宋体" w:eastAsia="宋体" w:hint="default"/>
                <w:spacing w:val="-1"/>
                <w:sz w:val="21"/>
                <w:szCs w:val="21"/>
              </w:rPr>
              <w:t>联营企业投资</w:t>
            </w:r>
            <w:r>
              <w:rPr>
                <w:rFonts w:ascii="宋体" w:hAnsi="宋体" w:cs="宋体" w:eastAsia="宋体" w:hint="default"/>
                <w:w w:val="100"/>
                <w:sz w:val="21"/>
                <w:szCs w:val="21"/>
              </w:rPr>
              <w:t> </w:t>
            </w:r>
            <w:r>
              <w:rPr>
                <w:rFonts w:ascii="宋体" w:hAnsi="宋体" w:cs="宋体" w:eastAsia="宋体" w:hint="default"/>
                <w:spacing w:val="-1"/>
                <w:sz w:val="21"/>
                <w:szCs w:val="21"/>
              </w:rPr>
              <w:t>的会计处理方</w:t>
            </w:r>
            <w:r>
              <w:rPr>
                <w:rFonts w:ascii="宋体" w:hAnsi="宋体" w:cs="宋体" w:eastAsia="宋体" w:hint="default"/>
                <w:w w:val="100"/>
                <w:sz w:val="21"/>
                <w:szCs w:val="21"/>
              </w:rPr>
              <w:t> </w:t>
            </w:r>
            <w:r>
              <w:rPr>
                <w:rFonts w:ascii="宋体" w:hAnsi="宋体" w:cs="宋体" w:eastAsia="宋体" w:hint="default"/>
                <w:sz w:val="21"/>
                <w:szCs w:val="21"/>
              </w:rPr>
              <w:t>法</w:t>
            </w:r>
          </w:p>
        </w:tc>
      </w:tr>
      <w:tr>
        <w:trPr>
          <w:trHeight w:val="638" w:hRule="exact"/>
        </w:trPr>
        <w:tc>
          <w:tcPr>
            <w:tcW w:w="1279" w:type="dxa"/>
            <w:vMerge/>
            <w:tcBorders>
              <w:left w:val="single" w:sz="4" w:space="0" w:color="000000"/>
              <w:bottom w:val="single" w:sz="4" w:space="0" w:color="000000"/>
              <w:right w:val="single" w:sz="4" w:space="0" w:color="000000"/>
            </w:tcBorders>
          </w:tcPr>
          <w:p>
            <w:pPr/>
          </w:p>
        </w:tc>
        <w:tc>
          <w:tcPr>
            <w:tcW w:w="913"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3233"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8"/>
              <w:jc w:val="right"/>
              <w:rPr>
                <w:rFonts w:ascii="宋体" w:hAnsi="宋体" w:cs="宋体" w:eastAsia="宋体" w:hint="default"/>
                <w:sz w:val="21"/>
                <w:szCs w:val="21"/>
              </w:rPr>
            </w:pPr>
            <w:r>
              <w:rPr>
                <w:rFonts w:ascii="宋体" w:hAnsi="宋体" w:cs="宋体" w:eastAsia="宋体" w:hint="default"/>
                <w:sz w:val="21"/>
                <w:szCs w:val="21"/>
              </w:rPr>
              <w:t>直接</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7"/>
              <w:jc w:val="right"/>
              <w:rPr>
                <w:rFonts w:ascii="宋体" w:hAnsi="宋体" w:cs="宋体" w:eastAsia="宋体" w:hint="default"/>
                <w:sz w:val="21"/>
                <w:szCs w:val="21"/>
              </w:rPr>
            </w:pPr>
            <w:r>
              <w:rPr>
                <w:rFonts w:ascii="宋体" w:hAnsi="宋体" w:cs="宋体" w:eastAsia="宋体" w:hint="default"/>
                <w:sz w:val="21"/>
                <w:szCs w:val="21"/>
              </w:rPr>
              <w:t>间接</w:t>
            </w:r>
          </w:p>
        </w:tc>
        <w:tc>
          <w:tcPr>
            <w:tcW w:w="1495" w:type="dxa"/>
            <w:vMerge/>
            <w:tcBorders>
              <w:left w:val="single" w:sz="4" w:space="0" w:color="000000"/>
              <w:bottom w:val="single" w:sz="4" w:space="0" w:color="000000"/>
              <w:right w:val="single" w:sz="4" w:space="0" w:color="000000"/>
            </w:tcBorders>
          </w:tcPr>
          <w:p>
            <w:pPr/>
          </w:p>
        </w:tc>
      </w:tr>
      <w:tr>
        <w:trPr>
          <w:trHeight w:val="82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基金募集、基金销售、特定客户</w:t>
            </w:r>
          </w:p>
          <w:p>
            <w:pPr>
              <w:pStyle w:val="TableParagraph"/>
              <w:spacing w:line="240" w:lineRule="auto"/>
              <w:ind w:left="103" w:right="173"/>
              <w:jc w:val="left"/>
              <w:rPr>
                <w:rFonts w:ascii="宋体" w:hAnsi="宋体" w:cs="宋体" w:eastAsia="宋体" w:hint="default"/>
                <w:sz w:val="21"/>
                <w:szCs w:val="21"/>
              </w:rPr>
            </w:pPr>
            <w:r>
              <w:rPr>
                <w:rFonts w:ascii="宋体" w:hAnsi="宋体" w:cs="宋体" w:eastAsia="宋体" w:hint="default"/>
                <w:spacing w:val="-2"/>
                <w:sz w:val="21"/>
                <w:szCs w:val="21"/>
              </w:rPr>
              <w:t>资产管理、资产管理及中国证监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会许可的其他业务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21"/>
                <w:szCs w:val="21"/>
              </w:rPr>
            </w:pPr>
            <w:r>
              <w:rPr>
                <w:rFonts w:ascii="宋体"/>
                <w:sz w:val="21"/>
              </w:rPr>
              <w:t>40.00</w:t>
            </w:r>
          </w:p>
        </w:tc>
        <w:tc>
          <w:tcPr>
            <w:tcW w:w="89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82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商品期货经纪、金融期货经纪、</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pacing w:val="-2"/>
                <w:sz w:val="21"/>
                <w:szCs w:val="21"/>
              </w:rPr>
              <w:t>期货投资咨询，资产管理，基金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销售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21"/>
                <w:szCs w:val="21"/>
              </w:rPr>
            </w:pPr>
            <w:r>
              <w:rPr>
                <w:rFonts w:ascii="宋体"/>
                <w:sz w:val="21"/>
              </w:rPr>
              <w:t>33.54</w:t>
            </w:r>
          </w:p>
        </w:tc>
        <w:tc>
          <w:tcPr>
            <w:tcW w:w="89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164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浙商资产公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参与省内金融企业不良资产的批</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量转让业务（凭浙江省人民政府</w:t>
            </w:r>
            <w:r>
              <w:rPr>
                <w:rFonts w:ascii="宋体" w:hAnsi="宋体" w:cs="宋体" w:eastAsia="宋体" w:hint="default"/>
                <w:w w:val="100"/>
                <w:sz w:val="21"/>
                <w:szCs w:val="21"/>
              </w:rPr>
              <w:t> </w:t>
            </w:r>
            <w:r>
              <w:rPr>
                <w:rFonts w:ascii="宋体" w:hAnsi="宋体" w:cs="宋体" w:eastAsia="宋体" w:hint="default"/>
                <w:spacing w:val="-3"/>
                <w:sz w:val="21"/>
                <w:szCs w:val="21"/>
              </w:rPr>
              <w:t>文件经营）。资产管理</w:t>
            </w:r>
            <w:r>
              <w:rPr>
                <w:rFonts w:ascii="宋体" w:hAnsi="宋体" w:cs="宋体" w:eastAsia="宋体" w:hint="default"/>
                <w:spacing w:val="-3"/>
                <w:sz w:val="21"/>
                <w:szCs w:val="21"/>
              </w:rPr>
              <w:t>,</w:t>
            </w:r>
            <w:r>
              <w:rPr>
                <w:rFonts w:ascii="宋体" w:hAnsi="宋体" w:cs="宋体" w:eastAsia="宋体" w:hint="default"/>
                <w:spacing w:val="-3"/>
                <w:sz w:val="21"/>
                <w:szCs w:val="21"/>
              </w:rPr>
              <w:t>资产投资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及资产管理相关的重组、兼并、</w:t>
            </w:r>
            <w:r>
              <w:rPr>
                <w:rFonts w:ascii="宋体" w:hAnsi="宋体" w:cs="宋体" w:eastAsia="宋体" w:hint="default"/>
                <w:w w:val="100"/>
                <w:sz w:val="21"/>
                <w:szCs w:val="21"/>
              </w:rPr>
              <w:t> </w:t>
            </w:r>
            <w:r>
              <w:rPr>
                <w:rFonts w:ascii="宋体" w:hAnsi="宋体" w:cs="宋体" w:eastAsia="宋体" w:hint="default"/>
                <w:spacing w:val="-4"/>
                <w:sz w:val="21"/>
                <w:szCs w:val="21"/>
              </w:rPr>
              <w:t>投资管理咨询服务</w:t>
            </w:r>
            <w:r>
              <w:rPr>
                <w:rFonts w:ascii="宋体" w:hAnsi="宋体" w:cs="宋体" w:eastAsia="宋体" w:hint="default"/>
                <w:spacing w:val="-4"/>
                <w:sz w:val="21"/>
                <w:szCs w:val="21"/>
              </w:rPr>
              <w:t>,</w:t>
            </w:r>
            <w:r>
              <w:rPr>
                <w:rFonts w:ascii="宋体" w:hAnsi="宋体" w:cs="宋体" w:eastAsia="宋体" w:hint="default"/>
                <w:spacing w:val="-4"/>
                <w:sz w:val="21"/>
                <w:szCs w:val="21"/>
              </w:rPr>
              <w:t>企业管理、财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务咨询及服务</w:t>
            </w:r>
          </w:p>
        </w:tc>
        <w:tc>
          <w:tcPr>
            <w:tcW w:w="775"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47"/>
              <w:jc w:val="right"/>
              <w:rPr>
                <w:rFonts w:ascii="宋体" w:hAnsi="宋体" w:cs="宋体" w:eastAsia="宋体" w:hint="default"/>
                <w:sz w:val="21"/>
                <w:szCs w:val="21"/>
              </w:rPr>
            </w:pPr>
            <w:r>
              <w:rPr>
                <w:rFonts w:ascii="宋体"/>
                <w:sz w:val="21"/>
              </w:rPr>
              <w:t>20.81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6"/>
        <w:rPr>
          <w:rFonts w:ascii="宋体" w:hAnsi="宋体" w:cs="宋体" w:eastAsia="宋体" w:hint="default"/>
          <w:sz w:val="18"/>
          <w:szCs w:val="18"/>
        </w:rPr>
      </w:pPr>
    </w:p>
    <w:p>
      <w:pPr>
        <w:pStyle w:val="BodyText"/>
        <w:spacing w:line="272" w:lineRule="exact" w:before="64"/>
        <w:ind w:left="218" w:right="3682"/>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18"/>
          <w:szCs w:val="18"/>
        </w:rPr>
      </w:pPr>
    </w:p>
    <w:p>
      <w:pPr>
        <w:pStyle w:val="BodyText"/>
        <w:spacing w:line="240" w:lineRule="auto"/>
        <w:ind w:left="218" w:right="97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3"/>
        <w:rPr>
          <w:rFonts w:ascii="宋体" w:hAnsi="宋体" w:cs="宋体" w:eastAsia="宋体" w:hint="default"/>
          <w:sz w:val="25"/>
          <w:szCs w:val="25"/>
        </w:rPr>
      </w:pPr>
    </w:p>
    <w:p>
      <w:pPr>
        <w:pStyle w:val="Heading5"/>
        <w:tabs>
          <w:tab w:pos="849" w:val="left" w:leader="none"/>
        </w:tabs>
        <w:spacing w:line="240" w:lineRule="auto"/>
        <w:ind w:left="218" w:right="974"/>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spacing w:line="240" w:lineRule="auto" w:before="56"/>
        <w:ind w:left="218" w:right="97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380" w:left="1580" w:right="620"/>
        </w:sectPr>
      </w:pPr>
    </w:p>
    <w:p>
      <w:pPr>
        <w:pStyle w:val="Heading5"/>
        <w:tabs>
          <w:tab w:pos="849" w:val="left" w:leader="none"/>
        </w:tabs>
        <w:spacing w:line="240" w:lineRule="auto" w:before="36"/>
        <w:ind w:left="21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spacing w:line="240" w:lineRule="auto" w:before="56"/>
        <w:ind w:left="2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3591" w:space="3358"/>
            <w:col w:w="276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8"/>
        <w:gridCol w:w="1901"/>
        <w:gridCol w:w="2007"/>
        <w:gridCol w:w="1901"/>
        <w:gridCol w:w="2009"/>
      </w:tblGrid>
      <w:tr>
        <w:trPr>
          <w:trHeight w:val="420" w:hRule="exact"/>
        </w:trPr>
        <w:tc>
          <w:tcPr>
            <w:tcW w:w="1658" w:type="dxa"/>
            <w:vMerge w:val="restart"/>
            <w:tcBorders>
              <w:top w:val="single" w:sz="4" w:space="0" w:color="000000"/>
              <w:left w:val="single" w:sz="4" w:space="0" w:color="000000"/>
              <w:right w:val="single" w:sz="6" w:space="0" w:color="000000"/>
            </w:tcBorders>
          </w:tcPr>
          <w:p>
            <w:pPr/>
          </w:p>
        </w:tc>
        <w:tc>
          <w:tcPr>
            <w:tcW w:w="390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91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425" w:hRule="exact"/>
        </w:trPr>
        <w:tc>
          <w:tcPr>
            <w:tcW w:w="1658" w:type="dxa"/>
            <w:vMerge/>
            <w:tcBorders>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财通基金</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永安期货</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财通基金</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永安期货</w:t>
            </w: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1,629,007,864.82</w:t>
            </w:r>
          </w:p>
        </w:tc>
        <w:tc>
          <w:tcPr>
            <w:tcW w:w="200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26,311,400,036.36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1,690,670,041.39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27,481,357,010.94</w:t>
            </w:r>
          </w:p>
        </w:tc>
      </w:tr>
    </w:tbl>
    <w:p>
      <w:pPr>
        <w:spacing w:after="0" w:line="241" w:lineRule="exact"/>
        <w:jc w:val="center"/>
        <w:rPr>
          <w:rFonts w:ascii="宋体" w:hAnsi="宋体" w:cs="宋体" w:eastAsia="宋体" w:hint="default"/>
          <w:sz w:val="21"/>
          <w:szCs w:val="21"/>
        </w:rPr>
        <w:sectPr>
          <w:type w:val="continuous"/>
          <w:pgSz w:w="11910" w:h="16840"/>
          <w:pgMar w:top="1060" w:bottom="1380" w:left="158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658"/>
        <w:gridCol w:w="1901"/>
        <w:gridCol w:w="2007"/>
        <w:gridCol w:w="1901"/>
        <w:gridCol w:w="2009"/>
      </w:tblGrid>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0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335,211,744.67</w:t>
            </w:r>
          </w:p>
        </w:tc>
        <w:tc>
          <w:tcPr>
            <w:tcW w:w="2007"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3,553,737,242.17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504,516,311.66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2,949,746,802.53</w:t>
            </w:r>
          </w:p>
        </w:tc>
      </w:tr>
      <w:tr>
        <w:trPr>
          <w:trHeight w:val="422"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1,964,219,609.49</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29,865,137,278.53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2,195,186,353.05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30,431,103,813.47</w:t>
            </w: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462,859,473.83</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22,827,463,717.92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689,918,260.64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24,182,798,840.93</w:t>
            </w:r>
          </w:p>
        </w:tc>
      </w:tr>
      <w:tr>
        <w:trPr>
          <w:trHeight w:val="422"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165,481,704.22</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80,008,135.14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48,940,088.07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572,759,960.85</w:t>
            </w: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628,341,178.05</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22,907,471,853.06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738,858,348.71</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24,755,558,801.78</w:t>
            </w:r>
          </w:p>
        </w:tc>
      </w:tr>
      <w:tr>
        <w:trPr>
          <w:trHeight w:val="422"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11,953,248.19</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983,448,863.57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77,754,369.06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128,603,420.87</w:t>
            </w:r>
          </w:p>
        </w:tc>
      </w:tr>
      <w:tr>
        <w:trPr>
          <w:trHeight w:val="833"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6"/>
              <w:jc w:val="right"/>
              <w:rPr>
                <w:rFonts w:ascii="宋体" w:hAnsi="宋体" w:cs="宋体" w:eastAsia="宋体" w:hint="default"/>
                <w:sz w:val="21"/>
                <w:szCs w:val="21"/>
              </w:rPr>
            </w:pPr>
            <w:r>
              <w:rPr>
                <w:rFonts w:ascii="宋体"/>
                <w:spacing w:val="-1"/>
                <w:sz w:val="21"/>
              </w:rPr>
              <w:t>1,323,925,183.25</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6"/>
              <w:jc w:val="right"/>
              <w:rPr>
                <w:rFonts w:ascii="宋体" w:hAnsi="宋体" w:cs="宋体" w:eastAsia="宋体" w:hint="default"/>
                <w:sz w:val="21"/>
                <w:szCs w:val="21"/>
              </w:rPr>
            </w:pPr>
            <w:r>
              <w:rPr>
                <w:rFonts w:ascii="宋体"/>
                <w:spacing w:val="-1"/>
                <w:sz w:val="21"/>
              </w:rPr>
              <w:t>5,974,216,561.90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6"/>
              <w:jc w:val="right"/>
              <w:rPr>
                <w:rFonts w:ascii="宋体" w:hAnsi="宋体" w:cs="宋体" w:eastAsia="宋体" w:hint="default"/>
                <w:sz w:val="21"/>
                <w:szCs w:val="21"/>
              </w:rPr>
            </w:pPr>
            <w:r>
              <w:rPr>
                <w:rFonts w:ascii="宋体"/>
                <w:spacing w:val="-1"/>
                <w:sz w:val="21"/>
              </w:rPr>
              <w:t>1,378,573,635.28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6"/>
              <w:jc w:val="right"/>
              <w:rPr>
                <w:rFonts w:ascii="宋体" w:hAnsi="宋体" w:cs="宋体" w:eastAsia="宋体" w:hint="default"/>
                <w:sz w:val="21"/>
                <w:szCs w:val="21"/>
              </w:rPr>
            </w:pPr>
            <w:r>
              <w:rPr>
                <w:rFonts w:ascii="宋体"/>
                <w:spacing w:val="-1"/>
                <w:sz w:val="21"/>
              </w:rPr>
              <w:t>5,546,941,590.82</w:t>
            </w:r>
          </w:p>
        </w:tc>
      </w:tr>
      <w:tr>
        <w:trPr>
          <w:trHeight w:val="1241"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w:t>
            </w:r>
          </w:p>
          <w:p>
            <w:pPr>
              <w:pStyle w:val="TableParagraph"/>
              <w:spacing w:line="357" w:lineRule="auto" w:before="133"/>
              <w:ind w:left="103" w:right="278"/>
              <w:jc w:val="left"/>
              <w:rPr>
                <w:rFonts w:ascii="宋体" w:hAnsi="宋体" w:cs="宋体" w:eastAsia="宋体" w:hint="default"/>
                <w:sz w:val="21"/>
                <w:szCs w:val="21"/>
              </w:rPr>
            </w:pPr>
            <w:r>
              <w:rPr>
                <w:rFonts w:ascii="宋体" w:hAnsi="宋体" w:cs="宋体" w:eastAsia="宋体" w:hint="default"/>
                <w:sz w:val="21"/>
                <w:szCs w:val="21"/>
              </w:rPr>
              <w:t>算的净资产份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529,570,073.30</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2,003,632,743.78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551,429,454.10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1,860,333,266.98</w:t>
            </w:r>
          </w:p>
        </w:tc>
      </w:tr>
      <w:tr>
        <w:trPr>
          <w:trHeight w:val="422"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359,168,235.61</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359,168,235.61</w:t>
            </w: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359,168,235.61</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359,168,235.61</w:t>
            </w:r>
          </w:p>
        </w:tc>
      </w:tr>
      <w:tr>
        <w:trPr>
          <w:trHeight w:val="830"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实现利润</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r>
      <w:tr>
        <w:trPr>
          <w:trHeight w:val="1241"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w:t>
            </w:r>
          </w:p>
          <w:p>
            <w:pPr>
              <w:pStyle w:val="TableParagraph"/>
              <w:spacing w:line="357" w:lineRule="auto" w:before="133"/>
              <w:ind w:left="103" w:right="278"/>
              <w:jc w:val="left"/>
              <w:rPr>
                <w:rFonts w:ascii="宋体" w:hAnsi="宋体" w:cs="宋体" w:eastAsia="宋体" w:hint="default"/>
                <w:sz w:val="21"/>
                <w:szCs w:val="21"/>
              </w:rPr>
            </w:pPr>
            <w:r>
              <w:rPr>
                <w:rFonts w:ascii="宋体" w:hAnsi="宋体" w:cs="宋体" w:eastAsia="宋体" w:hint="default"/>
                <w:sz w:val="21"/>
                <w:szCs w:val="21"/>
              </w:rPr>
              <w:t>益投资的账面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529,570,073.30</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2,362,800,979.39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551,429,454.10</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2,219,501,502.59</w:t>
            </w:r>
          </w:p>
        </w:tc>
      </w:tr>
      <w:tr>
        <w:trPr>
          <w:trHeight w:val="1649"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存在公开报价</w:t>
            </w:r>
          </w:p>
          <w:p>
            <w:pPr>
              <w:pStyle w:val="TableParagraph"/>
              <w:spacing w:line="357" w:lineRule="auto" w:before="133"/>
              <w:ind w:left="103" w:right="278"/>
              <w:jc w:val="both"/>
              <w:rPr>
                <w:rFonts w:ascii="宋体" w:hAnsi="宋体" w:cs="宋体" w:eastAsia="宋体" w:hint="default"/>
                <w:sz w:val="21"/>
                <w:szCs w:val="21"/>
              </w:rPr>
            </w:pPr>
            <w:r>
              <w:rPr>
                <w:rFonts w:ascii="宋体" w:hAnsi="宋体" w:cs="宋体" w:eastAsia="宋体" w:hint="default"/>
                <w:sz w:val="21"/>
                <w:szCs w:val="21"/>
              </w:rPr>
              <w:t>的联营企业权</w:t>
            </w:r>
            <w:r>
              <w:rPr>
                <w:rFonts w:ascii="宋体" w:hAnsi="宋体" w:cs="宋体" w:eastAsia="宋体" w:hint="default"/>
                <w:w w:val="100"/>
                <w:sz w:val="21"/>
                <w:szCs w:val="21"/>
              </w:rPr>
              <w:t> </w:t>
            </w:r>
            <w:r>
              <w:rPr>
                <w:rFonts w:ascii="宋体" w:hAnsi="宋体" w:cs="宋体" w:eastAsia="宋体" w:hint="default"/>
                <w:sz w:val="21"/>
                <w:szCs w:val="21"/>
              </w:rPr>
              <w:t>益投资的公允</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r>
      <w:tr>
        <w:trPr>
          <w:trHeight w:val="423"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663,838,668.68</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15,915,413,003.27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1,518,441,134.19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9,685,133,217.52</w:t>
            </w: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-70,839,239.54</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976,095,289.31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512,949,708.98</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901,347,675.37</w:t>
            </w:r>
          </w:p>
        </w:tc>
      </w:tr>
      <w:tr>
        <w:trPr>
          <w:trHeight w:val="830"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901"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-30,335,342.57</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-304,022,283.83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-1,395,205.29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68,764,718.16</w:t>
            </w:r>
          </w:p>
        </w:tc>
      </w:tr>
      <w:tr>
        <w:trPr>
          <w:trHeight w:val="422" w:hRule="exact"/>
        </w:trPr>
        <w:tc>
          <w:tcPr>
            <w:tcW w:w="16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-101,174,582.11</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672,073,005.48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511,554,503.69</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970,112,393.53</w:t>
            </w:r>
          </w:p>
        </w:tc>
      </w:tr>
      <w:tr>
        <w:trPr>
          <w:trHeight w:val="1239" w:hRule="exact"/>
        </w:trPr>
        <w:tc>
          <w:tcPr>
            <w:tcW w:w="1658"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w:t>
            </w:r>
          </w:p>
          <w:p>
            <w:pPr>
              <w:pStyle w:val="TableParagraph"/>
              <w:spacing w:line="357" w:lineRule="auto" w:before="133"/>
              <w:ind w:left="103" w:right="278"/>
              <w:jc w:val="left"/>
              <w:rPr>
                <w:rFonts w:ascii="宋体" w:hAnsi="宋体" w:cs="宋体" w:eastAsia="宋体" w:hint="default"/>
                <w:sz w:val="21"/>
                <w:szCs w:val="21"/>
              </w:rPr>
            </w:pPr>
            <w:r>
              <w:rPr>
                <w:rFonts w:ascii="宋体" w:hAnsi="宋体" w:cs="宋体" w:eastAsia="宋体" w:hint="default"/>
                <w:sz w:val="21"/>
                <w:szCs w:val="21"/>
              </w:rPr>
              <w:t>来自联营企业</w:t>
            </w:r>
            <w:r>
              <w:rPr>
                <w:rFonts w:ascii="宋体" w:hAnsi="宋体" w:cs="宋体" w:eastAsia="宋体" w:hint="default"/>
                <w:w w:val="100"/>
                <w:sz w:val="21"/>
                <w:szCs w:val="21"/>
              </w:rPr>
              <w:t> </w:t>
            </w:r>
            <w:r>
              <w:rPr>
                <w:rFonts w:ascii="宋体" w:hAnsi="宋体" w:cs="宋体" w:eastAsia="宋体" w:hint="default"/>
                <w:sz w:val="21"/>
                <w:szCs w:val="21"/>
              </w:rPr>
              <w:t>的股利</w:t>
            </w:r>
          </w:p>
        </w:tc>
        <w:tc>
          <w:tcPr>
            <w:tcW w:w="1901" w:type="dxa"/>
            <w:tcBorders>
              <w:top w:val="single" w:sz="6" w:space="0" w:color="000000"/>
              <w:left w:val="single" w:sz="6" w:space="0" w:color="000000"/>
              <w:bottom w:val="single" w:sz="4" w:space="0" w:color="000000"/>
              <w:right w:val="single" w:sz="6" w:space="0" w:color="000000"/>
            </w:tcBorders>
          </w:tcPr>
          <w:p>
            <w:pPr/>
          </w:p>
        </w:tc>
        <w:tc>
          <w:tcPr>
            <w:tcW w:w="200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52,721,739.00</w:t>
            </w:r>
          </w:p>
        </w:tc>
        <w:tc>
          <w:tcPr>
            <w:tcW w:w="1901" w:type="dxa"/>
            <w:tcBorders>
              <w:top w:val="single" w:sz="6" w:space="0" w:color="000000"/>
              <w:left w:val="single" w:sz="6" w:space="0" w:color="000000"/>
              <w:bottom w:val="single" w:sz="4" w:space="0" w:color="000000"/>
              <w:right w:val="single" w:sz="6" w:space="0" w:color="000000"/>
            </w:tcBorders>
          </w:tcPr>
          <w:p>
            <w:pPr/>
          </w:p>
        </w:tc>
        <w:tc>
          <w:tcPr>
            <w:tcW w:w="20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65,902,173.75</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620"/>
        </w:sectPr>
      </w:pPr>
    </w:p>
    <w:p>
      <w:pPr>
        <w:spacing w:line="240" w:lineRule="auto" w:before="7"/>
        <w:rPr>
          <w:rFonts w:ascii="Times New Roman" w:hAnsi="Times New Roman" w:cs="Times New Roman" w:eastAsia="Times New Roman" w:hint="default"/>
          <w:sz w:val="28"/>
          <w:szCs w:val="28"/>
        </w:rPr>
      </w:pPr>
    </w:p>
    <w:p>
      <w:pPr>
        <w:pStyle w:val="BodyText"/>
        <w:spacing w:line="240" w:lineRule="auto" w:before="36"/>
        <w:ind w:left="218" w:right="974"/>
        <w:jc w:val="left"/>
      </w:pPr>
      <w:r>
        <w:rPr/>
        <w:t>（续上表）</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529"/>
        <w:gridCol w:w="2820"/>
      </w:tblGrid>
      <w:tr>
        <w:trPr>
          <w:trHeight w:val="271" w:hRule="exact"/>
        </w:trPr>
        <w:tc>
          <w:tcPr>
            <w:tcW w:w="3529" w:type="dxa"/>
            <w:vMerge w:val="restart"/>
            <w:tcBorders>
              <w:top w:val="single" w:sz="4" w:space="0" w:color="000000"/>
              <w:left w:val="single" w:sz="4" w:space="0" w:color="000000"/>
              <w:right w:val="single" w:sz="6" w:space="0" w:color="000000"/>
            </w:tcBorders>
          </w:tcPr>
          <w:p>
            <w:pPr/>
          </w:p>
        </w:tc>
        <w:tc>
          <w:tcPr>
            <w:tcW w:w="2820"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227"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/2018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10-12</w:t>
            </w:r>
            <w:r>
              <w:rPr>
                <w:rFonts w:ascii="宋体" w:hAnsi="宋体" w:cs="宋体" w:eastAsia="宋体" w:hint="default"/>
                <w:spacing w:val="-51"/>
                <w:sz w:val="20"/>
                <w:szCs w:val="20"/>
              </w:rPr>
              <w:t> </w:t>
            </w:r>
            <w:r>
              <w:rPr>
                <w:rFonts w:ascii="宋体" w:hAnsi="宋体" w:cs="宋体" w:eastAsia="宋体" w:hint="default"/>
                <w:sz w:val="20"/>
                <w:szCs w:val="20"/>
              </w:rPr>
              <w:t>月数</w:t>
            </w:r>
          </w:p>
        </w:tc>
      </w:tr>
      <w:tr>
        <w:trPr>
          <w:trHeight w:val="274" w:hRule="exact"/>
        </w:trPr>
        <w:tc>
          <w:tcPr>
            <w:tcW w:w="3529" w:type="dxa"/>
            <w:vMerge/>
            <w:tcBorders>
              <w:left w:val="single" w:sz="4"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03" w:right="0"/>
              <w:jc w:val="left"/>
              <w:rPr>
                <w:rFonts w:ascii="宋体" w:hAnsi="宋体" w:cs="宋体" w:eastAsia="宋体" w:hint="default"/>
                <w:sz w:val="20"/>
                <w:szCs w:val="20"/>
              </w:rPr>
            </w:pPr>
            <w:r>
              <w:rPr>
                <w:rFonts w:ascii="宋体" w:hAnsi="宋体" w:cs="宋体" w:eastAsia="宋体" w:hint="default"/>
                <w:sz w:val="20"/>
                <w:szCs w:val="20"/>
              </w:rPr>
              <w:t>浙商资产公司（合并）</w:t>
            </w: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38,694,921,921.57</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7,617,473,138.00</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46,312,395,059.57</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0"/>
              <w:jc w:val="right"/>
              <w:rPr>
                <w:rFonts w:ascii="宋体" w:hAnsi="宋体" w:cs="宋体" w:eastAsia="宋体" w:hint="default"/>
                <w:sz w:val="20"/>
                <w:szCs w:val="20"/>
              </w:rPr>
            </w:pPr>
            <w:r>
              <w:rPr>
                <w:rFonts w:ascii="宋体"/>
                <w:w w:val="95"/>
                <w:sz w:val="20"/>
              </w:rPr>
              <w:t>22,920,706,260.84</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12,457,707,626.08</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35,378,413,886.92</w:t>
            </w:r>
            <w:r>
              <w:rPr>
                <w:rFonts w:ascii="宋体"/>
                <w:sz w:val="20"/>
              </w:rPr>
            </w: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2,598,785,246.20</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8,335,195,926.45</w:t>
            </w:r>
            <w:r>
              <w:rPr>
                <w:rFonts w:ascii="宋体"/>
                <w:sz w:val="20"/>
              </w:rPr>
            </w: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1,734,554,272.30</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调整事项</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328,755,486.05</w:t>
            </w:r>
            <w:r>
              <w:rPr>
                <w:rFonts w:ascii="宋体"/>
                <w:sz w:val="20"/>
              </w:rPr>
            </w: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商誉</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328,755,486.05</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内部交易未实现利润</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其他</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对联营企业权益投资的账面价值</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00"/>
              <w:jc w:val="right"/>
              <w:rPr>
                <w:rFonts w:ascii="宋体" w:hAnsi="宋体" w:cs="宋体" w:eastAsia="宋体" w:hint="default"/>
                <w:sz w:val="20"/>
                <w:szCs w:val="20"/>
              </w:rPr>
            </w:pPr>
            <w:r>
              <w:rPr>
                <w:rFonts w:ascii="宋体"/>
                <w:w w:val="95"/>
                <w:sz w:val="20"/>
              </w:rPr>
              <w:t>2,063,309,758.35</w:t>
            </w:r>
            <w:r>
              <w:rPr>
                <w:rFonts w:ascii="宋体"/>
                <w:sz w:val="20"/>
              </w:rPr>
            </w:r>
          </w:p>
        </w:tc>
      </w:tr>
      <w:tr>
        <w:trPr>
          <w:trHeight w:val="533"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存在公开报价的联营企业权益投资的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公允价值</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99"/>
              <w:jc w:val="right"/>
              <w:rPr>
                <w:rFonts w:ascii="宋体" w:hAnsi="宋体" w:cs="宋体" w:eastAsia="宋体" w:hint="default"/>
                <w:sz w:val="20"/>
                <w:szCs w:val="20"/>
              </w:rPr>
            </w:pPr>
            <w:r>
              <w:rPr>
                <w:rFonts w:ascii="宋体"/>
                <w:w w:val="95"/>
                <w:sz w:val="20"/>
              </w:rPr>
              <w:t>970,890,095.36</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134,643,725.38</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终止经营的净利润</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-5,831,397.73</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128,812,327.65</w:t>
            </w:r>
            <w:r>
              <w:rPr>
                <w:rFonts w:ascii="宋体"/>
                <w:sz w:val="20"/>
              </w:rPr>
            </w:r>
          </w:p>
        </w:tc>
      </w:tr>
      <w:tr>
        <w:trPr>
          <w:trHeight w:val="274" w:hRule="exact"/>
        </w:trPr>
        <w:tc>
          <w:tcPr>
            <w:tcW w:w="3529" w:type="dxa"/>
            <w:tcBorders>
              <w:top w:val="single" w:sz="6" w:space="0" w:color="000000"/>
              <w:left w:val="single" w:sz="4"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529" w:type="dxa"/>
            <w:tcBorders>
              <w:top w:val="single" w:sz="6" w:space="0" w:color="000000"/>
              <w:left w:val="single" w:sz="4" w:space="0" w:color="000000"/>
              <w:bottom w:val="single" w:sz="4" w:space="0" w:color="000000"/>
              <w:right w:val="single" w:sz="6"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本年度收到的来自联营企业的股利</w:t>
            </w:r>
          </w:p>
        </w:tc>
        <w:tc>
          <w:tcPr>
            <w:tcW w:w="282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218" w:right="974"/>
        <w:jc w:val="left"/>
      </w:pPr>
      <w:r>
        <w:rPr/>
        <w:t>其他说明</w:t>
      </w:r>
    </w:p>
    <w:p>
      <w:pPr>
        <w:pStyle w:val="BodyText"/>
        <w:spacing w:line="240" w:lineRule="auto" w:before="133"/>
        <w:ind w:left="638" w:right="974"/>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日，本年度收到的来自联营企业的股利已宣告但未发放。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620"/>
        </w:sectPr>
      </w:pPr>
    </w:p>
    <w:p>
      <w:pPr>
        <w:spacing w:line="240" w:lineRule="auto" w:before="7"/>
        <w:rPr>
          <w:rFonts w:ascii="宋体" w:hAnsi="宋体" w:cs="宋体" w:eastAsia="宋体" w:hint="default"/>
          <w:sz w:val="15"/>
          <w:szCs w:val="15"/>
        </w:rPr>
      </w:pPr>
    </w:p>
    <w:p>
      <w:pPr>
        <w:pStyle w:val="Heading5"/>
        <w:tabs>
          <w:tab w:pos="849" w:val="left" w:leader="none"/>
        </w:tabs>
        <w:spacing w:line="240" w:lineRule="auto"/>
        <w:ind w:left="21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5069" w:space="1880"/>
            <w:col w:w="276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1"/>
        <w:gridCol w:w="3216"/>
        <w:gridCol w:w="3219"/>
      </w:tblGrid>
      <w:tr>
        <w:trPr>
          <w:trHeight w:val="281" w:hRule="exact"/>
        </w:trPr>
        <w:tc>
          <w:tcPr>
            <w:tcW w:w="3041" w:type="dxa"/>
            <w:tcBorders>
              <w:top w:val="single" w:sz="4" w:space="0" w:color="000000"/>
              <w:left w:val="single" w:sz="4" w:space="0" w:color="000000"/>
              <w:bottom w:val="single" w:sz="4" w:space="0" w:color="000000"/>
              <w:right w:val="single" w:sz="4" w:space="0" w:color="000000"/>
            </w:tcBorders>
          </w:tcPr>
          <w:p>
            <w:pP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216" w:type="dxa"/>
            <w:tcBorders>
              <w:top w:val="single" w:sz="4" w:space="0" w:color="000000"/>
              <w:left w:val="single" w:sz="4" w:space="0" w:color="000000"/>
              <w:bottom w:val="single" w:sz="4" w:space="0" w:color="000000"/>
              <w:right w:val="single" w:sz="4" w:space="0" w:color="000000"/>
            </w:tcBorders>
          </w:tcPr>
          <w:p>
            <w:pPr/>
          </w:p>
        </w:tc>
        <w:tc>
          <w:tcPr>
            <w:tcW w:w="32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
        </w:tc>
        <w:tc>
          <w:tcPr>
            <w:tcW w:w="3216" w:type="dxa"/>
            <w:tcBorders>
              <w:top w:val="single" w:sz="4" w:space="0" w:color="000000"/>
              <w:left w:val="single" w:sz="4" w:space="0" w:color="000000"/>
              <w:bottom w:val="single" w:sz="4" w:space="0" w:color="000000"/>
              <w:right w:val="single" w:sz="4" w:space="0" w:color="000000"/>
            </w:tcBorders>
          </w:tcPr>
          <w:p>
            <w:pPr/>
          </w:p>
        </w:tc>
        <w:tc>
          <w:tcPr>
            <w:tcW w:w="32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103,450,940.55</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56,003,585.48</w:t>
            </w:r>
          </w:p>
        </w:tc>
      </w:tr>
      <w:tr>
        <w:trPr>
          <w:trHeight w:val="557"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3216" w:type="dxa"/>
            <w:tcBorders>
              <w:top w:val="single" w:sz="4" w:space="0" w:color="000000"/>
              <w:left w:val="single" w:sz="4" w:space="0" w:color="000000"/>
              <w:bottom w:val="single" w:sz="4" w:space="0" w:color="000000"/>
              <w:right w:val="single" w:sz="4" w:space="0" w:color="000000"/>
            </w:tcBorders>
          </w:tcPr>
          <w:p>
            <w:pPr/>
          </w:p>
        </w:tc>
        <w:tc>
          <w:tcPr>
            <w:tcW w:w="32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-488,243.73</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-629,403.38</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1,181,208.57</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-1,020,011.14</w:t>
            </w:r>
          </w:p>
        </w:tc>
      </w:tr>
      <w:tr>
        <w:trPr>
          <w:trHeight w:val="28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692,964.84</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-1,649,414.52</w:t>
            </w:r>
          </w:p>
        </w:tc>
      </w:tr>
    </w:tbl>
    <w:p>
      <w:pPr>
        <w:pStyle w:val="BodyText"/>
        <w:spacing w:line="239" w:lineRule="exact"/>
        <w:ind w:left="218" w:right="974"/>
        <w:jc w:val="left"/>
      </w:pPr>
      <w:r>
        <w:rPr/>
        <w:t>其他说明</w:t>
      </w:r>
    </w:p>
    <w:p>
      <w:pPr>
        <w:pStyle w:val="BodyText"/>
        <w:spacing w:line="273" w:lineRule="exact"/>
        <w:ind w:left="218" w:right="974"/>
        <w:jc w:val="left"/>
      </w:pPr>
      <w:r>
        <w:rPr>
          <w:w w:val="100"/>
        </w:rPr>
        <w:t>无</w:t>
      </w:r>
    </w:p>
    <w:p>
      <w:pPr>
        <w:spacing w:after="0" w:line="273" w:lineRule="exact"/>
        <w:jc w:val="left"/>
        <w:sectPr>
          <w:type w:val="continuous"/>
          <w:pgSz w:w="11910" w:h="16840"/>
          <w:pgMar w:top="1060" w:bottom="1380" w:left="158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849" w:val="left" w:leader="none"/>
        </w:tabs>
        <w:spacing w:line="240" w:lineRule="auto" w:before="175"/>
        <w:ind w:left="218" w:right="205"/>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spacing w:line="240" w:lineRule="auto" w:before="56"/>
        <w:ind w:left="218" w:right="2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849" w:val="left" w:leader="none"/>
        </w:tabs>
        <w:spacing w:line="240" w:lineRule="auto"/>
        <w:ind w:left="218" w:right="205"/>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spacing w:line="240" w:lineRule="auto" w:before="58"/>
        <w:ind w:left="218" w:right="2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tabs>
          <w:tab w:pos="849" w:val="left" w:leader="none"/>
        </w:tabs>
        <w:spacing w:line="240" w:lineRule="auto"/>
        <w:ind w:left="218" w:right="205"/>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spacing w:line="240" w:lineRule="auto" w:before="58"/>
        <w:ind w:left="218" w:right="2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849" w:val="left" w:leader="none"/>
        </w:tabs>
        <w:spacing w:line="240" w:lineRule="auto"/>
        <w:ind w:left="218" w:right="205"/>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spacing w:line="240" w:lineRule="auto" w:before="56"/>
        <w:ind w:left="218" w:right="2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218" w:right="20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218" w:right="2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0" w:lineRule="auto" w:before="0"/>
        <w:ind w:left="218" w:right="431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8" w:lineRule="exact"/>
        <w:ind w:left="218" w:right="205"/>
        <w:jc w:val="left"/>
      </w:pPr>
      <w:r>
        <w:rPr/>
        <w:t>√适用</w:t>
      </w:r>
      <w:r>
        <w:rPr>
          <w:spacing w:val="-1"/>
        </w:rPr>
        <w:t> </w:t>
      </w:r>
      <w:r>
        <w:rPr/>
        <w:t>□不适用</w:t>
      </w:r>
    </w:p>
    <w:p>
      <w:pPr>
        <w:pStyle w:val="BodyText"/>
        <w:spacing w:line="273" w:lineRule="exact"/>
        <w:ind w:left="638" w:right="205"/>
        <w:jc w:val="left"/>
      </w:pPr>
      <w:r>
        <w:rPr>
          <w:rFonts w:ascii="宋体" w:hAnsi="宋体" w:cs="宋体" w:eastAsia="宋体" w:hint="default"/>
        </w:rPr>
        <w:t>1.</w:t>
      </w:r>
      <w:r>
        <w:rPr>
          <w:rFonts w:ascii="宋体" w:hAnsi="宋体" w:cs="宋体" w:eastAsia="宋体" w:hint="default"/>
          <w:spacing w:val="-6"/>
        </w:rPr>
        <w:t> </w:t>
      </w:r>
      <w:r>
        <w:rPr/>
        <w:t>未纳入合并财务报表范围的结构化主体的基础信息</w:t>
      </w:r>
    </w:p>
    <w:p>
      <w:pPr>
        <w:pStyle w:val="BodyText"/>
        <w:spacing w:line="240" w:lineRule="auto" w:before="135"/>
        <w:ind w:left="638" w:right="205"/>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日止，由公司（含子公司）管理的未合并结构化主体的资产总额为人民币</w:t>
      </w:r>
    </w:p>
    <w:p>
      <w:pPr>
        <w:pStyle w:val="BodyText"/>
        <w:spacing w:line="240" w:lineRule="auto" w:before="133"/>
        <w:ind w:left="218" w:right="0"/>
        <w:jc w:val="left"/>
      </w:pPr>
      <w:r>
        <w:rPr>
          <w:rFonts w:ascii="宋体" w:hAnsi="宋体" w:cs="宋体" w:eastAsia="宋体" w:hint="default"/>
        </w:rPr>
        <w:t>1,643.76</w:t>
      </w:r>
      <w:r>
        <w:rPr>
          <w:rFonts w:ascii="宋体" w:hAnsi="宋体" w:cs="宋体" w:eastAsia="宋体" w:hint="default"/>
          <w:spacing w:val="-57"/>
        </w:rPr>
        <w:t> </w:t>
      </w:r>
      <w:r>
        <w:rPr/>
        <w:t>亿元。</w:t>
      </w:r>
      <w:r>
        <w:rPr>
          <w:rFonts w:ascii="宋体" w:hAnsi="宋体" w:cs="宋体" w:eastAsia="宋体" w:hint="default"/>
        </w:rPr>
        <w:t>2018</w:t>
      </w:r>
      <w:r>
        <w:rPr>
          <w:rFonts w:ascii="宋体" w:hAnsi="宋体" w:cs="宋体" w:eastAsia="宋体" w:hint="default"/>
          <w:spacing w:val="-55"/>
        </w:rPr>
        <w:t> </w:t>
      </w:r>
      <w:r>
        <w:rPr/>
        <w:t>年度，公司（含子公司）从上述结构化主体中获取的管理费收入为</w:t>
      </w:r>
      <w:r>
        <w:rPr>
          <w:spacing w:val="-54"/>
        </w:rPr>
        <w:t> </w:t>
      </w:r>
      <w:r>
        <w:rPr>
          <w:rFonts w:ascii="宋体" w:hAnsi="宋体" w:cs="宋体" w:eastAsia="宋体" w:hint="default"/>
        </w:rPr>
        <w:t>6.23</w:t>
      </w:r>
      <w:r>
        <w:rPr>
          <w:rFonts w:ascii="宋体" w:hAnsi="宋体" w:cs="宋体" w:eastAsia="宋体" w:hint="default"/>
          <w:spacing w:val="-55"/>
        </w:rPr>
        <w:t> </w:t>
      </w:r>
      <w:r>
        <w:rPr/>
        <w:t>亿元。</w:t>
      </w:r>
    </w:p>
    <w:p>
      <w:pPr>
        <w:pStyle w:val="BodyText"/>
        <w:spacing w:line="240" w:lineRule="auto" w:before="133"/>
        <w:ind w:left="638" w:right="205"/>
        <w:jc w:val="left"/>
      </w:pPr>
      <w:r>
        <w:rPr>
          <w:rFonts w:ascii="宋体" w:hAnsi="宋体" w:cs="宋体" w:eastAsia="宋体" w:hint="default"/>
        </w:rPr>
        <w:t>2.</w:t>
      </w:r>
      <w:r>
        <w:rPr>
          <w:rFonts w:ascii="宋体" w:hAnsi="宋体" w:cs="宋体" w:eastAsia="宋体" w:hint="default"/>
          <w:spacing w:val="-4"/>
        </w:rPr>
        <w:t> </w:t>
      </w:r>
      <w:r>
        <w:rPr/>
        <w:t>与权益相关资产负债的账面价值和最大损失敞口</w:t>
      </w:r>
    </w:p>
    <w:p>
      <w:pPr>
        <w:pStyle w:val="BodyText"/>
        <w:spacing w:line="240" w:lineRule="auto" w:before="133"/>
        <w:ind w:left="0" w:right="122"/>
        <w:jc w:val="right"/>
      </w:pPr>
      <w:r>
        <w:rPr>
          <w:spacing w:val="-2"/>
        </w:rPr>
        <w:t>单位：人民币亿元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669"/>
        <w:gridCol w:w="1810"/>
        <w:gridCol w:w="1810"/>
        <w:gridCol w:w="1810"/>
      </w:tblGrid>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39" w:lineRule="exact"/>
              <w:ind w:left="549" w:right="0"/>
              <w:jc w:val="left"/>
              <w:rPr>
                <w:rFonts w:ascii="宋体" w:hAnsi="宋体" w:cs="宋体" w:eastAsia="宋体" w:hint="default"/>
                <w:sz w:val="21"/>
                <w:szCs w:val="21"/>
              </w:rPr>
            </w:pPr>
            <w:r>
              <w:rPr>
                <w:rFonts w:ascii="宋体" w:hAnsi="宋体" w:cs="宋体" w:eastAsia="宋体" w:hint="default"/>
                <w:sz w:val="21"/>
                <w:szCs w:val="21"/>
              </w:rPr>
              <w:t>财务报表</w:t>
            </w:r>
          </w:p>
          <w:p>
            <w:pPr>
              <w:pStyle w:val="TableParagraph"/>
              <w:spacing w:line="273" w:lineRule="exact"/>
              <w:ind w:left="549"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3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3" w:right="0"/>
              <w:jc w:val="left"/>
              <w:rPr>
                <w:rFonts w:ascii="宋体" w:hAnsi="宋体" w:cs="宋体" w:eastAsia="宋体" w:hint="default"/>
                <w:sz w:val="21"/>
                <w:szCs w:val="21"/>
              </w:rPr>
            </w:pPr>
            <w:r>
              <w:rPr>
                <w:rFonts w:ascii="宋体" w:hAnsi="宋体" w:cs="宋体" w:eastAsia="宋体" w:hint="default"/>
                <w:sz w:val="21"/>
                <w:szCs w:val="21"/>
              </w:rPr>
              <w:t>最大损失敞口</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146.73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118.68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146.73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118.68</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益的金融资产</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1.71</w:t>
            </w:r>
          </w:p>
        </w:tc>
      </w:tr>
    </w:tbl>
    <w:p>
      <w:pPr>
        <w:pStyle w:val="BodyText"/>
        <w:spacing w:line="241" w:lineRule="exact"/>
        <w:ind w:left="638" w:right="205"/>
        <w:jc w:val="left"/>
      </w:pPr>
      <w:r>
        <w:rPr>
          <w:rFonts w:ascii="宋体" w:hAnsi="宋体" w:cs="宋体" w:eastAsia="宋体" w:hint="default"/>
        </w:rPr>
        <w:t>3.</w:t>
      </w:r>
      <w:r>
        <w:rPr>
          <w:rFonts w:ascii="宋体" w:hAnsi="宋体" w:cs="宋体" w:eastAsia="宋体" w:hint="default"/>
          <w:spacing w:val="-4"/>
        </w:rPr>
        <w:t> </w:t>
      </w:r>
      <w:r>
        <w:rPr/>
        <w:t>最大损失敞口的确定方法</w:t>
      </w:r>
    </w:p>
    <w:p>
      <w:pPr>
        <w:pStyle w:val="BodyText"/>
        <w:spacing w:line="355" w:lineRule="auto" w:before="135"/>
        <w:ind w:left="218" w:right="0" w:firstLine="419"/>
        <w:jc w:val="left"/>
      </w:pPr>
      <w:r>
        <w:rPr>
          <w:w w:val="100"/>
        </w:rPr>
        <w:t>截至</w:t>
      </w:r>
      <w:r>
        <w:rPr>
          <w:spacing w:val="-54"/>
          <w:w w:val="100"/>
        </w:rPr>
        <w:t> </w:t>
      </w:r>
      <w:r>
        <w:rPr>
          <w:rFonts w:ascii="宋体" w:hAnsi="宋体" w:cs="宋体" w:eastAsia="宋体" w:hint="default"/>
          <w:spacing w:val="-1"/>
          <w:w w:val="100"/>
        </w:rPr>
        <w:t>2018</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spacing w:val="-2"/>
          <w:w w:val="100"/>
        </w:rPr>
        <w:t>31</w:t>
      </w:r>
      <w:r>
        <w:rPr>
          <w:rFonts w:ascii="宋体" w:hAnsi="宋体" w:cs="宋体" w:eastAsia="宋体" w:hint="default"/>
          <w:spacing w:val="-54"/>
          <w:w w:val="100"/>
        </w:rPr>
        <w:t> </w:t>
      </w:r>
      <w:r>
        <w:rPr>
          <w:spacing w:val="-4"/>
          <w:w w:val="100"/>
        </w:rPr>
        <w:t>日，本公司因投资上述资产而可能遭受损失的最大风险敞口为其在报告日的</w:t>
      </w:r>
      <w:r>
        <w:rPr>
          <w:w w:val="100"/>
        </w:rPr>
        <w:t> </w:t>
      </w:r>
      <w:r>
        <w:rPr/>
        <w:t>账面价值。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left="218" w:right="20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218" w:right="205"/>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tabs>
          <w:tab w:pos="1057" w:val="left" w:leader="none"/>
        </w:tabs>
        <w:spacing w:line="240" w:lineRule="auto"/>
        <w:ind w:left="218" w:right="205"/>
        <w:jc w:val="left"/>
        <w:rPr>
          <w:b w:val="0"/>
          <w:bCs w:val="0"/>
        </w:rPr>
      </w:pPr>
      <w:r>
        <w:rPr/>
        <w:t>十一、</w:t>
        <w:tab/>
        <w:t>与金融工具相关的风险</w:t>
      </w:r>
      <w:r>
        <w:rPr>
          <w:b w:val="0"/>
          <w:bCs w:val="0"/>
        </w:rPr>
      </w:r>
    </w:p>
    <w:p>
      <w:pPr>
        <w:pStyle w:val="BodyText"/>
        <w:spacing w:line="274" w:lineRule="exact" w:before="56"/>
        <w:ind w:left="218" w:right="205"/>
        <w:jc w:val="left"/>
      </w:pPr>
      <w:r>
        <w:rPr/>
        <w:t>√适用</w:t>
      </w:r>
      <w:r>
        <w:rPr>
          <w:spacing w:val="-1"/>
        </w:rPr>
        <w:t> </w:t>
      </w:r>
      <w:r>
        <w:rPr/>
        <w:t>□不适用</w:t>
      </w:r>
    </w:p>
    <w:p>
      <w:pPr>
        <w:pStyle w:val="BodyText"/>
        <w:spacing w:line="274" w:lineRule="exact"/>
        <w:ind w:left="218" w:right="205"/>
        <w:jc w:val="left"/>
      </w:pPr>
      <w:r>
        <w:rPr/>
        <w:t>参见本报告第十一节</w:t>
      </w:r>
      <w:r>
        <w:rPr>
          <w:spacing w:val="-3"/>
        </w:rPr>
        <w:t> </w:t>
      </w:r>
      <w:r>
        <w:rPr/>
        <w:t>财务报告之“十七、风险管理”。</w:t>
      </w:r>
    </w:p>
    <w:p>
      <w:pPr>
        <w:spacing w:after="0" w:line="274" w:lineRule="exact"/>
        <w:jc w:val="left"/>
        <w:sectPr>
          <w:footerReference w:type="default" r:id="rId73"/>
          <w:pgSz w:w="11910" w:h="16840"/>
          <w:pgMar w:footer="1195" w:header="882" w:top="1120" w:bottom="1380" w:left="158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4"/>
          <w:pgSz w:w="11910" w:h="16840"/>
          <w:pgMar w:footer="1195" w:header="882" w:top="1120" w:bottom="1380" w:left="1660" w:right="700"/>
          <w:pgNumType w:start="191"/>
        </w:sectPr>
      </w:pPr>
    </w:p>
    <w:p>
      <w:pPr>
        <w:pStyle w:val="Heading5"/>
        <w:tabs>
          <w:tab w:pos="977" w:val="left" w:leader="none"/>
        </w:tabs>
        <w:spacing w:line="240" w:lineRule="auto" w:before="175"/>
        <w:ind w:right="-18"/>
        <w:jc w:val="left"/>
        <w:rPr>
          <w:b w:val="0"/>
          <w:bCs w:val="0"/>
        </w:rPr>
      </w:pPr>
      <w:r>
        <w:rPr/>
        <w:t>十二、</w:t>
        <w:tab/>
        <w:t>公允价值的披露</w:t>
      </w:r>
      <w:r>
        <w:rPr>
          <w:b w:val="0"/>
          <w:bCs w:val="0"/>
        </w:rPr>
      </w:r>
    </w:p>
    <w:p>
      <w:pPr>
        <w:pStyle w:val="Heading5"/>
        <w:spacing w:line="240" w:lineRule="auto" w:before="56"/>
        <w:ind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660" w:right="700"/>
          <w:cols w:num="2" w:equalWidth="0">
            <w:col w:w="4783" w:space="2378"/>
            <w:col w:w="238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77"/>
        <w:gridCol w:w="1819"/>
        <w:gridCol w:w="1930"/>
        <w:gridCol w:w="1465"/>
        <w:gridCol w:w="1927"/>
      </w:tblGrid>
      <w:tr>
        <w:trPr>
          <w:trHeight w:val="281" w:hRule="exact"/>
        </w:trPr>
        <w:tc>
          <w:tcPr>
            <w:tcW w:w="21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177" w:type="dxa"/>
            <w:vMerge/>
            <w:tcBorders>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w:t>
            </w:r>
          </w:p>
          <w:p>
            <w:pPr>
              <w:pStyle w:val="TableParagraph"/>
              <w:spacing w:line="240" w:lineRule="auto"/>
              <w:ind w:left="23" w:right="39"/>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4,690,400,500.71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4,626,411,502.00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9,316,812,002.71</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4,430,391,062.75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4,626,411,502.00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9,056,802,564.75</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4,185,887,412.16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4,346,411,502.00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8,532,298,914.16</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244,503,650.59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280,000,000.00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524,503,650.59</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w:t>
            </w:r>
          </w:p>
          <w:p>
            <w:pPr>
              <w:pStyle w:val="TableParagraph"/>
              <w:spacing w:line="240" w:lineRule="auto"/>
              <w:ind w:left="23" w:right="39"/>
              <w:jc w:val="left"/>
              <w:rPr>
                <w:rFonts w:ascii="宋体" w:hAnsi="宋体" w:cs="宋体" w:eastAsia="宋体" w:hint="default"/>
                <w:sz w:val="21"/>
                <w:szCs w:val="21"/>
              </w:rPr>
            </w:pPr>
            <w:r>
              <w:rPr>
                <w:rFonts w:ascii="宋体" w:hAnsi="宋体" w:cs="宋体" w:eastAsia="宋体" w:hint="default"/>
                <w:spacing w:val="-2"/>
                <w:sz w:val="21"/>
                <w:szCs w:val="21"/>
              </w:rPr>
              <w:t>量且其变动计入当期损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260,009,437.96</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260,009,437.96</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260,009,437.96</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260,009,437.96</w:t>
            </w:r>
          </w:p>
        </w:tc>
      </w:tr>
      <w:tr>
        <w:trPr>
          <w:trHeight w:val="55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574,727,872.76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14,672,668,571.25</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15,247,396,444.01</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238,631,869.80</w:t>
            </w: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238,631,869.80</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336,096,002.96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14,672,668,571.25</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15,008,764,574.21</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让的土地使用权</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（五）衍生金融资产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3,311,195.00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118,111,720.38</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121,422,915.38</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5,268,439,568.47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19,417,191,793.63</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24,685,631,362.10</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（七）指定为以公允价</w:t>
            </w:r>
          </w:p>
          <w:p>
            <w:pPr>
              <w:pStyle w:val="TableParagraph"/>
              <w:spacing w:line="272" w:lineRule="exact" w:before="27"/>
              <w:ind w:left="23" w:right="39"/>
              <w:jc w:val="left"/>
              <w:rPr>
                <w:rFonts w:ascii="宋体" w:hAnsi="宋体" w:cs="宋体" w:eastAsia="宋体" w:hint="default"/>
                <w:sz w:val="21"/>
                <w:szCs w:val="21"/>
              </w:rPr>
            </w:pPr>
            <w:r>
              <w:rPr>
                <w:rFonts w:ascii="宋体" w:hAnsi="宋体" w:cs="宋体" w:eastAsia="宋体" w:hint="default"/>
                <w:spacing w:val="-2"/>
                <w:sz w:val="21"/>
                <w:szCs w:val="21"/>
              </w:rPr>
              <w:t>值计量且变动计入当期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损益的金融负债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（八）衍生金融负债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160,205.23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8,754,882.99</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8,915,088.22</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177"/>
        <w:gridCol w:w="1819"/>
        <w:gridCol w:w="1930"/>
        <w:gridCol w:w="1465"/>
        <w:gridCol w:w="1927"/>
      </w:tblGrid>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sz w:val="21"/>
              </w:rPr>
              <w:t>160,205.23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sz w:val="21"/>
              </w:rPr>
              <w:t>8,754,882.99</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sz w:val="21"/>
              </w:rPr>
              <w:t>8,915,088.22</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5"/>
        <w:spacing w:line="240" w:lineRule="auto" w:before="36"/>
        <w:ind w:right="13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72" w:lineRule="exact" w:before="86"/>
        <w:ind w:left="558" w:right="4974" w:hanging="420"/>
        <w:jc w:val="left"/>
      </w:pPr>
      <w:r>
        <w:rPr/>
        <w:t>√适用</w:t>
      </w:r>
      <w:r>
        <w:rPr>
          <w:spacing w:val="-2"/>
        </w:rPr>
        <w:t> </w:t>
      </w:r>
      <w:r>
        <w:rPr/>
        <w:t>□不适用</w:t>
      </w:r>
      <w:r>
        <w:rPr>
          <w:w w:val="100"/>
        </w:rPr>
        <w:t> </w:t>
      </w:r>
      <w:r>
        <w:rPr>
          <w:spacing w:val="-2"/>
        </w:rPr>
        <w:t>取自公开市场查询的期末收盘价。</w:t>
      </w:r>
    </w:p>
    <w:p>
      <w:pPr>
        <w:spacing w:line="240" w:lineRule="auto" w:before="4"/>
        <w:rPr>
          <w:rFonts w:ascii="宋体" w:hAnsi="宋体" w:cs="宋体" w:eastAsia="宋体" w:hint="default"/>
          <w:sz w:val="23"/>
          <w:szCs w:val="23"/>
        </w:rPr>
      </w:pPr>
    </w:p>
    <w:p>
      <w:pPr>
        <w:pStyle w:val="Heading5"/>
        <w:spacing w:line="240" w:lineRule="auto"/>
        <w:ind w:right="13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2" w:lineRule="exact" w:before="86"/>
        <w:ind w:left="558" w:right="130" w:hanging="420"/>
        <w:jc w:val="left"/>
      </w:pPr>
      <w:r>
        <w:rPr/>
        <w:t>√适用</w:t>
      </w:r>
      <w:r>
        <w:rPr>
          <w:spacing w:val="-2"/>
        </w:rPr>
        <w:t> </w:t>
      </w:r>
      <w:r>
        <w:rPr/>
        <w:t>□不适用</w:t>
      </w:r>
      <w:r>
        <w:rPr>
          <w:w w:val="100"/>
        </w:rPr>
        <w:t> </w:t>
      </w:r>
      <w:r>
        <w:rPr>
          <w:spacing w:val="-2"/>
        </w:rPr>
        <w:t>采用估值技术（包括参考熟悉情况并自愿交易的各方最近进行的市场交易中使用的价格、参照实</w:t>
      </w:r>
    </w:p>
    <w:p>
      <w:pPr>
        <w:pStyle w:val="BodyText"/>
        <w:spacing w:line="240" w:lineRule="auto" w:before="108"/>
        <w:ind w:right="130"/>
        <w:jc w:val="left"/>
      </w:pPr>
      <w:r>
        <w:rPr/>
        <w:t>质上相同的其他金融工具的当前公允价值、现金流量折现法和期权定价模型等）确定其公允价值。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13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right="13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5"/>
        <w:spacing w:line="272" w:lineRule="exact"/>
        <w:ind w:left="562" w:right="130" w:hanging="425"/>
        <w:jc w:val="left"/>
        <w:rPr>
          <w:b w:val="0"/>
          <w:bCs w:val="0"/>
        </w:rPr>
      </w:pPr>
      <w:r>
        <w:rPr>
          <w:rFonts w:ascii="宋体" w:hAnsi="宋体" w:cs="宋体" w:eastAsia="宋体" w:hint="default"/>
        </w:rPr>
        <w:t>5</w:t>
      </w:r>
      <w:r>
        <w:rPr/>
        <w:t>、</w:t>
      </w:r>
      <w:r>
        <w:rPr>
          <w:spacing w:val="-18"/>
        </w:rPr>
        <w:t> </w:t>
      </w:r>
      <w:r>
        <w:rPr/>
        <w:t>持续的第三层次公允价值计量项目，期初与期末账面价值间的调节信息及不可观察参数敏感性分</w:t>
      </w:r>
      <w:r>
        <w:rPr>
          <w:w w:val="100"/>
        </w:rPr>
        <w:t> </w:t>
      </w:r>
      <w:r>
        <w:rPr/>
        <w:t>析</w:t>
      </w:r>
      <w:r>
        <w:rPr>
          <w:b w:val="0"/>
          <w:bCs w:val="0"/>
        </w:rPr>
      </w:r>
    </w:p>
    <w:p>
      <w:pPr>
        <w:pStyle w:val="BodyText"/>
        <w:spacing w:line="240" w:lineRule="auto" w:before="34"/>
        <w:ind w:right="1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30"/>
        <w:jc w:val="left"/>
        <w:rPr>
          <w:b w:val="0"/>
          <w:bCs w:val="0"/>
        </w:rPr>
      </w:pPr>
      <w:r>
        <w:rPr>
          <w:rFonts w:ascii="宋体" w:hAnsi="宋体" w:cs="宋体" w:eastAsia="宋体" w:hint="default"/>
        </w:rPr>
        <w:t>6</w:t>
      </w:r>
      <w:r>
        <w:rPr/>
        <w:t>、</w:t>
      </w:r>
      <w:r>
        <w:rPr>
          <w:spacing w:val="-1"/>
        </w:rPr>
        <w:t> </w:t>
      </w:r>
      <w:r>
        <w:rPr/>
        <w:t>持续的公允价值计量项目，本期内发生各层级之间转换的，转换的原因及确定转换时点的政策</w:t>
      </w:r>
      <w:r>
        <w:rPr>
          <w:b w:val="0"/>
          <w:bCs w:val="0"/>
        </w:rPr>
      </w:r>
    </w:p>
    <w:p>
      <w:pPr>
        <w:pStyle w:val="BodyText"/>
        <w:spacing w:line="240" w:lineRule="auto" w:before="57"/>
        <w:ind w:right="1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3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6"/>
        <w:ind w:right="1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3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2" w:lineRule="exact" w:before="86"/>
        <w:ind w:left="558" w:right="130" w:hanging="420"/>
        <w:jc w:val="left"/>
      </w:pPr>
      <w:r>
        <w:rPr/>
        <w:t>√适用</w:t>
      </w:r>
      <w:r>
        <w:rPr>
          <w:spacing w:val="-2"/>
        </w:rPr>
        <w:t> </w:t>
      </w:r>
      <w:r>
        <w:rPr/>
        <w:t>□不适用</w:t>
      </w:r>
      <w:r>
        <w:rPr>
          <w:w w:val="100"/>
        </w:rPr>
        <w:t> </w:t>
      </w:r>
      <w:r>
        <w:rPr>
          <w:spacing w:val="-2"/>
        </w:rPr>
        <w:t>公司管理层认为，期末不以公允价值计量的各项金融资产和金融负债的账面价值与公允价值之间</w:t>
      </w:r>
    </w:p>
    <w:p>
      <w:pPr>
        <w:pStyle w:val="BodyText"/>
        <w:spacing w:line="249" w:lineRule="exact"/>
        <w:ind w:right="7932"/>
        <w:jc w:val="left"/>
      </w:pPr>
      <w:r>
        <w:rPr/>
        <w:t>无重大差异。</w:t>
      </w:r>
    </w:p>
    <w:p>
      <w:pPr>
        <w:spacing w:line="240" w:lineRule="auto" w:before="3"/>
        <w:rPr>
          <w:rFonts w:ascii="宋体" w:hAnsi="宋体" w:cs="宋体" w:eastAsia="宋体" w:hint="default"/>
          <w:sz w:val="25"/>
          <w:szCs w:val="25"/>
        </w:rPr>
      </w:pPr>
    </w:p>
    <w:p>
      <w:pPr>
        <w:pStyle w:val="Heading5"/>
        <w:spacing w:line="240" w:lineRule="auto"/>
        <w:ind w:right="7932"/>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130"/>
        <w:jc w:val="left"/>
      </w:pPr>
      <w:r>
        <w:rPr/>
        <w:t>□适用</w:t>
      </w:r>
      <w:r>
        <w:rPr>
          <w:spacing w:val="-1"/>
        </w:rPr>
        <w:t> </w:t>
      </w:r>
      <w:r>
        <w:rPr/>
        <w:t>√不适用</w:t>
      </w:r>
    </w:p>
    <w:p>
      <w:pPr>
        <w:spacing w:after="0" w:line="240" w:lineRule="auto"/>
        <w:jc w:val="left"/>
        <w:sectPr>
          <w:pgSz w:w="11910" w:h="16840"/>
          <w:pgMar w:header="882" w:footer="1195" w:top="1120" w:bottom="1380" w:left="1660" w:right="7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620"/>
        </w:sectPr>
      </w:pPr>
    </w:p>
    <w:p>
      <w:pPr>
        <w:pStyle w:val="Heading5"/>
        <w:tabs>
          <w:tab w:pos="1057" w:val="left" w:leader="none"/>
        </w:tabs>
        <w:spacing w:line="290" w:lineRule="auto" w:before="36"/>
        <w:ind w:left="218" w:right="0"/>
        <w:jc w:val="left"/>
        <w:rPr>
          <w:b w:val="0"/>
          <w:bCs w:val="0"/>
        </w:rPr>
      </w:pPr>
      <w:r>
        <w:rPr/>
        <w:t>十三、</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80" w:right="620"/>
          <w:cols w:num="2" w:equalWidth="0">
            <w:col w:w="2748" w:space="3990"/>
            <w:col w:w="29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7"/>
        <w:gridCol w:w="1335"/>
        <w:gridCol w:w="1334"/>
        <w:gridCol w:w="1397"/>
        <w:gridCol w:w="1762"/>
        <w:gridCol w:w="1901"/>
      </w:tblGrid>
      <w:tr>
        <w:trPr>
          <w:trHeight w:val="85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91" w:right="137" w:hanging="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宋体" w:hAnsi="宋体" w:cs="宋体" w:eastAsia="宋体" w:hint="default"/>
                <w:sz w:val="21"/>
                <w:szCs w:val="21"/>
              </w:rPr>
              <w: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61" w:right="100" w:hanging="156"/>
              <w:jc w:val="left"/>
              <w:rPr>
                <w:rFonts w:ascii="宋体" w:hAnsi="宋体" w:cs="宋体" w:eastAsia="宋体" w:hint="default"/>
                <w:sz w:val="21"/>
                <w:szCs w:val="21"/>
              </w:rPr>
            </w:pPr>
            <w:r>
              <w:rPr>
                <w:rFonts w:ascii="宋体" w:hAnsi="宋体" w:cs="宋体" w:eastAsia="宋体" w:hint="default"/>
                <w:sz w:val="21"/>
                <w:szCs w:val="21"/>
              </w:rPr>
              <w:t>母公司对本企业的</w:t>
            </w:r>
            <w:r>
              <w:rPr>
                <w:rFonts w:ascii="宋体" w:hAnsi="宋体" w:cs="宋体" w:eastAsia="宋体" w:hint="default"/>
                <w:w w:val="100"/>
                <w:sz w:val="21"/>
                <w:szCs w:val="21"/>
              </w:rPr>
              <w:t> </w:t>
            </w:r>
            <w:r>
              <w:rPr>
                <w:rFonts w:ascii="宋体" w:hAnsi="宋体" w:cs="宋体" w:eastAsia="宋体" w:hint="default"/>
                <w:sz w:val="21"/>
                <w:szCs w:val="21"/>
              </w:rPr>
              <w:t>表决权比例</w:t>
            </w:r>
            <w:r>
              <w:rPr>
                <w:rFonts w:ascii="宋体" w:hAnsi="宋体" w:cs="宋体" w:eastAsia="宋体" w:hint="default"/>
                <w:sz w:val="21"/>
                <w:szCs w:val="21"/>
              </w:rPr>
              <w:t>(%)</w:t>
            </w:r>
          </w:p>
        </w:tc>
      </w:tr>
      <w:tr>
        <w:trPr>
          <w:trHeight w:val="283"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浙江金控</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金融控股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49"/>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sz w:val="21"/>
              </w:rPr>
              <w:t>32.25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32.25</w:t>
            </w:r>
          </w:p>
        </w:tc>
      </w:tr>
    </w:tbl>
    <w:p>
      <w:pPr>
        <w:pStyle w:val="BodyText"/>
        <w:spacing w:line="241" w:lineRule="exact"/>
        <w:ind w:left="218" w:right="974"/>
        <w:jc w:val="left"/>
      </w:pPr>
      <w:r>
        <w:rPr/>
        <w:t>本企业的母公司情况的说明</w:t>
      </w:r>
    </w:p>
    <w:p>
      <w:pPr>
        <w:pStyle w:val="BodyText"/>
        <w:spacing w:line="357" w:lineRule="auto" w:before="133"/>
        <w:ind w:left="218" w:right="5268"/>
        <w:jc w:val="left"/>
      </w:pPr>
      <w:r>
        <w:rPr/>
        <w:t>浙江金控的母公司是浙江财开。</w:t>
      </w:r>
      <w:r>
        <w:rPr>
          <w:w w:val="100"/>
        </w:rPr>
        <w:t> </w:t>
      </w:r>
      <w:r>
        <w:rPr>
          <w:spacing w:val="-2"/>
        </w:rPr>
        <w:t>本企业最终控制方是浙江省财政厅。</w:t>
      </w:r>
      <w:r>
        <w:rPr>
          <w:spacing w:val="-72"/>
        </w:rPr>
        <w:t> </w:t>
      </w:r>
      <w:r>
        <w:rPr>
          <w:spacing w:val="-72"/>
        </w:rPr>
      </w:r>
      <w:r>
        <w:rPr/>
        <w:t>其他说明：</w:t>
      </w:r>
    </w:p>
    <w:p>
      <w:pPr>
        <w:pStyle w:val="BodyText"/>
        <w:spacing w:line="240" w:lineRule="auto" w:before="30"/>
        <w:ind w:left="218" w:right="974"/>
        <w:jc w:val="left"/>
      </w:pPr>
      <w:r>
        <w:rPr>
          <w:w w:val="100"/>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218" w:right="97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本企业子公司的情况详见本报告第十一节财务报告十、“在其他主体中的权益”。</w:t>
      </w:r>
    </w:p>
    <w:p>
      <w:pPr>
        <w:pStyle w:val="BodyText"/>
        <w:spacing w:line="228" w:lineRule="exact"/>
        <w:ind w:left="218" w:right="974"/>
        <w:jc w:val="left"/>
      </w:pPr>
      <w:r>
        <w:rPr/>
        <w:t>√适用</w:t>
      </w:r>
      <w:r>
        <w:rPr>
          <w:spacing w:val="-1"/>
        </w:rPr>
        <w:t> </w:t>
      </w:r>
      <w:r>
        <w:rPr/>
        <w:t>□不适用</w:t>
      </w:r>
    </w:p>
    <w:p>
      <w:pPr>
        <w:pStyle w:val="BodyText"/>
        <w:spacing w:line="273" w:lineRule="exact"/>
        <w:ind w:left="218" w:right="974"/>
        <w:jc w:val="left"/>
      </w:pPr>
      <w:r>
        <w:rPr/>
        <w:t>本企业子公司的情况详见本报告第十一节</w:t>
      </w:r>
      <w:r>
        <w:rPr>
          <w:spacing w:val="-8"/>
        </w:rPr>
        <w:t> </w:t>
      </w:r>
      <w:r>
        <w:rPr/>
        <w:t>财务报告十、</w:t>
      </w:r>
      <w:r>
        <w:rPr>
          <w:rFonts w:ascii="宋体" w:hAnsi="宋体" w:cs="宋体" w:eastAsia="宋体" w:hint="default"/>
        </w:rPr>
        <w:t>1</w:t>
      </w:r>
      <w:r>
        <w:rPr/>
        <w:t>“在子公司中的权益”。</w:t>
      </w:r>
    </w:p>
    <w:p>
      <w:pPr>
        <w:spacing w:line="240" w:lineRule="auto" w:before="3"/>
        <w:rPr>
          <w:rFonts w:ascii="宋体" w:hAnsi="宋体" w:cs="宋体" w:eastAsia="宋体" w:hint="default"/>
          <w:sz w:val="25"/>
          <w:szCs w:val="25"/>
        </w:rPr>
      </w:pPr>
    </w:p>
    <w:p>
      <w:pPr>
        <w:pStyle w:val="Heading5"/>
        <w:spacing w:line="240" w:lineRule="auto"/>
        <w:ind w:left="218" w:right="974"/>
        <w:jc w:val="left"/>
        <w:rPr>
          <w:b w:val="0"/>
          <w:bCs w:val="0"/>
        </w:rPr>
      </w:pPr>
      <w:r>
        <w:rPr>
          <w:rFonts w:ascii="宋体" w:hAnsi="宋体" w:cs="宋体" w:eastAsia="宋体" w:hint="default"/>
        </w:rPr>
        <w:t>3</w:t>
      </w:r>
      <w:r>
        <w:rPr/>
        <w:t>、 本企业合营和联营企业情况</w:t>
      </w:r>
      <w:r>
        <w:rPr>
          <w:b w:val="0"/>
          <w:bCs w:val="0"/>
        </w:rPr>
      </w:r>
    </w:p>
    <w:p>
      <w:pPr>
        <w:pStyle w:val="BodyText"/>
        <w:tabs>
          <w:tab w:pos="1060" w:val="left" w:leader="none"/>
        </w:tabs>
        <w:spacing w:line="272" w:lineRule="exact" w:before="87"/>
        <w:ind w:left="218" w:right="233"/>
        <w:jc w:val="left"/>
      </w:pPr>
      <w:r>
        <w:rPr/>
        <w:t>√适用</w:t>
        <w:tab/>
        <w:t>□不适用</w:t>
      </w:r>
      <w:r>
        <w:rPr>
          <w:w w:val="100"/>
        </w:rPr>
        <w:t> </w:t>
      </w:r>
      <w:r>
        <w:rPr>
          <w:spacing w:val="-4"/>
        </w:rPr>
        <w:t>本企业重要的合营或联营企业详见“本报告第十一节财务报告十、</w:t>
      </w:r>
      <w:r>
        <w:rPr>
          <w:rFonts w:ascii="宋体" w:hAnsi="宋体" w:cs="宋体" w:eastAsia="宋体" w:hint="default"/>
          <w:spacing w:val="-4"/>
        </w:rPr>
        <w:t>3</w:t>
      </w:r>
      <w:r>
        <w:rPr>
          <w:spacing w:val="-4"/>
        </w:rPr>
        <w:t>、“在合营企业或联营企业中的权</w:t>
      </w:r>
      <w:r>
        <w:rPr>
          <w:spacing w:val="-20"/>
        </w:rPr>
        <w:t> </w:t>
      </w:r>
      <w:r>
        <w:rPr>
          <w:spacing w:val="-20"/>
        </w:rPr>
      </w:r>
      <w:r>
        <w:rPr/>
        <w:t>益”。</w:t>
      </w:r>
    </w:p>
    <w:p>
      <w:pPr>
        <w:spacing w:line="240" w:lineRule="auto" w:before="10"/>
        <w:rPr>
          <w:rFonts w:ascii="宋体" w:hAnsi="宋体" w:cs="宋体" w:eastAsia="宋体" w:hint="default"/>
          <w:sz w:val="18"/>
          <w:szCs w:val="18"/>
        </w:rPr>
      </w:pPr>
    </w:p>
    <w:p>
      <w:pPr>
        <w:pStyle w:val="BodyText"/>
        <w:spacing w:line="240" w:lineRule="auto"/>
        <w:ind w:left="218" w:right="233"/>
        <w:jc w:val="left"/>
      </w:pPr>
      <w:r>
        <w:rPr>
          <w:spacing w:val="-2"/>
        </w:rPr>
        <w:t>本期与本公司发生关联方交易，或前期与本公司发生关联方交易形成余额的其他合营或联营企业情况</w:t>
      </w:r>
      <w:r>
        <w:rPr>
          <w:spacing w:val="-21"/>
        </w:rPr>
        <w:t> </w:t>
      </w:r>
      <w:r>
        <w:rPr>
          <w:spacing w:val="-21"/>
        </w:rPr>
      </w:r>
      <w:r>
        <w:rPr/>
        <w:t>如下</w:t>
      </w:r>
    </w:p>
    <w:p>
      <w:pPr>
        <w:pStyle w:val="BodyText"/>
        <w:tabs>
          <w:tab w:pos="1060" w:val="left" w:leader="none"/>
        </w:tabs>
        <w:spacing w:line="271" w:lineRule="exact"/>
        <w:ind w:left="218" w:right="974"/>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74"/>
        <w:gridCol w:w="5303"/>
      </w:tblGrid>
      <w:tr>
        <w:trPr>
          <w:trHeight w:val="29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346"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上海财通资产管理有限公司</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财通基金之子公司</w:t>
            </w:r>
          </w:p>
        </w:tc>
      </w:tr>
      <w:tr>
        <w:trPr>
          <w:trHeight w:val="281"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r>
      <w:tr>
        <w:trPr>
          <w:trHeight w:val="284"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上海永安瑞萌商贸有限公司</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永安期货之子公司</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浙江中邦实业发展有限公司</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永安期货之子公司</w:t>
            </w:r>
          </w:p>
        </w:tc>
      </w:tr>
      <w:tr>
        <w:trPr>
          <w:trHeight w:val="281"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浙江永安资本管理有限公司</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永安期货之子公司</w:t>
            </w:r>
          </w:p>
        </w:tc>
      </w:tr>
      <w:tr>
        <w:trPr>
          <w:trHeight w:val="554"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义乌通杰</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财通资本之子公司义乌市财通棒杰投资管理有限公司之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德清锦烨财</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财通胜遇</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1"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财通月桂</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财通尤创</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财通旅游</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1"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财通金榛</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3"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上虞财通</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4"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财通盛穗</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财通资本之联营企业</w:t>
            </w:r>
          </w:p>
        </w:tc>
      </w:tr>
      <w:tr>
        <w:trPr>
          <w:trHeight w:val="281" w:hRule="exact"/>
        </w:trPr>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浙商资产公司</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财通创新之联营企业</w:t>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18" w:right="974"/>
        <w:jc w:val="left"/>
      </w:pPr>
      <w:r>
        <w:rPr/>
        <w:t>其他说明</w:t>
      </w:r>
    </w:p>
    <w:p>
      <w:pPr>
        <w:pStyle w:val="BodyText"/>
        <w:tabs>
          <w:tab w:pos="1060" w:val="left" w:leader="none"/>
        </w:tabs>
        <w:spacing w:line="273" w:lineRule="exact"/>
        <w:ind w:left="218" w:right="974"/>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left="218" w:right="974"/>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97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67"/>
        <w:gridCol w:w="5310"/>
      </w:tblGrid>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1"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浙江天堂硅谷资产管理集团有限公司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宁波天堂硅谷股权投资管理有限公司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5"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宁波梅山保税港区天堂硅谷利丰投资管理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苏泊尔集团有限公司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浙江大学创新技术研究院有限公司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万向信托有限公司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浙江省产业基金有限公司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杭州联合农村商业银行股份有限公司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浙江金控投资有限公司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浙江股权交易中心有限公司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杭州市钱江新城投资集团有限公司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浙商银行股份有限公司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物产中大集团股份有限公司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浙江中新力合科技金融服务股份有限公司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浙江省协作大厦有限公司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浙江潮王大酒店有限公司</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7"/>
        <w:rPr>
          <w:rFonts w:ascii="宋体" w:hAnsi="宋体" w:cs="宋体" w:eastAsia="宋体" w:hint="default"/>
          <w:sz w:val="15"/>
          <w:szCs w:val="15"/>
        </w:rPr>
      </w:pPr>
    </w:p>
    <w:p>
      <w:pPr>
        <w:pStyle w:val="BodyText"/>
        <w:spacing w:line="273" w:lineRule="exact" w:before="36"/>
        <w:ind w:left="218" w:right="974"/>
        <w:jc w:val="left"/>
      </w:pPr>
      <w:r>
        <w:rPr/>
        <w:t>其他说明</w:t>
      </w:r>
    </w:p>
    <w:p>
      <w:pPr>
        <w:pStyle w:val="BodyText"/>
        <w:spacing w:line="357" w:lineRule="auto"/>
        <w:ind w:left="218" w:right="220" w:firstLine="419"/>
        <w:jc w:val="both"/>
      </w:pPr>
      <w:r>
        <w:rPr>
          <w:spacing w:val="-3"/>
        </w:rPr>
        <w:t>浙江天堂硅谷银嘉创业投资合伙企业（有限合伙）原为本公司持股</w:t>
      </w:r>
      <w:r>
        <w:rPr>
          <w:spacing w:val="8"/>
        </w:rPr>
        <w:t> </w:t>
      </w:r>
      <w:r>
        <w:rPr>
          <w:rFonts w:ascii="宋体" w:hAnsi="宋体" w:cs="宋体" w:eastAsia="宋体" w:hint="default"/>
          <w:spacing w:val="-3"/>
        </w:rPr>
        <w:t>5%</w:t>
      </w:r>
      <w:r>
        <w:rPr>
          <w:spacing w:val="-3"/>
        </w:rPr>
        <w:t>以上的股东，因公司首次公</w:t>
      </w:r>
      <w:r>
        <w:rPr>
          <w:w w:val="100"/>
        </w:rPr>
        <w:t> </w:t>
      </w:r>
      <w:r>
        <w:rPr>
          <w:spacing w:val="-6"/>
        </w:rPr>
        <w:t>开发行，持股比例不足 </w:t>
      </w:r>
      <w:r>
        <w:rPr>
          <w:rFonts w:ascii="宋体" w:hAnsi="宋体" w:cs="宋体" w:eastAsia="宋体" w:hint="default"/>
          <w:spacing w:val="-7"/>
        </w:rPr>
        <w:t>5%</w:t>
      </w:r>
      <w:r>
        <w:rPr>
          <w:spacing w:val="-7"/>
        </w:rPr>
        <w:t>。根据《上海证券交易所股票上市规则》，过去十二个月内为公司关联方的，</w:t>
      </w:r>
      <w:r>
        <w:rPr>
          <w:spacing w:val="-91"/>
        </w:rPr>
        <w:t> </w:t>
      </w:r>
      <w:r>
        <w:rPr>
          <w:spacing w:val="-91"/>
        </w:rPr>
      </w:r>
      <w:r>
        <w:rPr>
          <w:spacing w:val="-2"/>
        </w:rPr>
        <w:t>视同关联方进行披露。浙江天堂硅谷资产管理集团有限公司、宁波天堂硅谷股权投资管理有限公司、</w:t>
      </w:r>
      <w:r>
        <w:rPr>
          <w:spacing w:val="-22"/>
        </w:rPr>
        <w:t> </w:t>
      </w:r>
      <w:r>
        <w:rPr>
          <w:spacing w:val="-22"/>
        </w:rPr>
      </w:r>
      <w:r>
        <w:rPr>
          <w:spacing w:val="-2"/>
        </w:rPr>
        <w:t>宁波梅山保税港区天堂硅谷利丰投资管理有限公司系本公司首发股东浙江天堂硅谷银嘉创业投资合伙</w:t>
      </w:r>
      <w:r>
        <w:rPr>
          <w:spacing w:val="-22"/>
        </w:rPr>
        <w:t> </w:t>
      </w:r>
      <w:r>
        <w:rPr>
          <w:spacing w:val="-22"/>
        </w:rPr>
      </w:r>
      <w:r>
        <w:rPr>
          <w:spacing w:val="-2"/>
        </w:rPr>
        <w:t>企业（有限合伙）之实际控制人控制的公司；苏泊尔集团有限公司财务总监系本公司监事；浙江大学</w:t>
      </w:r>
      <w:r>
        <w:rPr>
          <w:spacing w:val="-22"/>
        </w:rPr>
        <w:t> </w:t>
      </w:r>
      <w:r>
        <w:rPr>
          <w:spacing w:val="-22"/>
        </w:rPr>
      </w:r>
      <w:r>
        <w:rPr>
          <w:spacing w:val="-2"/>
        </w:rPr>
        <w:t>创新技术研究院有限公司、万向信托有限公司均系本公司母公司向其委派了董事；杭州联合农村商业</w:t>
      </w:r>
      <w:r>
        <w:rPr>
          <w:spacing w:val="-20"/>
        </w:rPr>
        <w:t> </w:t>
      </w:r>
      <w:r>
        <w:rPr>
          <w:spacing w:val="-20"/>
        </w:rPr>
      </w:r>
      <w:r>
        <w:rPr>
          <w:spacing w:val="-2"/>
        </w:rPr>
        <w:t>银行股份有限公司系本公司独立董事在该单位兼职独立董事；浙江股权交易中心有限公司系本公司董</w:t>
      </w:r>
      <w:r>
        <w:rPr>
          <w:spacing w:val="-21"/>
        </w:rPr>
        <w:t> </w:t>
      </w:r>
      <w:r>
        <w:rPr>
          <w:spacing w:val="-21"/>
        </w:rPr>
      </w:r>
      <w:r>
        <w:rPr>
          <w:spacing w:val="-2"/>
        </w:rPr>
        <w:t>事会秘书兼职单位；杭州市钱江新城投资集团有限公司系公司高管亲属兼任该公司高管；浙商银行股</w:t>
      </w:r>
      <w:r>
        <w:rPr>
          <w:spacing w:val="-21"/>
        </w:rPr>
        <w:t> </w:t>
      </w:r>
      <w:r>
        <w:rPr>
          <w:spacing w:val="-21"/>
        </w:rPr>
      </w:r>
      <w:r>
        <w:rPr>
          <w:spacing w:val="-2"/>
        </w:rPr>
        <w:t>份有限公司系本公司之母公司之联营企业；物产中大集团股份有限公司、浙江中新力合科技金融服务</w:t>
      </w:r>
      <w:r>
        <w:rPr>
          <w:spacing w:val="-21"/>
        </w:rPr>
        <w:t> </w:t>
      </w:r>
      <w:r>
        <w:rPr>
          <w:spacing w:val="-21"/>
        </w:rPr>
      </w:r>
      <w:r>
        <w:rPr>
          <w:spacing w:val="-2"/>
        </w:rPr>
        <w:t>股份有限公司系本公司董事兼职单位；浙江省协作大厦有限公司系浙江省财务开发公司之子公司；浙</w:t>
      </w:r>
      <w:r>
        <w:rPr>
          <w:spacing w:val="-22"/>
        </w:rPr>
        <w:t> </w:t>
      </w:r>
      <w:r>
        <w:rPr>
          <w:spacing w:val="-22"/>
        </w:rPr>
      </w:r>
      <w:r>
        <w:rPr/>
        <w:t>江潮王大酒店有限公司系浙江省财务开发公司子公司之子公司。</w:t>
      </w:r>
    </w:p>
    <w:p>
      <w:pPr>
        <w:spacing w:line="240" w:lineRule="auto" w:before="11"/>
        <w:rPr>
          <w:rFonts w:ascii="宋体" w:hAnsi="宋体" w:cs="宋体" w:eastAsia="宋体" w:hint="default"/>
          <w:sz w:val="27"/>
          <w:szCs w:val="27"/>
        </w:rPr>
      </w:pPr>
    </w:p>
    <w:p>
      <w:pPr>
        <w:pStyle w:val="Heading5"/>
        <w:spacing w:line="240" w:lineRule="auto"/>
        <w:ind w:left="218" w:right="974"/>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526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30" w:lineRule="exact"/>
        <w:ind w:left="218" w:right="974"/>
        <w:jc w:val="left"/>
      </w:pPr>
      <w:r>
        <w:rPr/>
        <w:t>√适用</w:t>
      </w:r>
      <w:r>
        <w:rPr>
          <w:spacing w:val="-1"/>
        </w:rPr>
        <w:t> </w:t>
      </w:r>
      <w:r>
        <w:rPr/>
        <w:t>□不适用</w:t>
      </w:r>
    </w:p>
    <w:p>
      <w:pPr>
        <w:spacing w:after="0" w:line="230" w:lineRule="exact"/>
        <w:jc w:val="left"/>
        <w:sectPr>
          <w:pgSz w:w="11910" w:h="16840"/>
          <w:pgMar w:header="882" w:footer="1195" w:top="1120" w:bottom="1380" w:left="1580" w:right="6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4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40"/>
        <w:gridCol w:w="2247"/>
        <w:gridCol w:w="2275"/>
        <w:gridCol w:w="2261"/>
      </w:tblGrid>
      <w:tr>
        <w:trPr>
          <w:trHeight w:val="30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8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接受期货交易服务</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26,192.08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4" w:right="0"/>
              <w:jc w:val="left"/>
              <w:rPr>
                <w:rFonts w:ascii="宋体" w:hAnsi="宋体" w:cs="宋体" w:eastAsia="宋体" w:hint="default"/>
                <w:sz w:val="21"/>
                <w:szCs w:val="21"/>
              </w:rPr>
            </w:pPr>
            <w:r>
              <w:rPr>
                <w:rFonts w:ascii="宋体"/>
                <w:sz w:val="21"/>
              </w:rPr>
              <w:t>163,417.71</w:t>
            </w:r>
          </w:p>
        </w:tc>
      </w:tr>
      <w:tr>
        <w:trPr>
          <w:trHeight w:val="5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杭州联合农村商业银行股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接受咨询服务</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90,000.00</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700"/>
        </w:sectPr>
      </w:pPr>
    </w:p>
    <w:p>
      <w:pPr>
        <w:pStyle w:val="BodyText"/>
        <w:spacing w:line="274"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700"/>
          <w:cols w:num="2" w:equalWidth="0">
            <w:col w:w="2556" w:space="4393"/>
            <w:col w:w="260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33"/>
        <w:gridCol w:w="2403"/>
        <w:gridCol w:w="2105"/>
        <w:gridCol w:w="2283"/>
      </w:tblGrid>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宁波天堂硅谷股权投资管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提供咨询服务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773,584.91</w:t>
            </w: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苏泊尔集团有限公司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108,485.29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360.62</w:t>
            </w:r>
          </w:p>
        </w:tc>
      </w:tr>
      <w:tr>
        <w:trPr>
          <w:trHeight w:val="557"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浙江中邦实业发展有限公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532.59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6,010.21</w:t>
            </w: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浙江大学创新技术研究院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28,837.26</w:t>
            </w: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上海永安瑞萌商贸有限公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4,266.28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40,793.01</w:t>
            </w: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永安期货管理之产品</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724,107.28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1,215,326.65</w:t>
            </w:r>
          </w:p>
        </w:tc>
      </w:tr>
      <w:tr>
        <w:trPr>
          <w:trHeight w:val="557"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浙江永安资本管理有限公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8,493.08</w:t>
            </w: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浙江省金融控股有限公司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53.49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4.72</w:t>
            </w: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浙江省财务开发公司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28.19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6.25</w:t>
            </w: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上海财通资产管理有限公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14,236.23</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宁波梅山保税港区天堂硅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谷利丰投资管理有限公司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23,640.43</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浙江省协作大厦有限公司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12,535.86</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浙江潮王大酒店有限公司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提供代理买卖证券服务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8,582.76</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出租交易席位</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5,743,758.37</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9,414,510.46</w:t>
            </w: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财通基金</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3,925,918.25</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12,174,397.83</w:t>
            </w: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浙江天堂硅谷资产管理集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16,809.87</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上海财通资产管理有限公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28,301.89</w:t>
            </w: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宁波梅山保税港区天堂硅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谷利丰投资管理有限公司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提供代销基金产品服务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112,298.58</w:t>
            </w: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提供中间介绍服务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8,149,469.29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11,379,746.92</w:t>
            </w: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浙商资产公司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提供承销业务和财务顾问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589,622.64</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杭州市钱江新城投资集团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提供承销业务和财务顾问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19,433,962.26</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物产中大集团股份有限公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提供承销业务和财务顾问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801,839.62</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德清锦烨财</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526,528.16</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财通胜遇</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1,146,755.83</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300,858.32</w:t>
            </w: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财通月桂</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984,751.98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525,603.06</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33"/>
        <w:gridCol w:w="2403"/>
        <w:gridCol w:w="2105"/>
        <w:gridCol w:w="2283"/>
      </w:tblGrid>
      <w:tr>
        <w:trPr>
          <w:trHeight w:val="28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财通尤创</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1,204,970.00</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财通旅游</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31,915.08</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财通金榛</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48,785.82</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上虞财通</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18,128.58</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义乌通杰</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1,826,214.00</w:t>
            </w: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财通盛穗</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提供管理服务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639,746.03</w:t>
            </w:r>
          </w:p>
        </w:tc>
        <w:tc>
          <w:tcPr>
            <w:tcW w:w="22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74" w:lineRule="exact" w:before="36"/>
        <w:ind w:right="130"/>
        <w:jc w:val="left"/>
      </w:pPr>
      <w:r>
        <w:rPr/>
        <w:t>购销商品、提供和接受劳务的关联交易说明</w:t>
      </w:r>
    </w:p>
    <w:p>
      <w:pPr>
        <w:pStyle w:val="BodyText"/>
        <w:spacing w:line="272" w:lineRule="exact"/>
        <w:ind w:right="130"/>
        <w:jc w:val="left"/>
      </w:pPr>
      <w:r>
        <w:rPr/>
        <w:t>√适用</w:t>
      </w:r>
      <w:r>
        <w:rPr>
          <w:spacing w:val="-1"/>
        </w:rPr>
        <w:t> </w:t>
      </w:r>
      <w:r>
        <w:rPr/>
        <w:t>□不适用</w:t>
      </w:r>
    </w:p>
    <w:p>
      <w:pPr>
        <w:pStyle w:val="BodyText"/>
        <w:spacing w:line="273" w:lineRule="exact"/>
        <w:ind w:left="558" w:right="0"/>
        <w:jc w:val="left"/>
      </w:pPr>
      <w:r>
        <w:rPr>
          <w:rFonts w:ascii="宋体" w:hAnsi="宋体" w:cs="宋体" w:eastAsia="宋体" w:hint="default"/>
        </w:rPr>
        <w:t>2018</w:t>
      </w:r>
      <w:r>
        <w:rPr>
          <w:rFonts w:ascii="宋体" w:hAnsi="宋体" w:cs="宋体" w:eastAsia="宋体" w:hint="default"/>
          <w:spacing w:val="-29"/>
        </w:rPr>
        <w:t> </w:t>
      </w:r>
      <w:r>
        <w:rPr/>
        <w:t>年</w:t>
      </w:r>
      <w:r>
        <w:rPr>
          <w:spacing w:val="-26"/>
        </w:rPr>
        <w:t> </w:t>
      </w:r>
      <w:r>
        <w:rPr>
          <w:rFonts w:ascii="宋体" w:hAnsi="宋体" w:cs="宋体" w:eastAsia="宋体" w:hint="default"/>
        </w:rPr>
        <w:t>5</w:t>
      </w:r>
      <w:r>
        <w:rPr>
          <w:rFonts w:ascii="宋体" w:hAnsi="宋体" w:cs="宋体" w:eastAsia="宋体" w:hint="default"/>
          <w:spacing w:val="-29"/>
        </w:rPr>
        <w:t> </w:t>
      </w:r>
      <w:r>
        <w:rPr>
          <w:spacing w:val="-3"/>
        </w:rPr>
        <w:t>月，因浙江省财务开发公司收购浙江省协作大厦有限公司及其子公司浙江潮王大酒店有</w:t>
      </w:r>
    </w:p>
    <w:p>
      <w:pPr>
        <w:pStyle w:val="BodyText"/>
        <w:spacing w:line="240" w:lineRule="auto" w:before="133"/>
        <w:ind w:right="130"/>
        <w:jc w:val="left"/>
      </w:pPr>
      <w:r>
        <w:rPr/>
        <w:t>限公司股权作为公司关联方，本期关联交易的金额仅含</w:t>
      </w:r>
      <w:r>
        <w:rPr>
          <w:spacing w:val="-54"/>
        </w:rPr>
        <w:t> </w:t>
      </w:r>
      <w:r>
        <w:rPr>
          <w:rFonts w:ascii="宋体" w:hAnsi="宋体" w:cs="宋体" w:eastAsia="宋体" w:hint="default"/>
        </w:rPr>
        <w:t>5</w:t>
      </w:r>
      <w:r>
        <w:rPr>
          <w:rFonts w:ascii="宋体" w:hAnsi="宋体" w:cs="宋体" w:eastAsia="宋体" w:hint="default"/>
          <w:spacing w:val="-56"/>
        </w:rPr>
        <w:t> </w:t>
      </w:r>
      <w:r>
        <w:rPr/>
        <w:t>月至</w:t>
      </w:r>
      <w:r>
        <w:rPr>
          <w:spacing w:val="-54"/>
        </w:rPr>
        <w:t> </w:t>
      </w:r>
      <w:r>
        <w:rPr>
          <w:rFonts w:ascii="宋体" w:hAnsi="宋体" w:cs="宋体" w:eastAsia="宋体" w:hint="default"/>
        </w:rPr>
        <w:t>12</w:t>
      </w:r>
      <w:r>
        <w:rPr>
          <w:rFonts w:ascii="宋体" w:hAnsi="宋体" w:cs="宋体" w:eastAsia="宋体" w:hint="default"/>
          <w:spacing w:val="-56"/>
        </w:rPr>
        <w:t> </w:t>
      </w:r>
      <w:r>
        <w:rPr/>
        <w:t>月的发生额。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71" w:lineRule="auto" w:before="0"/>
        <w:ind w:left="138" w:right="497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72" w:lineRule="exact"/>
        <w:ind w:right="6191"/>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pStyle w:val="BodyText"/>
        <w:spacing w:line="249" w:lineRule="exact"/>
        <w:ind w:right="13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130"/>
        <w:jc w:val="left"/>
      </w:pPr>
      <w:r>
        <w:rPr/>
        <w:t>本公司委托管理</w:t>
      </w:r>
      <w:r>
        <w:rPr>
          <w:rFonts w:ascii="宋体" w:hAnsi="宋体" w:cs="宋体" w:eastAsia="宋体" w:hint="default"/>
        </w:rPr>
        <w:t>/</w:t>
      </w:r>
      <w:r>
        <w:rPr/>
        <w:t>出包情况表：</w:t>
      </w:r>
    </w:p>
    <w:p>
      <w:pPr>
        <w:pStyle w:val="BodyText"/>
        <w:spacing w:line="240" w:lineRule="auto"/>
        <w:ind w:right="6191"/>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13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50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6" w:lineRule="exact"/>
        <w:ind w:right="130"/>
        <w:jc w:val="left"/>
      </w:pPr>
      <w:r>
        <w:rPr/>
        <w:t>□适用</w:t>
      </w:r>
      <w:r>
        <w:rPr>
          <w:spacing w:val="-1"/>
        </w:rPr>
        <w:t> </w:t>
      </w:r>
      <w:r>
        <w:rPr/>
        <w:t>√不适用</w:t>
      </w:r>
    </w:p>
    <w:p>
      <w:pPr>
        <w:pStyle w:val="BodyText"/>
        <w:spacing w:line="272" w:lineRule="exact"/>
        <w:ind w:right="130"/>
        <w:jc w:val="left"/>
      </w:pPr>
      <w:r>
        <w:rPr/>
        <w:t>本公司作为承租方：</w:t>
      </w:r>
    </w:p>
    <w:p>
      <w:pPr>
        <w:pStyle w:val="BodyText"/>
        <w:spacing w:line="240" w:lineRule="auto"/>
        <w:ind w:right="6191"/>
        <w:jc w:val="left"/>
      </w:pPr>
      <w:r>
        <w:rPr/>
        <w:t>□适用</w:t>
      </w:r>
      <w:r>
        <w:rPr>
          <w:spacing w:val="-2"/>
        </w:rPr>
        <w:t> </w:t>
      </w:r>
      <w:r>
        <w:rPr/>
        <w:t>√不适用</w:t>
      </w:r>
      <w:r>
        <w:rPr>
          <w:w w:val="100"/>
        </w:rPr>
        <w:t> </w:t>
      </w:r>
      <w:r>
        <w:rPr>
          <w:spacing w:val="-2"/>
        </w:rPr>
        <w:t>关联租赁情况说明</w:t>
      </w:r>
    </w:p>
    <w:p>
      <w:pPr>
        <w:pStyle w:val="BodyText"/>
        <w:spacing w:line="271" w:lineRule="exact"/>
        <w:ind w:right="13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70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6" w:lineRule="exact"/>
        <w:ind w:right="-10"/>
        <w:jc w:val="left"/>
      </w:pPr>
      <w:r>
        <w:rPr/>
        <w:t>□适用</w:t>
      </w:r>
      <w:r>
        <w:rPr>
          <w:spacing w:val="-1"/>
        </w:rPr>
        <w:t> </w:t>
      </w:r>
      <w:r>
        <w:rPr/>
        <w:t>√不适用</w:t>
      </w:r>
    </w:p>
    <w:p>
      <w:pPr>
        <w:pStyle w:val="BodyText"/>
        <w:spacing w:line="272" w:lineRule="exact"/>
        <w:ind w:right="-8"/>
        <w:jc w:val="left"/>
      </w:pPr>
      <w:r>
        <w:rPr>
          <w:spacing w:val="-1"/>
        </w:rPr>
        <w:t>本公司作为被担保方</w:t>
      </w:r>
    </w:p>
    <w:p>
      <w:pPr>
        <w:pStyle w:val="BodyText"/>
        <w:spacing w:line="274"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right="0"/>
        <w:jc w:val="left"/>
      </w:pPr>
      <w:r>
        <w:rPr/>
        <w:t>单位：元币种：人民币</w:t>
      </w:r>
    </w:p>
    <w:p>
      <w:pPr>
        <w:spacing w:after="0" w:line="240" w:lineRule="auto"/>
        <w:jc w:val="left"/>
        <w:sectPr>
          <w:type w:val="continuous"/>
          <w:pgSz w:w="11910" w:h="16840"/>
          <w:pgMar w:top="1060" w:bottom="1380" w:left="1660" w:right="700"/>
          <w:cols w:num="2" w:equalWidth="0">
            <w:col w:w="2032" w:space="5128"/>
            <w:col w:w="239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46"/>
        <w:gridCol w:w="1733"/>
        <w:gridCol w:w="1892"/>
        <w:gridCol w:w="1877"/>
        <w:gridCol w:w="2174"/>
      </w:tblGrid>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sz w:val="21"/>
              </w:rPr>
              <w:t>169,040,000.00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2015/05/19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2020/05/19</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3"/>
          <w:szCs w:val="13"/>
        </w:rPr>
      </w:pPr>
    </w:p>
    <w:p>
      <w:pPr>
        <w:pStyle w:val="BodyText"/>
        <w:spacing w:line="273" w:lineRule="exact" w:before="36"/>
        <w:ind w:right="130"/>
        <w:jc w:val="left"/>
      </w:pPr>
      <w:r>
        <w:rPr/>
        <w:t>关联担保情况说明</w:t>
      </w:r>
    </w:p>
    <w:p>
      <w:pPr>
        <w:pStyle w:val="BodyText"/>
        <w:spacing w:line="272" w:lineRule="exact"/>
        <w:ind w:right="130"/>
        <w:jc w:val="left"/>
      </w:pPr>
      <w:r>
        <w:rPr/>
        <w:t>√适用</w:t>
      </w:r>
      <w:r>
        <w:rPr>
          <w:spacing w:val="-1"/>
        </w:rPr>
        <w:t> </w:t>
      </w:r>
      <w:r>
        <w:rPr/>
        <w:t>□不适用</w:t>
      </w:r>
    </w:p>
    <w:p>
      <w:pPr>
        <w:pStyle w:val="BodyText"/>
        <w:spacing w:line="355" w:lineRule="auto"/>
        <w:ind w:right="213" w:firstLine="419"/>
        <w:jc w:val="left"/>
      </w:pPr>
      <w:r>
        <w:rPr/>
        <w:t>浙江金控为公司发行的</w:t>
      </w:r>
      <w:r>
        <w:rPr>
          <w:spacing w:val="-55"/>
        </w:rPr>
        <w:t> </w:t>
      </w:r>
      <w:r>
        <w:rPr>
          <w:rFonts w:ascii="宋体" w:hAnsi="宋体" w:cs="宋体" w:eastAsia="宋体" w:hint="default"/>
        </w:rPr>
        <w:t>15</w:t>
      </w:r>
      <w:r>
        <w:rPr>
          <w:rFonts w:ascii="宋体" w:hAnsi="宋体" w:cs="宋体" w:eastAsia="宋体" w:hint="default"/>
          <w:spacing w:val="-58"/>
        </w:rPr>
        <w:t> </w:t>
      </w:r>
      <w:r>
        <w:rPr/>
        <w:t>亿公司债提供担保，每年按发行规模的</w:t>
      </w:r>
      <w:r>
        <w:rPr>
          <w:spacing w:val="-56"/>
        </w:rPr>
        <w:t> </w:t>
      </w:r>
      <w:r>
        <w:rPr>
          <w:rFonts w:ascii="宋体" w:hAnsi="宋体" w:cs="宋体" w:eastAsia="宋体" w:hint="default"/>
        </w:rPr>
        <w:t>0.5%</w:t>
      </w:r>
      <w:r>
        <w:rPr/>
        <w:t>向公司计收担保费，公司</w:t>
      </w:r>
      <w:r>
        <w:rPr>
          <w:w w:val="100"/>
        </w:rPr>
        <w:t> </w:t>
      </w:r>
      <w:r>
        <w:rPr/>
        <w:t>本期赎回公司债</w:t>
      </w:r>
      <w:r>
        <w:rPr>
          <w:spacing w:val="-53"/>
        </w:rPr>
        <w:t> </w:t>
      </w:r>
      <w:r>
        <w:rPr>
          <w:rFonts w:ascii="宋体" w:hAnsi="宋体" w:cs="宋体" w:eastAsia="宋体" w:hint="default"/>
        </w:rPr>
        <w:t>13.3096</w:t>
      </w:r>
      <w:r>
        <w:rPr>
          <w:rFonts w:ascii="宋体" w:hAnsi="宋体" w:cs="宋体" w:eastAsia="宋体" w:hint="default"/>
          <w:spacing w:val="-55"/>
        </w:rPr>
        <w:t> </w:t>
      </w:r>
      <w:r>
        <w:rPr/>
        <w:t>亿元。本期及上年同期，公司已分别确认相关担保费为</w:t>
      </w:r>
      <w:r>
        <w:rPr>
          <w:spacing w:val="-52"/>
        </w:rPr>
        <w:t> </w:t>
      </w:r>
      <w:r>
        <w:rPr>
          <w:rFonts w:ascii="宋体" w:hAnsi="宋体" w:cs="宋体" w:eastAsia="宋体" w:hint="default"/>
        </w:rPr>
        <w:t>3,413,238.99</w:t>
      </w:r>
      <w:r>
        <w:rPr>
          <w:rFonts w:ascii="宋体" w:hAnsi="宋体" w:cs="宋体" w:eastAsia="宋体" w:hint="default"/>
          <w:spacing w:val="-55"/>
        </w:rPr>
        <w:t> </w:t>
      </w:r>
      <w:r>
        <w:rPr/>
        <w:t>元和</w:t>
      </w:r>
    </w:p>
    <w:p>
      <w:pPr>
        <w:pStyle w:val="BodyText"/>
        <w:spacing w:line="240" w:lineRule="auto" w:before="32"/>
        <w:ind w:right="130"/>
        <w:jc w:val="left"/>
      </w:pPr>
      <w:r>
        <w:rPr>
          <w:rFonts w:ascii="宋体" w:hAnsi="宋体" w:cs="宋体" w:eastAsia="宋体" w:hint="default"/>
        </w:rPr>
        <w:t>7,075,471.70</w:t>
      </w:r>
      <w:r>
        <w:rPr>
          <w:rFonts w:ascii="宋体" w:hAnsi="宋体" w:cs="宋体" w:eastAsia="宋体" w:hint="default"/>
          <w:spacing w:val="-52"/>
        </w:rPr>
        <w:t> </w:t>
      </w:r>
      <w:r>
        <w:rPr/>
        <w:t>元。</w:t>
      </w:r>
    </w:p>
    <w:p>
      <w:pPr>
        <w:spacing w:after="0" w:line="240" w:lineRule="auto"/>
        <w:jc w:val="left"/>
        <w:sectPr>
          <w:type w:val="continuous"/>
          <w:pgSz w:w="11910" w:h="16840"/>
          <w:pgMar w:top="1060" w:bottom="1380" w:left="1660" w:right="700"/>
        </w:sectPr>
      </w:pPr>
    </w:p>
    <w:p>
      <w:pPr>
        <w:spacing w:line="240" w:lineRule="auto" w:before="1"/>
        <w:rPr>
          <w:rFonts w:ascii="宋体" w:hAnsi="宋体" w:cs="宋体" w:eastAsia="宋体" w:hint="default"/>
          <w:sz w:val="25"/>
          <w:szCs w:val="25"/>
        </w:rPr>
      </w:pPr>
    </w:p>
    <w:p>
      <w:pPr>
        <w:pStyle w:val="Heading5"/>
        <w:spacing w:line="240" w:lineRule="auto" w:before="36"/>
        <w:ind w:left="218" w:right="974"/>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18" w:right="974"/>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620"/>
        </w:sectPr>
      </w:pPr>
    </w:p>
    <w:p>
      <w:pPr>
        <w:pStyle w:val="Heading5"/>
        <w:spacing w:line="240" w:lineRule="auto" w:before="36"/>
        <w:ind w:left="21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18"/>
        <w:jc w:val="left"/>
      </w:pPr>
      <w:r>
        <w:rPr/>
        <w:t>□适用</w:t>
      </w:r>
      <w:r>
        <w:rPr>
          <w:spacing w:val="-1"/>
        </w:rPr>
        <w:t> </w:t>
      </w:r>
      <w:r>
        <w:rPr/>
        <w:t>√不适用</w:t>
      </w:r>
    </w:p>
    <w:p>
      <w:pPr>
        <w:pStyle w:val="Heading5"/>
        <w:spacing w:line="240" w:lineRule="auto" w:before="58"/>
        <w:ind w:left="218" w:right="-18"/>
        <w:jc w:val="left"/>
        <w:rPr>
          <w:b w:val="0"/>
          <w:bCs w:val="0"/>
        </w:rPr>
      </w:pPr>
      <w:r>
        <w:rPr>
          <w:rFonts w:ascii="宋体" w:hAnsi="宋体" w:cs="宋体" w:eastAsia="宋体" w:hint="default"/>
        </w:rPr>
        <w:t>(7).</w:t>
      </w:r>
      <w:r>
        <w:rPr>
          <w:rFonts w:ascii="宋体" w:hAnsi="宋体" w:cs="宋体" w:eastAsia="宋体" w:hint="default"/>
          <w:spacing w:val="90"/>
        </w:rPr>
        <w:t> </w:t>
      </w:r>
      <w:r>
        <w:rPr/>
        <w:t>关键管理人员报酬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8" w:right="0"/>
        <w:jc w:val="left"/>
      </w:pPr>
      <w:r>
        <w:rPr/>
        <w:t>单位：万元币种：人民币</w:t>
      </w:r>
    </w:p>
    <w:p>
      <w:pPr>
        <w:spacing w:after="0" w:line="240" w:lineRule="auto"/>
        <w:jc w:val="left"/>
        <w:sectPr>
          <w:type w:val="continuous"/>
          <w:pgSz w:w="11910" w:h="16840"/>
          <w:pgMar w:top="1060" w:bottom="1380" w:left="1580" w:right="620"/>
          <w:cols w:num="2" w:equalWidth="0">
            <w:col w:w="3787" w:space="3161"/>
            <w:col w:w="27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30"/>
        <w:gridCol w:w="3428"/>
        <w:gridCol w:w="261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1,502.71</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6" w:right="0"/>
              <w:jc w:val="left"/>
              <w:rPr>
                <w:rFonts w:ascii="宋体" w:hAnsi="宋体" w:cs="宋体" w:eastAsia="宋体" w:hint="default"/>
                <w:sz w:val="21"/>
                <w:szCs w:val="21"/>
              </w:rPr>
            </w:pPr>
            <w:r>
              <w:rPr>
                <w:rFonts w:ascii="宋体"/>
                <w:sz w:val="21"/>
              </w:rPr>
              <w:t>1,714.33</w:t>
            </w:r>
          </w:p>
        </w:tc>
      </w:tr>
    </w:tbl>
    <w:p>
      <w:pPr>
        <w:spacing w:line="240" w:lineRule="auto" w:before="13"/>
        <w:rPr>
          <w:rFonts w:ascii="宋体" w:hAnsi="宋体" w:cs="宋体" w:eastAsia="宋体" w:hint="default"/>
          <w:sz w:val="19"/>
          <w:szCs w:val="19"/>
        </w:rPr>
      </w:pPr>
    </w:p>
    <w:p>
      <w:pPr>
        <w:pStyle w:val="Heading5"/>
        <w:spacing w:line="240" w:lineRule="auto" w:before="36"/>
        <w:ind w:left="218" w:right="974"/>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72" w:lineRule="exact" w:before="86"/>
        <w:ind w:left="638" w:right="3682"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）期末持有关联方作为管理人募集设立的理财产品</w:t>
      </w:r>
    </w:p>
    <w:p>
      <w:pPr>
        <w:spacing w:line="240" w:lineRule="auto" w:before="12"/>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133"/>
        <w:gridCol w:w="4112"/>
        <w:gridCol w:w="1853"/>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1"/>
              <w:jc w:val="right"/>
              <w:rPr>
                <w:rFonts w:ascii="宋体" w:hAnsi="宋体" w:cs="宋体" w:eastAsia="宋体" w:hint="default"/>
                <w:sz w:val="21"/>
                <w:szCs w:val="21"/>
              </w:rPr>
            </w:pPr>
            <w:r>
              <w:rPr>
                <w:rFonts w:ascii="宋体" w:hAnsi="宋体" w:cs="宋体" w:eastAsia="宋体" w:hint="default"/>
                <w:sz w:val="21"/>
                <w:szCs w:val="21"/>
              </w:rPr>
              <w:t>关联方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购买方</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3"/>
              <w:jc w:val="right"/>
              <w:rPr>
                <w:rFonts w:ascii="宋体" w:hAnsi="宋体" w:cs="宋体" w:eastAsia="宋体" w:hint="default"/>
                <w:sz w:val="21"/>
                <w:szCs w:val="21"/>
              </w:rPr>
            </w:pPr>
            <w:r>
              <w:rPr>
                <w:rFonts w:ascii="宋体" w:hAnsi="宋体" w:cs="宋体" w:eastAsia="宋体" w:hint="default"/>
                <w:spacing w:val="-1"/>
                <w:sz w:val="21"/>
                <w:szCs w:val="21"/>
              </w:rPr>
              <w:t>财通基金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财通收益增强债券基金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4,265,524.80</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3"/>
              <w:jc w:val="right"/>
              <w:rPr>
                <w:rFonts w:ascii="宋体" w:hAnsi="宋体" w:cs="宋体" w:eastAsia="宋体" w:hint="default"/>
                <w:sz w:val="21"/>
                <w:szCs w:val="21"/>
              </w:rPr>
            </w:pPr>
            <w:r>
              <w:rPr>
                <w:rFonts w:ascii="宋体" w:hAnsi="宋体" w:cs="宋体" w:eastAsia="宋体" w:hint="default"/>
                <w:spacing w:val="-1"/>
                <w:sz w:val="21"/>
                <w:szCs w:val="21"/>
              </w:rPr>
              <w:t>财通基金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财通多策略升级混合型证券投资基金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41,619,637.11</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3"/>
              <w:jc w:val="right"/>
              <w:rPr>
                <w:rFonts w:ascii="宋体" w:hAnsi="宋体" w:cs="宋体" w:eastAsia="宋体" w:hint="default"/>
                <w:sz w:val="21"/>
                <w:szCs w:val="21"/>
              </w:rPr>
            </w:pPr>
            <w:r>
              <w:rPr>
                <w:rFonts w:ascii="宋体" w:hAnsi="宋体" w:cs="宋体" w:eastAsia="宋体" w:hint="default"/>
                <w:spacing w:val="-1"/>
                <w:sz w:val="21"/>
                <w:szCs w:val="21"/>
              </w:rPr>
              <w:t>财通基金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玉泉</w:t>
            </w:r>
            <w:r>
              <w:rPr>
                <w:rFonts w:ascii="宋体" w:hAnsi="宋体" w:cs="宋体" w:eastAsia="宋体" w:hint="default"/>
                <w:spacing w:val="-54"/>
                <w:sz w:val="21"/>
                <w:szCs w:val="21"/>
              </w:rPr>
              <w:t> </w:t>
            </w:r>
            <w:r>
              <w:rPr>
                <w:rFonts w:ascii="宋体" w:hAnsi="宋体" w:cs="宋体" w:eastAsia="宋体" w:hint="default"/>
                <w:sz w:val="21"/>
                <w:szCs w:val="21"/>
              </w:rPr>
              <w:t>183</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32,603,381.90</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3"/>
              <w:jc w:val="right"/>
              <w:rPr>
                <w:rFonts w:ascii="宋体" w:hAnsi="宋体" w:cs="宋体" w:eastAsia="宋体" w:hint="default"/>
                <w:sz w:val="21"/>
                <w:szCs w:val="21"/>
              </w:rPr>
            </w:pPr>
            <w:r>
              <w:rPr>
                <w:rFonts w:ascii="宋体" w:hAnsi="宋体" w:cs="宋体" w:eastAsia="宋体" w:hint="default"/>
                <w:spacing w:val="-1"/>
                <w:sz w:val="21"/>
                <w:szCs w:val="21"/>
              </w:rPr>
              <w:t>财通基金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玉泉 </w:t>
            </w:r>
            <w:r>
              <w:rPr>
                <w:rFonts w:ascii="宋体" w:hAnsi="宋体" w:cs="宋体" w:eastAsia="宋体" w:hint="default"/>
                <w:sz w:val="21"/>
                <w:szCs w:val="21"/>
              </w:rPr>
              <w:t>560</w:t>
            </w:r>
            <w:r>
              <w:rPr>
                <w:rFonts w:ascii="宋体" w:hAnsi="宋体" w:cs="宋体" w:eastAsia="宋体" w:hint="default"/>
                <w:spacing w:val="11"/>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财通证券资产管理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346,866,141.00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3"/>
              <w:jc w:val="right"/>
              <w:rPr>
                <w:rFonts w:ascii="宋体" w:hAnsi="宋体" w:cs="宋体" w:eastAsia="宋体" w:hint="default"/>
                <w:sz w:val="21"/>
                <w:szCs w:val="21"/>
              </w:rPr>
            </w:pPr>
            <w:r>
              <w:rPr>
                <w:rFonts w:ascii="宋体" w:hAnsi="宋体" w:cs="宋体" w:eastAsia="宋体" w:hint="default"/>
                <w:spacing w:val="-1"/>
                <w:sz w:val="21"/>
                <w:szCs w:val="21"/>
              </w:rPr>
              <w:t>永安期货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永利</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102,200,000.00</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3"/>
              <w:jc w:val="right"/>
              <w:rPr>
                <w:rFonts w:ascii="宋体" w:hAnsi="宋体" w:cs="宋体" w:eastAsia="宋体" w:hint="default"/>
                <w:sz w:val="21"/>
                <w:szCs w:val="21"/>
              </w:rPr>
            </w:pPr>
            <w:r>
              <w:rPr>
                <w:rFonts w:ascii="宋体" w:hAnsi="宋体" w:cs="宋体" w:eastAsia="宋体" w:hint="default"/>
                <w:spacing w:val="-1"/>
                <w:sz w:val="21"/>
                <w:szCs w:val="21"/>
              </w:rPr>
              <w:t>财通基金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财通创新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炜业创新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9,938,814.04</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99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537,493,498.85</w:t>
            </w:r>
          </w:p>
        </w:tc>
      </w:tr>
    </w:tbl>
    <w:p>
      <w:pPr>
        <w:spacing w:line="240" w:lineRule="auto" w:before="7"/>
        <w:rPr>
          <w:rFonts w:ascii="宋体" w:hAnsi="宋体" w:cs="宋体" w:eastAsia="宋体" w:hint="default"/>
          <w:sz w:val="15"/>
          <w:szCs w:val="15"/>
        </w:rPr>
      </w:pPr>
    </w:p>
    <w:p>
      <w:pPr>
        <w:pStyle w:val="BodyText"/>
        <w:spacing w:line="355" w:lineRule="auto" w:before="36"/>
        <w:ind w:left="417" w:right="233" w:firstLine="220"/>
        <w:jc w:val="left"/>
      </w:pPr>
      <w:r>
        <w:rPr>
          <w:rFonts w:ascii="宋体" w:hAnsi="宋体" w:cs="宋体" w:eastAsia="宋体" w:hint="default"/>
        </w:rPr>
        <w:t>2</w:t>
      </w:r>
      <w:r>
        <w:rPr/>
        <w:t>）向关联方出售资产管理产品及基金</w:t>
      </w:r>
      <w:r>
        <w:rPr>
          <w:w w:val="100"/>
        </w:rPr>
        <w:t> </w:t>
      </w:r>
      <w:r>
        <w:rPr>
          <w:spacing w:val="-2"/>
        </w:rPr>
        <w:t>公司及子公司向关联方出售资产管理计划产品及基金。期末各关联方持有由公司或子公司募集设立</w:t>
      </w:r>
    </w:p>
    <w:p>
      <w:pPr>
        <w:pStyle w:val="BodyText"/>
        <w:spacing w:line="240" w:lineRule="auto" w:before="32"/>
        <w:ind w:left="218" w:right="974"/>
        <w:jc w:val="left"/>
      </w:pPr>
      <w:r>
        <w:rPr/>
        <w:t>的资产管理计划产品及基金的份额如下：</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1275"/>
        <w:gridCol w:w="2002"/>
      </w:tblGrid>
      <w:tr>
        <w:trPr>
          <w:trHeight w:val="42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份额</w:t>
            </w:r>
          </w:p>
        </w:tc>
      </w:tr>
      <w:tr>
        <w:trPr>
          <w:trHeight w:val="826"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55"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本公司董监高及其关系密切</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的家庭成员、直接或间接控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制本公司的法人的董监高及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其关系密切的家庭成员</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财通证券月月福集合资产管理</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5,337,541.38</w:t>
            </w:r>
          </w:p>
        </w:tc>
      </w:tr>
      <w:tr>
        <w:trPr>
          <w:trHeight w:val="421" w:hRule="exact"/>
        </w:trPr>
        <w:tc>
          <w:tcPr>
            <w:tcW w:w="280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财通资管鑫管家货币市场基金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549,171.76</w:t>
            </w:r>
          </w:p>
        </w:tc>
      </w:tr>
      <w:tr>
        <w:trPr>
          <w:trHeight w:val="826" w:hRule="exact"/>
        </w:trPr>
        <w:tc>
          <w:tcPr>
            <w:tcW w:w="280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财通</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资</w:t>
            </w:r>
            <w:r>
              <w:rPr>
                <w:rFonts w:ascii="宋体" w:hAnsi="宋体" w:cs="宋体" w:eastAsia="宋体" w:hint="default"/>
                <w:w w:val="100"/>
                <w:sz w:val="21"/>
                <w:szCs w:val="21"/>
              </w:rPr>
              <w:t>管</w:t>
            </w:r>
            <w:r>
              <w:rPr>
                <w:rFonts w:ascii="宋体" w:hAnsi="宋体" w:cs="宋体" w:eastAsia="宋体" w:hint="default"/>
                <w:spacing w:val="-3"/>
                <w:w w:val="100"/>
                <w:sz w:val="21"/>
                <w:szCs w:val="21"/>
              </w:rPr>
              <w:t>创</w:t>
            </w:r>
            <w:r>
              <w:rPr>
                <w:rFonts w:ascii="宋体" w:hAnsi="宋体" w:cs="宋体" w:eastAsia="宋体" w:hint="default"/>
                <w:w w:val="100"/>
                <w:sz w:val="21"/>
                <w:szCs w:val="21"/>
              </w:rPr>
              <w:t>信</w:t>
            </w:r>
            <w:r>
              <w:rPr>
                <w:rFonts w:ascii="宋体" w:hAnsi="宋体" w:cs="宋体" w:eastAsia="宋体" w:hint="default"/>
                <w:spacing w:val="-72"/>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72"/>
                <w:sz w:val="21"/>
                <w:szCs w:val="21"/>
              </w:rPr>
              <w:t> </w:t>
            </w:r>
            <w:r>
              <w:rPr>
                <w:rFonts w:ascii="宋体" w:hAnsi="宋体" w:cs="宋体" w:eastAsia="宋体" w:hint="default"/>
                <w:spacing w:val="-108"/>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一期）</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集合资产管理计划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1,000,058.33</w:t>
            </w:r>
          </w:p>
        </w:tc>
      </w:tr>
      <w:tr>
        <w:trPr>
          <w:trHeight w:val="828" w:hRule="exact"/>
        </w:trPr>
        <w:tc>
          <w:tcPr>
            <w:tcW w:w="280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财通资管积极收益债券型发起</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式证券投资基金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658,186.03</w:t>
            </w:r>
          </w:p>
        </w:tc>
      </w:tr>
      <w:tr>
        <w:trPr>
          <w:trHeight w:val="826" w:hRule="exact"/>
        </w:trPr>
        <w:tc>
          <w:tcPr>
            <w:tcW w:w="280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财运连连—季季红集合资产管</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理计划（限定性）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49,940.07</w:t>
            </w:r>
          </w:p>
        </w:tc>
      </w:tr>
      <w:tr>
        <w:trPr>
          <w:trHeight w:val="828" w:hRule="exact"/>
        </w:trPr>
        <w:tc>
          <w:tcPr>
            <w:tcW w:w="2804" w:type="dxa"/>
            <w:vMerge w:val="restart"/>
            <w:tcBorders>
              <w:top w:val="single" w:sz="4" w:space="0" w:color="000000"/>
              <w:left w:val="single" w:sz="4" w:space="0" w:color="000000"/>
              <w:right w:val="single" w:sz="4" w:space="0" w:color="000000"/>
            </w:tcBorders>
          </w:tcPr>
          <w:p>
            <w:pPr>
              <w:pStyle w:val="TableParagraph"/>
              <w:spacing w:line="357" w:lineRule="auto" w:before="177"/>
              <w:ind w:left="103" w:right="101"/>
              <w:jc w:val="left"/>
              <w:rPr>
                <w:rFonts w:ascii="宋体" w:hAnsi="宋体" w:cs="宋体" w:eastAsia="宋体" w:hint="default"/>
                <w:sz w:val="21"/>
                <w:szCs w:val="21"/>
              </w:rPr>
            </w:pPr>
            <w:r>
              <w:rPr>
                <w:rFonts w:ascii="宋体" w:hAnsi="宋体" w:cs="宋体" w:eastAsia="宋体" w:hint="default"/>
                <w:spacing w:val="2"/>
                <w:sz w:val="21"/>
                <w:szCs w:val="21"/>
              </w:rPr>
              <w:t>杭州联合农村商业银行股份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财通证券资管润富</w:t>
            </w:r>
            <w:r>
              <w:rPr>
                <w:rFonts w:ascii="宋体" w:hAnsi="宋体" w:cs="宋体" w:eastAsia="宋体" w:hint="default"/>
                <w:spacing w:val="-70"/>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号集合资产</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pacing w:val="-1"/>
                <w:sz w:val="21"/>
              </w:rPr>
              <w:t>500,000,000.00</w:t>
            </w:r>
          </w:p>
        </w:tc>
      </w:tr>
      <w:tr>
        <w:trPr>
          <w:trHeight w:val="420" w:hRule="exact"/>
        </w:trPr>
        <w:tc>
          <w:tcPr>
            <w:tcW w:w="280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财通证券资管财智</w:t>
            </w:r>
            <w:r>
              <w:rPr>
                <w:rFonts w:ascii="宋体" w:hAnsi="宋体" w:cs="宋体" w:eastAsia="宋体" w:hint="default"/>
                <w:spacing w:val="-72"/>
                <w:sz w:val="21"/>
                <w:szCs w:val="21"/>
              </w:rPr>
              <w:t> </w:t>
            </w:r>
            <w:r>
              <w:rPr>
                <w:rFonts w:ascii="宋体" w:hAnsi="宋体" w:cs="宋体" w:eastAsia="宋体" w:hint="default"/>
                <w:sz w:val="21"/>
                <w:szCs w:val="21"/>
              </w:rPr>
              <w:t>119</w:t>
            </w:r>
            <w:r>
              <w:rPr>
                <w:rFonts w:ascii="宋体" w:hAnsi="宋体" w:cs="宋体" w:eastAsia="宋体" w:hint="default"/>
                <w:spacing w:val="-72"/>
                <w:sz w:val="21"/>
                <w:szCs w:val="21"/>
              </w:rPr>
              <w:t> </w:t>
            </w:r>
            <w:r>
              <w:rPr>
                <w:rFonts w:ascii="宋体" w:hAnsi="宋体" w:cs="宋体" w:eastAsia="宋体" w:hint="default"/>
                <w:sz w:val="21"/>
                <w:szCs w:val="21"/>
              </w:rPr>
              <w:t>号定向资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1,639,210,000.00</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1275"/>
        <w:gridCol w:w="2002"/>
      </w:tblGrid>
      <w:tr>
        <w:trPr>
          <w:trHeight w:val="420" w:hRule="exact"/>
        </w:trPr>
        <w:tc>
          <w:tcPr>
            <w:tcW w:w="2804"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275"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80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财通证券资管财智</w:t>
            </w:r>
            <w:r>
              <w:rPr>
                <w:rFonts w:ascii="宋体" w:hAnsi="宋体" w:cs="宋体" w:eastAsia="宋体" w:hint="default"/>
                <w:spacing w:val="-72"/>
                <w:sz w:val="21"/>
                <w:szCs w:val="21"/>
              </w:rPr>
              <w:t> </w:t>
            </w:r>
            <w:r>
              <w:rPr>
                <w:rFonts w:ascii="宋体" w:hAnsi="宋体" w:cs="宋体" w:eastAsia="宋体" w:hint="default"/>
                <w:sz w:val="21"/>
                <w:szCs w:val="21"/>
              </w:rPr>
              <w:t>207</w:t>
            </w:r>
            <w:r>
              <w:rPr>
                <w:rFonts w:ascii="宋体" w:hAnsi="宋体" w:cs="宋体" w:eastAsia="宋体" w:hint="default"/>
                <w:spacing w:val="-72"/>
                <w:sz w:val="21"/>
                <w:szCs w:val="21"/>
              </w:rPr>
              <w:t> </w:t>
            </w:r>
            <w:r>
              <w:rPr>
                <w:rFonts w:ascii="宋体" w:hAnsi="宋体" w:cs="宋体" w:eastAsia="宋体" w:hint="default"/>
                <w:sz w:val="21"/>
                <w:szCs w:val="21"/>
              </w:rPr>
              <w:t>号定向资</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16,930,972,431.41</w:t>
            </w:r>
          </w:p>
        </w:tc>
      </w:tr>
      <w:tr>
        <w:trPr>
          <w:trHeight w:val="828" w:hRule="exact"/>
        </w:trPr>
        <w:tc>
          <w:tcPr>
            <w:tcW w:w="280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财通证券资管财鑫 </w:t>
            </w:r>
            <w:r>
              <w:rPr>
                <w:rFonts w:ascii="宋体" w:hAnsi="宋体" w:cs="宋体" w:eastAsia="宋体" w:hint="default"/>
                <w:sz w:val="21"/>
                <w:szCs w:val="21"/>
              </w:rPr>
              <w:t>90</w:t>
            </w:r>
            <w:r>
              <w:rPr>
                <w:rFonts w:ascii="宋体" w:hAnsi="宋体" w:cs="宋体" w:eastAsia="宋体" w:hint="default"/>
                <w:spacing w:val="-38"/>
                <w:sz w:val="21"/>
                <w:szCs w:val="21"/>
              </w:rPr>
              <w:t> </w:t>
            </w:r>
            <w:r>
              <w:rPr>
                <w:rFonts w:ascii="宋体" w:hAnsi="宋体" w:cs="宋体" w:eastAsia="宋体" w:hint="default"/>
                <w:sz w:val="21"/>
                <w:szCs w:val="21"/>
              </w:rPr>
              <w:t>号单一资</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pacing w:val="-1"/>
                <w:sz w:val="21"/>
              </w:rPr>
              <w:t>109,631,333.12</w:t>
            </w:r>
          </w:p>
        </w:tc>
      </w:tr>
      <w:tr>
        <w:trPr>
          <w:trHeight w:val="828" w:hRule="exact"/>
        </w:trPr>
        <w:tc>
          <w:tcPr>
            <w:tcW w:w="280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财通证券资管财鑫 </w:t>
            </w:r>
            <w:r>
              <w:rPr>
                <w:rFonts w:ascii="宋体" w:hAnsi="宋体" w:cs="宋体" w:eastAsia="宋体" w:hint="default"/>
                <w:sz w:val="21"/>
                <w:szCs w:val="21"/>
              </w:rPr>
              <w:t>91</w:t>
            </w:r>
            <w:r>
              <w:rPr>
                <w:rFonts w:ascii="宋体" w:hAnsi="宋体" w:cs="宋体" w:eastAsia="宋体" w:hint="default"/>
                <w:spacing w:val="-38"/>
                <w:sz w:val="21"/>
                <w:szCs w:val="21"/>
              </w:rPr>
              <w:t> </w:t>
            </w:r>
            <w:r>
              <w:rPr>
                <w:rFonts w:ascii="宋体" w:hAnsi="宋体" w:cs="宋体" w:eastAsia="宋体" w:hint="default"/>
                <w:sz w:val="21"/>
                <w:szCs w:val="21"/>
              </w:rPr>
              <w:t>号单一资</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10,000,000.00</w:t>
            </w: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万向信托有限公司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财通证券资管通鼎青马</w:t>
            </w:r>
            <w:r>
              <w:rPr>
                <w:rFonts w:ascii="宋体" w:hAnsi="宋体" w:cs="宋体" w:eastAsia="宋体" w:hint="default"/>
                <w:spacing w:val="-70"/>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号定向</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500,000,000.00</w:t>
            </w:r>
          </w:p>
        </w:tc>
      </w:tr>
      <w:tr>
        <w:trPr>
          <w:trHeight w:val="123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宁波梅山保税港区天堂硅谷</w:t>
            </w:r>
          </w:p>
          <w:p>
            <w:pPr>
              <w:pStyle w:val="TableParagraph"/>
              <w:spacing w:line="355" w:lineRule="auto" w:before="135"/>
              <w:ind w:left="103" w:right="101"/>
              <w:jc w:val="left"/>
              <w:rPr>
                <w:rFonts w:ascii="宋体" w:hAnsi="宋体" w:cs="宋体" w:eastAsia="宋体" w:hint="default"/>
                <w:sz w:val="21"/>
                <w:szCs w:val="21"/>
              </w:rPr>
            </w:pPr>
            <w:r>
              <w:rPr>
                <w:rFonts w:ascii="宋体" w:hAnsi="宋体" w:cs="宋体" w:eastAsia="宋体" w:hint="default"/>
                <w:spacing w:val="2"/>
                <w:sz w:val="21"/>
                <w:szCs w:val="21"/>
              </w:rPr>
              <w:t>利丰投资管理有限公司及其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管理产品</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财通资管鑫管家货币市场基金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1.56</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浙江天堂硅谷资产管理集团</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有限公司及其管理产品</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财通资管鑫管家货币市场基金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63,343,066.31</w:t>
            </w:r>
          </w:p>
        </w:tc>
      </w:tr>
      <w:tr>
        <w:trPr>
          <w:trHeight w:val="41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财通资管鑫管家货币市场基金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52,317,150.61</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浙江中新力合科技金融服务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财通资管鑫管家货币市场基金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398.06</w:t>
            </w:r>
          </w:p>
        </w:tc>
      </w:tr>
      <w:tr>
        <w:trPr>
          <w:trHeight w:val="826"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浙商银行股份有限公司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财通证券资管财智</w:t>
            </w:r>
            <w:r>
              <w:rPr>
                <w:rFonts w:ascii="宋体" w:hAnsi="宋体" w:cs="宋体" w:eastAsia="宋体" w:hint="default"/>
                <w:spacing w:val="-72"/>
                <w:sz w:val="21"/>
                <w:szCs w:val="21"/>
              </w:rPr>
              <w:t> </w:t>
            </w:r>
            <w:r>
              <w:rPr>
                <w:rFonts w:ascii="宋体" w:hAnsi="宋体" w:cs="宋体" w:eastAsia="宋体" w:hint="default"/>
                <w:sz w:val="21"/>
                <w:szCs w:val="21"/>
              </w:rPr>
              <w:t>325</w:t>
            </w:r>
            <w:r>
              <w:rPr>
                <w:rFonts w:ascii="宋体" w:hAnsi="宋体" w:cs="宋体" w:eastAsia="宋体" w:hint="default"/>
                <w:spacing w:val="-72"/>
                <w:sz w:val="21"/>
                <w:szCs w:val="21"/>
              </w:rPr>
              <w:t> </w:t>
            </w:r>
            <w:r>
              <w:rPr>
                <w:rFonts w:ascii="宋体" w:hAnsi="宋体" w:cs="宋体" w:eastAsia="宋体" w:hint="default"/>
                <w:sz w:val="21"/>
                <w:szCs w:val="21"/>
              </w:rPr>
              <w:t>号定向资</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3,500,000,000.00</w:t>
            </w:r>
          </w:p>
        </w:tc>
      </w:tr>
      <w:tr>
        <w:trPr>
          <w:trHeight w:val="828" w:hRule="exact"/>
        </w:trPr>
        <w:tc>
          <w:tcPr>
            <w:tcW w:w="280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财通资管睿智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pacing w:val="2"/>
                <w:sz w:val="21"/>
                <w:szCs w:val="21"/>
              </w:rPr>
              <w:t>个月定期开放</w:t>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债券型发起式证券投资基金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不分级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1,799,998,000.00</w:t>
            </w:r>
          </w:p>
        </w:tc>
      </w:tr>
    </w:tbl>
    <w:p>
      <w:pPr>
        <w:spacing w:line="240" w:lineRule="auto" w:before="6"/>
        <w:rPr>
          <w:rFonts w:ascii="宋体" w:hAnsi="宋体" w:cs="宋体" w:eastAsia="宋体" w:hint="default"/>
          <w:sz w:val="18"/>
          <w:szCs w:val="18"/>
        </w:rPr>
      </w:pPr>
    </w:p>
    <w:p>
      <w:pPr>
        <w:pStyle w:val="BodyText"/>
        <w:spacing w:line="355" w:lineRule="auto" w:before="36"/>
        <w:ind w:left="638" w:right="0"/>
        <w:jc w:val="left"/>
      </w:pPr>
      <w:r>
        <w:rPr>
          <w:rFonts w:ascii="宋体" w:hAnsi="宋体" w:cs="宋体" w:eastAsia="宋体" w:hint="default"/>
        </w:rPr>
        <w:t>3</w:t>
      </w:r>
      <w:r>
        <w:rPr/>
        <w:t>）发行收益凭证</w:t>
      </w:r>
      <w:r>
        <w:rPr>
          <w:w w:val="100"/>
        </w:rPr>
        <w:t> </w:t>
      </w:r>
      <w:r>
        <w:rPr>
          <w:spacing w:val="-2"/>
        </w:rPr>
        <w:t>浙江金控及子公司浙江金控投资有限公司认购本公司发行的收益凭证，本公司本期与上年同期分</w:t>
      </w:r>
    </w:p>
    <w:p>
      <w:pPr>
        <w:pStyle w:val="BodyText"/>
        <w:spacing w:line="240" w:lineRule="auto" w:before="33"/>
        <w:ind w:left="218" w:right="0"/>
        <w:jc w:val="left"/>
      </w:pPr>
      <w:r>
        <w:rPr>
          <w:w w:val="100"/>
        </w:rPr>
        <w:t>别确</w:t>
      </w:r>
      <w:r>
        <w:rPr>
          <w:spacing w:val="-3"/>
          <w:w w:val="100"/>
        </w:rPr>
        <w:t>认</w:t>
      </w:r>
      <w:r>
        <w:rPr>
          <w:w w:val="100"/>
        </w:rPr>
        <w:t>的</w:t>
      </w:r>
      <w:r>
        <w:rPr>
          <w:spacing w:val="-3"/>
          <w:w w:val="100"/>
        </w:rPr>
        <w:t>利</w:t>
      </w:r>
      <w:r>
        <w:rPr>
          <w:w w:val="100"/>
        </w:rPr>
        <w:t>息</w:t>
      </w:r>
      <w:r>
        <w:rPr>
          <w:spacing w:val="-3"/>
          <w:w w:val="100"/>
        </w:rPr>
        <w:t>支出</w:t>
      </w:r>
      <w:r>
        <w:rPr>
          <w:w w:val="100"/>
        </w:rPr>
        <w:t>为</w:t>
      </w:r>
      <w:r>
        <w:rPr>
          <w:spacing w:val="-53"/>
        </w:rPr>
        <w:t> </w:t>
      </w:r>
      <w:r>
        <w:rPr>
          <w:rFonts w:ascii="宋体" w:hAnsi="宋体" w:cs="宋体" w:eastAsia="宋体" w:hint="default"/>
          <w:w w:val="100"/>
        </w:rPr>
        <w:t>50</w:t>
      </w:r>
      <w:r>
        <w:rPr>
          <w:rFonts w:ascii="宋体" w:hAnsi="宋体" w:cs="宋体" w:eastAsia="宋体" w:hint="default"/>
          <w:spacing w:val="-3"/>
          <w:w w:val="100"/>
        </w:rPr>
        <w:t>,8</w:t>
      </w:r>
      <w:r>
        <w:rPr>
          <w:rFonts w:ascii="宋体" w:hAnsi="宋体" w:cs="宋体" w:eastAsia="宋体" w:hint="default"/>
          <w:w w:val="100"/>
        </w:rPr>
        <w:t>43,50</w:t>
      </w:r>
      <w:r>
        <w:rPr>
          <w:rFonts w:ascii="宋体" w:hAnsi="宋体" w:cs="宋体" w:eastAsia="宋体" w:hint="default"/>
          <w:spacing w:val="-3"/>
          <w:w w:val="100"/>
        </w:rPr>
        <w:t>2</w:t>
      </w:r>
      <w:r>
        <w:rPr>
          <w:rFonts w:ascii="宋体" w:hAnsi="宋体" w:cs="宋体" w:eastAsia="宋体" w:hint="default"/>
          <w:w w:val="100"/>
        </w:rPr>
        <w:t>.56</w:t>
      </w:r>
      <w:r>
        <w:rPr>
          <w:rFonts w:ascii="宋体" w:hAnsi="宋体" w:cs="宋体" w:eastAsia="宋体" w:hint="default"/>
          <w:spacing w:val="-55"/>
        </w:rPr>
        <w:t> </w:t>
      </w:r>
      <w:r>
        <w:rPr>
          <w:w w:val="100"/>
        </w:rPr>
        <w:t>元和</w:t>
      </w:r>
      <w:r>
        <w:rPr>
          <w:spacing w:val="-55"/>
        </w:rPr>
        <w:t> </w:t>
      </w:r>
      <w:r>
        <w:rPr>
          <w:rFonts w:ascii="宋体" w:hAnsi="宋体" w:cs="宋体" w:eastAsia="宋体" w:hint="default"/>
          <w:w w:val="100"/>
        </w:rPr>
        <w:t>9,7</w:t>
      </w:r>
      <w:r>
        <w:rPr>
          <w:rFonts w:ascii="宋体" w:hAnsi="宋体" w:cs="宋体" w:eastAsia="宋体" w:hint="default"/>
          <w:spacing w:val="-3"/>
          <w:w w:val="100"/>
        </w:rPr>
        <w:t>6</w:t>
      </w:r>
      <w:r>
        <w:rPr>
          <w:rFonts w:ascii="宋体" w:hAnsi="宋体" w:cs="宋体" w:eastAsia="宋体" w:hint="default"/>
          <w:w w:val="100"/>
        </w:rPr>
        <w:t>0,4</w:t>
      </w:r>
      <w:r>
        <w:rPr>
          <w:rFonts w:ascii="宋体" w:hAnsi="宋体" w:cs="宋体" w:eastAsia="宋体" w:hint="default"/>
          <w:spacing w:val="-3"/>
          <w:w w:val="100"/>
        </w:rPr>
        <w:t>97</w:t>
      </w:r>
      <w:r>
        <w:rPr>
          <w:rFonts w:ascii="宋体" w:hAnsi="宋体" w:cs="宋体" w:eastAsia="宋体" w:hint="default"/>
          <w:w w:val="100"/>
        </w:rPr>
        <w:t>.44</w:t>
      </w:r>
      <w:r>
        <w:rPr>
          <w:rFonts w:ascii="宋体" w:hAnsi="宋体" w:cs="宋体" w:eastAsia="宋体" w:hint="default"/>
          <w:spacing w:val="-53"/>
        </w:rPr>
        <w:t> </w:t>
      </w:r>
      <w:r>
        <w:rPr>
          <w:spacing w:val="-3"/>
          <w:w w:val="100"/>
        </w:rPr>
        <w:t>元</w:t>
      </w:r>
      <w:r>
        <w:rPr>
          <w:spacing w:val="-87"/>
          <w:w w:val="100"/>
        </w:rPr>
        <w:t>；</w:t>
      </w:r>
      <w:r>
        <w:rPr>
          <w:w w:val="100"/>
        </w:rPr>
        <w:t>浙</w:t>
      </w:r>
      <w:r>
        <w:rPr>
          <w:spacing w:val="-3"/>
          <w:w w:val="100"/>
        </w:rPr>
        <w:t>江</w:t>
      </w:r>
      <w:r>
        <w:rPr>
          <w:w w:val="100"/>
        </w:rPr>
        <w:t>股</w:t>
      </w:r>
      <w:r>
        <w:rPr>
          <w:spacing w:val="-3"/>
          <w:w w:val="100"/>
        </w:rPr>
        <w:t>权</w:t>
      </w:r>
      <w:r>
        <w:rPr>
          <w:w w:val="100"/>
        </w:rPr>
        <w:t>交</w:t>
      </w:r>
      <w:r>
        <w:rPr>
          <w:spacing w:val="-3"/>
          <w:w w:val="100"/>
        </w:rPr>
        <w:t>易</w:t>
      </w:r>
      <w:r>
        <w:rPr>
          <w:w w:val="100"/>
        </w:rPr>
        <w:t>中</w:t>
      </w:r>
      <w:r>
        <w:rPr>
          <w:spacing w:val="-3"/>
          <w:w w:val="100"/>
        </w:rPr>
        <w:t>心</w:t>
      </w:r>
      <w:r>
        <w:rPr>
          <w:w w:val="100"/>
        </w:rPr>
        <w:t>有限</w:t>
      </w:r>
      <w:r>
        <w:rPr>
          <w:spacing w:val="-3"/>
          <w:w w:val="100"/>
        </w:rPr>
        <w:t>公</w:t>
      </w:r>
      <w:r>
        <w:rPr>
          <w:w w:val="100"/>
        </w:rPr>
        <w:t>司</w:t>
      </w:r>
      <w:r>
        <w:rPr>
          <w:spacing w:val="-3"/>
          <w:w w:val="100"/>
        </w:rPr>
        <w:t>认</w:t>
      </w:r>
      <w:r>
        <w:rPr>
          <w:w w:val="100"/>
        </w:rPr>
        <w:t>购</w:t>
      </w:r>
      <w:r>
        <w:rPr>
          <w:spacing w:val="-3"/>
          <w:w w:val="100"/>
        </w:rPr>
        <w:t>本</w:t>
      </w:r>
      <w:r>
        <w:rPr>
          <w:w w:val="100"/>
        </w:rPr>
        <w:t>公</w:t>
      </w:r>
      <w:r>
        <w:rPr>
          <w:spacing w:val="-3"/>
          <w:w w:val="100"/>
        </w:rPr>
        <w:t>司</w:t>
      </w:r>
      <w:r>
        <w:rPr>
          <w:w w:val="100"/>
        </w:rPr>
        <w:t>发</w:t>
      </w:r>
    </w:p>
    <w:p>
      <w:pPr>
        <w:pStyle w:val="BodyText"/>
        <w:spacing w:line="355" w:lineRule="auto" w:before="133"/>
        <w:ind w:left="218" w:right="0"/>
        <w:jc w:val="left"/>
      </w:pPr>
      <w:r>
        <w:rPr>
          <w:spacing w:val="-6"/>
          <w:w w:val="100"/>
        </w:rPr>
        <w:t>行的收益凭证，本公司本期与上年同期分别确认的利息支出为</w:t>
      </w:r>
      <w:r>
        <w:rPr>
          <w:spacing w:val="-68"/>
          <w:w w:val="100"/>
        </w:rPr>
        <w:t> </w:t>
      </w:r>
      <w:r>
        <w:rPr>
          <w:rFonts w:ascii="宋体" w:hAnsi="宋体" w:cs="宋体" w:eastAsia="宋体" w:hint="default"/>
          <w:spacing w:val="-1"/>
          <w:w w:val="100"/>
        </w:rPr>
        <w:t>2,515,479.45</w:t>
      </w:r>
      <w:r>
        <w:rPr>
          <w:rFonts w:ascii="宋体" w:hAnsi="宋体" w:cs="宋体" w:eastAsia="宋体" w:hint="default"/>
          <w:spacing w:val="-69"/>
          <w:w w:val="100"/>
        </w:rPr>
        <w:t> </w:t>
      </w:r>
      <w:r>
        <w:rPr>
          <w:spacing w:val="-2"/>
          <w:w w:val="100"/>
        </w:rPr>
        <w:t>元和</w:t>
      </w:r>
      <w:r>
        <w:rPr>
          <w:spacing w:val="-68"/>
          <w:w w:val="100"/>
        </w:rPr>
        <w:t> </w:t>
      </w:r>
      <w:r>
        <w:rPr>
          <w:rFonts w:ascii="宋体" w:hAnsi="宋体" w:cs="宋体" w:eastAsia="宋体" w:hint="default"/>
          <w:spacing w:val="-1"/>
          <w:w w:val="100"/>
        </w:rPr>
        <w:t>5,508,904.11</w:t>
      </w:r>
      <w:r>
        <w:rPr>
          <w:rFonts w:ascii="宋体" w:hAnsi="宋体" w:cs="宋体" w:eastAsia="宋体" w:hint="default"/>
          <w:spacing w:val="-72"/>
          <w:w w:val="100"/>
        </w:rPr>
        <w:t> </w:t>
      </w:r>
      <w:r>
        <w:rPr>
          <w:spacing w:val="-1"/>
          <w:w w:val="100"/>
        </w:rPr>
        <w:t>元。上</w:t>
      </w:r>
      <w:r>
        <w:rPr>
          <w:spacing w:val="-101"/>
          <w:w w:val="100"/>
        </w:rPr>
        <w:t> </w:t>
      </w:r>
      <w:r>
        <w:rPr>
          <w:spacing w:val="-101"/>
          <w:w w:val="100"/>
        </w:rPr>
      </w:r>
      <w:r>
        <w:rPr/>
        <w:t>述收益凭证期末均已到期兑付。</w:t>
      </w:r>
    </w:p>
    <w:p>
      <w:pPr>
        <w:pStyle w:val="BodyText"/>
        <w:spacing w:line="240" w:lineRule="auto" w:before="34"/>
        <w:ind w:left="638" w:right="205"/>
        <w:jc w:val="left"/>
      </w:pPr>
      <w:r>
        <w:rPr>
          <w:rFonts w:ascii="宋体" w:hAnsi="宋体" w:cs="宋体" w:eastAsia="宋体" w:hint="default"/>
        </w:rPr>
        <w:t>4</w:t>
      </w:r>
      <w:r>
        <w:rPr/>
        <w:t>）联建办公大楼</w:t>
      </w:r>
    </w:p>
    <w:p>
      <w:pPr>
        <w:pStyle w:val="BodyText"/>
        <w:spacing w:line="355" w:lineRule="auto" w:before="133"/>
        <w:ind w:left="218" w:right="0" w:firstLine="419"/>
        <w:jc w:val="left"/>
      </w:pPr>
      <w:r>
        <w:rPr>
          <w:rFonts w:ascii="宋体" w:hAnsi="宋体" w:cs="宋体" w:eastAsia="宋体" w:hint="default"/>
        </w:rPr>
        <w:t>2013</w:t>
      </w:r>
      <w:r>
        <w:rPr>
          <w:rFonts w:ascii="宋体" w:hAnsi="宋体" w:cs="宋体" w:eastAsia="宋体" w:hint="default"/>
          <w:spacing w:val="-56"/>
        </w:rPr>
        <w:t> </w:t>
      </w:r>
      <w:r>
        <w:rPr/>
        <w:t>年度，公司、永安期货和双冠控股集团有限公司合作购买杭州翠苑单元</w:t>
      </w:r>
      <w:r>
        <w:rPr>
          <w:spacing w:val="-56"/>
        </w:rPr>
        <w:t> </w:t>
      </w:r>
      <w:r>
        <w:rPr>
          <w:rFonts w:ascii="宋体" w:hAnsi="宋体" w:cs="宋体" w:eastAsia="宋体" w:hint="default"/>
        </w:rPr>
        <w:t>B1/B2-10-2</w:t>
      </w:r>
      <w:r>
        <w:rPr>
          <w:rFonts w:ascii="宋体" w:hAnsi="宋体" w:cs="宋体" w:eastAsia="宋体" w:hint="default"/>
          <w:spacing w:val="-54"/>
        </w:rPr>
        <w:t> </w:t>
      </w:r>
      <w:r>
        <w:rPr/>
        <w:t>地块用</w:t>
      </w:r>
      <w:r>
        <w:rPr>
          <w:w w:val="100"/>
        </w:rPr>
        <w:t> </w:t>
      </w:r>
      <w:r>
        <w:rPr>
          <w:spacing w:val="-6"/>
        </w:rPr>
        <w:t>于联建办公楼，三方出资比例分别为</w:t>
      </w:r>
      <w:r>
        <w:rPr>
          <w:spacing w:val="-46"/>
        </w:rPr>
        <w:t> </w:t>
      </w:r>
      <w:r>
        <w:rPr>
          <w:rFonts w:ascii="宋体" w:hAnsi="宋体" w:cs="宋体" w:eastAsia="宋体" w:hint="default"/>
          <w:spacing w:val="-11"/>
        </w:rPr>
        <w:t>35%</w:t>
      </w:r>
      <w:r>
        <w:rPr>
          <w:spacing w:val="-11"/>
        </w:rPr>
        <w:t>、</w:t>
      </w:r>
      <w:r>
        <w:rPr>
          <w:rFonts w:ascii="宋体" w:hAnsi="宋体" w:cs="宋体" w:eastAsia="宋体" w:hint="default"/>
          <w:spacing w:val="-11"/>
        </w:rPr>
        <w:t>30%</w:t>
      </w:r>
      <w:r>
        <w:rPr>
          <w:spacing w:val="-11"/>
        </w:rPr>
        <w:t>和</w:t>
      </w:r>
      <w:r>
        <w:rPr>
          <w:spacing w:val="-49"/>
        </w:rPr>
        <w:t> </w:t>
      </w:r>
      <w:r>
        <w:rPr>
          <w:rFonts w:ascii="宋体" w:hAnsi="宋体" w:cs="宋体" w:eastAsia="宋体" w:hint="default"/>
          <w:spacing w:val="-13"/>
        </w:rPr>
        <w:t>35%</w:t>
      </w:r>
      <w:r>
        <w:rPr>
          <w:spacing w:val="-13"/>
        </w:rPr>
        <w:t>。截至</w:t>
      </w:r>
      <w:r>
        <w:rPr>
          <w:spacing w:val="-46"/>
        </w:rPr>
        <w:t> </w:t>
      </w:r>
      <w:r>
        <w:rPr>
          <w:rFonts w:ascii="宋体" w:hAnsi="宋体" w:cs="宋体" w:eastAsia="宋体" w:hint="default"/>
        </w:rPr>
        <w:t>2018</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8"/>
        </w:rPr>
        <w:t>日，该办公大楼仍在建中。</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720"/>
        </w:sectPr>
      </w:pPr>
    </w:p>
    <w:p>
      <w:pPr>
        <w:pStyle w:val="Heading5"/>
        <w:spacing w:line="290" w:lineRule="auto" w:before="36"/>
        <w:ind w:left="21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4"/>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3"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720"/>
          <w:cols w:num="2" w:equalWidth="0">
            <w:col w:w="2544" w:space="4617"/>
            <w:col w:w="244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02"/>
        <w:gridCol w:w="1417"/>
        <w:gridCol w:w="1493"/>
        <w:gridCol w:w="1416"/>
        <w:gridCol w:w="1553"/>
        <w:gridCol w:w="1942"/>
      </w:tblGrid>
      <w:tr>
        <w:trPr>
          <w:trHeight w:val="284"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08"/>
              <w:ind w:left="32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8"/>
              <w:ind w:left="38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0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768,009.80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38,400.49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841,723.40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9" w:right="0"/>
              <w:jc w:val="left"/>
              <w:rPr>
                <w:rFonts w:ascii="宋体" w:hAnsi="宋体" w:cs="宋体" w:eastAsia="宋体" w:hint="default"/>
                <w:sz w:val="21"/>
                <w:szCs w:val="21"/>
              </w:rPr>
            </w:pPr>
            <w:r>
              <w:rPr>
                <w:rFonts w:ascii="宋体"/>
                <w:sz w:val="21"/>
              </w:rPr>
              <w:t>42,086.17</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永安期货</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52,721,739.00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65,902,173.75</w:t>
            </w:r>
          </w:p>
        </w:tc>
        <w:tc>
          <w:tcPr>
            <w:tcW w:w="19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620"/>
        </w:sectPr>
      </w:pPr>
    </w:p>
    <w:p>
      <w:pPr>
        <w:pStyle w:val="Heading5"/>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660" w:right="620"/>
          <w:cols w:num="2" w:equalWidth="0">
            <w:col w:w="1715" w:space="5445"/>
            <w:col w:w="24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30"/>
        <w:gridCol w:w="2854"/>
        <w:gridCol w:w="1634"/>
        <w:gridCol w:w="2605"/>
      </w:tblGrid>
      <w:tr>
        <w:trPr>
          <w:trHeight w:val="28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浙江金控</w:t>
            </w:r>
          </w:p>
        </w:tc>
        <w:tc>
          <w:tcPr>
            <w:tcW w:w="1634"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5,941,171.24</w:t>
            </w:r>
          </w:p>
        </w:tc>
      </w:tr>
      <w:tr>
        <w:trPr>
          <w:trHeight w:val="28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浙江金控投资有限公司</w:t>
            </w:r>
          </w:p>
        </w:tc>
        <w:tc>
          <w:tcPr>
            <w:tcW w:w="1634"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723,513.70</w:t>
            </w:r>
          </w:p>
        </w:tc>
      </w:tr>
      <w:tr>
        <w:trPr>
          <w:trHeight w:val="28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浙江股权交易中心有限公司</w:t>
            </w:r>
          </w:p>
        </w:tc>
        <w:tc>
          <w:tcPr>
            <w:tcW w:w="1634" w:type="dxa"/>
            <w:tcBorders>
              <w:top w:val="single" w:sz="4" w:space="0" w:color="000000"/>
              <w:left w:val="single" w:sz="4" w:space="0" w:color="000000"/>
              <w:bottom w:val="single" w:sz="4" w:space="0" w:color="000000"/>
              <w:right w:val="single" w:sz="4" w:space="0" w:color="000000"/>
            </w:tcBorders>
          </w:tcPr>
          <w:p>
            <w:pP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5,508,904.11</w:t>
            </w:r>
          </w:p>
        </w:tc>
      </w:tr>
    </w:tbl>
    <w:p>
      <w:pPr>
        <w:spacing w:line="240" w:lineRule="auto" w:before="12"/>
        <w:rPr>
          <w:rFonts w:ascii="宋体" w:hAnsi="宋体" w:cs="宋体" w:eastAsia="宋体" w:hint="default"/>
          <w:sz w:val="19"/>
          <w:szCs w:val="19"/>
        </w:rPr>
      </w:pPr>
    </w:p>
    <w:p>
      <w:pPr>
        <w:pStyle w:val="Heading5"/>
        <w:spacing w:line="240" w:lineRule="auto" w:before="36"/>
        <w:ind w:right="115"/>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73" w:lineRule="exact" w:before="58"/>
        <w:ind w:right="115"/>
        <w:jc w:val="left"/>
      </w:pPr>
      <w:r>
        <w:rPr/>
        <w:t>√适用</w:t>
      </w:r>
      <w:r>
        <w:rPr>
          <w:spacing w:val="-1"/>
        </w:rPr>
        <w:t> </w:t>
      </w:r>
      <w:r>
        <w:rPr/>
        <w:t>□不适用</w:t>
      </w:r>
    </w:p>
    <w:p>
      <w:pPr>
        <w:pStyle w:val="BodyText"/>
        <w:spacing w:line="357" w:lineRule="auto"/>
        <w:ind w:right="115" w:firstLine="419"/>
        <w:jc w:val="left"/>
      </w:pPr>
      <w:r>
        <w:rPr/>
        <w:t>本公司与浙江省产业基金有限公司于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日签订了《关于永安期货股份有限公司的一</w:t>
      </w:r>
      <w:r>
        <w:rPr>
          <w:w w:val="100"/>
        </w:rPr>
        <w:t> </w:t>
      </w:r>
      <w:r>
        <w:rPr/>
        <w:t>致行动人协议》，浙江省产业基金有限公司就永安期货经营发展的重大事项向股东大会、董事会行使</w:t>
      </w:r>
      <w:r>
        <w:rPr>
          <w:w w:val="100"/>
        </w:rPr>
        <w:t> </w:t>
      </w:r>
      <w:r>
        <w:rPr/>
        <w:t>提案权和在相关股东大会、董事会上行使表决权时和本公司保持一致，期限为自生效之日起</w:t>
      </w:r>
      <w:r>
        <w:rPr>
          <w:spacing w:val="-50"/>
        </w:rPr>
        <w:t> </w:t>
      </w:r>
      <w:r>
        <w:rPr>
          <w:rFonts w:ascii="宋体" w:hAnsi="宋体" w:cs="宋体" w:eastAsia="宋体" w:hint="default"/>
        </w:rPr>
        <w:t>36</w:t>
      </w:r>
      <w:r>
        <w:rPr>
          <w:rFonts w:ascii="宋体" w:hAnsi="宋体" w:cs="宋体" w:eastAsia="宋体" w:hint="default"/>
          <w:spacing w:val="-53"/>
        </w:rPr>
        <w:t> </w:t>
      </w:r>
      <w:r>
        <w:rPr>
          <w:spacing w:val="2"/>
        </w:rPr>
        <w:t>个月，</w:t>
      </w:r>
      <w:r>
        <w:rPr>
          <w:spacing w:val="2"/>
          <w:w w:val="100"/>
        </w:rPr>
        <w:t> </w:t>
      </w:r>
      <w:r>
        <w:rPr>
          <w:spacing w:val="-3"/>
        </w:rPr>
        <w:t>但因上级国有资产管理部门统一进行划转的情形除外。</w:t>
      </w:r>
      <w:r>
        <w:rPr>
          <w:rFonts w:ascii="宋体" w:hAnsi="宋体" w:cs="宋体" w:eastAsia="宋体" w:hint="default"/>
          <w:spacing w:val="-3"/>
        </w:rPr>
        <w:t>2017</w:t>
      </w:r>
      <w:r>
        <w:rPr>
          <w:rFonts w:ascii="宋体" w:hAnsi="宋体" w:cs="宋体" w:eastAsia="宋体" w:hint="default"/>
          <w:spacing w:val="-41"/>
        </w:rPr>
        <w:t> </w:t>
      </w:r>
      <w:r>
        <w:rPr/>
        <w:t>年浙江省产业基金有限公司承诺在前述协</w:t>
      </w:r>
      <w:r>
        <w:rPr>
          <w:spacing w:val="-75"/>
        </w:rPr>
        <w:t> </w:t>
      </w:r>
      <w:r>
        <w:rPr>
          <w:spacing w:val="-75"/>
        </w:rPr>
      </w:r>
      <w:r>
        <w:rPr/>
        <w:t>议到期后，将与本公司续签该协议，协议有效期延长至不早于本公司上市后三年。本公司与浙江省产</w:t>
      </w:r>
      <w:r>
        <w:rPr>
          <w:w w:val="100"/>
        </w:rPr>
        <w:t> </w:t>
      </w:r>
      <w:r>
        <w:rPr/>
        <w:t>业基金有限公司于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日重新签订了《关于永安期货股份有限公司的一致行动人协议》，</w:t>
      </w:r>
    </w:p>
    <w:p>
      <w:pPr>
        <w:pStyle w:val="BodyText"/>
        <w:spacing w:line="240" w:lineRule="auto" w:before="32"/>
        <w:ind w:right="115"/>
        <w:jc w:val="left"/>
      </w:pPr>
      <w:r>
        <w:rPr/>
        <w:t>约定协议有效期至</w:t>
      </w:r>
      <w:r>
        <w:rPr>
          <w:spacing w:val="-52"/>
        </w:rPr>
        <w:t> </w:t>
      </w: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10</w:t>
      </w:r>
      <w:r>
        <w:rPr>
          <w:rFonts w:ascii="宋体" w:hAnsi="宋体" w:cs="宋体" w:eastAsia="宋体" w:hint="default"/>
          <w:spacing w:val="-54"/>
        </w:rPr>
        <w:t> </w:t>
      </w:r>
      <w:r>
        <w:rPr/>
        <w:t>月</w:t>
      </w:r>
      <w:r>
        <w:rPr>
          <w:spacing w:val="-52"/>
        </w:rPr>
        <w:t> </w:t>
      </w:r>
      <w:r>
        <w:rPr>
          <w:rFonts w:ascii="宋体" w:hAnsi="宋体" w:cs="宋体" w:eastAsia="宋体" w:hint="default"/>
        </w:rPr>
        <w:t>23</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before="164"/>
        <w:ind w:left="138" w:right="11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977" w:val="left" w:leader="none"/>
        </w:tabs>
        <w:spacing w:line="290" w:lineRule="auto" w:before="58"/>
        <w:ind w:left="138" w:right="78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十四、</w:t>
        <w:tab/>
        <w:t>股份支付</w:t>
      </w:r>
      <w:r>
        <w:rPr>
          <w:rFonts w:ascii="宋体" w:hAnsi="宋体" w:cs="宋体" w:eastAsia="宋体" w:hint="default"/>
          <w:sz w:val="21"/>
          <w:szCs w:val="21"/>
        </w:rPr>
      </w:r>
    </w:p>
    <w:p>
      <w:pPr>
        <w:pStyle w:val="Heading5"/>
        <w:spacing w:line="240" w:lineRule="auto" w:before="14"/>
        <w:ind w:right="11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11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15"/>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9"/>
        <w:ind w:right="11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115"/>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11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115"/>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right="11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15"/>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6"/>
        <w:ind w:right="115"/>
        <w:jc w:val="left"/>
      </w:pPr>
      <w:r>
        <w:rPr/>
        <w:t>□适用</w:t>
      </w:r>
      <w:r>
        <w:rPr>
          <w:spacing w:val="-1"/>
        </w:rPr>
        <w:t> </w:t>
      </w:r>
      <w:r>
        <w:rPr/>
        <w:t>√不适用</w:t>
      </w:r>
    </w:p>
    <w:p>
      <w:pPr>
        <w:spacing w:after="0" w:line="240" w:lineRule="auto"/>
        <w:jc w:val="left"/>
        <w:sectPr>
          <w:type w:val="continuous"/>
          <w:pgSz w:w="11910" w:h="16840"/>
          <w:pgMar w:top="1060" w:bottom="1380" w:left="1660" w:right="620"/>
        </w:sectPr>
      </w:pPr>
    </w:p>
    <w:p>
      <w:pPr>
        <w:spacing w:line="240" w:lineRule="auto" w:before="1"/>
        <w:rPr>
          <w:rFonts w:ascii="宋体" w:hAnsi="宋体" w:cs="宋体" w:eastAsia="宋体" w:hint="default"/>
          <w:sz w:val="25"/>
          <w:szCs w:val="25"/>
        </w:rPr>
      </w:pPr>
    </w:p>
    <w:p>
      <w:pPr>
        <w:pStyle w:val="Heading5"/>
        <w:tabs>
          <w:tab w:pos="1057" w:val="left" w:leader="none"/>
        </w:tabs>
        <w:spacing w:line="290" w:lineRule="auto" w:before="36"/>
        <w:ind w:left="218" w:right="7168"/>
        <w:jc w:val="left"/>
        <w:rPr>
          <w:b w:val="0"/>
          <w:bCs w:val="0"/>
        </w:rPr>
      </w:pPr>
      <w:r>
        <w:rPr/>
        <w:t>十五、</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2"/>
        <w:ind w:left="218" w:right="78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5"/>
        <w:spacing w:line="240" w:lineRule="auto" w:before="12"/>
        <w:ind w:left="218" w:right="974"/>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8"/>
        <w:ind w:left="218" w:right="97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left="218" w:right="974"/>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6"/>
        <w:ind w:left="218" w:right="974"/>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5"/>
        <w:spacing w:line="240" w:lineRule="auto"/>
        <w:ind w:left="218" w:right="974"/>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6"/>
        <w:ind w:left="218" w:right="974"/>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5"/>
          <w:pgSz w:w="11910" w:h="16840"/>
          <w:pgMar w:footer="1195" w:header="882" w:top="1120" w:bottom="1380" w:left="1580" w:right="620"/>
        </w:sectPr>
      </w:pPr>
    </w:p>
    <w:p>
      <w:pPr>
        <w:pStyle w:val="Heading5"/>
        <w:tabs>
          <w:tab w:pos="1057" w:val="left" w:leader="none"/>
        </w:tabs>
        <w:spacing w:line="290" w:lineRule="auto" w:before="36"/>
        <w:ind w:left="218" w:right="0"/>
        <w:jc w:val="left"/>
        <w:rPr>
          <w:b w:val="0"/>
          <w:bCs w:val="0"/>
        </w:rPr>
      </w:pPr>
      <w:r>
        <w:rPr/>
        <w:t>十六、</w:t>
        <w:tab/>
        <w:t>资产负债表日后事项</w:t>
      </w:r>
      <w:r>
        <w:rPr>
          <w:spacing w:val="-103"/>
        </w:rPr>
        <w:t> </w:t>
      </w:r>
      <w:r>
        <w:rPr>
          <w:spacing w:val="-103"/>
        </w:rPr>
      </w:r>
      <w:r>
        <w:rPr>
          <w:rFonts w:ascii="宋体" w:hAnsi="宋体" w:cs="宋体" w:eastAsia="宋体" w:hint="default"/>
        </w:rPr>
        <w:t>1</w:t>
      </w:r>
      <w:r>
        <w:rPr/>
        <w:t>、</w:t>
      </w:r>
      <w:r>
        <w:rPr>
          <w:spacing w:val="5"/>
        </w:rPr>
        <w:t> </w:t>
      </w:r>
      <w:r>
        <w:rPr/>
        <w:t>重要的非调整事项</w:t>
      </w:r>
      <w:r>
        <w:rPr>
          <w:b w:val="0"/>
          <w:bCs w:val="0"/>
        </w:rPr>
      </w:r>
    </w:p>
    <w:p>
      <w:pPr>
        <w:spacing w:line="290" w:lineRule="auto" w:before="12"/>
        <w:ind w:left="218" w:right="10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2959" w:space="3990"/>
            <w:col w:w="276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98"/>
        <w:gridCol w:w="5579"/>
      </w:tblGrid>
      <w:tr>
        <w:trPr>
          <w:trHeight w:val="283"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251,230,000.00</w:t>
            </w:r>
          </w:p>
        </w:tc>
      </w:tr>
      <w:tr>
        <w:trPr>
          <w:trHeight w:val="284"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251,230,000.00</w:t>
            </w:r>
          </w:p>
        </w:tc>
      </w:tr>
    </w:tbl>
    <w:p>
      <w:pPr>
        <w:pStyle w:val="BodyText"/>
        <w:spacing w:line="241" w:lineRule="exact"/>
        <w:ind w:left="645" w:right="0"/>
        <w:jc w:val="left"/>
      </w:pPr>
      <w:r>
        <w:rPr/>
        <w:t>经公司第二届董事会第十八次会议审议通过，公司 </w:t>
      </w:r>
      <w:r>
        <w:rPr>
          <w:rFonts w:ascii="宋体" w:hAnsi="宋体" w:cs="宋体" w:eastAsia="宋体" w:hint="default"/>
        </w:rPr>
        <w:t>2018</w:t>
      </w:r>
      <w:r>
        <w:rPr>
          <w:rFonts w:ascii="宋体" w:hAnsi="宋体" w:cs="宋体" w:eastAsia="宋体" w:hint="default"/>
          <w:spacing w:val="-5"/>
        </w:rPr>
        <w:t> </w:t>
      </w:r>
      <w:r>
        <w:rPr/>
        <w:t>年度利润分配采用现金分红方式，以总</w:t>
      </w:r>
    </w:p>
    <w:p>
      <w:pPr>
        <w:pStyle w:val="BodyText"/>
        <w:spacing w:line="240" w:lineRule="auto" w:before="133"/>
        <w:ind w:left="218" w:right="0"/>
        <w:jc w:val="left"/>
      </w:pPr>
      <w:r>
        <w:rPr/>
        <w:t>股本</w:t>
      </w:r>
      <w:r>
        <w:rPr>
          <w:spacing w:val="-35"/>
        </w:rPr>
        <w:t> </w:t>
      </w:r>
      <w:r>
        <w:rPr>
          <w:rFonts w:ascii="宋体" w:hAnsi="宋体" w:cs="宋体" w:eastAsia="宋体" w:hint="default"/>
        </w:rPr>
        <w:t>3,589,000,000</w:t>
      </w:r>
      <w:r>
        <w:rPr>
          <w:rFonts w:ascii="宋体" w:hAnsi="宋体" w:cs="宋体" w:eastAsia="宋体" w:hint="default"/>
          <w:spacing w:val="-35"/>
        </w:rPr>
        <w:t> </w:t>
      </w:r>
      <w:r>
        <w:rPr/>
        <w:t>股为基数，向全体股东每</w:t>
      </w:r>
      <w:r>
        <w:rPr>
          <w:spacing w:val="-32"/>
        </w:rPr>
        <w:t> </w:t>
      </w:r>
      <w:r>
        <w:rPr>
          <w:rFonts w:ascii="宋体" w:hAnsi="宋体" w:cs="宋体" w:eastAsia="宋体" w:hint="default"/>
        </w:rPr>
        <w:t>10</w:t>
      </w:r>
      <w:r>
        <w:rPr>
          <w:rFonts w:ascii="宋体" w:hAnsi="宋体" w:cs="宋体" w:eastAsia="宋体" w:hint="default"/>
          <w:spacing w:val="-38"/>
        </w:rPr>
        <w:t> </w:t>
      </w:r>
      <w:r>
        <w:rPr/>
        <w:t>股派发现金红利</w:t>
      </w:r>
      <w:r>
        <w:rPr>
          <w:spacing w:val="-30"/>
        </w:rPr>
        <w:t> </w:t>
      </w:r>
      <w:r>
        <w:rPr>
          <w:rFonts w:ascii="宋体" w:hAnsi="宋体" w:cs="宋体" w:eastAsia="宋体" w:hint="default"/>
        </w:rPr>
        <w:t>0.7</w:t>
      </w:r>
      <w:r>
        <w:rPr>
          <w:rFonts w:ascii="宋体" w:hAnsi="宋体" w:cs="宋体" w:eastAsia="宋体" w:hint="default"/>
          <w:spacing w:val="-35"/>
        </w:rPr>
        <w:t> </w:t>
      </w:r>
      <w:r>
        <w:rPr/>
        <w:t>元（含税），共派发现金红利</w:t>
      </w:r>
    </w:p>
    <w:p>
      <w:pPr>
        <w:pStyle w:val="BodyText"/>
        <w:spacing w:line="240" w:lineRule="auto" w:before="133"/>
        <w:ind w:left="218" w:right="974"/>
        <w:jc w:val="left"/>
      </w:pPr>
      <w:r>
        <w:rPr>
          <w:rFonts w:ascii="宋体" w:hAnsi="宋体" w:cs="宋体" w:eastAsia="宋体" w:hint="default"/>
        </w:rPr>
        <w:t>251,230,000.00 </w:t>
      </w:r>
      <w:r>
        <w:rPr/>
        <w:t>元。上述分配方案尚待公司 </w:t>
      </w:r>
      <w:r>
        <w:rPr>
          <w:rFonts w:ascii="宋体" w:hAnsi="宋体" w:cs="宋体" w:eastAsia="宋体" w:hint="default"/>
        </w:rPr>
        <w:t>2018</w:t>
      </w:r>
      <w:r>
        <w:rPr>
          <w:rFonts w:ascii="宋体" w:hAnsi="宋体" w:cs="宋体" w:eastAsia="宋体" w:hint="default"/>
          <w:spacing w:val="-55"/>
        </w:rPr>
        <w:t> </w:t>
      </w:r>
      <w:r>
        <w:rPr>
          <w:spacing w:val="2"/>
        </w:rPr>
        <w:t>年度股东大会审议通过方可实施。</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218" w:right="974"/>
        <w:jc w:val="left"/>
        <w:rPr>
          <w:b w:val="0"/>
          <w:bCs w:val="0"/>
        </w:rPr>
      </w:pPr>
      <w:r>
        <w:rPr>
          <w:rFonts w:ascii="宋体" w:hAnsi="宋体" w:cs="宋体" w:eastAsia="宋体" w:hint="default"/>
        </w:rPr>
        <w:t>3</w:t>
      </w:r>
      <w:r>
        <w:rPr/>
        <w:t>、</w:t>
      </w:r>
      <w:r>
        <w:rPr>
          <w:spacing w:val="3"/>
        </w:rPr>
        <w:t> </w:t>
      </w:r>
      <w:r>
        <w:rPr/>
        <w:t>销售退回</w:t>
      </w:r>
      <w:r>
        <w:rPr>
          <w:b w:val="0"/>
          <w:bCs w:val="0"/>
        </w:rPr>
      </w:r>
    </w:p>
    <w:p>
      <w:pPr>
        <w:pStyle w:val="BodyText"/>
        <w:spacing w:line="240" w:lineRule="auto" w:before="56"/>
        <w:ind w:left="218" w:right="9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218" w:right="974"/>
        <w:jc w:val="left"/>
        <w:rPr>
          <w:b w:val="0"/>
          <w:bCs w:val="0"/>
        </w:rPr>
      </w:pPr>
      <w:r>
        <w:rPr>
          <w:rFonts w:ascii="宋体" w:hAnsi="宋体" w:cs="宋体" w:eastAsia="宋体" w:hint="default"/>
        </w:rPr>
        <w:t>4</w:t>
      </w:r>
      <w:r>
        <w:rPr/>
        <w:t>、</w:t>
      </w:r>
      <w:r>
        <w:rPr>
          <w:spacing w:val="1"/>
        </w:rPr>
        <w:t> </w:t>
      </w:r>
      <w:r>
        <w:rPr/>
        <w:t>其他资产负债表日后事项说明</w:t>
      </w:r>
      <w:r>
        <w:rPr>
          <w:b w:val="0"/>
          <w:bCs w:val="0"/>
        </w:rPr>
      </w:r>
    </w:p>
    <w:p>
      <w:pPr>
        <w:pStyle w:val="BodyText"/>
        <w:spacing w:line="273" w:lineRule="exact" w:before="58"/>
        <w:ind w:left="218" w:right="974"/>
        <w:jc w:val="left"/>
      </w:pPr>
      <w:r>
        <w:rPr/>
        <w:t>√适用</w:t>
      </w:r>
      <w:r>
        <w:rPr>
          <w:spacing w:val="-1"/>
        </w:rPr>
        <w:t> </w:t>
      </w:r>
      <w:r>
        <w:rPr/>
        <w:t>□不适用</w:t>
      </w:r>
    </w:p>
    <w:p>
      <w:pPr>
        <w:pStyle w:val="BodyText"/>
        <w:spacing w:line="273" w:lineRule="exact"/>
        <w:ind w:left="638" w:right="0"/>
        <w:jc w:val="left"/>
      </w:pPr>
      <w:r>
        <w:rPr>
          <w:rFonts w:ascii="宋体" w:hAnsi="宋体" w:cs="宋体" w:eastAsia="宋体" w:hint="default"/>
        </w:rPr>
        <w:t>(1).</w:t>
      </w: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月在上海证券交易所发行了</w:t>
      </w:r>
      <w:r>
        <w:rPr>
          <w:spacing w:val="-53"/>
        </w:rPr>
        <w:t> </w:t>
      </w:r>
      <w:r>
        <w:rPr>
          <w:rFonts w:ascii="宋体" w:hAnsi="宋体" w:cs="宋体" w:eastAsia="宋体" w:hint="default"/>
        </w:rPr>
        <w:t>2019</w:t>
      </w:r>
      <w:r>
        <w:rPr>
          <w:rFonts w:ascii="宋体" w:hAnsi="宋体" w:cs="宋体" w:eastAsia="宋体" w:hint="default"/>
          <w:spacing w:val="-53"/>
        </w:rPr>
        <w:t> </w:t>
      </w:r>
      <w:r>
        <w:rPr/>
        <w:t>年第一期次级债券，发行金额为</w:t>
      </w:r>
      <w:r>
        <w:rPr>
          <w:spacing w:val="-50"/>
        </w:rPr>
        <w:t> </w:t>
      </w:r>
      <w:r>
        <w:rPr>
          <w:rFonts w:ascii="宋体" w:hAnsi="宋体" w:cs="宋体" w:eastAsia="宋体" w:hint="default"/>
        </w:rPr>
        <w:t>30</w:t>
      </w:r>
      <w:r>
        <w:rPr>
          <w:rFonts w:ascii="宋体" w:hAnsi="宋体" w:cs="宋体" w:eastAsia="宋体" w:hint="default"/>
          <w:spacing w:val="-50"/>
        </w:rPr>
        <w:t> </w:t>
      </w:r>
      <w:r>
        <w:rPr/>
        <w:t>亿元。</w:t>
      </w:r>
    </w:p>
    <w:p>
      <w:pPr>
        <w:pStyle w:val="BodyText"/>
        <w:spacing w:line="240" w:lineRule="auto" w:before="133"/>
        <w:ind w:left="501" w:right="974"/>
        <w:jc w:val="left"/>
      </w:pPr>
      <w:r>
        <w:rPr/>
        <w:t>（</w:t>
      </w:r>
      <w:r>
        <w:rPr>
          <w:rFonts w:ascii="宋体" w:hAnsi="宋体" w:cs="宋体" w:eastAsia="宋体" w:hint="default"/>
        </w:rPr>
        <w:t>2</w:t>
      </w:r>
      <w:r>
        <w:rPr/>
        <w:t>）</w:t>
      </w:r>
      <w:r>
        <w:rPr>
          <w:rFonts w:ascii="宋体" w:hAnsi="宋体" w:cs="宋体" w:eastAsia="宋体" w:hint="default"/>
        </w:rPr>
        <w:t>.</w:t>
      </w:r>
      <w:r>
        <w:rPr/>
        <w:t>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月发行了</w:t>
      </w:r>
      <w:r>
        <w:rPr>
          <w:spacing w:val="-54"/>
        </w:rPr>
        <w:t> </w:t>
      </w:r>
      <w:r>
        <w:rPr>
          <w:rFonts w:ascii="宋体" w:hAnsi="宋体" w:cs="宋体" w:eastAsia="宋体" w:hint="default"/>
        </w:rPr>
        <w:t>2019</w:t>
      </w:r>
      <w:r>
        <w:rPr>
          <w:rFonts w:ascii="宋体" w:hAnsi="宋体" w:cs="宋体" w:eastAsia="宋体" w:hint="default"/>
          <w:spacing w:val="-54"/>
        </w:rPr>
        <w:t> </w:t>
      </w:r>
      <w:r>
        <w:rPr/>
        <w:t>年度第一期短期融资券，发行金额</w:t>
      </w:r>
      <w:r>
        <w:rPr>
          <w:spacing w:val="-54"/>
        </w:rPr>
        <w:t> </w:t>
      </w:r>
      <w:r>
        <w:rPr>
          <w:rFonts w:ascii="宋体" w:hAnsi="宋体" w:cs="宋体" w:eastAsia="宋体" w:hint="default"/>
        </w:rPr>
        <w:t>15</w:t>
      </w:r>
      <w:r>
        <w:rPr>
          <w:rFonts w:ascii="宋体" w:hAnsi="宋体" w:cs="宋体" w:eastAsia="宋体" w:hint="default"/>
          <w:spacing w:val="-55"/>
        </w:rPr>
        <w:t> </w:t>
      </w:r>
      <w:r>
        <w:rPr/>
        <w:t>亿元。</w:t>
      </w:r>
    </w:p>
    <w:p>
      <w:pPr>
        <w:pStyle w:val="BodyText"/>
        <w:spacing w:line="240" w:lineRule="auto" w:before="135"/>
        <w:ind w:left="642" w:right="0"/>
        <w:jc w:val="left"/>
      </w:pPr>
      <w:r>
        <w:rPr>
          <w:rFonts w:ascii="宋体" w:hAnsi="宋体" w:cs="宋体" w:eastAsia="宋体" w:hint="default"/>
        </w:rPr>
        <w:t>(3).</w:t>
      </w: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月在上海证券交易所发行了</w:t>
      </w:r>
      <w:r>
        <w:rPr>
          <w:spacing w:val="-53"/>
        </w:rPr>
        <w:t> </w:t>
      </w:r>
      <w:r>
        <w:rPr>
          <w:rFonts w:ascii="宋体" w:hAnsi="宋体" w:cs="宋体" w:eastAsia="宋体" w:hint="default"/>
        </w:rPr>
        <w:t>2019</w:t>
      </w:r>
      <w:r>
        <w:rPr>
          <w:rFonts w:ascii="宋体" w:hAnsi="宋体" w:cs="宋体" w:eastAsia="宋体" w:hint="default"/>
          <w:spacing w:val="-53"/>
        </w:rPr>
        <w:t> </w:t>
      </w:r>
      <w:r>
        <w:rPr/>
        <w:t>年第二期次级债券，发行金额为</w:t>
      </w:r>
      <w:r>
        <w:rPr>
          <w:spacing w:val="-51"/>
        </w:rPr>
        <w:t> </w:t>
      </w:r>
      <w:r>
        <w:rPr>
          <w:rFonts w:ascii="宋体" w:hAnsi="宋体" w:cs="宋体" w:eastAsia="宋体" w:hint="default"/>
        </w:rPr>
        <w:t>20</w:t>
      </w:r>
      <w:r>
        <w:rPr>
          <w:rFonts w:ascii="宋体" w:hAnsi="宋体" w:cs="宋体" w:eastAsia="宋体" w:hint="default"/>
          <w:spacing w:val="-51"/>
        </w:rPr>
        <w:t> </w:t>
      </w:r>
      <w:r>
        <w:rPr/>
        <w:t>亿元。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tabs>
          <w:tab w:pos="1057" w:val="left" w:leader="none"/>
        </w:tabs>
        <w:spacing w:line="240" w:lineRule="auto"/>
        <w:ind w:left="218" w:right="974"/>
        <w:jc w:val="left"/>
        <w:rPr>
          <w:b w:val="0"/>
          <w:bCs w:val="0"/>
        </w:rPr>
      </w:pPr>
      <w:r>
        <w:rPr/>
        <w:t>十七、</w:t>
        <w:tab/>
        <w:t>风险管理</w:t>
      </w:r>
      <w:r>
        <w:rPr>
          <w:b w:val="0"/>
          <w:bCs w:val="0"/>
        </w:rPr>
      </w:r>
    </w:p>
    <w:p>
      <w:pPr>
        <w:pStyle w:val="Heading5"/>
        <w:spacing w:line="290" w:lineRule="auto" w:before="56"/>
        <w:ind w:left="218" w:right="6728"/>
        <w:jc w:val="left"/>
        <w:rPr>
          <w:b w:val="0"/>
          <w:bCs w:val="0"/>
        </w:rPr>
      </w:pPr>
      <w:r>
        <w:rPr>
          <w:rFonts w:ascii="宋体" w:hAnsi="宋体" w:cs="宋体" w:eastAsia="宋体" w:hint="default"/>
        </w:rPr>
        <w:t>1</w:t>
      </w:r>
      <w:r>
        <w:rPr/>
        <w:t>、</w:t>
      </w:r>
      <w:r>
        <w:rPr>
          <w:spacing w:val="-2"/>
        </w:rPr>
        <w:t> </w:t>
      </w:r>
      <w:r>
        <w:rPr/>
        <w:t>风险管理政策及组织架构</w:t>
      </w:r>
      <w:r>
        <w:rPr>
          <w:w w:val="100"/>
        </w:rPr>
        <w:t> </w:t>
      </w:r>
      <w:r>
        <w:rPr>
          <w:rFonts w:ascii="宋体" w:hAnsi="宋体" w:cs="宋体" w:eastAsia="宋体" w:hint="default"/>
        </w:rPr>
        <w:t>(1).</w:t>
      </w:r>
      <w:r>
        <w:rPr/>
        <w:t>风险管理政策</w:t>
      </w:r>
      <w:r>
        <w:rPr>
          <w:b w:val="0"/>
          <w:bCs w:val="0"/>
        </w:rPr>
      </w:r>
    </w:p>
    <w:p>
      <w:pPr>
        <w:pStyle w:val="BodyText"/>
        <w:spacing w:line="274" w:lineRule="exact" w:before="12"/>
        <w:ind w:left="218" w:right="974"/>
        <w:jc w:val="left"/>
      </w:pPr>
      <w:r>
        <w:rPr/>
        <w:t>√适用</w:t>
      </w:r>
      <w:r>
        <w:rPr>
          <w:spacing w:val="-1"/>
        </w:rPr>
        <w:t> </w:t>
      </w:r>
      <w:r>
        <w:rPr/>
        <w:t>□不适用</w:t>
      </w:r>
    </w:p>
    <w:p>
      <w:pPr>
        <w:pStyle w:val="BodyText"/>
        <w:spacing w:line="357" w:lineRule="auto"/>
        <w:ind w:left="218" w:right="0" w:firstLine="479"/>
        <w:jc w:val="left"/>
      </w:pPr>
      <w:r>
        <w:rPr/>
        <w:t>公司建立了全面的风险管理和内部控制流程，以监督、评估、管理和各项业务相关的风险敞口。</w:t>
      </w:r>
      <w:r>
        <w:rPr>
          <w:w w:val="100"/>
        </w:rPr>
        <w:t> </w:t>
      </w:r>
      <w:r>
        <w:rPr>
          <w:spacing w:val="-11"/>
        </w:rPr>
        <w:t>公司按照《证券公司全面风险管理规范》的要求，修订了《财通证券股份有限公司风险管理基本制度》，</w:t>
      </w:r>
    </w:p>
    <w:p>
      <w:pPr>
        <w:spacing w:after="0" w:line="357" w:lineRule="auto"/>
        <w:jc w:val="left"/>
        <w:sectPr>
          <w:type w:val="continuous"/>
          <w:pgSz w:w="11910" w:h="16840"/>
          <w:pgMar w:top="1060" w:bottom="1380" w:left="1580" w:right="620"/>
        </w:sectPr>
      </w:pPr>
    </w:p>
    <w:p>
      <w:pPr>
        <w:spacing w:line="240" w:lineRule="auto" w:before="1"/>
        <w:rPr>
          <w:rFonts w:ascii="宋体" w:hAnsi="宋体" w:cs="宋体" w:eastAsia="宋体" w:hint="default"/>
          <w:sz w:val="25"/>
          <w:szCs w:val="25"/>
        </w:rPr>
      </w:pPr>
    </w:p>
    <w:p>
      <w:pPr>
        <w:pStyle w:val="BodyText"/>
        <w:spacing w:line="357" w:lineRule="auto" w:before="36"/>
        <w:ind w:right="115"/>
        <w:jc w:val="left"/>
      </w:pPr>
      <w:r>
        <w:rPr/>
        <w:t>明确了公司风险管理目标、原则、组织架构及职责分工、风险管理的手段和方法、风险管理流程、履</w:t>
      </w:r>
      <w:r>
        <w:rPr>
          <w:w w:val="100"/>
        </w:rPr>
        <w:t> </w:t>
      </w:r>
      <w:r>
        <w:rPr/>
        <w:t>职保障等相关要求，为公司风险管理工作提供了制度依据。同时，公司建立以各大类风险分类管理制</w:t>
      </w:r>
      <w:r>
        <w:rPr>
          <w:w w:val="100"/>
        </w:rPr>
        <w:t> </w:t>
      </w:r>
      <w:r>
        <w:rPr>
          <w:spacing w:val="-4"/>
          <w:w w:val="100"/>
        </w:rPr>
        <w:t>度为横向和以各大类业务风险管理制度为纵向的矩阵式的风险管理制度体系，实现风险制度对各业务、</w:t>
      </w:r>
      <w:r>
        <w:rPr>
          <w:spacing w:val="-73"/>
          <w:w w:val="100"/>
        </w:rPr>
        <w:t> </w:t>
      </w:r>
      <w:r>
        <w:rPr>
          <w:spacing w:val="-73"/>
          <w:w w:val="100"/>
        </w:rPr>
      </w:r>
      <w:r>
        <w:rPr/>
        <w:t>各单位全覆盖，如制定了《市场风险管理办法》、《信用风险管理办法》、《操作风险管理办法》、</w:t>
      </w:r>
    </w:p>
    <w:p>
      <w:pPr>
        <w:pStyle w:val="BodyText"/>
        <w:spacing w:line="357" w:lineRule="auto" w:before="30"/>
        <w:ind w:right="237"/>
        <w:jc w:val="both"/>
      </w:pPr>
      <w:r>
        <w:rPr>
          <w:spacing w:val="-2"/>
        </w:rPr>
        <w:t>《流动性风险管理办法》、《声誉风险管理办法》和《自营投资业务风险管理办法》、《投资银行类</w:t>
      </w:r>
      <w:r>
        <w:rPr>
          <w:spacing w:val="-21"/>
        </w:rPr>
        <w:t> </w:t>
      </w:r>
      <w:r>
        <w:rPr>
          <w:spacing w:val="-21"/>
        </w:rPr>
      </w:r>
      <w:r>
        <w:rPr>
          <w:spacing w:val="-2"/>
        </w:rPr>
        <w:t>业务风险管理办法》、《经纪业务风险管理办法》以及《子公司风险管理办法》和《子公司风险管理</w:t>
      </w:r>
      <w:r>
        <w:rPr>
          <w:spacing w:val="-21"/>
        </w:rPr>
        <w:t> </w:t>
      </w:r>
      <w:r>
        <w:rPr>
          <w:spacing w:val="-21"/>
        </w:rPr>
      </w:r>
      <w:r>
        <w:rPr/>
        <w:t>考核细则》等较为完备的风险管理制度体系。</w:t>
      </w:r>
    </w:p>
    <w:p>
      <w:pPr>
        <w:pStyle w:val="BodyText"/>
        <w:spacing w:line="240" w:lineRule="auto" w:before="30"/>
        <w:ind w:left="558" w:right="115"/>
        <w:jc w:val="left"/>
      </w:pPr>
      <w:r>
        <w:rPr>
          <w:w w:val="100"/>
        </w:rPr>
        <w:t>此外</w:t>
      </w:r>
      <w:r>
        <w:rPr>
          <w:spacing w:val="-104"/>
          <w:w w:val="100"/>
        </w:rPr>
        <w:t>，</w:t>
      </w:r>
      <w:r>
        <w:rPr>
          <w:w w:val="100"/>
        </w:rPr>
        <w:t>为</w:t>
      </w:r>
      <w:r>
        <w:rPr>
          <w:spacing w:val="-3"/>
          <w:w w:val="100"/>
        </w:rPr>
        <w:t>加</w:t>
      </w:r>
      <w:r>
        <w:rPr>
          <w:w w:val="100"/>
        </w:rPr>
        <w:t>强</w:t>
      </w:r>
      <w:r>
        <w:rPr>
          <w:spacing w:val="-3"/>
          <w:w w:val="100"/>
        </w:rPr>
        <w:t>公</w:t>
      </w:r>
      <w:r>
        <w:rPr>
          <w:w w:val="100"/>
        </w:rPr>
        <w:t>司</w:t>
      </w:r>
      <w:r>
        <w:rPr>
          <w:spacing w:val="-3"/>
          <w:w w:val="100"/>
        </w:rPr>
        <w:t>的</w:t>
      </w:r>
      <w:r>
        <w:rPr>
          <w:w w:val="100"/>
        </w:rPr>
        <w:t>风</w:t>
      </w:r>
      <w:r>
        <w:rPr>
          <w:spacing w:val="-3"/>
          <w:w w:val="100"/>
        </w:rPr>
        <w:t>险控</w:t>
      </w:r>
      <w:r>
        <w:rPr>
          <w:w w:val="100"/>
        </w:rPr>
        <w:t>制指</w:t>
      </w:r>
      <w:r>
        <w:rPr>
          <w:spacing w:val="-3"/>
          <w:w w:val="100"/>
        </w:rPr>
        <w:t>标</w:t>
      </w:r>
      <w:r>
        <w:rPr>
          <w:w w:val="100"/>
        </w:rPr>
        <w:t>管</w:t>
      </w:r>
      <w:r>
        <w:rPr>
          <w:spacing w:val="-3"/>
          <w:w w:val="100"/>
        </w:rPr>
        <w:t>理</w:t>
      </w:r>
      <w:r>
        <w:rPr>
          <w:w w:val="100"/>
        </w:rPr>
        <w:t>和</w:t>
      </w:r>
      <w:r>
        <w:rPr>
          <w:spacing w:val="-3"/>
          <w:w w:val="100"/>
        </w:rPr>
        <w:t>压</w:t>
      </w:r>
      <w:r>
        <w:rPr>
          <w:w w:val="100"/>
        </w:rPr>
        <w:t>力</w:t>
      </w:r>
      <w:r>
        <w:rPr>
          <w:spacing w:val="-3"/>
          <w:w w:val="100"/>
        </w:rPr>
        <w:t>测</w:t>
      </w:r>
      <w:r>
        <w:rPr>
          <w:w w:val="100"/>
        </w:rPr>
        <w:t>试</w:t>
      </w:r>
      <w:r>
        <w:rPr>
          <w:spacing w:val="-3"/>
          <w:w w:val="100"/>
        </w:rPr>
        <w:t>工</w:t>
      </w:r>
      <w:r>
        <w:rPr>
          <w:w w:val="100"/>
        </w:rPr>
        <w:t>作</w:t>
      </w:r>
      <w:r>
        <w:rPr>
          <w:spacing w:val="-101"/>
          <w:w w:val="100"/>
        </w:rPr>
        <w:t>，</w:t>
      </w:r>
      <w:r>
        <w:rPr>
          <w:spacing w:val="-3"/>
          <w:w w:val="100"/>
        </w:rPr>
        <w:t>公</w:t>
      </w:r>
      <w:r>
        <w:rPr>
          <w:w w:val="100"/>
        </w:rPr>
        <w:t>司</w:t>
      </w:r>
      <w:r>
        <w:rPr>
          <w:spacing w:val="-3"/>
          <w:w w:val="100"/>
        </w:rPr>
        <w:t>对</w:t>
      </w:r>
      <w:r>
        <w:rPr>
          <w:spacing w:val="-101"/>
          <w:w w:val="100"/>
        </w:rPr>
        <w:t>比</w:t>
      </w:r>
      <w:r>
        <w:rPr>
          <w:w w:val="100"/>
        </w:rPr>
        <w:t>《</w:t>
      </w:r>
      <w:r>
        <w:rPr>
          <w:spacing w:val="-3"/>
          <w:w w:val="100"/>
        </w:rPr>
        <w:t>证</w:t>
      </w:r>
      <w:r>
        <w:rPr>
          <w:w w:val="100"/>
        </w:rPr>
        <w:t>券</w:t>
      </w:r>
      <w:r>
        <w:rPr>
          <w:spacing w:val="-3"/>
          <w:w w:val="100"/>
        </w:rPr>
        <w:t>公</w:t>
      </w:r>
      <w:r>
        <w:rPr>
          <w:w w:val="100"/>
        </w:rPr>
        <w:t>司</w:t>
      </w:r>
      <w:r>
        <w:rPr>
          <w:spacing w:val="-3"/>
          <w:w w:val="100"/>
        </w:rPr>
        <w:t>全</w:t>
      </w:r>
      <w:r>
        <w:rPr>
          <w:w w:val="100"/>
        </w:rPr>
        <w:t>面风</w:t>
      </w:r>
      <w:r>
        <w:rPr>
          <w:spacing w:val="-3"/>
          <w:w w:val="100"/>
        </w:rPr>
        <w:t>险</w:t>
      </w:r>
      <w:r>
        <w:rPr>
          <w:w w:val="100"/>
        </w:rPr>
        <w:t>管</w:t>
      </w:r>
      <w:r>
        <w:rPr>
          <w:spacing w:val="-3"/>
          <w:w w:val="100"/>
        </w:rPr>
        <w:t>理</w:t>
      </w:r>
      <w:r>
        <w:rPr>
          <w:w w:val="100"/>
        </w:rPr>
        <w:t>规</w:t>
      </w:r>
      <w:r>
        <w:rPr>
          <w:spacing w:val="-3"/>
          <w:w w:val="100"/>
        </w:rPr>
        <w:t>范</w:t>
      </w:r>
      <w:r>
        <w:rPr>
          <w:spacing w:val="-101"/>
          <w:w w:val="100"/>
        </w:rPr>
        <w:t>》</w:t>
      </w:r>
      <w:r>
        <w:rPr>
          <w:w w:val="100"/>
        </w:rPr>
        <w:t>、</w:t>
      </w:r>
    </w:p>
    <w:p>
      <w:pPr>
        <w:pStyle w:val="BodyText"/>
        <w:spacing w:line="357" w:lineRule="auto" w:before="133"/>
        <w:ind w:right="237"/>
        <w:jc w:val="both"/>
      </w:pPr>
      <w:r>
        <w:rPr>
          <w:spacing w:val="-2"/>
        </w:rPr>
        <w:t>《证券公司风险控制指标管理办法》及配套规则的要求，制定了《财通证券股份有限公司风险控制指</w:t>
      </w:r>
      <w:r>
        <w:rPr>
          <w:spacing w:val="-21"/>
        </w:rPr>
        <w:t> </w:t>
      </w:r>
      <w:r>
        <w:rPr>
          <w:spacing w:val="-21"/>
        </w:rPr>
      </w:r>
      <w:r>
        <w:rPr>
          <w:spacing w:val="-2"/>
        </w:rPr>
        <w:t>标管理办法》、《财通证券股份有限公司风险控制指标动态监控管理办法》、《财通证券股份有限公</w:t>
      </w:r>
      <w:r>
        <w:rPr>
          <w:spacing w:val="-21"/>
        </w:rPr>
        <w:t> </w:t>
      </w:r>
      <w:r>
        <w:rPr>
          <w:spacing w:val="-21"/>
        </w:rPr>
      </w:r>
      <w:r>
        <w:rPr/>
        <w:t>司压力测试实施办法》等专项的风险管理制度。</w:t>
      </w:r>
    </w:p>
    <w:p>
      <w:pPr>
        <w:pStyle w:val="Heading5"/>
        <w:spacing w:line="240" w:lineRule="auto" w:before="90"/>
        <w:ind w:right="0"/>
        <w:jc w:val="both"/>
        <w:rPr>
          <w:b w:val="0"/>
          <w:bCs w:val="0"/>
        </w:rPr>
      </w:pPr>
      <w:r>
        <w:rPr>
          <w:rFonts w:ascii="宋体" w:hAnsi="宋体" w:cs="宋体" w:eastAsia="宋体" w:hint="default"/>
        </w:rPr>
        <w:t>(2).</w:t>
      </w:r>
      <w:r>
        <w:rPr/>
        <w:t>风险治理组织架构</w:t>
      </w:r>
      <w:r>
        <w:rPr>
          <w:b w:val="0"/>
          <w:bCs w:val="0"/>
        </w:rPr>
      </w:r>
    </w:p>
    <w:p>
      <w:pPr>
        <w:spacing w:line="240" w:lineRule="auto" w:before="10"/>
        <w:rPr>
          <w:rFonts w:ascii="宋体" w:hAnsi="宋体" w:cs="宋体" w:eastAsia="宋体" w:hint="default"/>
          <w:b/>
          <w:bCs/>
          <w:sz w:val="14"/>
          <w:szCs w:val="14"/>
        </w:rPr>
      </w:pPr>
    </w:p>
    <w:p>
      <w:pPr>
        <w:pStyle w:val="BodyText"/>
        <w:spacing w:line="355" w:lineRule="auto"/>
        <w:ind w:left="558" w:right="115" w:hanging="420"/>
        <w:jc w:val="left"/>
      </w:pPr>
      <w:r>
        <w:rPr/>
        <w:t>√适用</w:t>
      </w:r>
      <w:r>
        <w:rPr>
          <w:spacing w:val="-2"/>
        </w:rPr>
        <w:t> </w:t>
      </w:r>
      <w:r>
        <w:rPr/>
        <w:t>□不适用</w:t>
      </w:r>
      <w:r>
        <w:rPr>
          <w:w w:val="100"/>
        </w:rPr>
        <w:t> </w:t>
      </w:r>
      <w:r>
        <w:rPr>
          <w:spacing w:val="-2"/>
        </w:rPr>
        <w:t>公司根据全面风险管理的要求建立分工合理、职责明确、报告关系清晰的风险管理组织架构，包</w:t>
      </w:r>
    </w:p>
    <w:p>
      <w:pPr>
        <w:pStyle w:val="BodyText"/>
        <w:spacing w:line="357" w:lineRule="auto" w:before="32"/>
        <w:ind w:right="115"/>
        <w:jc w:val="left"/>
      </w:pPr>
      <w:r>
        <w:rPr>
          <w:spacing w:val="-2"/>
        </w:rPr>
        <w:t>括董事会（风险控制委员会）、监事会，经理层，风险管理部、合规部、各职能部门，业务部门及子</w:t>
      </w:r>
      <w:r>
        <w:rPr>
          <w:spacing w:val="-21"/>
        </w:rPr>
        <w:t> </w:t>
      </w:r>
      <w:r>
        <w:rPr>
          <w:spacing w:val="-21"/>
        </w:rPr>
      </w:r>
      <w:r>
        <w:rPr/>
        <w:t>公司共四个层级。公司设置首席风险官，领导风险管理部推动公司全面风险管理工作。</w:t>
      </w:r>
    </w:p>
    <w:p>
      <w:pPr>
        <w:spacing w:line="240" w:lineRule="auto" w:before="0"/>
        <w:rPr>
          <w:rFonts w:ascii="宋体" w:hAnsi="宋体" w:cs="宋体" w:eastAsia="宋体" w:hint="default"/>
          <w:sz w:val="20"/>
          <w:szCs w:val="20"/>
        </w:rPr>
      </w:pPr>
    </w:p>
    <w:p>
      <w:pPr>
        <w:pStyle w:val="Heading5"/>
        <w:spacing w:line="240" w:lineRule="auto" w:before="141"/>
        <w:ind w:right="0"/>
        <w:jc w:val="both"/>
        <w:rPr>
          <w:b w:val="0"/>
          <w:bCs w:val="0"/>
        </w:rPr>
      </w:pPr>
      <w:r>
        <w:rPr>
          <w:rFonts w:ascii="宋体" w:hAnsi="宋体" w:cs="宋体" w:eastAsia="宋体" w:hint="default"/>
        </w:rPr>
        <w:t>2</w:t>
      </w:r>
      <w:r>
        <w:rPr/>
        <w:t>、</w:t>
      </w:r>
      <w:r>
        <w:rPr>
          <w:spacing w:val="-2"/>
        </w:rPr>
        <w:t> </w:t>
      </w:r>
      <w:r>
        <w:rPr/>
        <w:t>信用风险</w:t>
      </w:r>
      <w:r>
        <w:rPr>
          <w:b w:val="0"/>
          <w:bCs w:val="0"/>
        </w:rPr>
      </w:r>
    </w:p>
    <w:p>
      <w:pPr>
        <w:pStyle w:val="BodyText"/>
        <w:spacing w:line="273" w:lineRule="exact" w:before="56"/>
        <w:ind w:right="0"/>
        <w:jc w:val="both"/>
      </w:pPr>
      <w:r>
        <w:rPr/>
        <w:t>√适用</w:t>
      </w:r>
      <w:r>
        <w:rPr>
          <w:spacing w:val="-1"/>
        </w:rPr>
        <w:t> </w:t>
      </w:r>
      <w:r>
        <w:rPr/>
        <w:t>□不适用</w:t>
      </w:r>
    </w:p>
    <w:p>
      <w:pPr>
        <w:pStyle w:val="BodyText"/>
        <w:spacing w:line="357" w:lineRule="auto"/>
        <w:ind w:right="220" w:firstLine="479"/>
        <w:jc w:val="both"/>
      </w:pPr>
      <w:r>
        <w:rPr>
          <w:spacing w:val="-3"/>
        </w:rPr>
        <w:t>信用风险是指因借款人、交易对手或发行人未能履行其合约责任而导致损失的可能性，或由于借</w:t>
      </w:r>
      <w:r>
        <w:rPr>
          <w:w w:val="100"/>
        </w:rPr>
        <w:t> </w:t>
      </w:r>
      <w:r>
        <w:rPr>
          <w:spacing w:val="-2"/>
        </w:rPr>
        <w:t>款人、交易对手、发行人的信用评级的变动和履约能力的变化而导致其债务市场价值变动而引起损失</w:t>
      </w:r>
      <w:r>
        <w:rPr>
          <w:spacing w:val="-21"/>
        </w:rPr>
        <w:t> </w:t>
      </w:r>
      <w:r>
        <w:rPr>
          <w:spacing w:val="-21"/>
        </w:rPr>
      </w:r>
      <w:r>
        <w:rPr>
          <w:spacing w:val="-2"/>
        </w:rPr>
        <w:t>的可能性。公司的信用风险源于信用类产品（包括债券和其他债权投资等）投资的违约风险，证券信</w:t>
      </w:r>
      <w:r>
        <w:rPr>
          <w:spacing w:val="-21"/>
        </w:rPr>
        <w:t> </w:t>
      </w:r>
      <w:r>
        <w:rPr>
          <w:spacing w:val="-21"/>
        </w:rPr>
      </w:r>
      <w:r>
        <w:rPr>
          <w:spacing w:val="-2"/>
        </w:rPr>
        <w:t>用业务（包括融资融券业务、约定购回式证券交易业务、股票质押式回购交易业务等），场外衍生品</w:t>
      </w:r>
      <w:r>
        <w:rPr>
          <w:spacing w:val="-21"/>
        </w:rPr>
        <w:t> </w:t>
      </w:r>
      <w:r>
        <w:rPr>
          <w:spacing w:val="-21"/>
        </w:rPr>
      </w:r>
      <w:r>
        <w:rPr>
          <w:spacing w:val="-2"/>
        </w:rPr>
        <w:t>交易的交易对手方违约风险等方面。主要表现为债券等主体违约、信用评级下调，客户违约，交易对</w:t>
      </w:r>
      <w:r>
        <w:rPr>
          <w:spacing w:val="-21"/>
        </w:rPr>
        <w:t> </w:t>
      </w:r>
      <w:r>
        <w:rPr>
          <w:spacing w:val="-21"/>
        </w:rPr>
      </w:r>
      <w:r>
        <w:rPr/>
        <w:t>手违约等给公司造成损失的可能性。</w:t>
      </w:r>
    </w:p>
    <w:p>
      <w:pPr>
        <w:pStyle w:val="BodyText"/>
        <w:spacing w:line="357" w:lineRule="auto" w:before="30"/>
        <w:ind w:right="223" w:firstLine="419"/>
        <w:jc w:val="both"/>
      </w:pPr>
      <w:r>
        <w:rPr>
          <w:spacing w:val="-2"/>
        </w:rPr>
        <w:t>针对自营固定收益类投资，公司通过严格控制标的准入评级及个券集中度限额、密切跟踪债券发</w:t>
      </w:r>
      <w:r>
        <w:rPr>
          <w:w w:val="100"/>
        </w:rPr>
        <w:t> </w:t>
      </w:r>
      <w:r>
        <w:rPr>
          <w:spacing w:val="-2"/>
        </w:rPr>
        <w:t>行人经营情况和资信水平等措施控制信用风险敞口，防范信用风险；针对证券融资类业务，公司通过</w:t>
      </w:r>
      <w:r>
        <w:rPr>
          <w:spacing w:val="-21"/>
        </w:rPr>
        <w:t> </w:t>
      </w:r>
      <w:r>
        <w:rPr>
          <w:spacing w:val="-21"/>
        </w:rPr>
      </w:r>
      <w:r>
        <w:rPr>
          <w:spacing w:val="-2"/>
        </w:rPr>
        <w:t>对客户进行风险教育、征授信管理、折算率模型研究、逐日盯市、强化实时监控、客户风险提示、强</w:t>
      </w:r>
      <w:r>
        <w:rPr>
          <w:spacing w:val="-21"/>
        </w:rPr>
        <w:t> </w:t>
      </w:r>
      <w:r>
        <w:rPr>
          <w:spacing w:val="-21"/>
        </w:rPr>
      </w:r>
      <w:r>
        <w:rPr>
          <w:spacing w:val="-6"/>
        </w:rPr>
        <w:t>制平仓、司法追索，建立严格的担保物范围及折算率、保证金比例、履约担保比例的标准等多种手段，</w:t>
      </w:r>
      <w:r>
        <w:rPr>
          <w:spacing w:val="-36"/>
        </w:rPr>
        <w:t> </w:t>
      </w:r>
      <w:r>
        <w:rPr>
          <w:spacing w:val="-36"/>
        </w:rPr>
      </w:r>
      <w:r>
        <w:rPr/>
        <w:t>对其信用风险进行管理和控制。</w:t>
      </w:r>
    </w:p>
    <w:p>
      <w:pPr>
        <w:spacing w:line="240" w:lineRule="auto" w:before="0"/>
        <w:rPr>
          <w:rFonts w:ascii="宋体" w:hAnsi="宋体" w:cs="宋体" w:eastAsia="宋体" w:hint="default"/>
          <w:sz w:val="20"/>
          <w:szCs w:val="20"/>
        </w:rPr>
      </w:pPr>
    </w:p>
    <w:p>
      <w:pPr>
        <w:pStyle w:val="Heading5"/>
        <w:spacing w:line="240" w:lineRule="auto" w:before="140"/>
        <w:ind w:right="0"/>
        <w:jc w:val="both"/>
        <w:rPr>
          <w:b w:val="0"/>
          <w:bCs w:val="0"/>
        </w:rPr>
      </w:pPr>
      <w:r>
        <w:rPr>
          <w:rFonts w:ascii="宋体" w:hAnsi="宋体" w:cs="宋体" w:eastAsia="宋体" w:hint="default"/>
        </w:rPr>
        <w:t>3</w:t>
      </w:r>
      <w:r>
        <w:rPr/>
        <w:t>、</w:t>
      </w:r>
      <w:r>
        <w:rPr>
          <w:spacing w:val="-2"/>
        </w:rPr>
        <w:t> </w:t>
      </w:r>
      <w:r>
        <w:rPr/>
        <w:t>流动风险</w:t>
      </w:r>
      <w:r>
        <w:rPr>
          <w:b w:val="0"/>
          <w:bCs w:val="0"/>
        </w:rPr>
      </w:r>
    </w:p>
    <w:p>
      <w:pPr>
        <w:pStyle w:val="BodyText"/>
        <w:spacing w:line="273" w:lineRule="exact" w:before="56"/>
        <w:ind w:right="0"/>
        <w:jc w:val="both"/>
      </w:pPr>
      <w:r>
        <w:rPr/>
        <w:t>√适用</w:t>
      </w:r>
      <w:r>
        <w:rPr>
          <w:spacing w:val="-1"/>
        </w:rPr>
        <w:t> </w:t>
      </w:r>
      <w:r>
        <w:rPr/>
        <w:t>□不适用</w:t>
      </w:r>
    </w:p>
    <w:p>
      <w:pPr>
        <w:pStyle w:val="BodyText"/>
        <w:spacing w:line="357" w:lineRule="auto"/>
        <w:ind w:right="220" w:firstLine="479"/>
        <w:jc w:val="both"/>
      </w:pPr>
      <w:r>
        <w:rPr>
          <w:spacing w:val="-3"/>
        </w:rPr>
        <w:t>流动性风险是指公司无法以合理成本及时获得充足资金，以偿付到期债务、履行其他支付义务和</w:t>
      </w:r>
      <w:r>
        <w:rPr>
          <w:w w:val="100"/>
        </w:rPr>
        <w:t> </w:t>
      </w:r>
      <w:r>
        <w:rPr/>
        <w:t>满足正常业务开展的资金需求的风险。</w:t>
      </w:r>
    </w:p>
    <w:p>
      <w:pPr>
        <w:spacing w:after="0" w:line="357" w:lineRule="auto"/>
        <w:jc w:val="both"/>
        <w:sectPr>
          <w:footerReference w:type="default" r:id="rId76"/>
          <w:pgSz w:w="11910" w:h="16840"/>
          <w:pgMar w:footer="1195" w:header="882" w:top="1120" w:bottom="1380" w:left="1660" w:right="620"/>
          <w:pgNumType w:start="201"/>
        </w:sectPr>
      </w:pPr>
    </w:p>
    <w:p>
      <w:pPr>
        <w:spacing w:line="240" w:lineRule="auto" w:before="1"/>
        <w:rPr>
          <w:rFonts w:ascii="宋体" w:hAnsi="宋体" w:cs="宋体" w:eastAsia="宋体" w:hint="default"/>
          <w:sz w:val="25"/>
          <w:szCs w:val="25"/>
        </w:rPr>
      </w:pPr>
    </w:p>
    <w:p>
      <w:pPr>
        <w:pStyle w:val="BodyText"/>
        <w:spacing w:line="357" w:lineRule="auto" w:before="36"/>
        <w:ind w:left="1118" w:right="257" w:firstLine="419"/>
        <w:jc w:val="both"/>
      </w:pPr>
      <w:r>
        <w:rPr>
          <w:spacing w:val="-2"/>
        </w:rPr>
        <w:t>针对流动性风险，公司通过加强日间流动性管理和日常融资管理，开展高评级债券类资产流动性</w:t>
      </w:r>
      <w:r>
        <w:rPr>
          <w:w w:val="100"/>
        </w:rPr>
        <w:t> </w:t>
      </w:r>
      <w:r>
        <w:rPr>
          <w:spacing w:val="-2"/>
        </w:rPr>
        <w:t>管理业务，建立三级流动性储备池，改善公司负债结构，强化融资渠道建设，建立健全流动性风险管</w:t>
      </w:r>
      <w:r>
        <w:rPr>
          <w:spacing w:val="-21"/>
        </w:rPr>
        <w:t> </w:t>
      </w:r>
      <w:r>
        <w:rPr>
          <w:spacing w:val="-21"/>
        </w:rPr>
      </w:r>
      <w:r>
        <w:rPr>
          <w:spacing w:val="-2"/>
        </w:rPr>
        <w:t>理信息系统等手段，积极应对流动性压力，防范和控制流动性风险。同时，公司在出现新增投资、新</w:t>
      </w:r>
      <w:r>
        <w:rPr>
          <w:spacing w:val="-21"/>
        </w:rPr>
        <w:t> </w:t>
      </w:r>
      <w:r>
        <w:rPr>
          <w:spacing w:val="-21"/>
        </w:rPr>
      </w:r>
      <w:r>
        <w:rPr>
          <w:spacing w:val="-2"/>
        </w:rPr>
        <w:t>业务开展等情形时，根据业务规模、性质、复杂程度及风险状况，对流动性风险指标进行压力测试，</w:t>
      </w:r>
      <w:r>
        <w:rPr>
          <w:spacing w:val="-21"/>
        </w:rPr>
        <w:t> </w:t>
      </w:r>
      <w:r>
        <w:rPr>
          <w:spacing w:val="-21"/>
        </w:rPr>
      </w:r>
      <w:r>
        <w:rPr>
          <w:spacing w:val="-2"/>
        </w:rPr>
        <w:t>并将压力测试结果运用于公司的相关决策过程。此外，公司制定了有效的流动性风险应急计划，并定</w:t>
      </w:r>
      <w:r>
        <w:rPr>
          <w:spacing w:val="-21"/>
        </w:rPr>
        <w:t> </w:t>
      </w:r>
      <w:r>
        <w:rPr>
          <w:spacing w:val="-21"/>
        </w:rPr>
      </w:r>
      <w:r>
        <w:rPr/>
        <w:t>期开展应急演练，以确保公司可以应对紧急情况下的流动性需求。</w:t>
      </w:r>
    </w:p>
    <w:p>
      <w:pPr>
        <w:pStyle w:val="BodyText"/>
        <w:spacing w:line="240" w:lineRule="auto" w:before="32"/>
        <w:ind w:left="1538" w:right="0"/>
        <w:jc w:val="left"/>
      </w:pPr>
      <w:r>
        <w:rPr/>
        <w:t>本公司金融负债未经折现的合同现金流量到期日分析如下：</w:t>
      </w:r>
    </w:p>
    <w:p>
      <w:pPr>
        <w:spacing w:line="240" w:lineRule="auto" w:before="0"/>
        <w:rPr>
          <w:rFonts w:ascii="宋体" w:hAnsi="宋体" w:cs="宋体" w:eastAsia="宋体" w:hint="default"/>
          <w:sz w:val="20"/>
          <w:szCs w:val="20"/>
        </w:rPr>
      </w:pPr>
    </w:p>
    <w:p>
      <w:pPr>
        <w:pStyle w:val="BodyText"/>
        <w:spacing w:line="240" w:lineRule="auto" w:before="142"/>
        <w:ind w:left="0" w:right="108"/>
        <w:jc w:val="right"/>
      </w:pPr>
      <w:r>
        <w:rPr>
          <w:spacing w:val="-2"/>
        </w:rPr>
        <w:t>单位：人民币万元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77"/>
        <w:gridCol w:w="1296"/>
        <w:gridCol w:w="1397"/>
        <w:gridCol w:w="1418"/>
        <w:gridCol w:w="1133"/>
        <w:gridCol w:w="852"/>
        <w:gridCol w:w="1133"/>
        <w:gridCol w:w="1843"/>
      </w:tblGrid>
      <w:tr>
        <w:trPr>
          <w:trHeight w:val="305" w:hRule="exact"/>
        </w:trPr>
        <w:tc>
          <w:tcPr>
            <w:tcW w:w="1277" w:type="dxa"/>
            <w:vMerge w:val="restart"/>
            <w:tcBorders>
              <w:top w:val="single" w:sz="8" w:space="0" w:color="000000"/>
              <w:left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074" w:type="dxa"/>
            <w:gridSpan w:val="7"/>
            <w:tcBorders>
              <w:top w:val="single" w:sz="8" w:space="0" w:color="000000"/>
              <w:left w:val="single" w:sz="8" w:space="0" w:color="000000"/>
              <w:bottom w:val="single" w:sz="8" w:space="0" w:color="000000"/>
              <w:right w:val="nil" w:sz="6" w:space="0" w:color="auto"/>
            </w:tcBorders>
          </w:tcPr>
          <w:p>
            <w:pPr>
              <w:pStyle w:val="TableParagraph"/>
              <w:spacing w:line="232" w:lineRule="exact"/>
              <w:ind w:right="9"/>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7" w:hRule="exact"/>
        </w:trPr>
        <w:tc>
          <w:tcPr>
            <w:tcW w:w="1277" w:type="dxa"/>
            <w:vMerge/>
            <w:tcBorders>
              <w:left w:val="nil" w:sz="6" w:space="0" w:color="auto"/>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即期偿还</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10"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无固定期限</w:t>
            </w: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32" w:lineRule="exact" w:before="0"/>
        <w:ind w:left="232" w:right="0" w:firstLine="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1277"/>
        <w:gridCol w:w="1296"/>
        <w:gridCol w:w="1397"/>
        <w:gridCol w:w="1418"/>
        <w:gridCol w:w="1133"/>
        <w:gridCol w:w="852"/>
        <w:gridCol w:w="1133"/>
        <w:gridCol w:w="1843"/>
      </w:tblGrid>
      <w:tr>
        <w:trPr>
          <w:trHeight w:val="30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68,558.29</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68,558.29</w:t>
            </w:r>
          </w:p>
        </w:tc>
      </w:tr>
      <w:tr>
        <w:trPr>
          <w:trHeight w:val="30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80,117.37</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80,117.37</w:t>
            </w:r>
          </w:p>
        </w:tc>
      </w:tr>
      <w:tr>
        <w:trPr>
          <w:trHeight w:val="487"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32"/>
                <w:sz w:val="18"/>
                <w:szCs w:val="18"/>
              </w:rPr>
              <w:t>衍生金融负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16.02</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283.32</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147.17</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445</w:t>
            </w: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891.51</w:t>
            </w:r>
          </w:p>
        </w:tc>
      </w:tr>
      <w:tr>
        <w:trPr>
          <w:trHeight w:val="487"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32"/>
                <w:sz w:val="18"/>
                <w:szCs w:val="18"/>
              </w:rPr>
              <w:t>卖出回购金</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融资产款</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438,525.42</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438,525.42</w:t>
            </w:r>
          </w:p>
        </w:tc>
      </w:tr>
      <w:tr>
        <w:trPr>
          <w:trHeight w:val="487"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32"/>
                <w:sz w:val="18"/>
                <w:szCs w:val="18"/>
              </w:rPr>
              <w:t>代理买卖证</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券款</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1,031,501.70</w:t>
            </w:r>
          </w:p>
        </w:tc>
        <w:tc>
          <w:tcPr>
            <w:tcW w:w="1397"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1,031,501.70</w:t>
            </w:r>
          </w:p>
        </w:tc>
      </w:tr>
      <w:tr>
        <w:trPr>
          <w:trHeight w:val="488"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32"/>
                <w:sz w:val="18"/>
                <w:szCs w:val="18"/>
              </w:rPr>
              <w:t>应付短期融</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资款</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289,169.01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19,370.51</w:t>
            </w: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308,539.52</w:t>
            </w:r>
          </w:p>
        </w:tc>
      </w:tr>
      <w:tr>
        <w:trPr>
          <w:trHeight w:val="30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381,275.00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549,401.45</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937,760.16</w:t>
            </w: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1,868,436.61</w:t>
            </w:r>
          </w:p>
        </w:tc>
      </w:tr>
      <w:tr>
        <w:trPr>
          <w:trHeight w:val="30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
        </w:tc>
      </w:tr>
      <w:tr>
        <w:trPr>
          <w:trHeight w:val="487"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其他负债（金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融负债）</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11,966.76</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20,852.26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18,024.22</w:t>
            </w: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50,843.24</w:t>
            </w:r>
          </w:p>
        </w:tc>
      </w:tr>
      <w:tr>
        <w:trPr>
          <w:trHeight w:val="305" w:hRule="exact"/>
        </w:trPr>
        <w:tc>
          <w:tcPr>
            <w:tcW w:w="127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1,043,484.48</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1,278,780.67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586,943.35</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938,205.16</w:t>
            </w: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3,847,413.66</w:t>
            </w:r>
          </w:p>
        </w:tc>
      </w:tr>
    </w:tbl>
    <w:p>
      <w:pPr>
        <w:pStyle w:val="BodyText"/>
        <w:spacing w:line="248" w:lineRule="exact"/>
        <w:ind w:left="232" w:right="0"/>
        <w:jc w:val="left"/>
      </w:pPr>
      <w:r>
        <w:rPr/>
        <w:t>（续上表）</w:t>
      </w:r>
    </w:p>
    <w:p>
      <w:pPr>
        <w:spacing w:line="240" w:lineRule="auto" w:before="11"/>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77"/>
        <w:gridCol w:w="1296"/>
        <w:gridCol w:w="1397"/>
        <w:gridCol w:w="1418"/>
        <w:gridCol w:w="1133"/>
        <w:gridCol w:w="852"/>
        <w:gridCol w:w="1133"/>
        <w:gridCol w:w="1843"/>
      </w:tblGrid>
      <w:tr>
        <w:trPr>
          <w:trHeight w:val="305" w:hRule="exact"/>
        </w:trPr>
        <w:tc>
          <w:tcPr>
            <w:tcW w:w="1277" w:type="dxa"/>
            <w:vMerge w:val="restart"/>
            <w:tcBorders>
              <w:top w:val="single" w:sz="8" w:space="0" w:color="000000"/>
              <w:left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074" w:type="dxa"/>
            <w:gridSpan w:val="7"/>
            <w:tcBorders>
              <w:top w:val="single" w:sz="8" w:space="0" w:color="000000"/>
              <w:left w:val="single" w:sz="8" w:space="0" w:color="000000"/>
              <w:bottom w:val="single" w:sz="8" w:space="0" w:color="000000"/>
              <w:right w:val="nil" w:sz="6" w:space="0" w:color="auto"/>
            </w:tcBorders>
          </w:tcPr>
          <w:p>
            <w:pPr>
              <w:pStyle w:val="TableParagraph"/>
              <w:spacing w:line="232" w:lineRule="exact"/>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7" w:hRule="exact"/>
        </w:trPr>
        <w:tc>
          <w:tcPr>
            <w:tcW w:w="1277" w:type="dxa"/>
            <w:vMerge/>
            <w:tcBorders>
              <w:left w:val="nil" w:sz="6" w:space="0" w:color="auto"/>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即期偿还</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10"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无固定期限</w:t>
            </w: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32" w:lineRule="exact" w:before="0"/>
        <w:ind w:left="232" w:right="0" w:firstLine="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1292"/>
        <w:gridCol w:w="1296"/>
        <w:gridCol w:w="1397"/>
        <w:gridCol w:w="1418"/>
        <w:gridCol w:w="1133"/>
        <w:gridCol w:w="852"/>
        <w:gridCol w:w="1133"/>
        <w:gridCol w:w="1843"/>
      </w:tblGrid>
      <w:tr>
        <w:trPr>
          <w:trHeight w:val="305"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54,491.81</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54,491.81</w:t>
            </w:r>
          </w:p>
        </w:tc>
      </w:tr>
      <w:tr>
        <w:trPr>
          <w:trHeight w:val="305"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80,041.73</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80,041.73</w:t>
            </w:r>
          </w:p>
        </w:tc>
      </w:tr>
      <w:tr>
        <w:trPr>
          <w:trHeight w:val="487"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衍生金融负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836.51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1,297.95</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714.61</w:t>
            </w: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2,849.07</w:t>
            </w:r>
          </w:p>
        </w:tc>
      </w:tr>
      <w:tr>
        <w:trPr>
          <w:trHeight w:val="487"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卖出回购金</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融资产款</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366,615.47</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366,615.47</w:t>
            </w:r>
          </w:p>
        </w:tc>
      </w:tr>
      <w:tr>
        <w:trPr>
          <w:trHeight w:val="487"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代理买卖证</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券款</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1,022,460.41</w:t>
            </w:r>
          </w:p>
        </w:tc>
        <w:tc>
          <w:tcPr>
            <w:tcW w:w="1397"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1,022,460.41</w:t>
            </w:r>
          </w:p>
        </w:tc>
      </w:tr>
      <w:tr>
        <w:trPr>
          <w:trHeight w:val="485"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应付短期融</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资款</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625,023.56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172,444.89</w:t>
            </w: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797,468.45</w:t>
            </w:r>
          </w:p>
        </w:tc>
      </w:tr>
      <w:tr>
        <w:trPr>
          <w:trHeight w:val="487"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96"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13,725.00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35,275.00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1,152,795.</w:t>
            </w:r>
          </w:p>
          <w:p>
            <w:pPr>
              <w:pStyle w:val="TableParagraph"/>
              <w:spacing w:line="234" w:lineRule="exact"/>
              <w:ind w:right="95"/>
              <w:jc w:val="right"/>
              <w:rPr>
                <w:rFonts w:ascii="宋体" w:hAnsi="宋体" w:cs="宋体" w:eastAsia="宋体" w:hint="default"/>
                <w:sz w:val="18"/>
                <w:szCs w:val="18"/>
              </w:rPr>
            </w:pPr>
            <w:r>
              <w:rPr>
                <w:rFonts w:ascii="宋体"/>
                <w:sz w:val="18"/>
              </w:rPr>
              <w:t>29</w:t>
            </w: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1,201,795.29</w:t>
            </w:r>
          </w:p>
        </w:tc>
      </w:tr>
      <w:tr>
        <w:trPr>
          <w:trHeight w:val="305"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45,527.99</w:t>
            </w:r>
          </w:p>
        </w:tc>
        <w:tc>
          <w:tcPr>
            <w:tcW w:w="1397"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45,527.99</w:t>
            </w:r>
          </w:p>
        </w:tc>
      </w:tr>
      <w:tr>
        <w:trPr>
          <w:trHeight w:val="490" w:hRule="exact"/>
        </w:trPr>
        <w:tc>
          <w:tcPr>
            <w:tcW w:w="1292"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其他负债（金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融负债）</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13,212.33</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10,170.00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6,344.98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2,300.00</w:t>
            </w:r>
          </w:p>
        </w:tc>
        <w:tc>
          <w:tcPr>
            <w:tcW w:w="85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32,027.31</w:t>
            </w:r>
          </w:p>
        </w:tc>
      </w:tr>
    </w:tbl>
    <w:p>
      <w:pPr>
        <w:spacing w:after="0" w:line="240" w:lineRule="auto"/>
        <w:jc w:val="right"/>
        <w:rPr>
          <w:rFonts w:ascii="宋体" w:hAnsi="宋体" w:cs="宋体" w:eastAsia="宋体" w:hint="default"/>
          <w:sz w:val="18"/>
          <w:szCs w:val="18"/>
        </w:rPr>
        <w:sectPr>
          <w:pgSz w:w="11910" w:h="16840"/>
          <w:pgMar w:header="882" w:footer="1195" w:top="1120" w:bottom="1380" w:left="680" w:right="600"/>
        </w:sectPr>
      </w:pPr>
    </w:p>
    <w:p>
      <w:pPr>
        <w:spacing w:line="240" w:lineRule="auto" w:before="9"/>
        <w:rPr>
          <w:rFonts w:ascii="宋体" w:hAnsi="宋体" w:cs="宋体" w:eastAsia="宋体" w:hint="default"/>
          <w:b/>
          <w:bCs/>
          <w:sz w:val="29"/>
          <w:szCs w:val="29"/>
        </w:rPr>
      </w:pPr>
    </w:p>
    <w:tbl>
      <w:tblPr>
        <w:tblW w:w="0" w:type="auto"/>
        <w:jc w:val="left"/>
        <w:tblInd w:w="120" w:type="dxa"/>
        <w:tblLayout w:type="fixed"/>
        <w:tblCellMar>
          <w:top w:w="0" w:type="dxa"/>
          <w:left w:w="0" w:type="dxa"/>
          <w:bottom w:w="0" w:type="dxa"/>
          <w:right w:w="0" w:type="dxa"/>
        </w:tblCellMar>
        <w:tblLook w:val="01E0"/>
      </w:tblPr>
      <w:tblGrid>
        <w:gridCol w:w="1292"/>
        <w:gridCol w:w="1296"/>
        <w:gridCol w:w="1397"/>
        <w:gridCol w:w="1418"/>
        <w:gridCol w:w="1133"/>
        <w:gridCol w:w="852"/>
        <w:gridCol w:w="1133"/>
        <w:gridCol w:w="1843"/>
      </w:tblGrid>
      <w:tr>
        <w:trPr>
          <w:trHeight w:val="478" w:hRule="exact"/>
        </w:trPr>
        <w:tc>
          <w:tcPr>
            <w:tcW w:w="1292" w:type="dxa"/>
            <w:tcBorders>
              <w:top w:val="nil" w:sz="6" w:space="0" w:color="auto"/>
              <w:left w:val="nil" w:sz="6" w:space="0" w:color="auto"/>
              <w:bottom w:val="single" w:sz="8" w:space="0" w:color="000000"/>
              <w:right w:val="single" w:sz="8"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8"/>
              <w:ind w:left="98" w:right="0"/>
              <w:jc w:val="left"/>
              <w:rPr>
                <w:rFonts w:ascii="宋体" w:hAnsi="宋体" w:cs="宋体" w:eastAsia="宋体" w:hint="default"/>
                <w:sz w:val="18"/>
                <w:szCs w:val="18"/>
              </w:rPr>
            </w:pPr>
            <w:r>
              <w:rPr>
                <w:rFonts w:ascii="宋体"/>
                <w:sz w:val="18"/>
              </w:rPr>
              <w:t>1,081,200.73</w:t>
            </w:r>
          </w:p>
        </w:tc>
        <w:tc>
          <w:tcPr>
            <w:tcW w:w="139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8"/>
              <w:ind w:left="199" w:right="0"/>
              <w:jc w:val="left"/>
              <w:rPr>
                <w:rFonts w:ascii="宋体" w:hAnsi="宋体" w:cs="宋体" w:eastAsia="宋体" w:hint="default"/>
                <w:sz w:val="18"/>
                <w:szCs w:val="18"/>
              </w:rPr>
            </w:pPr>
            <w:r>
              <w:rPr>
                <w:rFonts w:ascii="宋体"/>
                <w:sz w:val="18"/>
              </w:rPr>
              <w:t>1,150,904.08</w:t>
            </w:r>
          </w:p>
        </w:tc>
        <w:tc>
          <w:tcPr>
            <w:tcW w:w="141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sz w:val="18"/>
              </w:rPr>
              <w:t>215,362.82</w:t>
            </w: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1,155,809.</w:t>
            </w:r>
          </w:p>
          <w:p>
            <w:pPr>
              <w:pStyle w:val="TableParagraph"/>
              <w:spacing w:line="240" w:lineRule="auto"/>
              <w:ind w:right="95"/>
              <w:jc w:val="right"/>
              <w:rPr>
                <w:rFonts w:ascii="宋体" w:hAnsi="宋体" w:cs="宋体" w:eastAsia="宋体" w:hint="default"/>
                <w:sz w:val="18"/>
                <w:szCs w:val="18"/>
              </w:rPr>
            </w:pPr>
            <w:r>
              <w:rPr>
                <w:rFonts w:ascii="宋体"/>
                <w:sz w:val="18"/>
              </w:rPr>
              <w:t>90</w:t>
            </w:r>
          </w:p>
        </w:tc>
        <w:tc>
          <w:tcPr>
            <w:tcW w:w="852"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
        </w:tc>
        <w:tc>
          <w:tcPr>
            <w:tcW w:w="1843" w:type="dxa"/>
            <w:tcBorders>
              <w:top w:val="nil" w:sz="6" w:space="0" w:color="auto"/>
              <w:left w:val="single" w:sz="8" w:space="0" w:color="000000"/>
              <w:bottom w:val="single" w:sz="8" w:space="0" w:color="000000"/>
              <w:right w:val="nil" w:sz="6" w:space="0" w:color="auto"/>
            </w:tcBorders>
          </w:tcPr>
          <w:p>
            <w:pPr>
              <w:pStyle w:val="TableParagraph"/>
              <w:spacing w:line="240" w:lineRule="auto" w:before="88"/>
              <w:ind w:left="645" w:right="0"/>
              <w:jc w:val="left"/>
              <w:rPr>
                <w:rFonts w:ascii="宋体" w:hAnsi="宋体" w:cs="宋体" w:eastAsia="宋体" w:hint="default"/>
                <w:sz w:val="18"/>
                <w:szCs w:val="18"/>
              </w:rPr>
            </w:pPr>
            <w:r>
              <w:rPr>
                <w:rFonts w:ascii="宋体"/>
                <w:sz w:val="18"/>
              </w:rPr>
              <w:t>3,603,277.53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5"/>
        <w:spacing w:line="240" w:lineRule="auto" w:before="36"/>
        <w:ind w:left="1138" w:right="0"/>
        <w:jc w:val="left"/>
        <w:rPr>
          <w:b w:val="0"/>
          <w:bCs w:val="0"/>
        </w:rPr>
      </w:pPr>
      <w:r>
        <w:rPr>
          <w:rFonts w:ascii="宋体" w:hAnsi="宋体" w:cs="宋体" w:eastAsia="宋体" w:hint="default"/>
        </w:rPr>
        <w:t>4</w:t>
      </w:r>
      <w:r>
        <w:rPr/>
        <w:t>、</w:t>
      </w:r>
      <w:r>
        <w:rPr>
          <w:spacing w:val="-2"/>
        </w:rPr>
        <w:t> </w:t>
      </w:r>
      <w:r>
        <w:rPr/>
        <w:t>市场风险</w:t>
      </w:r>
      <w:r>
        <w:rPr>
          <w:b w:val="0"/>
          <w:bCs w:val="0"/>
        </w:rPr>
      </w:r>
    </w:p>
    <w:p>
      <w:pPr>
        <w:pStyle w:val="BodyText"/>
        <w:spacing w:line="273" w:lineRule="exact" w:before="56"/>
        <w:ind w:left="1138" w:right="0"/>
        <w:jc w:val="left"/>
      </w:pPr>
      <w:r>
        <w:rPr/>
        <w:t>√适用</w:t>
      </w:r>
      <w:r>
        <w:rPr>
          <w:spacing w:val="-1"/>
        </w:rPr>
        <w:t> </w:t>
      </w:r>
      <w:r>
        <w:rPr/>
        <w:t>□不适用</w:t>
      </w:r>
    </w:p>
    <w:p>
      <w:pPr>
        <w:pStyle w:val="BodyText"/>
        <w:spacing w:line="357" w:lineRule="auto"/>
        <w:ind w:left="1138" w:right="341" w:firstLine="479"/>
        <w:jc w:val="both"/>
      </w:pPr>
      <w:r>
        <w:rPr>
          <w:spacing w:val="-3"/>
        </w:rPr>
        <w:t>市场风险是指因市场价格（利率、汇率、股票价格和商品价格）的不利变动而使公司投资组合发</w:t>
      </w:r>
      <w:r>
        <w:rPr>
          <w:w w:val="100"/>
        </w:rPr>
        <w:t> </w:t>
      </w:r>
      <w:r>
        <w:rPr>
          <w:spacing w:val="-2"/>
        </w:rPr>
        <w:t>生损失的风险。公司市场风险源自于自营证券、做市业务以及其他投资活动。市场风险主要分为权益</w:t>
      </w:r>
      <w:r>
        <w:rPr>
          <w:spacing w:val="-21"/>
        </w:rPr>
        <w:t> </w:t>
      </w:r>
      <w:r>
        <w:rPr>
          <w:spacing w:val="-21"/>
        </w:rPr>
      </w:r>
      <w:r>
        <w:rPr>
          <w:spacing w:val="-2"/>
        </w:rPr>
        <w:t>价格风险、利率风险、商品价格风险和汇率风险等。其中权益类风险主要是因股票、基金、股指期货</w:t>
      </w:r>
      <w:r>
        <w:rPr>
          <w:spacing w:val="-21"/>
        </w:rPr>
        <w:t> </w:t>
      </w:r>
      <w:r>
        <w:rPr>
          <w:spacing w:val="-21"/>
        </w:rPr>
      </w:r>
      <w:r>
        <w:rPr>
          <w:spacing w:val="-2"/>
        </w:rPr>
        <w:t>以及资产管理计划等权益品种价格或波动率的变化所致；利率风险主要是因债券等固定收益投资收益</w:t>
      </w:r>
      <w:r>
        <w:rPr>
          <w:spacing w:val="-21"/>
        </w:rPr>
        <w:t> </w:t>
      </w:r>
      <w:r>
        <w:rPr>
          <w:spacing w:val="-21"/>
        </w:rPr>
      </w:r>
      <w:r>
        <w:rPr>
          <w:spacing w:val="-2"/>
        </w:rPr>
        <w:t>率曲线结构、利率和信用利差等变化所致；商品价格风险主要是因各类商品价格变化所致；汇率风险</w:t>
      </w:r>
      <w:r>
        <w:rPr>
          <w:spacing w:val="-21"/>
        </w:rPr>
        <w:t> </w:t>
      </w:r>
      <w:r>
        <w:rPr>
          <w:spacing w:val="-21"/>
        </w:rPr>
      </w:r>
      <w:r>
        <w:rPr>
          <w:spacing w:val="-2"/>
        </w:rPr>
        <w:t>主要是因外汇汇率变化所致。市场风险是指因市场价格（利率、汇率、股票价格和商品价格）的不利</w:t>
      </w:r>
      <w:r>
        <w:rPr>
          <w:spacing w:val="-21"/>
        </w:rPr>
        <w:t> </w:t>
      </w:r>
      <w:r>
        <w:rPr>
          <w:spacing w:val="-21"/>
        </w:rPr>
      </w:r>
      <w:r>
        <w:rPr>
          <w:spacing w:val="-6"/>
          <w:w w:val="100"/>
        </w:rPr>
        <w:t>变动而使公司投资组合发生损失的风险。公司市场风险源自于自营证券、做市业务以及其他投资活动。</w:t>
      </w:r>
      <w:r>
        <w:rPr>
          <w:spacing w:val="-91"/>
          <w:w w:val="100"/>
        </w:rPr>
        <w:t> </w:t>
      </w:r>
      <w:r>
        <w:rPr>
          <w:spacing w:val="-91"/>
          <w:w w:val="100"/>
        </w:rPr>
      </w:r>
      <w:r>
        <w:rPr>
          <w:spacing w:val="-2"/>
        </w:rPr>
        <w:t>市场风险主要分为权益价格风险、利率风险、商品价格风险和汇率风险等。其中权益类风险主要是因</w:t>
      </w:r>
      <w:r>
        <w:rPr>
          <w:spacing w:val="-21"/>
        </w:rPr>
        <w:t> </w:t>
      </w:r>
      <w:r>
        <w:rPr>
          <w:spacing w:val="-21"/>
        </w:rPr>
      </w:r>
      <w:r>
        <w:rPr>
          <w:spacing w:val="-2"/>
        </w:rPr>
        <w:t>股票、基金、股指期货以及资产管理计划等权益品种价格或波动率的变化所致；利率风险主要是因债</w:t>
      </w:r>
      <w:r>
        <w:rPr>
          <w:spacing w:val="-21"/>
        </w:rPr>
        <w:t> </w:t>
      </w:r>
      <w:r>
        <w:rPr>
          <w:spacing w:val="-21"/>
        </w:rPr>
      </w:r>
      <w:r>
        <w:rPr>
          <w:spacing w:val="-2"/>
        </w:rPr>
        <w:t>券等固定收益投资收益率曲线结构、利率和信用利差等变化所致；商品价格风险主要是因各类商品价</w:t>
      </w:r>
      <w:r>
        <w:rPr>
          <w:spacing w:val="-21"/>
        </w:rPr>
        <w:t> </w:t>
      </w:r>
      <w:r>
        <w:rPr>
          <w:spacing w:val="-21"/>
        </w:rPr>
      </w:r>
      <w:r>
        <w:rPr/>
        <w:t>格变化所致；汇率风险主要是因外汇汇率变化所致。</w:t>
      </w:r>
    </w:p>
    <w:p>
      <w:pPr>
        <w:pStyle w:val="BodyText"/>
        <w:spacing w:line="357" w:lineRule="auto" w:before="30"/>
        <w:ind w:left="1138" w:right="340" w:firstLine="419"/>
        <w:jc w:val="both"/>
      </w:pPr>
      <w:r>
        <w:rPr>
          <w:spacing w:val="-2"/>
        </w:rPr>
        <w:t>针对市场风险，公司根据风险偏好设定公司市场风险容忍度、业务风险限额等分级授权的风险限</w:t>
      </w:r>
      <w:r>
        <w:rPr>
          <w:w w:val="100"/>
        </w:rPr>
        <w:t> </w:t>
      </w:r>
      <w:r>
        <w:rPr>
          <w:spacing w:val="-2"/>
        </w:rPr>
        <w:t>额体系。公司董事会确定自营业务年度规模、市场风险损失容忍度、损失限额等重大风险限额；公司</w:t>
      </w:r>
      <w:r>
        <w:rPr>
          <w:spacing w:val="-21"/>
        </w:rPr>
        <w:t> </w:t>
      </w:r>
      <w:r>
        <w:rPr>
          <w:spacing w:val="-21"/>
        </w:rPr>
      </w:r>
      <w:r>
        <w:rPr>
          <w:spacing w:val="-2"/>
        </w:rPr>
        <w:t>经营管理层将董事会确定的年度规模、市场风险损失容忍度、重大风险限额等进行分解，并审批确定</w:t>
      </w:r>
      <w:r>
        <w:rPr>
          <w:spacing w:val="-21"/>
        </w:rPr>
        <w:t> </w:t>
      </w:r>
      <w:r>
        <w:rPr>
          <w:spacing w:val="-21"/>
        </w:rPr>
      </w:r>
      <w:r>
        <w:rPr/>
        <w:t>相应风险限额，包括各自营部门业务规模、投资集中度、平均久期、</w:t>
      </w:r>
      <w:r>
        <w:rPr>
          <w:rFonts w:ascii="宋体" w:hAnsi="宋体" w:cs="宋体" w:eastAsia="宋体" w:hint="default"/>
        </w:rPr>
        <w:t>DV01</w:t>
      </w:r>
      <w:r>
        <w:rPr>
          <w:rFonts w:ascii="宋体" w:hAnsi="宋体" w:cs="宋体" w:eastAsia="宋体" w:hint="default"/>
          <w:spacing w:val="-66"/>
        </w:rPr>
        <w:t> </w:t>
      </w:r>
      <w:r>
        <w:rPr/>
        <w:t>以及</w:t>
      </w:r>
      <w:r>
        <w:rPr>
          <w:spacing w:val="-63"/>
        </w:rPr>
        <w:t> </w:t>
      </w:r>
      <w:r>
        <w:rPr>
          <w:rFonts w:ascii="宋体" w:hAnsi="宋体" w:cs="宋体" w:eastAsia="宋体" w:hint="default"/>
        </w:rPr>
        <w:t>VaR</w:t>
      </w:r>
      <w:r>
        <w:rPr>
          <w:rFonts w:ascii="宋体" w:hAnsi="宋体" w:cs="宋体" w:eastAsia="宋体" w:hint="default"/>
          <w:spacing w:val="-66"/>
        </w:rPr>
        <w:t> </w:t>
      </w:r>
      <w:r>
        <w:rPr/>
        <w:t>等。公司自营部门</w:t>
      </w:r>
      <w:r>
        <w:rPr>
          <w:w w:val="100"/>
        </w:rPr>
        <w:t> </w:t>
      </w:r>
      <w:r>
        <w:rPr>
          <w:spacing w:val="-2"/>
        </w:rPr>
        <w:t>在上述基础上进一步细化部门层级的风险限额，并通过组合投资、逐日盯市、对冲缓释、监控预警等</w:t>
      </w:r>
      <w:r>
        <w:rPr>
          <w:spacing w:val="-21"/>
        </w:rPr>
        <w:t> </w:t>
      </w:r>
      <w:r>
        <w:rPr>
          <w:spacing w:val="-21"/>
        </w:rPr>
      </w:r>
      <w:r>
        <w:rPr>
          <w:spacing w:val="-2"/>
        </w:rPr>
        <w:t>手段进行风险控制；风险管理部对公司各项风险限额每日进行监控，当发现有接近或突破风险限额的</w:t>
      </w:r>
      <w:r>
        <w:rPr>
          <w:spacing w:val="-21"/>
        </w:rPr>
        <w:t> </w:t>
      </w:r>
      <w:r>
        <w:rPr>
          <w:spacing w:val="-21"/>
        </w:rPr>
      </w:r>
      <w:r>
        <w:rPr>
          <w:spacing w:val="-2"/>
        </w:rPr>
        <w:t>情况时会及时向公司经营管理层与相关业务部门发送预警和风险提示，业务部门相应提出应对措施。</w:t>
      </w:r>
    </w:p>
    <w:p>
      <w:pPr>
        <w:pStyle w:val="BodyText"/>
        <w:spacing w:line="357" w:lineRule="auto" w:before="30"/>
        <w:ind w:left="1558" w:right="0" w:firstLine="105"/>
        <w:jc w:val="left"/>
      </w:pPr>
      <w:r>
        <w:rPr/>
        <w:t>（</w:t>
      </w:r>
      <w:r>
        <w:rPr>
          <w:rFonts w:ascii="宋体" w:hAnsi="宋体" w:cs="宋体" w:eastAsia="宋体" w:hint="default"/>
        </w:rPr>
        <w:t>1</w:t>
      </w:r>
      <w:r>
        <w:rPr/>
        <w:t>）利率风险</w:t>
      </w:r>
      <w:r>
        <w:rPr>
          <w:w w:val="100"/>
        </w:rPr>
        <w:t> </w:t>
      </w:r>
      <w:r>
        <w:rPr>
          <w:spacing w:val="-2"/>
        </w:rPr>
        <w:t>利率风险主要由于债券等固定收益投资收益率曲线结构、利率和信用利差等变化而导致的。</w:t>
      </w:r>
      <w:r>
        <w:rPr>
          <w:spacing w:val="-28"/>
        </w:rPr>
        <w:t> </w:t>
      </w:r>
      <w:r>
        <w:rPr>
          <w:spacing w:val="-28"/>
        </w:rPr>
      </w:r>
      <w:r>
        <w:rPr/>
        <w:t>于各资产负债表日，金融资产和金融负债的重新定价日或到期日（较早日）的情况如下：</w:t>
      </w:r>
    </w:p>
    <w:p>
      <w:pPr>
        <w:pStyle w:val="BodyText"/>
        <w:spacing w:line="240" w:lineRule="auto" w:before="37"/>
        <w:ind w:left="0" w:right="633"/>
        <w:jc w:val="right"/>
      </w:pPr>
      <w:r>
        <w:rPr>
          <w:spacing w:val="-2"/>
        </w:rPr>
        <w:t>单位：人民币万元</w:t>
      </w: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623"/>
        <w:gridCol w:w="1640"/>
        <w:gridCol w:w="1522"/>
        <w:gridCol w:w="1606"/>
        <w:gridCol w:w="1260"/>
        <w:gridCol w:w="1441"/>
        <w:gridCol w:w="1404"/>
      </w:tblGrid>
      <w:tr>
        <w:trPr>
          <w:trHeight w:val="305" w:hRule="exact"/>
        </w:trPr>
        <w:tc>
          <w:tcPr>
            <w:tcW w:w="1623" w:type="dxa"/>
            <w:vMerge w:val="restart"/>
            <w:tcBorders>
              <w:top w:val="single" w:sz="8" w:space="0" w:color="000000"/>
              <w:left w:val="nil" w:sz="6" w:space="0" w:color="auto"/>
              <w:right w:val="single" w:sz="8" w:space="0" w:color="000000"/>
            </w:tcBorders>
          </w:tcPr>
          <w:p>
            <w:pPr>
              <w:pStyle w:val="TableParagraph"/>
              <w:spacing w:line="240" w:lineRule="auto" w:before="147"/>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72" w:type="dxa"/>
            <w:gridSpan w:val="6"/>
            <w:tcBorders>
              <w:top w:val="single" w:sz="8" w:space="0" w:color="000000"/>
              <w:left w:val="single" w:sz="8" w:space="0" w:color="000000"/>
              <w:bottom w:val="single" w:sz="8" w:space="0" w:color="000000"/>
              <w:right w:val="nil" w:sz="6" w:space="0" w:color="auto"/>
            </w:tcBorders>
          </w:tcPr>
          <w:p>
            <w:pPr>
              <w:pStyle w:val="TableParagraph"/>
              <w:spacing w:line="232" w:lineRule="exact"/>
              <w:ind w:right="1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05" w:hRule="exact"/>
        </w:trPr>
        <w:tc>
          <w:tcPr>
            <w:tcW w:w="1623" w:type="dxa"/>
            <w:vMerge/>
            <w:tcBorders>
              <w:left w:val="nil" w:sz="6" w:space="0" w:color="auto"/>
              <w:bottom w:val="single" w:sz="8" w:space="0" w:color="000000"/>
              <w:right w:val="single" w:sz="8" w:space="0" w:color="000000"/>
            </w:tcBorders>
          </w:tcPr>
          <w:p>
            <w:pP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7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67"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8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59" w:right="0"/>
              <w:jc w:val="left"/>
              <w:rPr>
                <w:rFonts w:ascii="宋体" w:hAnsi="宋体" w:cs="宋体" w:eastAsia="宋体" w:hint="default"/>
                <w:sz w:val="18"/>
                <w:szCs w:val="18"/>
              </w:rPr>
            </w:pPr>
            <w:r>
              <w:rPr>
                <w:rFonts w:ascii="宋体" w:hAnsi="宋体" w:cs="宋体" w:eastAsia="宋体" w:hint="default"/>
                <w:sz w:val="18"/>
                <w:szCs w:val="18"/>
              </w:rPr>
              <w:t>不生息</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32" w:lineRule="exact" w:before="0"/>
        <w:ind w:left="252" w:right="0" w:firstLine="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29" w:type="dxa"/>
        <w:tblLayout w:type="fixed"/>
        <w:tblCellMar>
          <w:top w:w="0" w:type="dxa"/>
          <w:left w:w="0" w:type="dxa"/>
          <w:bottom w:w="0" w:type="dxa"/>
          <w:right w:w="0" w:type="dxa"/>
        </w:tblCellMar>
        <w:tblLook w:val="01E0"/>
      </w:tblPr>
      <w:tblGrid>
        <w:gridCol w:w="1637"/>
        <w:gridCol w:w="1640"/>
        <w:gridCol w:w="1522"/>
        <w:gridCol w:w="1606"/>
        <w:gridCol w:w="1260"/>
        <w:gridCol w:w="1441"/>
        <w:gridCol w:w="1404"/>
      </w:tblGrid>
      <w:tr>
        <w:trPr>
          <w:trHeight w:val="305" w:hRule="exact"/>
        </w:trPr>
        <w:tc>
          <w:tcPr>
            <w:tcW w:w="163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9"/>
              <w:jc w:val="right"/>
              <w:rPr>
                <w:rFonts w:ascii="宋体" w:hAnsi="宋体" w:cs="宋体" w:eastAsia="宋体" w:hint="default"/>
                <w:sz w:val="18"/>
                <w:szCs w:val="18"/>
              </w:rPr>
            </w:pPr>
            <w:r>
              <w:rPr>
                <w:rFonts w:ascii="宋体"/>
                <w:spacing w:val="-1"/>
                <w:sz w:val="18"/>
              </w:rPr>
              <w:t>946,291.74</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43,774.76</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20,000.00</w:t>
            </w:r>
          </w:p>
        </w:tc>
        <w:tc>
          <w:tcPr>
            <w:tcW w:w="1260"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1,010,066.50</w:t>
            </w:r>
          </w:p>
        </w:tc>
      </w:tr>
      <w:tr>
        <w:trPr>
          <w:trHeight w:val="305" w:hRule="exact"/>
        </w:trPr>
        <w:tc>
          <w:tcPr>
            <w:tcW w:w="163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9"/>
              <w:jc w:val="right"/>
              <w:rPr>
                <w:rFonts w:ascii="宋体" w:hAnsi="宋体" w:cs="宋体" w:eastAsia="宋体" w:hint="default"/>
                <w:sz w:val="18"/>
                <w:szCs w:val="18"/>
              </w:rPr>
            </w:pPr>
            <w:r>
              <w:rPr>
                <w:rFonts w:ascii="宋体"/>
                <w:spacing w:val="-1"/>
                <w:sz w:val="18"/>
              </w:rPr>
              <w:t>236,167.61</w:t>
            </w: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236,167.61</w:t>
            </w:r>
          </w:p>
        </w:tc>
      </w:tr>
      <w:tr>
        <w:trPr>
          <w:trHeight w:val="956" w:hRule="exact"/>
        </w:trPr>
        <w:tc>
          <w:tcPr>
            <w:tcW w:w="1637"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20"/>
                <w:sz w:val="18"/>
                <w:szCs w:val="18"/>
              </w:rPr>
              <w:t>以公允价值计量</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before="2"/>
              <w:ind w:left="122" w:right="75"/>
              <w:jc w:val="both"/>
              <w:rPr>
                <w:rFonts w:ascii="宋体" w:hAnsi="宋体" w:cs="宋体" w:eastAsia="宋体" w:hint="default"/>
                <w:sz w:val="18"/>
                <w:szCs w:val="18"/>
              </w:rPr>
            </w:pPr>
            <w:r>
              <w:rPr>
                <w:rFonts w:ascii="宋体" w:hAnsi="宋体" w:cs="宋体" w:eastAsia="宋体" w:hint="default"/>
                <w:spacing w:val="20"/>
                <w:sz w:val="18"/>
                <w:szCs w:val="18"/>
              </w:rPr>
              <w:t>且其变动计入当</w:t>
            </w:r>
            <w:r>
              <w:rPr>
                <w:rFonts w:ascii="宋体" w:hAnsi="宋体" w:cs="宋体" w:eastAsia="宋体" w:hint="default"/>
                <w:spacing w:val="-87"/>
                <w:sz w:val="18"/>
                <w:szCs w:val="18"/>
              </w:rPr>
              <w:t> </w:t>
            </w:r>
            <w:r>
              <w:rPr>
                <w:rFonts w:ascii="宋体" w:hAnsi="宋体" w:cs="宋体" w:eastAsia="宋体" w:hint="default"/>
                <w:spacing w:val="20"/>
                <w:sz w:val="18"/>
                <w:szCs w:val="18"/>
              </w:rPr>
              <w:t>期损益的金融资</w:t>
            </w:r>
            <w:r>
              <w:rPr>
                <w:rFonts w:ascii="宋体" w:hAnsi="宋体" w:cs="宋体" w:eastAsia="宋体" w:hint="default"/>
                <w:spacing w:val="-87"/>
                <w:sz w:val="18"/>
                <w:szCs w:val="18"/>
              </w:rPr>
              <w:t> </w:t>
            </w:r>
            <w:r>
              <w:rPr>
                <w:rFonts w:ascii="宋体" w:hAnsi="宋体" w:cs="宋体" w:eastAsia="宋体" w:hint="default"/>
                <w:sz w:val="18"/>
                <w:szCs w:val="18"/>
              </w:rPr>
              <w:t>产</w:t>
            </w:r>
          </w:p>
        </w:tc>
        <w:tc>
          <w:tcPr>
            <w:tcW w:w="16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49,697.35</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155,963.93</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605,808.66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28" w:right="0"/>
              <w:jc w:val="left"/>
              <w:rPr>
                <w:rFonts w:ascii="宋体" w:hAnsi="宋体" w:cs="宋体" w:eastAsia="宋体" w:hint="default"/>
                <w:sz w:val="18"/>
                <w:szCs w:val="18"/>
              </w:rPr>
            </w:pPr>
            <w:r>
              <w:rPr>
                <w:rFonts w:ascii="宋体"/>
                <w:sz w:val="18"/>
              </w:rPr>
              <w:t>41,759.96</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78,451.30</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931,681.20</w:t>
            </w:r>
          </w:p>
        </w:tc>
      </w:tr>
      <w:tr>
        <w:trPr>
          <w:trHeight w:val="305" w:hRule="exact"/>
        </w:trPr>
        <w:tc>
          <w:tcPr>
            <w:tcW w:w="1637"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40"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11,814.46</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11,814.46</w:t>
            </w:r>
          </w:p>
        </w:tc>
      </w:tr>
    </w:tbl>
    <w:p>
      <w:pPr>
        <w:spacing w:after="0" w:line="232" w:lineRule="exact"/>
        <w:jc w:val="right"/>
        <w:rPr>
          <w:rFonts w:ascii="宋体" w:hAnsi="宋体" w:cs="宋体" w:eastAsia="宋体" w:hint="default"/>
          <w:sz w:val="18"/>
          <w:szCs w:val="18"/>
        </w:rPr>
        <w:sectPr>
          <w:pgSz w:w="11910" w:h="16840"/>
          <w:pgMar w:header="882" w:footer="1195" w:top="1120" w:bottom="1380" w:left="660" w:right="5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630"/>
        <w:gridCol w:w="79"/>
        <w:gridCol w:w="1561"/>
        <w:gridCol w:w="1522"/>
        <w:gridCol w:w="1606"/>
        <w:gridCol w:w="96"/>
        <w:gridCol w:w="1164"/>
        <w:gridCol w:w="144"/>
        <w:gridCol w:w="1297"/>
        <w:gridCol w:w="1404"/>
      </w:tblGrid>
      <w:tr>
        <w:trPr>
          <w:trHeight w:val="478" w:hRule="exact"/>
        </w:trPr>
        <w:tc>
          <w:tcPr>
            <w:tcW w:w="1630" w:type="dxa"/>
            <w:tcBorders>
              <w:top w:val="nil" w:sz="6" w:space="0" w:color="auto"/>
              <w:left w:val="nil" w:sz="6" w:space="0" w:color="auto"/>
              <w:bottom w:val="single" w:sz="8" w:space="0" w:color="000000"/>
              <w:right w:val="single" w:sz="8"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20"/>
                <w:sz w:val="18"/>
                <w:szCs w:val="18"/>
              </w:rPr>
              <w:t>买入返售金融资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40" w:type="dxa"/>
            <w:gridSpan w:val="2"/>
            <w:tcBorders>
              <w:top w:val="nil" w:sz="6" w:space="0" w:color="auto"/>
              <w:left w:val="single" w:sz="8" w:space="0" w:color="000000"/>
              <w:bottom w:val="single" w:sz="8" w:space="0" w:color="000000"/>
              <w:right w:val="single" w:sz="8" w:space="0" w:color="000000"/>
            </w:tcBorders>
          </w:tcPr>
          <w:p>
            <w:pPr>
              <w:pStyle w:val="TableParagraph"/>
              <w:spacing w:line="240" w:lineRule="auto" w:before="88"/>
              <w:ind w:left="619" w:right="0"/>
              <w:jc w:val="left"/>
              <w:rPr>
                <w:rFonts w:ascii="宋体" w:hAnsi="宋体" w:cs="宋体" w:eastAsia="宋体" w:hint="default"/>
                <w:sz w:val="18"/>
                <w:szCs w:val="18"/>
              </w:rPr>
            </w:pPr>
            <w:r>
              <w:rPr>
                <w:rFonts w:ascii="宋体"/>
                <w:sz w:val="18"/>
              </w:rPr>
              <w:t>414,919.67</w:t>
            </w:r>
          </w:p>
        </w:tc>
        <w:tc>
          <w:tcPr>
            <w:tcW w:w="152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152,178.40</w:t>
            </w:r>
          </w:p>
        </w:tc>
        <w:tc>
          <w:tcPr>
            <w:tcW w:w="16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94,733.11</w:t>
            </w:r>
          </w:p>
        </w:tc>
        <w:tc>
          <w:tcPr>
            <w:tcW w:w="1260" w:type="dxa"/>
            <w:gridSpan w:val="2"/>
            <w:tcBorders>
              <w:top w:val="nil" w:sz="6" w:space="0" w:color="auto"/>
              <w:left w:val="single" w:sz="8" w:space="0" w:color="000000"/>
              <w:bottom w:val="single" w:sz="8" w:space="0" w:color="000000"/>
              <w:right w:val="single" w:sz="8" w:space="0" w:color="000000"/>
            </w:tcBorders>
          </w:tcPr>
          <w:p>
            <w:pPr/>
          </w:p>
        </w:tc>
        <w:tc>
          <w:tcPr>
            <w:tcW w:w="1441" w:type="dxa"/>
            <w:gridSpan w:val="2"/>
            <w:tcBorders>
              <w:top w:val="nil" w:sz="6" w:space="0" w:color="auto"/>
              <w:left w:val="single" w:sz="8" w:space="0" w:color="000000"/>
              <w:bottom w:val="single" w:sz="8" w:space="0" w:color="000000"/>
              <w:right w:val="single" w:sz="8" w:space="0" w:color="000000"/>
            </w:tcBorders>
          </w:tcPr>
          <w:p>
            <w:pPr/>
          </w:p>
        </w:tc>
        <w:tc>
          <w:tcPr>
            <w:tcW w:w="1404" w:type="dxa"/>
            <w:tcBorders>
              <w:top w:val="nil" w:sz="6" w:space="0" w:color="auto"/>
              <w:left w:val="single" w:sz="8" w:space="0" w:color="000000"/>
              <w:bottom w:val="single" w:sz="8"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661,831.18</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08" w:right="0"/>
              <w:jc w:val="left"/>
              <w:rPr>
                <w:rFonts w:ascii="宋体" w:hAnsi="宋体" w:cs="宋体" w:eastAsia="宋体" w:hint="default"/>
                <w:sz w:val="18"/>
                <w:szCs w:val="18"/>
              </w:rPr>
            </w:pPr>
            <w:r>
              <w:rPr>
                <w:rFonts w:ascii="宋体"/>
                <w:sz w:val="18"/>
              </w:rPr>
              <w:t>21,454.07</w:t>
            </w: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260" w:type="dxa"/>
            <w:gridSpan w:val="2"/>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21,454.07</w:t>
            </w:r>
          </w:p>
        </w:tc>
      </w:tr>
      <w:tr>
        <w:trPr>
          <w:trHeight w:val="487"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20"/>
                <w:sz w:val="18"/>
                <w:szCs w:val="18"/>
              </w:rPr>
              <w:t>可供出售金融资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40" w:type="dxa"/>
            <w:gridSpan w:val="2"/>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6,863.19</w:t>
            </w:r>
          </w:p>
        </w:tc>
        <w:tc>
          <w:tcPr>
            <w:tcW w:w="126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sz w:val="18"/>
              </w:rPr>
              <w:t>17,000.00</w:t>
            </w: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39" w:right="0"/>
              <w:jc w:val="left"/>
              <w:rPr>
                <w:rFonts w:ascii="宋体" w:hAnsi="宋体" w:cs="宋体" w:eastAsia="宋体" w:hint="default"/>
                <w:sz w:val="18"/>
                <w:szCs w:val="18"/>
              </w:rPr>
            </w:pPr>
            <w:r>
              <w:rPr>
                <w:rFonts w:ascii="宋体"/>
                <w:sz w:val="18"/>
              </w:rPr>
              <w:t>1,548,038.22</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1,571,901.41</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19" w:right="0"/>
              <w:jc w:val="left"/>
              <w:rPr>
                <w:rFonts w:ascii="宋体" w:hAnsi="宋体" w:cs="宋体" w:eastAsia="宋体" w:hint="default"/>
                <w:sz w:val="18"/>
                <w:szCs w:val="18"/>
              </w:rPr>
            </w:pPr>
            <w:r>
              <w:rPr>
                <w:rFonts w:ascii="宋体"/>
                <w:sz w:val="18"/>
              </w:rPr>
              <w:t>664,710.30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260" w:type="dxa"/>
            <w:gridSpan w:val="2"/>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664,710.30</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640" w:type="dxa"/>
            <w:gridSpan w:val="2"/>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260" w:type="dxa"/>
            <w:gridSpan w:val="2"/>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509" w:right="0"/>
              <w:jc w:val="left"/>
              <w:rPr>
                <w:rFonts w:ascii="宋体" w:hAnsi="宋体" w:cs="宋体" w:eastAsia="宋体" w:hint="default"/>
                <w:sz w:val="18"/>
                <w:szCs w:val="18"/>
              </w:rPr>
            </w:pPr>
            <w:r>
              <w:rPr>
                <w:rFonts w:ascii="宋体"/>
                <w:sz w:val="18"/>
              </w:rPr>
              <w:t>80,537.62</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80,537.62</w:t>
            </w:r>
          </w:p>
        </w:tc>
      </w:tr>
      <w:tr>
        <w:trPr>
          <w:trHeight w:val="487"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5"/>
                <w:sz w:val="18"/>
                <w:szCs w:val="18"/>
              </w:rPr>
              <w:t>其他资产（金融资</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40" w:type="dxa"/>
            <w:gridSpan w:val="2"/>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606" w:type="dxa"/>
            <w:tcBorders>
              <w:top w:val="single" w:sz="8" w:space="0" w:color="000000"/>
              <w:left w:val="single" w:sz="8" w:space="0" w:color="000000"/>
              <w:bottom w:val="single" w:sz="8" w:space="0" w:color="000000"/>
              <w:right w:val="single" w:sz="8" w:space="0" w:color="000000"/>
            </w:tcBorders>
          </w:tcPr>
          <w:p>
            <w:pPr/>
          </w:p>
        </w:tc>
        <w:tc>
          <w:tcPr>
            <w:tcW w:w="1260" w:type="dxa"/>
            <w:gridSpan w:val="2"/>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09" w:right="0"/>
              <w:jc w:val="left"/>
              <w:rPr>
                <w:rFonts w:ascii="宋体" w:hAnsi="宋体" w:cs="宋体" w:eastAsia="宋体" w:hint="default"/>
                <w:sz w:val="18"/>
                <w:szCs w:val="18"/>
              </w:rPr>
            </w:pPr>
            <w:r>
              <w:rPr>
                <w:rFonts w:ascii="宋体"/>
                <w:sz w:val="18"/>
              </w:rPr>
              <w:t>16,242.04</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16,242.04</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39" w:right="0"/>
              <w:jc w:val="left"/>
              <w:rPr>
                <w:rFonts w:ascii="宋体" w:hAnsi="宋体" w:cs="宋体" w:eastAsia="宋体" w:hint="default"/>
                <w:sz w:val="18"/>
                <w:szCs w:val="18"/>
              </w:rPr>
            </w:pPr>
            <w:r>
              <w:rPr>
                <w:rFonts w:ascii="宋体"/>
                <w:sz w:val="18"/>
              </w:rPr>
              <w:t>2,333,240.74</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351,917.09</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727,404.96</w:t>
            </w:r>
          </w:p>
        </w:tc>
        <w:tc>
          <w:tcPr>
            <w:tcW w:w="126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28" w:right="0"/>
              <w:jc w:val="left"/>
              <w:rPr>
                <w:rFonts w:ascii="宋体" w:hAnsi="宋体" w:cs="宋体" w:eastAsia="宋体" w:hint="default"/>
                <w:sz w:val="18"/>
                <w:szCs w:val="18"/>
              </w:rPr>
            </w:pPr>
            <w:r>
              <w:rPr>
                <w:rFonts w:ascii="宋体"/>
                <w:sz w:val="18"/>
              </w:rPr>
              <w:t>58,759.96</w:t>
            </w: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39" w:right="0"/>
              <w:jc w:val="left"/>
              <w:rPr>
                <w:rFonts w:ascii="宋体" w:hAnsi="宋体" w:cs="宋体" w:eastAsia="宋体" w:hint="default"/>
                <w:sz w:val="18"/>
                <w:szCs w:val="18"/>
              </w:rPr>
            </w:pPr>
            <w:r>
              <w:rPr>
                <w:rFonts w:ascii="宋体"/>
                <w:sz w:val="18"/>
              </w:rPr>
              <w:t>1,735,083.64</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5,206,406.39</w:t>
            </w:r>
          </w:p>
        </w:tc>
      </w:tr>
      <w:tr>
        <w:trPr>
          <w:trHeight w:val="305" w:hRule="exact"/>
        </w:trPr>
        <w:tc>
          <w:tcPr>
            <w:tcW w:w="10502" w:type="dxa"/>
            <w:gridSpan w:val="10"/>
            <w:tcBorders>
              <w:top w:val="single" w:sz="8" w:space="0" w:color="000000"/>
              <w:left w:val="nil" w:sz="6" w:space="0" w:color="auto"/>
              <w:bottom w:val="single" w:sz="8" w:space="0" w:color="000000"/>
              <w:right w:val="nil" w:sz="6" w:space="0" w:color="auto"/>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08" w:right="0"/>
              <w:jc w:val="left"/>
              <w:rPr>
                <w:rFonts w:ascii="宋体" w:hAnsi="宋体" w:cs="宋体" w:eastAsia="宋体" w:hint="default"/>
                <w:sz w:val="18"/>
                <w:szCs w:val="18"/>
              </w:rPr>
            </w:pPr>
            <w:r>
              <w:rPr>
                <w:rFonts w:ascii="宋体"/>
                <w:sz w:val="18"/>
              </w:rPr>
              <w:t>68,299.79</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68,299.79</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08" w:right="0"/>
              <w:jc w:val="left"/>
              <w:rPr>
                <w:rFonts w:ascii="宋体" w:hAnsi="宋体" w:cs="宋体" w:eastAsia="宋体" w:hint="default"/>
                <w:sz w:val="18"/>
                <w:szCs w:val="18"/>
              </w:rPr>
            </w:pPr>
            <w:r>
              <w:rPr>
                <w:rFonts w:ascii="宋体"/>
                <w:sz w:val="18"/>
              </w:rPr>
              <w:t>80,000.00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80,000.00</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40" w:type="dxa"/>
            <w:gridSpan w:val="2"/>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80" w:right="0"/>
              <w:jc w:val="left"/>
              <w:rPr>
                <w:rFonts w:ascii="宋体" w:hAnsi="宋体" w:cs="宋体" w:eastAsia="宋体" w:hint="default"/>
                <w:sz w:val="18"/>
                <w:szCs w:val="18"/>
              </w:rPr>
            </w:pPr>
            <w:r>
              <w:rPr>
                <w:rFonts w:ascii="宋体"/>
                <w:sz w:val="18"/>
              </w:rPr>
              <w:t>891.51</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891.51</w:t>
            </w:r>
          </w:p>
        </w:tc>
      </w:tr>
      <w:tr>
        <w:trPr>
          <w:trHeight w:val="487"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20"/>
                <w:sz w:val="18"/>
                <w:szCs w:val="18"/>
              </w:rPr>
              <w:t>卖出回购金融资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产款</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619" w:right="0"/>
              <w:jc w:val="left"/>
              <w:rPr>
                <w:rFonts w:ascii="宋体" w:hAnsi="宋体" w:cs="宋体" w:eastAsia="宋体" w:hint="default"/>
                <w:sz w:val="18"/>
                <w:szCs w:val="18"/>
              </w:rPr>
            </w:pPr>
            <w:r>
              <w:rPr>
                <w:rFonts w:ascii="宋体"/>
                <w:sz w:val="18"/>
              </w:rPr>
              <w:t>437,713.80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437,713.80</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39" w:right="0"/>
              <w:jc w:val="left"/>
              <w:rPr>
                <w:rFonts w:ascii="宋体" w:hAnsi="宋体" w:cs="宋体" w:eastAsia="宋体" w:hint="default"/>
                <w:sz w:val="18"/>
                <w:szCs w:val="18"/>
              </w:rPr>
            </w:pPr>
            <w:r>
              <w:rPr>
                <w:rFonts w:ascii="宋体"/>
                <w:sz w:val="18"/>
              </w:rPr>
              <w:t>1,031,501.70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1,031,501.70</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19" w:right="0"/>
              <w:jc w:val="left"/>
              <w:rPr>
                <w:rFonts w:ascii="宋体" w:hAnsi="宋体" w:cs="宋体" w:eastAsia="宋体" w:hint="default"/>
                <w:sz w:val="18"/>
                <w:szCs w:val="18"/>
              </w:rPr>
            </w:pPr>
            <w:r>
              <w:rPr>
                <w:rFonts w:ascii="宋体"/>
                <w:sz w:val="18"/>
              </w:rPr>
              <w:t>286,793.00</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18,700.00</w:t>
            </w: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305,493.00</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19" w:right="0"/>
              <w:jc w:val="left"/>
              <w:rPr>
                <w:rFonts w:ascii="宋体" w:hAnsi="宋体" w:cs="宋体" w:eastAsia="宋体" w:hint="default"/>
                <w:sz w:val="18"/>
                <w:szCs w:val="18"/>
              </w:rPr>
            </w:pPr>
            <w:r>
              <w:rPr>
                <w:rFonts w:ascii="宋体"/>
                <w:sz w:val="18"/>
              </w:rPr>
              <w:t>349,893.17</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490,000.00</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84" w:right="0"/>
              <w:jc w:val="left"/>
              <w:rPr>
                <w:rFonts w:ascii="宋体" w:hAnsi="宋体" w:cs="宋体" w:eastAsia="宋体" w:hint="default"/>
                <w:sz w:val="18"/>
                <w:szCs w:val="18"/>
              </w:rPr>
            </w:pPr>
            <w:r>
              <w:rPr>
                <w:rFonts w:ascii="宋体"/>
                <w:sz w:val="18"/>
              </w:rPr>
              <w:t>876,904.00</w:t>
            </w: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1,716,797.17</w:t>
            </w:r>
          </w:p>
        </w:tc>
      </w:tr>
      <w:tr>
        <w:trPr>
          <w:trHeight w:val="307"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640" w:type="dxa"/>
            <w:gridSpan w:val="2"/>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
        </w:tc>
      </w:tr>
      <w:tr>
        <w:trPr>
          <w:trHeight w:val="48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5"/>
                <w:sz w:val="18"/>
                <w:szCs w:val="18"/>
              </w:rPr>
              <w:t>其他负债（金融负</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708" w:right="0"/>
              <w:jc w:val="left"/>
              <w:rPr>
                <w:rFonts w:ascii="宋体" w:hAnsi="宋体" w:cs="宋体" w:eastAsia="宋体" w:hint="default"/>
                <w:sz w:val="18"/>
                <w:szCs w:val="18"/>
              </w:rPr>
            </w:pPr>
            <w:r>
              <w:rPr>
                <w:rFonts w:ascii="宋体"/>
                <w:sz w:val="18"/>
              </w:rPr>
              <w:t>18,600.00</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16,000.00</w:t>
            </w: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09" w:right="0"/>
              <w:jc w:val="left"/>
              <w:rPr>
                <w:rFonts w:ascii="宋体" w:hAnsi="宋体" w:cs="宋体" w:eastAsia="宋体" w:hint="default"/>
                <w:sz w:val="18"/>
                <w:szCs w:val="18"/>
              </w:rPr>
            </w:pPr>
            <w:r>
              <w:rPr>
                <w:rFonts w:ascii="宋体"/>
                <w:sz w:val="18"/>
              </w:rPr>
              <w:t>13,415.05</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48,015.05</w:t>
            </w:r>
          </w:p>
        </w:tc>
      </w:tr>
      <w:tr>
        <w:trPr>
          <w:trHeight w:val="305"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39" w:right="0"/>
              <w:jc w:val="left"/>
              <w:rPr>
                <w:rFonts w:ascii="宋体" w:hAnsi="宋体" w:cs="宋体" w:eastAsia="宋体" w:hint="default"/>
                <w:sz w:val="18"/>
                <w:szCs w:val="18"/>
              </w:rPr>
            </w:pPr>
            <w:r>
              <w:rPr>
                <w:rFonts w:ascii="宋体"/>
                <w:sz w:val="18"/>
              </w:rPr>
              <w:t>2,272,801.46</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524,700.00</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84" w:right="0"/>
              <w:jc w:val="left"/>
              <w:rPr>
                <w:rFonts w:ascii="宋体" w:hAnsi="宋体" w:cs="宋体" w:eastAsia="宋体" w:hint="default"/>
                <w:sz w:val="18"/>
                <w:szCs w:val="18"/>
              </w:rPr>
            </w:pPr>
            <w:r>
              <w:rPr>
                <w:rFonts w:ascii="宋体"/>
                <w:sz w:val="18"/>
              </w:rPr>
              <w:t>876,904.00</w:t>
            </w:r>
          </w:p>
        </w:tc>
        <w:tc>
          <w:tcPr>
            <w:tcW w:w="1164" w:type="dxa"/>
            <w:tcBorders>
              <w:top w:val="single" w:sz="8" w:space="0" w:color="000000"/>
              <w:left w:val="single" w:sz="8" w:space="0" w:color="000000"/>
              <w:bottom w:val="single" w:sz="8" w:space="0" w:color="000000"/>
              <w:right w:val="single" w:sz="8" w:space="0" w:color="000000"/>
            </w:tcBorders>
          </w:tcPr>
          <w:p>
            <w:pP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509" w:right="0"/>
              <w:jc w:val="left"/>
              <w:rPr>
                <w:rFonts w:ascii="宋体" w:hAnsi="宋体" w:cs="宋体" w:eastAsia="宋体" w:hint="default"/>
                <w:sz w:val="18"/>
                <w:szCs w:val="18"/>
              </w:rPr>
            </w:pPr>
            <w:r>
              <w:rPr>
                <w:rFonts w:ascii="宋体"/>
                <w:sz w:val="18"/>
              </w:rPr>
              <w:t>14,306.56</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3,688,712.02</w:t>
            </w:r>
          </w:p>
        </w:tc>
      </w:tr>
      <w:tr>
        <w:trPr>
          <w:trHeight w:val="308" w:hRule="exact"/>
        </w:trPr>
        <w:tc>
          <w:tcPr>
            <w:tcW w:w="1630"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净敞口</w:t>
            </w:r>
            <w:r>
              <w:rPr>
                <w:rFonts w:ascii="宋体" w:hAnsi="宋体" w:cs="宋体" w:eastAsia="宋体" w:hint="default"/>
                <w:sz w:val="18"/>
                <w:szCs w:val="18"/>
              </w:rPr>
            </w: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708" w:right="0"/>
              <w:jc w:val="left"/>
              <w:rPr>
                <w:rFonts w:ascii="宋体" w:hAnsi="宋体" w:cs="宋体" w:eastAsia="宋体" w:hint="default"/>
                <w:sz w:val="18"/>
                <w:szCs w:val="18"/>
              </w:rPr>
            </w:pPr>
            <w:r>
              <w:rPr>
                <w:rFonts w:ascii="宋体"/>
                <w:sz w:val="18"/>
              </w:rPr>
              <w:t>60,439.28</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-172,782.91</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592" w:right="0"/>
              <w:jc w:val="left"/>
              <w:rPr>
                <w:rFonts w:ascii="宋体" w:hAnsi="宋体" w:cs="宋体" w:eastAsia="宋体" w:hint="default"/>
                <w:sz w:val="18"/>
                <w:szCs w:val="18"/>
              </w:rPr>
            </w:pPr>
            <w:r>
              <w:rPr>
                <w:rFonts w:ascii="宋体"/>
                <w:sz w:val="18"/>
              </w:rPr>
              <w:t>-149,499.04</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232" w:right="0"/>
              <w:jc w:val="left"/>
              <w:rPr>
                <w:rFonts w:ascii="宋体" w:hAnsi="宋体" w:cs="宋体" w:eastAsia="宋体" w:hint="default"/>
                <w:sz w:val="18"/>
                <w:szCs w:val="18"/>
              </w:rPr>
            </w:pPr>
            <w:r>
              <w:rPr>
                <w:rFonts w:ascii="宋体"/>
                <w:sz w:val="18"/>
              </w:rPr>
              <w:t>58,759.96</w:t>
            </w:r>
          </w:p>
        </w:tc>
        <w:tc>
          <w:tcPr>
            <w:tcW w:w="14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239" w:right="0"/>
              <w:jc w:val="left"/>
              <w:rPr>
                <w:rFonts w:ascii="宋体" w:hAnsi="宋体" w:cs="宋体" w:eastAsia="宋体" w:hint="default"/>
                <w:sz w:val="18"/>
                <w:szCs w:val="18"/>
              </w:rPr>
            </w:pPr>
            <w:r>
              <w:rPr>
                <w:rFonts w:ascii="宋体"/>
                <w:sz w:val="18"/>
              </w:rPr>
              <w:t>1,720,777.08</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1,517,694.37</w:t>
            </w:r>
          </w:p>
        </w:tc>
      </w:tr>
      <w:tr>
        <w:trPr>
          <w:trHeight w:val="305" w:hRule="exact"/>
        </w:trPr>
        <w:tc>
          <w:tcPr>
            <w:tcW w:w="10502" w:type="dxa"/>
            <w:gridSpan w:val="10"/>
            <w:tcBorders>
              <w:top w:val="single" w:sz="8" w:space="0" w:color="000000"/>
              <w:left w:val="nil" w:sz="6" w:space="0" w:color="auto"/>
              <w:bottom w:val="single" w:sz="8" w:space="0" w:color="000000"/>
              <w:right w:val="nil" w:sz="6" w:space="0" w:color="auto"/>
            </w:tcBorders>
          </w:tcPr>
          <w:p>
            <w:pPr>
              <w:pStyle w:val="TableParagraph"/>
              <w:spacing w:line="248" w:lineRule="exact"/>
              <w:ind w:left="115" w:right="0"/>
              <w:jc w:val="left"/>
              <w:rPr>
                <w:rFonts w:ascii="宋体" w:hAnsi="宋体" w:cs="宋体" w:eastAsia="宋体" w:hint="default"/>
                <w:sz w:val="21"/>
                <w:szCs w:val="21"/>
              </w:rPr>
            </w:pPr>
            <w:r>
              <w:rPr>
                <w:rFonts w:ascii="宋体" w:hAnsi="宋体" w:cs="宋体" w:eastAsia="宋体" w:hint="default"/>
                <w:sz w:val="21"/>
                <w:szCs w:val="21"/>
              </w:rPr>
              <w:t>（续上表）</w:t>
            </w:r>
          </w:p>
        </w:tc>
      </w:tr>
      <w:tr>
        <w:trPr>
          <w:trHeight w:val="305" w:hRule="exact"/>
        </w:trPr>
        <w:tc>
          <w:tcPr>
            <w:tcW w:w="1630" w:type="dxa"/>
            <w:vMerge w:val="restart"/>
            <w:tcBorders>
              <w:top w:val="single" w:sz="8" w:space="0" w:color="000000"/>
              <w:left w:val="nil" w:sz="6" w:space="0" w:color="auto"/>
              <w:right w:val="single" w:sz="8" w:space="0" w:color="000000"/>
            </w:tcBorders>
          </w:tcPr>
          <w:p>
            <w:pPr>
              <w:pStyle w:val="TableParagraph"/>
              <w:spacing w:line="240" w:lineRule="auto" w:before="147"/>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72" w:type="dxa"/>
            <w:gridSpan w:val="9"/>
            <w:tcBorders>
              <w:top w:val="single" w:sz="8" w:space="0" w:color="000000"/>
              <w:left w:val="single" w:sz="8" w:space="0" w:color="000000"/>
              <w:bottom w:val="single" w:sz="8" w:space="0" w:color="000000"/>
              <w:right w:val="nil" w:sz="6" w:space="0" w:color="auto"/>
            </w:tcBorders>
          </w:tcPr>
          <w:p>
            <w:pPr>
              <w:pStyle w:val="TableParagraph"/>
              <w:spacing w:line="232" w:lineRule="exact"/>
              <w:ind w:right="1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05" w:hRule="exact"/>
        </w:trPr>
        <w:tc>
          <w:tcPr>
            <w:tcW w:w="1630" w:type="dxa"/>
            <w:vMerge/>
            <w:tcBorders>
              <w:left w:val="nil" w:sz="6" w:space="0" w:color="auto"/>
              <w:bottom w:val="single" w:sz="8" w:space="0" w:color="000000"/>
              <w:right w:val="single" w:sz="8" w:space="0" w:color="000000"/>
            </w:tcBorders>
          </w:tcPr>
          <w:p>
            <w:pPr/>
          </w:p>
        </w:tc>
        <w:tc>
          <w:tcPr>
            <w:tcW w:w="16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7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67" w:right="0"/>
              <w:jc w:val="left"/>
              <w:rPr>
                <w:rFonts w:ascii="宋体" w:hAnsi="宋体" w:cs="宋体" w:eastAsia="宋体" w:hint="default"/>
                <w:sz w:val="18"/>
                <w:szCs w:val="18"/>
              </w:rPr>
            </w:pPr>
            <w:r>
              <w:rPr>
                <w:rFonts w:ascii="宋体" w:hAnsi="宋体" w:cs="宋体" w:eastAsia="宋体" w:hint="default"/>
                <w:sz w:val="18"/>
                <w:szCs w:val="18"/>
              </w:rPr>
              <w:t>3-12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08"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67" w:right="0"/>
              <w:jc w:val="left"/>
              <w:rPr>
                <w:rFonts w:ascii="宋体" w:hAnsi="宋体" w:cs="宋体" w:eastAsia="宋体" w:hint="default"/>
                <w:sz w:val="18"/>
                <w:szCs w:val="18"/>
              </w:rPr>
            </w:pPr>
            <w:r>
              <w:rPr>
                <w:rFonts w:ascii="宋体" w:hAnsi="宋体" w:cs="宋体" w:eastAsia="宋体" w:hint="default"/>
                <w:sz w:val="18"/>
                <w:szCs w:val="18"/>
              </w:rPr>
              <w:t>不生息</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05" w:hRule="exact"/>
        </w:trPr>
        <w:tc>
          <w:tcPr>
            <w:tcW w:w="10502" w:type="dxa"/>
            <w:gridSpan w:val="10"/>
            <w:tcBorders>
              <w:top w:val="single" w:sz="8" w:space="0" w:color="000000"/>
              <w:left w:val="nil" w:sz="6" w:space="0" w:color="auto"/>
              <w:bottom w:val="single" w:sz="8" w:space="0" w:color="000000"/>
              <w:right w:val="nil" w:sz="6" w:space="0" w:color="auto"/>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955,188.01</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43,593.81</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73" w:right="0"/>
              <w:jc w:val="left"/>
              <w:rPr>
                <w:rFonts w:ascii="宋体" w:hAnsi="宋体" w:cs="宋体" w:eastAsia="宋体" w:hint="default"/>
                <w:sz w:val="18"/>
                <w:szCs w:val="18"/>
              </w:rPr>
            </w:pPr>
            <w:r>
              <w:rPr>
                <w:rFonts w:ascii="宋体"/>
                <w:sz w:val="18"/>
              </w:rPr>
              <w:t>41,353.00</w:t>
            </w: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z w:val="18"/>
              </w:rPr>
              <w:t>0.02</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1,040,134.84</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238,149.00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238,149.00</w:t>
            </w:r>
          </w:p>
        </w:tc>
      </w:tr>
      <w:tr>
        <w:trPr>
          <w:trHeight w:val="720"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5"/>
                <w:sz w:val="18"/>
                <w:szCs w:val="18"/>
              </w:rPr>
              <w:t>以公允价值计量且</w:t>
            </w:r>
          </w:p>
          <w:p>
            <w:pPr>
              <w:pStyle w:val="TableParagraph"/>
              <w:spacing w:line="232" w:lineRule="exact" w:before="24"/>
              <w:ind w:left="115" w:right="95"/>
              <w:jc w:val="left"/>
              <w:rPr>
                <w:rFonts w:ascii="宋体" w:hAnsi="宋体" w:cs="宋体" w:eastAsia="宋体" w:hint="default"/>
                <w:sz w:val="18"/>
                <w:szCs w:val="18"/>
              </w:rPr>
            </w:pPr>
            <w:r>
              <w:rPr>
                <w:rFonts w:ascii="宋体" w:hAnsi="宋体" w:cs="宋体" w:eastAsia="宋体" w:hint="default"/>
                <w:spacing w:val="5"/>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益的金融资产</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39,122.33</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322,703.45</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84" w:right="0"/>
              <w:jc w:val="left"/>
              <w:rPr>
                <w:rFonts w:ascii="宋体" w:hAnsi="宋体" w:cs="宋体" w:eastAsia="宋体" w:hint="default"/>
                <w:sz w:val="18"/>
                <w:szCs w:val="18"/>
              </w:rPr>
            </w:pPr>
            <w:r>
              <w:rPr>
                <w:rFonts w:ascii="宋体"/>
                <w:sz w:val="18"/>
              </w:rPr>
              <w:t>508,342.51</w:t>
            </w:r>
          </w:p>
        </w:tc>
        <w:tc>
          <w:tcPr>
            <w:tcW w:w="130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79" w:right="0"/>
              <w:jc w:val="left"/>
              <w:rPr>
                <w:rFonts w:ascii="宋体" w:hAnsi="宋体" w:cs="宋体" w:eastAsia="宋体" w:hint="default"/>
                <w:sz w:val="18"/>
                <w:szCs w:val="18"/>
              </w:rPr>
            </w:pPr>
            <w:r>
              <w:rPr>
                <w:rFonts w:ascii="宋体"/>
                <w:sz w:val="18"/>
              </w:rPr>
              <w:t>37,011.50</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136,117.64</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1,043,297.43</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611.42</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611.42</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293,307.25</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240,879.50</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73" w:right="0"/>
              <w:jc w:val="left"/>
              <w:rPr>
                <w:rFonts w:ascii="宋体" w:hAnsi="宋体" w:cs="宋体" w:eastAsia="宋体" w:hint="default"/>
                <w:sz w:val="18"/>
                <w:szCs w:val="18"/>
              </w:rPr>
            </w:pPr>
            <w:r>
              <w:rPr>
                <w:rFonts w:ascii="宋体"/>
                <w:sz w:val="18"/>
              </w:rPr>
              <w:t>96,153.84</w:t>
            </w: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630,340.59</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10,544.43</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10,544.43</w:t>
            </w:r>
          </w:p>
        </w:tc>
      </w:tr>
      <w:tr>
        <w:trPr>
          <w:trHeight w:val="307"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864" w:right="0"/>
              <w:jc w:val="left"/>
              <w:rPr>
                <w:rFonts w:ascii="宋体" w:hAnsi="宋体" w:cs="宋体" w:eastAsia="宋体" w:hint="default"/>
                <w:sz w:val="18"/>
                <w:szCs w:val="18"/>
              </w:rPr>
            </w:pPr>
            <w:r>
              <w:rPr>
                <w:rFonts w:ascii="宋体"/>
                <w:sz w:val="18"/>
              </w:rPr>
              <w:t>3,236.97</w:t>
            </w: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1,273,874.63</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1,277,111.60</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1,066,900.23</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1,066,900.23</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19,458.95</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19,458.95</w:t>
            </w:r>
          </w:p>
        </w:tc>
      </w:tr>
      <w:tr>
        <w:trPr>
          <w:trHeight w:val="487"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5"/>
                <w:sz w:val="18"/>
                <w:szCs w:val="18"/>
              </w:rPr>
              <w:t>其他资产（金融资</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27,662.38</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27,662.38</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2,603,211.25</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607,176.76</w:t>
            </w:r>
          </w:p>
        </w:tc>
        <w:tc>
          <w:tcPr>
            <w:tcW w:w="17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84" w:right="0"/>
              <w:jc w:val="left"/>
              <w:rPr>
                <w:rFonts w:ascii="宋体" w:hAnsi="宋体" w:cs="宋体" w:eastAsia="宋体" w:hint="default"/>
                <w:sz w:val="18"/>
                <w:szCs w:val="18"/>
              </w:rPr>
            </w:pPr>
            <w:r>
              <w:rPr>
                <w:rFonts w:ascii="宋体"/>
                <w:sz w:val="18"/>
              </w:rPr>
              <w:t>649,086.32</w:t>
            </w:r>
          </w:p>
        </w:tc>
        <w:tc>
          <w:tcPr>
            <w:tcW w:w="1308"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79" w:right="0"/>
              <w:jc w:val="left"/>
              <w:rPr>
                <w:rFonts w:ascii="宋体" w:hAnsi="宋体" w:cs="宋体" w:eastAsia="宋体" w:hint="default"/>
                <w:sz w:val="18"/>
                <w:szCs w:val="18"/>
              </w:rPr>
            </w:pPr>
            <w:r>
              <w:rPr>
                <w:rFonts w:ascii="宋体"/>
                <w:sz w:val="18"/>
              </w:rPr>
              <w:t>37,011.50</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1,457,725.04</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5,354,210.87</w:t>
            </w:r>
          </w:p>
        </w:tc>
      </w:tr>
      <w:tr>
        <w:trPr>
          <w:trHeight w:val="305" w:hRule="exact"/>
        </w:trPr>
        <w:tc>
          <w:tcPr>
            <w:tcW w:w="10502" w:type="dxa"/>
            <w:gridSpan w:val="10"/>
            <w:tcBorders>
              <w:top w:val="single" w:sz="8" w:space="0" w:color="000000"/>
              <w:left w:val="nil" w:sz="6" w:space="0" w:color="auto"/>
              <w:bottom w:val="single" w:sz="8" w:space="0" w:color="000000"/>
              <w:right w:val="nil" w:sz="6" w:space="0" w:color="auto"/>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54,333.50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54,333.50</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80,000.00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80,000.00</w:t>
            </w:r>
          </w:p>
        </w:tc>
      </w:tr>
      <w:tr>
        <w:trPr>
          <w:trHeight w:val="305"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2,849.07</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2,849.07</w:t>
            </w:r>
          </w:p>
        </w:tc>
      </w:tr>
      <w:tr>
        <w:trPr>
          <w:trHeight w:val="492" w:hRule="exact"/>
        </w:trPr>
        <w:tc>
          <w:tcPr>
            <w:tcW w:w="1710" w:type="dxa"/>
            <w:gridSpan w:val="2"/>
            <w:tcBorders>
              <w:top w:val="single" w:sz="8" w:space="0" w:color="000000"/>
              <w:left w:val="nil" w:sz="6" w:space="0" w:color="auto"/>
              <w:bottom w:val="single" w:sz="8" w:space="0" w:color="000000"/>
              <w:right w:val="single" w:sz="8"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5"/>
                <w:sz w:val="18"/>
                <w:szCs w:val="18"/>
              </w:rPr>
              <w:t>卖出回购金融资产</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365,200.78</w:t>
            </w: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gridSpan w:val="2"/>
            <w:tcBorders>
              <w:top w:val="single" w:sz="8" w:space="0" w:color="000000"/>
              <w:left w:val="single" w:sz="8" w:space="0" w:color="000000"/>
              <w:bottom w:val="single" w:sz="8" w:space="0" w:color="000000"/>
              <w:right w:val="single" w:sz="8" w:space="0" w:color="000000"/>
            </w:tcBorders>
          </w:tcPr>
          <w:p>
            <w:pPr/>
          </w:p>
        </w:tc>
        <w:tc>
          <w:tcPr>
            <w:tcW w:w="1308" w:type="dxa"/>
            <w:gridSpan w:val="2"/>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365,200.78</w:t>
            </w:r>
          </w:p>
        </w:tc>
      </w:tr>
    </w:tbl>
    <w:p>
      <w:pPr>
        <w:spacing w:after="0" w:line="240" w:lineRule="auto"/>
        <w:jc w:val="right"/>
        <w:rPr>
          <w:rFonts w:ascii="宋体" w:hAnsi="宋体" w:cs="宋体" w:eastAsia="宋体" w:hint="default"/>
          <w:sz w:val="18"/>
          <w:szCs w:val="18"/>
        </w:rPr>
        <w:sectPr>
          <w:pgSz w:w="11910" w:h="16840"/>
          <w:pgMar w:header="882" w:footer="1195" w:top="1120" w:bottom="1380" w:left="680" w:right="5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716"/>
        <w:gridCol w:w="1561"/>
        <w:gridCol w:w="1522"/>
        <w:gridCol w:w="1702"/>
        <w:gridCol w:w="1308"/>
        <w:gridCol w:w="1297"/>
        <w:gridCol w:w="1404"/>
      </w:tblGrid>
      <w:tr>
        <w:trPr>
          <w:trHeight w:val="296" w:hRule="exact"/>
        </w:trPr>
        <w:tc>
          <w:tcPr>
            <w:tcW w:w="1716" w:type="dxa"/>
            <w:tcBorders>
              <w:top w:val="nil" w:sz="6" w:space="0" w:color="auto"/>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561"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1,022,460.41</w:t>
            </w:r>
          </w:p>
        </w:tc>
        <w:tc>
          <w:tcPr>
            <w:tcW w:w="1522" w:type="dxa"/>
            <w:tcBorders>
              <w:top w:val="nil" w:sz="6" w:space="0" w:color="auto"/>
              <w:left w:val="single" w:sz="8" w:space="0" w:color="000000"/>
              <w:bottom w:val="single" w:sz="8" w:space="0" w:color="000000"/>
              <w:right w:val="single" w:sz="8" w:space="0" w:color="000000"/>
            </w:tcBorders>
          </w:tcPr>
          <w:p>
            <w:pPr/>
          </w:p>
        </w:tc>
        <w:tc>
          <w:tcPr>
            <w:tcW w:w="1702" w:type="dxa"/>
            <w:tcBorders>
              <w:top w:val="nil" w:sz="6" w:space="0" w:color="auto"/>
              <w:left w:val="single" w:sz="8" w:space="0" w:color="000000"/>
              <w:bottom w:val="single" w:sz="8" w:space="0" w:color="000000"/>
              <w:right w:val="single" w:sz="8" w:space="0" w:color="000000"/>
            </w:tcBorders>
          </w:tcPr>
          <w:p>
            <w:pPr/>
          </w:p>
        </w:tc>
        <w:tc>
          <w:tcPr>
            <w:tcW w:w="1308" w:type="dxa"/>
            <w:tcBorders>
              <w:top w:val="nil" w:sz="6" w:space="0" w:color="auto"/>
              <w:left w:val="single" w:sz="8" w:space="0" w:color="000000"/>
              <w:bottom w:val="single" w:sz="8" w:space="0" w:color="000000"/>
              <w:right w:val="single" w:sz="8" w:space="0" w:color="000000"/>
            </w:tcBorders>
          </w:tcPr>
          <w:p>
            <w:pPr/>
          </w:p>
        </w:tc>
        <w:tc>
          <w:tcPr>
            <w:tcW w:w="1297" w:type="dxa"/>
            <w:tcBorders>
              <w:top w:val="nil" w:sz="6" w:space="0" w:color="auto"/>
              <w:left w:val="single" w:sz="8" w:space="0" w:color="000000"/>
              <w:bottom w:val="single" w:sz="8" w:space="0" w:color="000000"/>
              <w:right w:val="single" w:sz="8" w:space="0" w:color="000000"/>
            </w:tcBorders>
          </w:tcPr>
          <w:p>
            <w:pPr/>
          </w:p>
        </w:tc>
        <w:tc>
          <w:tcPr>
            <w:tcW w:w="1404" w:type="dxa"/>
            <w:tcBorders>
              <w:top w:val="nil" w:sz="6" w:space="0" w:color="auto"/>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1,022,460.41</w:t>
            </w:r>
          </w:p>
        </w:tc>
      </w:tr>
      <w:tr>
        <w:trPr>
          <w:trHeight w:val="305"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617,541.00</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165,400.00</w:t>
            </w:r>
          </w:p>
        </w:tc>
        <w:tc>
          <w:tcPr>
            <w:tcW w:w="1702" w:type="dxa"/>
            <w:tcBorders>
              <w:top w:val="single" w:sz="8" w:space="0" w:color="000000"/>
              <w:left w:val="single" w:sz="8" w:space="0" w:color="000000"/>
              <w:bottom w:val="single" w:sz="8" w:space="0" w:color="000000"/>
              <w:right w:val="single" w:sz="8" w:space="0" w:color="000000"/>
            </w:tcBorders>
          </w:tcPr>
          <w:p>
            <w:pPr/>
          </w:p>
        </w:tc>
        <w:tc>
          <w:tcPr>
            <w:tcW w:w="1308" w:type="dxa"/>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782,941.00</w:t>
            </w:r>
          </w:p>
        </w:tc>
      </w:tr>
      <w:tr>
        <w:trPr>
          <w:trHeight w:val="305"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1,089,264.24</w:t>
            </w:r>
          </w:p>
        </w:tc>
        <w:tc>
          <w:tcPr>
            <w:tcW w:w="1308" w:type="dxa"/>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1,089,264.24</w:t>
            </w:r>
          </w:p>
        </w:tc>
      </w:tr>
      <w:tr>
        <w:trPr>
          <w:trHeight w:val="305"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61"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308" w:type="dxa"/>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45,527.99</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45,527.99</w:t>
            </w:r>
          </w:p>
        </w:tc>
      </w:tr>
      <w:tr>
        <w:trPr>
          <w:trHeight w:val="487"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其他负债（金融负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9,000.00</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5,700.00</w:t>
            </w:r>
          </w:p>
        </w:tc>
        <w:tc>
          <w:tcPr>
            <w:tcW w:w="1702" w:type="dxa"/>
            <w:tcBorders>
              <w:top w:val="single" w:sz="8" w:space="0" w:color="000000"/>
              <w:left w:val="single" w:sz="8" w:space="0" w:color="000000"/>
              <w:bottom w:val="single" w:sz="8" w:space="0" w:color="000000"/>
              <w:right w:val="single" w:sz="8" w:space="0" w:color="000000"/>
            </w:tcBorders>
          </w:tcPr>
          <w:p>
            <w:pPr/>
          </w:p>
        </w:tc>
        <w:tc>
          <w:tcPr>
            <w:tcW w:w="1308" w:type="dxa"/>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15,512.33</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30,212.33</w:t>
            </w:r>
          </w:p>
        </w:tc>
      </w:tr>
      <w:tr>
        <w:trPr>
          <w:trHeight w:val="305"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2,148,535.69</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171,100.00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1,089,264.24</w:t>
            </w:r>
          </w:p>
        </w:tc>
        <w:tc>
          <w:tcPr>
            <w:tcW w:w="1308" w:type="dxa"/>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5"/>
              <w:jc w:val="right"/>
              <w:rPr>
                <w:rFonts w:ascii="宋体" w:hAnsi="宋体" w:cs="宋体" w:eastAsia="宋体" w:hint="default"/>
                <w:sz w:val="18"/>
                <w:szCs w:val="18"/>
              </w:rPr>
            </w:pPr>
            <w:r>
              <w:rPr>
                <w:rFonts w:ascii="宋体"/>
                <w:spacing w:val="-1"/>
                <w:sz w:val="18"/>
              </w:rPr>
              <w:t>63,889.39</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3,472,789.32</w:t>
            </w:r>
          </w:p>
        </w:tc>
      </w:tr>
      <w:tr>
        <w:trPr>
          <w:trHeight w:val="307"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净敞口</w:t>
            </w:r>
            <w:r>
              <w:rPr>
                <w:rFonts w:ascii="宋体" w:hAnsi="宋体" w:cs="宋体" w:eastAsia="宋体" w:hint="default"/>
                <w:sz w:val="18"/>
                <w:szCs w:val="18"/>
              </w:rPr>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454,675.56</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436,076.76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-440,177.92</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79" w:right="0"/>
              <w:jc w:val="left"/>
              <w:rPr>
                <w:rFonts w:ascii="宋体" w:hAnsi="宋体" w:cs="宋体" w:eastAsia="宋体" w:hint="default"/>
                <w:sz w:val="18"/>
                <w:szCs w:val="18"/>
              </w:rPr>
            </w:pPr>
            <w:r>
              <w:rPr>
                <w:rFonts w:ascii="宋体"/>
                <w:sz w:val="18"/>
              </w:rPr>
              <w:t>37,011.50</w:t>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1,393,835.65</w:t>
            </w:r>
          </w:p>
        </w:tc>
        <w:tc>
          <w:tcPr>
            <w:tcW w:w="140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1,881,421.55</w:t>
            </w:r>
          </w:p>
        </w:tc>
      </w:tr>
    </w:tbl>
    <w:p>
      <w:pPr>
        <w:pStyle w:val="BodyText"/>
        <w:spacing w:line="241" w:lineRule="exact"/>
        <w:ind w:left="1538" w:right="0"/>
        <w:jc w:val="left"/>
      </w:pPr>
      <w:r>
        <w:rPr/>
        <w:t>下表显示了所有货币的利率同时平行上升或下降</w:t>
      </w:r>
      <w:r>
        <w:rPr>
          <w:spacing w:val="-56"/>
        </w:rPr>
        <w:t> </w:t>
      </w:r>
      <w:r>
        <w:rPr>
          <w:rFonts w:ascii="宋体" w:hAnsi="宋体" w:cs="宋体" w:eastAsia="宋体" w:hint="default"/>
        </w:rPr>
        <w:t>100</w:t>
      </w:r>
      <w:r>
        <w:rPr>
          <w:rFonts w:ascii="宋体" w:hAnsi="宋体" w:cs="宋体" w:eastAsia="宋体" w:hint="default"/>
          <w:spacing w:val="-57"/>
        </w:rPr>
        <w:t> </w:t>
      </w:r>
      <w:r>
        <w:rPr/>
        <w:t>个基点的情况下，基于资产负债表日的金融</w:t>
      </w:r>
    </w:p>
    <w:p>
      <w:pPr>
        <w:pStyle w:val="BodyText"/>
        <w:spacing w:line="240" w:lineRule="auto" w:before="133"/>
        <w:ind w:left="1118" w:right="0"/>
        <w:jc w:val="left"/>
      </w:pPr>
      <w:r>
        <w:rPr/>
        <w:t>资产与金融负债的结构，对净利润及其他综合收益的影响。</w:t>
      </w:r>
    </w:p>
    <w:p>
      <w:pPr>
        <w:spacing w:line="240" w:lineRule="auto" w:before="8"/>
        <w:rPr>
          <w:rFonts w:ascii="宋体" w:hAnsi="宋体" w:cs="宋体" w:eastAsia="宋体" w:hint="default"/>
          <w:sz w:val="15"/>
          <w:szCs w:val="15"/>
        </w:rPr>
      </w:pPr>
    </w:p>
    <w:tbl>
      <w:tblPr>
        <w:tblW w:w="0" w:type="auto"/>
        <w:jc w:val="left"/>
        <w:tblInd w:w="1092" w:type="dxa"/>
        <w:tblLayout w:type="fixed"/>
        <w:tblCellMar>
          <w:top w:w="0" w:type="dxa"/>
          <w:left w:w="0" w:type="dxa"/>
          <w:bottom w:w="0" w:type="dxa"/>
          <w:right w:w="0" w:type="dxa"/>
        </w:tblCellMar>
        <w:tblLook w:val="01E0"/>
      </w:tblPr>
      <w:tblGrid>
        <w:gridCol w:w="6571"/>
        <w:gridCol w:w="1261"/>
        <w:gridCol w:w="1260"/>
      </w:tblGrid>
      <w:tr>
        <w:trPr>
          <w:trHeight w:val="259" w:hRule="exact"/>
        </w:trPr>
        <w:tc>
          <w:tcPr>
            <w:tcW w:w="6571" w:type="dxa"/>
            <w:tcBorders>
              <w:top w:val="nil" w:sz="6" w:space="0" w:color="auto"/>
              <w:left w:val="nil" w:sz="6" w:space="0" w:color="auto"/>
              <w:bottom w:val="single" w:sz="8" w:space="0" w:color="000000"/>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tc>
        <w:tc>
          <w:tcPr>
            <w:tcW w:w="1261" w:type="dxa"/>
            <w:tcBorders>
              <w:top w:val="nil" w:sz="6" w:space="0" w:color="auto"/>
              <w:left w:val="nil" w:sz="6" w:space="0" w:color="auto"/>
              <w:bottom w:val="single" w:sz="8" w:space="0" w:color="000000"/>
              <w:right w:val="nil" w:sz="6" w:space="0" w:color="auto"/>
            </w:tcBorders>
          </w:tcPr>
          <w:p>
            <w:pPr/>
          </w:p>
        </w:tc>
        <w:tc>
          <w:tcPr>
            <w:tcW w:w="1260" w:type="dxa"/>
            <w:tcBorders>
              <w:top w:val="nil" w:sz="6" w:space="0" w:color="auto"/>
              <w:left w:val="nil" w:sz="6" w:space="0" w:color="auto"/>
              <w:bottom w:val="single" w:sz="8" w:space="0" w:color="000000"/>
              <w:right w:val="nil" w:sz="6" w:space="0" w:color="auto"/>
            </w:tcBorders>
          </w:tcPr>
          <w:p>
            <w:pPr/>
          </w:p>
        </w:tc>
      </w:tr>
      <w:tr>
        <w:trPr>
          <w:trHeight w:val="305" w:hRule="exact"/>
        </w:trPr>
        <w:tc>
          <w:tcPr>
            <w:tcW w:w="6571" w:type="dxa"/>
            <w:tcBorders>
              <w:top w:val="single" w:sz="8" w:space="0" w:color="000000"/>
              <w:left w:val="nil" w:sz="6" w:space="0" w:color="auto"/>
              <w:bottom w:val="single" w:sz="8" w:space="0" w:color="000000"/>
              <w:right w:val="nil" w:sz="6" w:space="0" w:color="auto"/>
            </w:tcBorders>
          </w:tcPr>
          <w:p>
            <w:pPr>
              <w:pStyle w:val="TableParagraph"/>
              <w:spacing w:line="248" w:lineRule="exact"/>
              <w:ind w:left="423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261" w:type="dxa"/>
            <w:tcBorders>
              <w:top w:val="single" w:sz="8" w:space="0" w:color="000000"/>
              <w:left w:val="nil" w:sz="6" w:space="0" w:color="auto"/>
              <w:bottom w:val="single" w:sz="8" w:space="0" w:color="000000"/>
              <w:right w:val="nil" w:sz="6" w:space="0" w:color="auto"/>
            </w:tcBorders>
          </w:tcPr>
          <w:p>
            <w:pPr/>
          </w:p>
        </w:tc>
        <w:tc>
          <w:tcPr>
            <w:tcW w:w="1260" w:type="dxa"/>
            <w:tcBorders>
              <w:top w:val="single" w:sz="8" w:space="0" w:color="000000"/>
              <w:left w:val="nil" w:sz="6" w:space="0" w:color="auto"/>
              <w:bottom w:val="single" w:sz="8" w:space="0" w:color="000000"/>
              <w:right w:val="nil" w:sz="6" w:space="0" w:color="auto"/>
            </w:tcBorders>
          </w:tcPr>
          <w:p>
            <w:pPr/>
          </w:p>
        </w:tc>
      </w:tr>
      <w:tr>
        <w:trPr>
          <w:trHeight w:val="838" w:hRule="exact"/>
        </w:trPr>
        <w:tc>
          <w:tcPr>
            <w:tcW w:w="65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04" w:right="197" w:hanging="106"/>
              <w:jc w:val="left"/>
              <w:rPr>
                <w:rFonts w:ascii="宋体" w:hAnsi="宋体" w:cs="宋体" w:eastAsia="宋体" w:hint="default"/>
                <w:sz w:val="21"/>
                <w:szCs w:val="21"/>
              </w:rPr>
            </w:pPr>
            <w:r>
              <w:rPr>
                <w:rFonts w:ascii="宋体" w:hAnsi="宋体" w:cs="宋体" w:eastAsia="宋体" w:hint="default"/>
                <w:sz w:val="21"/>
                <w:szCs w:val="21"/>
              </w:rPr>
              <w:t>对净利润</w:t>
            </w:r>
            <w:r>
              <w:rPr>
                <w:rFonts w:ascii="宋体" w:hAnsi="宋体" w:cs="宋体" w:eastAsia="宋体" w:hint="default"/>
                <w:w w:val="100"/>
                <w:sz w:val="21"/>
                <w:szCs w:val="21"/>
              </w:rPr>
              <w:t> </w:t>
            </w:r>
            <w:r>
              <w:rPr>
                <w:rFonts w:ascii="宋体" w:hAnsi="宋体" w:cs="宋体" w:eastAsia="宋体" w:hint="default"/>
                <w:sz w:val="21"/>
                <w:szCs w:val="21"/>
              </w:rPr>
              <w:t>的影响</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对其他综</w:t>
            </w:r>
          </w:p>
          <w:p>
            <w:pPr>
              <w:pStyle w:val="TableParagraph"/>
              <w:spacing w:line="272" w:lineRule="exact" w:before="27"/>
              <w:ind w:left="410" w:right="206" w:hanging="212"/>
              <w:jc w:val="left"/>
              <w:rPr>
                <w:rFonts w:ascii="宋体" w:hAnsi="宋体" w:cs="宋体" w:eastAsia="宋体" w:hint="default"/>
                <w:sz w:val="21"/>
                <w:szCs w:val="21"/>
              </w:rPr>
            </w:pPr>
            <w:r>
              <w:rPr>
                <w:rFonts w:ascii="宋体" w:hAnsi="宋体" w:cs="宋体" w:eastAsia="宋体" w:hint="default"/>
                <w:sz w:val="21"/>
                <w:szCs w:val="21"/>
              </w:rPr>
              <w:t>合收益的</w:t>
            </w:r>
            <w:r>
              <w:rPr>
                <w:rFonts w:ascii="宋体" w:hAnsi="宋体" w:cs="宋体" w:eastAsia="宋体" w:hint="default"/>
                <w:w w:val="100"/>
                <w:sz w:val="21"/>
                <w:szCs w:val="21"/>
              </w:rPr>
              <w:t> </w:t>
            </w:r>
            <w:r>
              <w:rPr>
                <w:rFonts w:ascii="宋体" w:hAnsi="宋体" w:cs="宋体" w:eastAsia="宋体" w:hint="default"/>
                <w:sz w:val="21"/>
                <w:szCs w:val="21"/>
              </w:rPr>
              <w:t>影响</w:t>
            </w:r>
          </w:p>
        </w:tc>
      </w:tr>
      <w:tr>
        <w:trPr>
          <w:trHeight w:val="305" w:hRule="exact"/>
        </w:trPr>
        <w:tc>
          <w:tcPr>
            <w:tcW w:w="657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1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97"/>
              <w:jc w:val="right"/>
              <w:rPr>
                <w:rFonts w:ascii="宋体" w:hAnsi="宋体" w:cs="宋体" w:eastAsia="宋体" w:hint="default"/>
                <w:sz w:val="20"/>
                <w:szCs w:val="20"/>
              </w:rPr>
            </w:pPr>
            <w:r>
              <w:rPr>
                <w:rFonts w:ascii="宋体"/>
                <w:w w:val="95"/>
                <w:sz w:val="20"/>
              </w:rPr>
              <w:t>-14,740.49</w:t>
            </w:r>
            <w:r>
              <w:rPr>
                <w:rFonts w:ascii="宋体"/>
                <w:sz w:val="20"/>
              </w:rPr>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2" w:lineRule="exact"/>
              <w:ind w:right="105"/>
              <w:jc w:val="right"/>
              <w:rPr>
                <w:rFonts w:ascii="宋体" w:hAnsi="宋体" w:cs="宋体" w:eastAsia="宋体" w:hint="default"/>
                <w:sz w:val="20"/>
                <w:szCs w:val="20"/>
              </w:rPr>
            </w:pPr>
            <w:r>
              <w:rPr>
                <w:rFonts w:ascii="宋体"/>
                <w:sz w:val="20"/>
              </w:rPr>
              <w:t>-721.09</w:t>
            </w:r>
          </w:p>
        </w:tc>
      </w:tr>
      <w:tr>
        <w:trPr>
          <w:trHeight w:val="305" w:hRule="exact"/>
        </w:trPr>
        <w:tc>
          <w:tcPr>
            <w:tcW w:w="657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1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7"/>
              <w:jc w:val="right"/>
              <w:rPr>
                <w:rFonts w:ascii="宋体" w:hAnsi="宋体" w:cs="宋体" w:eastAsia="宋体" w:hint="default"/>
                <w:sz w:val="20"/>
                <w:szCs w:val="20"/>
              </w:rPr>
            </w:pPr>
            <w:r>
              <w:rPr>
                <w:rFonts w:ascii="宋体"/>
                <w:w w:val="95"/>
                <w:sz w:val="20"/>
              </w:rPr>
              <w:t>13,646.26</w:t>
            </w:r>
            <w:r>
              <w:rPr>
                <w:rFonts w:ascii="宋体"/>
                <w:sz w:val="20"/>
              </w:rPr>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4" w:lineRule="exact"/>
              <w:ind w:right="105"/>
              <w:jc w:val="right"/>
              <w:rPr>
                <w:rFonts w:ascii="宋体" w:hAnsi="宋体" w:cs="宋体" w:eastAsia="宋体" w:hint="default"/>
                <w:sz w:val="20"/>
                <w:szCs w:val="20"/>
              </w:rPr>
            </w:pPr>
            <w:r>
              <w:rPr>
                <w:rFonts w:ascii="宋体"/>
                <w:w w:val="95"/>
                <w:sz w:val="20"/>
              </w:rPr>
              <w:t>771.4</w:t>
            </w:r>
            <w:r>
              <w:rPr>
                <w:rFonts w:ascii="宋体"/>
                <w:sz w:val="20"/>
              </w:rPr>
            </w:r>
          </w:p>
        </w:tc>
      </w:tr>
      <w:tr>
        <w:trPr>
          <w:trHeight w:val="305" w:hRule="exact"/>
        </w:trPr>
        <w:tc>
          <w:tcPr>
            <w:tcW w:w="6571" w:type="dxa"/>
            <w:tcBorders>
              <w:top w:val="single" w:sz="8" w:space="0" w:color="000000"/>
              <w:left w:val="nil" w:sz="6" w:space="0" w:color="auto"/>
              <w:bottom w:val="single" w:sz="8" w:space="0" w:color="000000"/>
              <w:right w:val="nil" w:sz="6" w:space="0" w:color="auto"/>
            </w:tcBorders>
          </w:tcPr>
          <w:p>
            <w:pPr>
              <w:pStyle w:val="TableParagraph"/>
              <w:spacing w:line="248" w:lineRule="exact"/>
              <w:ind w:left="118" w:right="0"/>
              <w:jc w:val="left"/>
              <w:rPr>
                <w:rFonts w:ascii="宋体" w:hAnsi="宋体" w:cs="宋体" w:eastAsia="宋体" w:hint="default"/>
                <w:sz w:val="21"/>
                <w:szCs w:val="21"/>
              </w:rPr>
            </w:pPr>
            <w:r>
              <w:rPr>
                <w:rFonts w:ascii="宋体" w:hAnsi="宋体" w:cs="宋体" w:eastAsia="宋体" w:hint="default"/>
                <w:sz w:val="21"/>
                <w:szCs w:val="21"/>
              </w:rPr>
              <w:t>（续上表）</w:t>
            </w:r>
          </w:p>
        </w:tc>
        <w:tc>
          <w:tcPr>
            <w:tcW w:w="1261" w:type="dxa"/>
            <w:tcBorders>
              <w:top w:val="single" w:sz="8" w:space="0" w:color="000000"/>
              <w:left w:val="nil" w:sz="6" w:space="0" w:color="auto"/>
              <w:bottom w:val="single" w:sz="8" w:space="0" w:color="000000"/>
              <w:right w:val="nil" w:sz="6" w:space="0" w:color="auto"/>
            </w:tcBorders>
          </w:tcPr>
          <w:p>
            <w:pPr/>
          </w:p>
        </w:tc>
        <w:tc>
          <w:tcPr>
            <w:tcW w:w="1260" w:type="dxa"/>
            <w:tcBorders>
              <w:top w:val="single" w:sz="8" w:space="0" w:color="000000"/>
              <w:left w:val="nil" w:sz="6" w:space="0" w:color="auto"/>
              <w:bottom w:val="single" w:sz="8" w:space="0" w:color="000000"/>
              <w:right w:val="nil" w:sz="6" w:space="0" w:color="auto"/>
            </w:tcBorders>
          </w:tcPr>
          <w:p>
            <w:pPr/>
          </w:p>
        </w:tc>
      </w:tr>
      <w:tr>
        <w:trPr>
          <w:trHeight w:val="305" w:hRule="exact"/>
        </w:trPr>
        <w:tc>
          <w:tcPr>
            <w:tcW w:w="6571" w:type="dxa"/>
            <w:tcBorders>
              <w:top w:val="single" w:sz="8" w:space="0" w:color="000000"/>
              <w:left w:val="nil" w:sz="6" w:space="0" w:color="auto"/>
              <w:bottom w:val="single" w:sz="8" w:space="0" w:color="000000"/>
              <w:right w:val="nil" w:sz="6" w:space="0" w:color="auto"/>
            </w:tcBorders>
          </w:tcPr>
          <w:p>
            <w:pPr>
              <w:pStyle w:val="TableParagraph"/>
              <w:spacing w:line="248" w:lineRule="exact"/>
              <w:ind w:left="423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61" w:type="dxa"/>
            <w:tcBorders>
              <w:top w:val="single" w:sz="8" w:space="0" w:color="000000"/>
              <w:left w:val="nil" w:sz="6" w:space="0" w:color="auto"/>
              <w:bottom w:val="single" w:sz="8" w:space="0" w:color="000000"/>
              <w:right w:val="nil" w:sz="6" w:space="0" w:color="auto"/>
            </w:tcBorders>
          </w:tcPr>
          <w:p>
            <w:pPr/>
          </w:p>
        </w:tc>
        <w:tc>
          <w:tcPr>
            <w:tcW w:w="1260" w:type="dxa"/>
            <w:tcBorders>
              <w:top w:val="single" w:sz="8" w:space="0" w:color="000000"/>
              <w:left w:val="nil" w:sz="6" w:space="0" w:color="auto"/>
              <w:bottom w:val="single" w:sz="8" w:space="0" w:color="000000"/>
              <w:right w:val="nil" w:sz="6" w:space="0" w:color="auto"/>
            </w:tcBorders>
          </w:tcPr>
          <w:p>
            <w:pPr/>
          </w:p>
        </w:tc>
      </w:tr>
      <w:tr>
        <w:trPr>
          <w:trHeight w:val="838" w:hRule="exact"/>
        </w:trPr>
        <w:tc>
          <w:tcPr>
            <w:tcW w:w="65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04" w:right="197" w:hanging="106"/>
              <w:jc w:val="left"/>
              <w:rPr>
                <w:rFonts w:ascii="宋体" w:hAnsi="宋体" w:cs="宋体" w:eastAsia="宋体" w:hint="default"/>
                <w:sz w:val="21"/>
                <w:szCs w:val="21"/>
              </w:rPr>
            </w:pPr>
            <w:r>
              <w:rPr>
                <w:rFonts w:ascii="宋体" w:hAnsi="宋体" w:cs="宋体" w:eastAsia="宋体" w:hint="default"/>
                <w:sz w:val="21"/>
                <w:szCs w:val="21"/>
              </w:rPr>
              <w:t>对净利润</w:t>
            </w:r>
            <w:r>
              <w:rPr>
                <w:rFonts w:ascii="宋体" w:hAnsi="宋体" w:cs="宋体" w:eastAsia="宋体" w:hint="default"/>
                <w:w w:val="100"/>
                <w:sz w:val="21"/>
                <w:szCs w:val="21"/>
              </w:rPr>
              <w:t> </w:t>
            </w:r>
            <w:r>
              <w:rPr>
                <w:rFonts w:ascii="宋体" w:hAnsi="宋体" w:cs="宋体" w:eastAsia="宋体" w:hint="default"/>
                <w:sz w:val="21"/>
                <w:szCs w:val="21"/>
              </w:rPr>
              <w:t>的影响</w:t>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对其他综</w:t>
            </w:r>
          </w:p>
          <w:p>
            <w:pPr>
              <w:pStyle w:val="TableParagraph"/>
              <w:spacing w:line="272" w:lineRule="exact" w:before="27"/>
              <w:ind w:left="410" w:right="206" w:hanging="212"/>
              <w:jc w:val="left"/>
              <w:rPr>
                <w:rFonts w:ascii="宋体" w:hAnsi="宋体" w:cs="宋体" w:eastAsia="宋体" w:hint="default"/>
                <w:sz w:val="21"/>
                <w:szCs w:val="21"/>
              </w:rPr>
            </w:pPr>
            <w:r>
              <w:rPr>
                <w:rFonts w:ascii="宋体" w:hAnsi="宋体" w:cs="宋体" w:eastAsia="宋体" w:hint="default"/>
                <w:sz w:val="21"/>
                <w:szCs w:val="21"/>
              </w:rPr>
              <w:t>合收益的</w:t>
            </w:r>
            <w:r>
              <w:rPr>
                <w:rFonts w:ascii="宋体" w:hAnsi="宋体" w:cs="宋体" w:eastAsia="宋体" w:hint="default"/>
                <w:w w:val="100"/>
                <w:sz w:val="21"/>
                <w:szCs w:val="21"/>
              </w:rPr>
              <w:t> </w:t>
            </w:r>
            <w:r>
              <w:rPr>
                <w:rFonts w:ascii="宋体" w:hAnsi="宋体" w:cs="宋体" w:eastAsia="宋体" w:hint="default"/>
                <w:sz w:val="21"/>
                <w:szCs w:val="21"/>
              </w:rPr>
              <w:t>影响</w:t>
            </w:r>
          </w:p>
        </w:tc>
      </w:tr>
      <w:tr>
        <w:trPr>
          <w:trHeight w:val="305" w:hRule="exact"/>
        </w:trPr>
        <w:tc>
          <w:tcPr>
            <w:tcW w:w="657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1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6"/>
              <w:jc w:val="right"/>
              <w:rPr>
                <w:rFonts w:ascii="宋体" w:hAnsi="宋体" w:cs="宋体" w:eastAsia="宋体" w:hint="default"/>
                <w:sz w:val="20"/>
                <w:szCs w:val="20"/>
              </w:rPr>
            </w:pPr>
            <w:r>
              <w:rPr>
                <w:rFonts w:ascii="宋体"/>
                <w:w w:val="95"/>
                <w:sz w:val="20"/>
              </w:rPr>
              <w:t>-7,407.61</w:t>
            </w:r>
            <w:r>
              <w:rPr>
                <w:rFonts w:ascii="宋体"/>
                <w:sz w:val="20"/>
              </w:rPr>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4" w:lineRule="exact"/>
              <w:ind w:right="105"/>
              <w:jc w:val="right"/>
              <w:rPr>
                <w:rFonts w:ascii="宋体" w:hAnsi="宋体" w:cs="宋体" w:eastAsia="宋体" w:hint="default"/>
                <w:sz w:val="20"/>
                <w:szCs w:val="20"/>
              </w:rPr>
            </w:pPr>
            <w:r>
              <w:rPr>
                <w:rFonts w:ascii="宋体"/>
                <w:w w:val="95"/>
                <w:sz w:val="20"/>
              </w:rPr>
              <w:t>-55.78</w:t>
            </w:r>
            <w:r>
              <w:rPr>
                <w:rFonts w:ascii="宋体"/>
                <w:sz w:val="20"/>
              </w:rPr>
            </w:r>
          </w:p>
        </w:tc>
      </w:tr>
      <w:tr>
        <w:trPr>
          <w:trHeight w:val="310" w:hRule="exact"/>
        </w:trPr>
        <w:tc>
          <w:tcPr>
            <w:tcW w:w="657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118"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个基点</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6"/>
              <w:jc w:val="right"/>
              <w:rPr>
                <w:rFonts w:ascii="宋体" w:hAnsi="宋体" w:cs="宋体" w:eastAsia="宋体" w:hint="default"/>
                <w:sz w:val="20"/>
                <w:szCs w:val="20"/>
              </w:rPr>
            </w:pPr>
            <w:r>
              <w:rPr>
                <w:rFonts w:ascii="宋体"/>
                <w:w w:val="95"/>
                <w:sz w:val="20"/>
              </w:rPr>
              <w:t>7,881.75</w:t>
            </w:r>
            <w:r>
              <w:rPr>
                <w:rFonts w:ascii="宋体"/>
                <w:sz w:val="20"/>
              </w:rPr>
            </w:r>
          </w:p>
        </w:tc>
        <w:tc>
          <w:tcPr>
            <w:tcW w:w="1260" w:type="dxa"/>
            <w:tcBorders>
              <w:top w:val="single" w:sz="8" w:space="0" w:color="000000"/>
              <w:left w:val="single" w:sz="8" w:space="0" w:color="000000"/>
              <w:bottom w:val="single" w:sz="8" w:space="0" w:color="000000"/>
              <w:right w:val="nil" w:sz="6" w:space="0" w:color="auto"/>
            </w:tcBorders>
          </w:tcPr>
          <w:p>
            <w:pPr>
              <w:pStyle w:val="TableParagraph"/>
              <w:spacing w:line="244" w:lineRule="exact"/>
              <w:ind w:right="105"/>
              <w:jc w:val="right"/>
              <w:rPr>
                <w:rFonts w:ascii="宋体" w:hAnsi="宋体" w:cs="宋体" w:eastAsia="宋体" w:hint="default"/>
                <w:sz w:val="20"/>
                <w:szCs w:val="20"/>
              </w:rPr>
            </w:pPr>
            <w:r>
              <w:rPr>
                <w:rFonts w:ascii="宋体"/>
                <w:w w:val="95"/>
                <w:sz w:val="20"/>
              </w:rPr>
              <w:t>57.68</w:t>
            </w:r>
            <w:r>
              <w:rPr>
                <w:rFonts w:ascii="宋体"/>
                <w:sz w:val="20"/>
              </w:rPr>
            </w:r>
          </w:p>
        </w:tc>
      </w:tr>
    </w:tbl>
    <w:p>
      <w:pPr>
        <w:pStyle w:val="BodyText"/>
        <w:spacing w:line="236" w:lineRule="exact"/>
        <w:ind w:left="1538" w:right="0"/>
        <w:jc w:val="left"/>
      </w:pPr>
      <w:r>
        <w:rPr/>
        <w:t>对净利润的影响是指基于一定利率变动对净生息头寸一年内的利息及年末持有交易性的金融资产</w:t>
      </w:r>
    </w:p>
    <w:p>
      <w:pPr>
        <w:pStyle w:val="BodyText"/>
        <w:spacing w:line="355" w:lineRule="auto" w:before="135"/>
        <w:ind w:left="1538" w:right="0" w:hanging="420"/>
        <w:jc w:val="left"/>
      </w:pPr>
      <w:r>
        <w:rPr/>
        <w:t>及金融负债所产生的重估影响。</w:t>
      </w:r>
      <w:r>
        <w:rPr>
          <w:w w:val="100"/>
        </w:rPr>
        <w:t> </w:t>
      </w:r>
      <w:r>
        <w:rPr>
          <w:spacing w:val="-2"/>
        </w:rPr>
        <w:t>对其他综合收益的影响是指基于在一定利率变动时对年末持有的固定利率可供出售金融资产进行</w:t>
      </w:r>
    </w:p>
    <w:p>
      <w:pPr>
        <w:pStyle w:val="BodyText"/>
        <w:spacing w:line="355" w:lineRule="auto" w:before="32"/>
        <w:ind w:left="1538" w:right="0" w:hanging="420"/>
        <w:jc w:val="left"/>
      </w:pPr>
      <w:r>
        <w:rPr/>
        <w:t>重估后公允价值变动的影响。</w:t>
      </w:r>
      <w:r>
        <w:rPr>
          <w:w w:val="100"/>
        </w:rPr>
        <w:t> </w:t>
      </w:r>
      <w:r>
        <w:rPr>
          <w:spacing w:val="-2"/>
        </w:rPr>
        <w:t>上述预测假设各期限资产和负债的收益率平行上移或下移，因此，不反映某些利率变动而剩余利</w:t>
      </w:r>
    </w:p>
    <w:p>
      <w:pPr>
        <w:pStyle w:val="BodyText"/>
        <w:spacing w:line="360" w:lineRule="auto" w:before="32"/>
        <w:ind w:left="1538" w:right="0" w:hanging="420"/>
        <w:jc w:val="left"/>
      </w:pPr>
      <w:r>
        <w:rPr/>
        <w:t>率不变所可能带来的影响。这种预测还基于其他简化的假设，包括所有头寸将持有到期。</w:t>
      </w:r>
      <w:r>
        <w:rPr>
          <w:w w:val="100"/>
        </w:rPr>
        <w:t> </w:t>
      </w:r>
      <w:r>
        <w:rPr>
          <w:spacing w:val="-2"/>
        </w:rPr>
        <w:t>本公司认为该假设并不代表本公司的资金使用及利率风险管理的政策，因此上述影响可能与实际</w:t>
      </w:r>
    </w:p>
    <w:p>
      <w:pPr>
        <w:pStyle w:val="BodyText"/>
        <w:spacing w:line="355" w:lineRule="auto" w:before="28"/>
        <w:ind w:left="1538" w:right="0" w:hanging="420"/>
        <w:jc w:val="left"/>
      </w:pPr>
      <w:r>
        <w:rPr/>
        <w:t>情况存在差异。</w:t>
      </w:r>
      <w:r>
        <w:rPr>
          <w:spacing w:val="-103"/>
        </w:rPr>
        <w:t> </w:t>
      </w:r>
      <w:r>
        <w:rPr>
          <w:spacing w:val="-103"/>
        </w:rPr>
      </w:r>
      <w:r>
        <w:rPr>
          <w:spacing w:val="-2"/>
        </w:rPr>
        <w:t>另外，上述利率变动影响分析仅是作为例证，显示在各个预计受益情形及本公司现时利率风险状</w:t>
      </w:r>
    </w:p>
    <w:p>
      <w:pPr>
        <w:pStyle w:val="BodyText"/>
        <w:spacing w:line="357" w:lineRule="auto" w:before="32"/>
        <w:ind w:left="1118" w:right="0"/>
        <w:jc w:val="left"/>
      </w:pPr>
      <w:r>
        <w:rPr>
          <w:spacing w:val="-2"/>
        </w:rPr>
        <w:t>况下，净利润和其他综合收益的估计变动。但该影响并未考虑管理层为减低利率风险而可能采取的风</w:t>
      </w:r>
      <w:r>
        <w:rPr>
          <w:spacing w:val="-21"/>
        </w:rPr>
        <w:t> </w:t>
      </w:r>
      <w:r>
        <w:rPr>
          <w:spacing w:val="-21"/>
        </w:rPr>
      </w:r>
      <w:r>
        <w:rPr/>
        <w:t>险管理活动。</w:t>
      </w:r>
    </w:p>
    <w:p>
      <w:pPr>
        <w:pStyle w:val="BodyText"/>
        <w:spacing w:line="355" w:lineRule="auto" w:before="30"/>
        <w:ind w:left="1538" w:right="0"/>
        <w:jc w:val="left"/>
      </w:pPr>
      <w:r>
        <w:rPr/>
        <w:t>（</w:t>
      </w:r>
      <w:r>
        <w:rPr>
          <w:rFonts w:ascii="宋体" w:hAnsi="宋体" w:cs="宋体" w:eastAsia="宋体" w:hint="default"/>
        </w:rPr>
        <w:t>2</w:t>
      </w:r>
      <w:r>
        <w:rPr/>
        <w:t>）汇率风险</w:t>
      </w:r>
      <w:r>
        <w:rPr>
          <w:w w:val="100"/>
        </w:rPr>
        <w:t> </w:t>
      </w:r>
      <w:r>
        <w:rPr>
          <w:spacing w:val="-2"/>
        </w:rPr>
        <w:t>汇率风险主要由于外汇汇率变化而导致的，本公司持有的外币资产及负债占整体资产及负债比重</w:t>
      </w:r>
    </w:p>
    <w:p>
      <w:pPr>
        <w:pStyle w:val="BodyText"/>
        <w:spacing w:line="357" w:lineRule="auto" w:before="32"/>
        <w:ind w:left="1118" w:right="0"/>
        <w:jc w:val="left"/>
      </w:pPr>
      <w:r>
        <w:rPr>
          <w:spacing w:val="-2"/>
        </w:rPr>
        <w:t>并不重大；在本公司收入结构中，绝大部分赚取收入的业务均以人民币进行交易。由于外币在本公司</w:t>
      </w:r>
      <w:r>
        <w:rPr>
          <w:spacing w:val="-21"/>
        </w:rPr>
        <w:t> </w:t>
      </w:r>
      <w:r>
        <w:rPr>
          <w:spacing w:val="-21"/>
        </w:rPr>
      </w:r>
      <w:r>
        <w:rPr/>
        <w:t>资产、负债及收入结构中所占比例较低，汇率风险对本公司目前的经营影响并不重大。</w:t>
      </w:r>
    </w:p>
    <w:p>
      <w:pPr>
        <w:pStyle w:val="BodyText"/>
        <w:spacing w:line="240" w:lineRule="auto" w:before="32"/>
        <w:ind w:left="1538" w:right="0"/>
        <w:jc w:val="left"/>
      </w:pPr>
      <w:r>
        <w:rPr/>
        <w:t>（</w:t>
      </w:r>
      <w:r>
        <w:rPr>
          <w:rFonts w:ascii="宋体" w:hAnsi="宋体" w:cs="宋体" w:eastAsia="宋体" w:hint="default"/>
        </w:rPr>
        <w:t>3</w:t>
      </w:r>
      <w:r>
        <w:rPr/>
        <w:t>）价格风险</w:t>
      </w:r>
    </w:p>
    <w:p>
      <w:pPr>
        <w:spacing w:after="0" w:line="240" w:lineRule="auto"/>
        <w:jc w:val="left"/>
        <w:sectPr>
          <w:pgSz w:w="11910" w:h="16840"/>
          <w:pgMar w:header="882" w:footer="1195" w:top="1120" w:bottom="1380" w:left="680" w:right="480"/>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pPr>
      <w:r>
        <w:rPr>
          <w:spacing w:val="-2"/>
        </w:rPr>
        <w:t>本公司的价格风险主要为权益类风险，权益类风险由股票、基金、股指期货以及资产管理计划等</w:t>
      </w:r>
      <w:r>
        <w:rPr>
          <w:w w:val="100"/>
        </w:rPr>
        <w:t> </w:t>
      </w:r>
      <w:r>
        <w:rPr/>
        <w:t>权益品种价格或波动率的变化等而导致。</w:t>
      </w:r>
    </w:p>
    <w:p>
      <w:pPr>
        <w:pStyle w:val="BodyText"/>
        <w:spacing w:line="240" w:lineRule="auto" w:before="30"/>
        <w:ind w:left="558" w:right="0"/>
        <w:jc w:val="left"/>
      </w:pPr>
      <w:r>
        <w:rPr>
          <w:rFonts w:ascii="宋体" w:hAnsi="宋体" w:cs="宋体" w:eastAsia="宋体" w:hint="default"/>
          <w:w w:val="100"/>
        </w:rPr>
        <w:t>2018</w:t>
      </w:r>
      <w:r>
        <w:rPr>
          <w:rFonts w:ascii="宋体" w:hAnsi="宋体" w:cs="宋体" w:eastAsia="宋体" w:hint="default"/>
          <w:spacing w:val="-69"/>
        </w:rPr>
        <w:t> </w:t>
      </w:r>
      <w:r>
        <w:rPr>
          <w:w w:val="100"/>
        </w:rPr>
        <w:t>年</w:t>
      </w:r>
      <w:r>
        <w:rPr>
          <w:spacing w:val="-67"/>
        </w:rPr>
        <w:t> </w:t>
      </w:r>
      <w:r>
        <w:rPr>
          <w:rFonts w:ascii="宋体" w:hAnsi="宋体" w:cs="宋体" w:eastAsia="宋体" w:hint="default"/>
          <w:w w:val="100"/>
        </w:rPr>
        <w:t>12</w:t>
      </w:r>
      <w:r>
        <w:rPr>
          <w:rFonts w:ascii="宋体" w:hAnsi="宋体" w:cs="宋体" w:eastAsia="宋体" w:hint="default"/>
          <w:spacing w:val="-69"/>
        </w:rPr>
        <w:t> </w:t>
      </w:r>
      <w:r>
        <w:rPr>
          <w:w w:val="100"/>
        </w:rPr>
        <w:t>月</w:t>
      </w:r>
      <w:r>
        <w:rPr>
          <w:spacing w:val="-67"/>
        </w:rPr>
        <w:t> </w:t>
      </w:r>
      <w:r>
        <w:rPr>
          <w:rFonts w:ascii="宋体" w:hAnsi="宋体" w:cs="宋体" w:eastAsia="宋体" w:hint="default"/>
          <w:w w:val="100"/>
        </w:rPr>
        <w:t>31</w:t>
      </w:r>
      <w:r>
        <w:rPr>
          <w:rFonts w:ascii="宋体" w:hAnsi="宋体" w:cs="宋体" w:eastAsia="宋体" w:hint="default"/>
          <w:spacing w:val="-69"/>
        </w:rPr>
        <w:t> </w:t>
      </w:r>
      <w:r>
        <w:rPr>
          <w:w w:val="100"/>
        </w:rPr>
        <w:t>日</w:t>
      </w:r>
      <w:r>
        <w:rPr>
          <w:spacing w:val="-106"/>
          <w:w w:val="100"/>
        </w:rPr>
        <w:t>，</w:t>
      </w:r>
      <w:r>
        <w:rPr>
          <w:spacing w:val="-3"/>
          <w:w w:val="100"/>
        </w:rPr>
        <w:t>若</w:t>
      </w:r>
      <w:r>
        <w:rPr>
          <w:w w:val="100"/>
        </w:rPr>
        <w:t>本</w:t>
      </w:r>
      <w:r>
        <w:rPr>
          <w:spacing w:val="-3"/>
          <w:w w:val="100"/>
        </w:rPr>
        <w:t>公</w:t>
      </w:r>
      <w:r>
        <w:rPr>
          <w:w w:val="100"/>
        </w:rPr>
        <w:t>司持</w:t>
      </w:r>
      <w:r>
        <w:rPr>
          <w:spacing w:val="-3"/>
          <w:w w:val="100"/>
        </w:rPr>
        <w:t>有</w:t>
      </w:r>
      <w:r>
        <w:rPr>
          <w:w w:val="100"/>
        </w:rPr>
        <w:t>权</w:t>
      </w:r>
      <w:r>
        <w:rPr>
          <w:spacing w:val="-3"/>
          <w:w w:val="100"/>
        </w:rPr>
        <w:t>益</w:t>
      </w:r>
      <w:r>
        <w:rPr>
          <w:w w:val="100"/>
        </w:rPr>
        <w:t>性</w:t>
      </w:r>
      <w:r>
        <w:rPr>
          <w:spacing w:val="-3"/>
          <w:w w:val="100"/>
        </w:rPr>
        <w:t>金</w:t>
      </w:r>
      <w:r>
        <w:rPr>
          <w:w w:val="100"/>
        </w:rPr>
        <w:t>融</w:t>
      </w:r>
      <w:r>
        <w:rPr>
          <w:spacing w:val="-3"/>
          <w:w w:val="100"/>
        </w:rPr>
        <w:t>工</w:t>
      </w:r>
      <w:r>
        <w:rPr>
          <w:w w:val="100"/>
        </w:rPr>
        <w:t>具</w:t>
      </w:r>
      <w:r>
        <w:rPr>
          <w:spacing w:val="-3"/>
          <w:w w:val="100"/>
        </w:rPr>
        <w:t>的</w:t>
      </w:r>
      <w:r>
        <w:rPr>
          <w:w w:val="100"/>
        </w:rPr>
        <w:t>公允</w:t>
      </w:r>
      <w:r>
        <w:rPr>
          <w:spacing w:val="-3"/>
          <w:w w:val="100"/>
        </w:rPr>
        <w:t>价</w:t>
      </w:r>
      <w:r>
        <w:rPr>
          <w:w w:val="100"/>
        </w:rPr>
        <w:t>值</w:t>
      </w:r>
      <w:r>
        <w:rPr>
          <w:spacing w:val="-3"/>
          <w:w w:val="100"/>
        </w:rPr>
        <w:t>上</w:t>
      </w:r>
      <w:r>
        <w:rPr>
          <w:w w:val="100"/>
        </w:rPr>
        <w:t>升</w:t>
      </w:r>
      <w:r>
        <w:rPr>
          <w:spacing w:val="-67"/>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spacing w:val="-1"/>
          <w:w w:val="100"/>
        </w:rPr>
        <w:t>%</w:t>
      </w:r>
      <w:r>
        <w:rPr>
          <w:spacing w:val="-3"/>
          <w:w w:val="100"/>
        </w:rPr>
        <w:t>且</w:t>
      </w:r>
      <w:r>
        <w:rPr>
          <w:w w:val="100"/>
        </w:rPr>
        <w:t>其</w:t>
      </w:r>
      <w:r>
        <w:rPr>
          <w:spacing w:val="-3"/>
          <w:w w:val="100"/>
        </w:rPr>
        <w:t>他市</w:t>
      </w:r>
      <w:r>
        <w:rPr>
          <w:w w:val="100"/>
        </w:rPr>
        <w:t>场变</w:t>
      </w:r>
      <w:r>
        <w:rPr>
          <w:spacing w:val="-3"/>
          <w:w w:val="100"/>
        </w:rPr>
        <w:t>量</w:t>
      </w:r>
      <w:r>
        <w:rPr>
          <w:w w:val="100"/>
        </w:rPr>
        <w:t>保</w:t>
      </w:r>
      <w:r>
        <w:rPr>
          <w:spacing w:val="-3"/>
          <w:w w:val="100"/>
        </w:rPr>
        <w:t>持</w:t>
      </w:r>
      <w:r>
        <w:rPr>
          <w:w w:val="100"/>
        </w:rPr>
        <w:t>不</w:t>
      </w:r>
      <w:r>
        <w:rPr>
          <w:spacing w:val="-3"/>
          <w:w w:val="100"/>
        </w:rPr>
        <w:t>变</w:t>
      </w:r>
      <w:r>
        <w:rPr>
          <w:w w:val="100"/>
        </w:rPr>
        <w:t>，</w:t>
      </w:r>
    </w:p>
    <w:p>
      <w:pPr>
        <w:pStyle w:val="BodyText"/>
        <w:spacing w:line="355" w:lineRule="auto" w:before="133"/>
        <w:ind w:right="0"/>
        <w:jc w:val="left"/>
      </w:pPr>
      <w:r>
        <w:rPr>
          <w:spacing w:val="-2"/>
          <w:w w:val="100"/>
        </w:rPr>
        <w:t>本公司净利润增加</w:t>
      </w:r>
      <w:r>
        <w:rPr>
          <w:spacing w:val="-64"/>
          <w:w w:val="100"/>
        </w:rPr>
        <w:t> </w:t>
      </w:r>
      <w:r>
        <w:rPr>
          <w:rFonts w:ascii="宋体" w:hAnsi="宋体" w:cs="宋体" w:eastAsia="宋体" w:hint="default"/>
          <w:spacing w:val="-1"/>
          <w:w w:val="100"/>
        </w:rPr>
        <w:t>5,883.85</w:t>
      </w:r>
      <w:r>
        <w:rPr>
          <w:rFonts w:ascii="宋体" w:hAnsi="宋体" w:cs="宋体" w:eastAsia="宋体" w:hint="default"/>
          <w:spacing w:val="-64"/>
          <w:w w:val="100"/>
        </w:rPr>
        <w:t> </w:t>
      </w:r>
      <w:r>
        <w:rPr>
          <w:spacing w:val="-11"/>
          <w:w w:val="100"/>
        </w:rPr>
        <w:t>万元，其他综合收益增加</w:t>
      </w:r>
      <w:r>
        <w:rPr>
          <w:spacing w:val="-67"/>
          <w:w w:val="100"/>
        </w:rPr>
        <w:t> </w:t>
      </w:r>
      <w:r>
        <w:rPr>
          <w:rFonts w:ascii="宋体" w:hAnsi="宋体" w:cs="宋体" w:eastAsia="宋体" w:hint="default"/>
          <w:spacing w:val="-1"/>
          <w:w w:val="100"/>
        </w:rPr>
        <w:t>112,565.73</w:t>
      </w:r>
      <w:r>
        <w:rPr>
          <w:rFonts w:ascii="宋体" w:hAnsi="宋体" w:cs="宋体" w:eastAsia="宋体" w:hint="default"/>
          <w:spacing w:val="-68"/>
          <w:w w:val="100"/>
        </w:rPr>
        <w:t> </w:t>
      </w:r>
      <w:r>
        <w:rPr>
          <w:spacing w:val="-15"/>
          <w:w w:val="100"/>
        </w:rPr>
        <w:t>万元，净资产增加</w:t>
      </w:r>
      <w:r>
        <w:rPr>
          <w:spacing w:val="-64"/>
          <w:w w:val="100"/>
        </w:rPr>
        <w:t> </w:t>
      </w:r>
      <w:r>
        <w:rPr>
          <w:rFonts w:ascii="宋体" w:hAnsi="宋体" w:cs="宋体" w:eastAsia="宋体" w:hint="default"/>
          <w:spacing w:val="-1"/>
          <w:w w:val="100"/>
        </w:rPr>
        <w:t>118,449.58</w:t>
      </w:r>
      <w:r>
        <w:rPr>
          <w:rFonts w:ascii="宋体" w:hAnsi="宋体" w:cs="宋体" w:eastAsia="宋体" w:hint="default"/>
          <w:spacing w:val="-68"/>
          <w:w w:val="100"/>
        </w:rPr>
        <w:t> </w:t>
      </w:r>
      <w:r>
        <w:rPr>
          <w:w w:val="100"/>
        </w:rPr>
        <w:t>万元。</w:t>
      </w:r>
      <w:r>
        <w:rPr>
          <w:spacing w:val="-104"/>
          <w:w w:val="100"/>
        </w:rPr>
        <w:t> </w:t>
      </w:r>
      <w:r>
        <w:rPr/>
        <w:t>若本公司持有权益性金融工具的公允价值下降</w:t>
      </w:r>
      <w:r>
        <w:rPr>
          <w:spacing w:val="-54"/>
        </w:rPr>
        <w:t> </w:t>
      </w:r>
      <w:r>
        <w:rPr>
          <w:rFonts w:ascii="宋体" w:hAnsi="宋体" w:cs="宋体" w:eastAsia="宋体" w:hint="default"/>
        </w:rPr>
        <w:t>10%</w:t>
      </w:r>
      <w:r>
        <w:rPr/>
        <w:t>且其他市场变量保持不变，本公司净利润减少</w:t>
      </w:r>
      <w:r>
        <w:rPr>
          <w:w w:val="100"/>
        </w:rPr>
        <w:t> </w:t>
      </w:r>
      <w:r>
        <w:rPr>
          <w:rFonts w:ascii="宋体" w:hAnsi="宋体" w:cs="宋体" w:eastAsia="宋体" w:hint="default"/>
        </w:rPr>
        <w:t>5,883.85</w:t>
      </w:r>
      <w:r>
        <w:rPr>
          <w:rFonts w:ascii="宋体" w:hAnsi="宋体" w:cs="宋体" w:eastAsia="宋体" w:hint="default"/>
          <w:spacing w:val="-56"/>
        </w:rPr>
        <w:t> </w:t>
      </w:r>
      <w:r>
        <w:rPr/>
        <w:t>万元，其他综合收益减少</w:t>
      </w:r>
      <w:r>
        <w:rPr>
          <w:spacing w:val="-53"/>
        </w:rPr>
        <w:t> </w:t>
      </w:r>
      <w:r>
        <w:rPr>
          <w:rFonts w:ascii="宋体" w:hAnsi="宋体" w:cs="宋体" w:eastAsia="宋体" w:hint="default"/>
        </w:rPr>
        <w:t>112,565.73</w:t>
      </w:r>
      <w:r>
        <w:rPr>
          <w:rFonts w:ascii="宋体" w:hAnsi="宋体" w:cs="宋体" w:eastAsia="宋体" w:hint="default"/>
          <w:spacing w:val="-54"/>
        </w:rPr>
        <w:t> </w:t>
      </w:r>
      <w:r>
        <w:rPr/>
        <w:t>万元，净资产减少</w:t>
      </w:r>
      <w:r>
        <w:rPr>
          <w:spacing w:val="-54"/>
        </w:rPr>
        <w:t> </w:t>
      </w:r>
      <w:r>
        <w:rPr>
          <w:rFonts w:ascii="宋体" w:hAnsi="宋体" w:cs="宋体" w:eastAsia="宋体" w:hint="default"/>
        </w:rPr>
        <w:t>118,449.58</w:t>
      </w:r>
      <w:r>
        <w:rPr>
          <w:rFonts w:ascii="宋体" w:hAnsi="宋体" w:cs="宋体" w:eastAsia="宋体" w:hint="default"/>
          <w:spacing w:val="-56"/>
        </w:rPr>
        <w:t> </w:t>
      </w:r>
      <w:r>
        <w:rPr/>
        <w:t>万元。</w:t>
      </w:r>
    </w:p>
    <w:p>
      <w:pPr>
        <w:spacing w:line="240" w:lineRule="auto" w:before="0"/>
        <w:rPr>
          <w:rFonts w:ascii="宋体" w:hAnsi="宋体" w:cs="宋体" w:eastAsia="宋体" w:hint="default"/>
          <w:sz w:val="20"/>
          <w:szCs w:val="20"/>
        </w:rPr>
      </w:pPr>
    </w:p>
    <w:p>
      <w:pPr>
        <w:pStyle w:val="Heading5"/>
        <w:spacing w:line="290" w:lineRule="auto" w:before="142"/>
        <w:ind w:right="7272"/>
        <w:jc w:val="both"/>
        <w:rPr>
          <w:b w:val="0"/>
          <w:bCs w:val="0"/>
        </w:rPr>
      </w:pPr>
      <w:r>
        <w:rPr/>
        <w:t>十八、</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7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7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5"/>
        <w:tabs>
          <w:tab w:pos="781" w:val="left" w:leader="none"/>
        </w:tabs>
        <w:spacing w:line="240" w:lineRule="auto" w:before="56"/>
        <w:ind w:right="0"/>
        <w:jc w:val="left"/>
        <w:rPr>
          <w:b w:val="0"/>
          <w:bCs w:val="0"/>
        </w:rPr>
      </w:pPr>
      <w:r>
        <w:rPr>
          <w:rFonts w:ascii="宋体" w:hAnsi="宋体" w:cs="宋体" w:eastAsia="宋体" w:hint="default"/>
          <w:w w:val="95"/>
        </w:rPr>
        <w:t>(1).</w:t>
        <w:tab/>
      </w:r>
      <w:r>
        <w:rPr/>
        <w:t>非货币性资产交换</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781" w:val="left" w:leader="none"/>
        </w:tabs>
        <w:spacing w:line="240" w:lineRule="auto"/>
        <w:ind w:right="0"/>
        <w:jc w:val="left"/>
        <w:rPr>
          <w:b w:val="0"/>
          <w:bCs w:val="0"/>
        </w:rPr>
      </w:pPr>
      <w:r>
        <w:rPr>
          <w:rFonts w:ascii="宋体" w:hAnsi="宋体" w:cs="宋体" w:eastAsia="宋体" w:hint="default"/>
          <w:w w:val="95"/>
        </w:rPr>
        <w:t>(2).</w:t>
        <w:tab/>
      </w:r>
      <w:r>
        <w:rPr/>
        <w:t>其他资产置换</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本公司依据国家企业年金制度的相关政策建立了《财通证券股份有限公司企业年金方案》（以下</w:t>
      </w:r>
    </w:p>
    <w:p>
      <w:pPr>
        <w:pStyle w:val="BodyText"/>
        <w:spacing w:line="357" w:lineRule="auto" w:before="108"/>
        <w:ind w:right="0"/>
        <w:jc w:val="left"/>
      </w:pPr>
      <w:r>
        <w:rPr>
          <w:spacing w:val="-2"/>
        </w:rPr>
        <w:t>简称“年金方案”），本公司按照上一年度工资总额的一定比例计提企业年金，并为符合年金方案条</w:t>
      </w:r>
      <w:r>
        <w:rPr>
          <w:spacing w:val="-21"/>
        </w:rPr>
        <w:t> </w:t>
      </w:r>
      <w:r>
        <w:rPr>
          <w:spacing w:val="-21"/>
        </w:rPr>
      </w:r>
      <w:r>
        <w:rPr/>
        <w:t>件的职工缴纳企业年金。</w:t>
      </w:r>
    </w:p>
    <w:p>
      <w:pPr>
        <w:pStyle w:val="BodyText"/>
        <w:spacing w:line="355" w:lineRule="auto" w:before="31"/>
        <w:ind w:right="137" w:firstLine="419"/>
        <w:jc w:val="both"/>
      </w:pPr>
      <w:r>
        <w:rPr>
          <w:spacing w:val="-2"/>
        </w:rPr>
        <w:t>根据浙江省人力资源和社会保障厅《关于财通证券有限责任公司年金计划确认函》（浙江省人力</w:t>
      </w:r>
      <w:r>
        <w:rPr>
          <w:w w:val="100"/>
        </w:rPr>
        <w:t> </w:t>
      </w:r>
      <w:r>
        <w:rPr/>
        <w:t>资源和社会保障厅（年金基金）函</w:t>
      </w:r>
      <w:r>
        <w:rPr>
          <w:rFonts w:ascii="宋体" w:hAnsi="宋体" w:cs="宋体" w:eastAsia="宋体" w:hint="default"/>
        </w:rPr>
        <w:t>[2011]041</w:t>
      </w:r>
      <w:r>
        <w:rPr>
          <w:rFonts w:ascii="宋体" w:hAnsi="宋体" w:cs="宋体" w:eastAsia="宋体" w:hint="default"/>
          <w:spacing w:val="-55"/>
        </w:rPr>
        <w:t> </w:t>
      </w:r>
      <w:r>
        <w:rPr/>
        <w:t>号），本公司企业年金计划于</w:t>
      </w:r>
      <w:r>
        <w:rPr>
          <w:spacing w:val="-55"/>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日正式成</w:t>
      </w:r>
      <w:r>
        <w:rPr>
          <w:w w:val="100"/>
        </w:rPr>
        <w:t> </w:t>
      </w:r>
      <w:r>
        <w:rPr>
          <w:spacing w:val="-2"/>
        </w:rPr>
        <w:t>立。该年金计划的托管人及账户管理人为中国工商银行股份有限公司；投资管理人为泰康资产管理有</w:t>
      </w:r>
      <w:r>
        <w:rPr>
          <w:spacing w:val="-21"/>
        </w:rPr>
        <w:t> </w:t>
      </w:r>
      <w:r>
        <w:rPr>
          <w:spacing w:val="-21"/>
        </w:rPr>
      </w:r>
      <w:r>
        <w:rPr/>
        <w:t>限责任公司；受托管理人为泰康养老保险股份有限公司。</w:t>
      </w:r>
    </w:p>
    <w:p>
      <w:pPr>
        <w:pStyle w:val="BodyText"/>
        <w:spacing w:line="355" w:lineRule="auto" w:before="34"/>
        <w:ind w:right="121" w:firstLine="419"/>
        <w:jc w:val="both"/>
      </w:pPr>
      <w:r>
        <w:rPr>
          <w:spacing w:val="-6"/>
          <w:w w:val="100"/>
        </w:rPr>
        <w:t>根据受托管理人与投资管理人签订的《财通证券股份有限公司企业年金基金投资管理合同》规定，</w:t>
      </w:r>
      <w:r>
        <w:rPr>
          <w:w w:val="100"/>
        </w:rPr>
        <w:t> </w:t>
      </w:r>
      <w:r>
        <w:rPr/>
        <w:t>由投资管理人于合同存续期间内，负责企业年金基金的投资管理运作。</w:t>
      </w:r>
    </w:p>
    <w:p>
      <w:pPr>
        <w:spacing w:line="240" w:lineRule="auto" w:before="13"/>
        <w:rPr>
          <w:rFonts w:ascii="宋体" w:hAnsi="宋体" w:cs="宋体" w:eastAsia="宋体" w:hint="default"/>
          <w:sz w:val="27"/>
          <w:szCs w:val="27"/>
        </w:rPr>
      </w:pPr>
    </w:p>
    <w:p>
      <w:pPr>
        <w:pStyle w:val="Heading5"/>
        <w:spacing w:line="240" w:lineRule="auto"/>
        <w:ind w:right="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2" w:footer="1195" w:top="1120" w:bottom="1380" w:left="1660" w:right="720"/>
        </w:sectPr>
      </w:pPr>
    </w:p>
    <w:p>
      <w:pPr>
        <w:spacing w:line="240" w:lineRule="auto" w:before="1"/>
        <w:rPr>
          <w:rFonts w:ascii="宋体" w:hAnsi="宋体" w:cs="宋体" w:eastAsia="宋体" w:hint="default"/>
          <w:sz w:val="25"/>
          <w:szCs w:val="25"/>
        </w:rPr>
      </w:pPr>
    </w:p>
    <w:p>
      <w:pPr>
        <w:pStyle w:val="Heading5"/>
        <w:spacing w:line="240" w:lineRule="auto" w:before="36"/>
        <w:ind w:right="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5"/>
        <w:tabs>
          <w:tab w:pos="781" w:val="left" w:leader="none"/>
        </w:tabs>
        <w:spacing w:line="240" w:lineRule="auto" w:before="58"/>
        <w:ind w:right="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本公司以内部组织结构、管理要求、内部报告制度为依据确定经营分部，本公司的经营分部是指</w:t>
      </w:r>
    </w:p>
    <w:p>
      <w:pPr>
        <w:pStyle w:val="BodyText"/>
        <w:spacing w:line="240" w:lineRule="auto" w:before="133"/>
        <w:ind w:right="0"/>
        <w:jc w:val="left"/>
      </w:pPr>
      <w:r>
        <w:rPr/>
        <w:t>同时满足下列条件的组成部分：</w:t>
      </w:r>
    </w:p>
    <w:p>
      <w:pPr>
        <w:pStyle w:val="BodyText"/>
        <w:spacing w:line="240" w:lineRule="auto" w:before="133"/>
        <w:ind w:left="558" w:right="0"/>
        <w:jc w:val="left"/>
      </w:pPr>
      <w:r>
        <w:rPr>
          <w:rFonts w:ascii="宋体" w:hAnsi="宋体" w:cs="宋体" w:eastAsia="宋体" w:hint="default"/>
        </w:rPr>
        <w:t>1</w:t>
      </w:r>
      <w:r>
        <w:rPr/>
        <w:t>）</w:t>
      </w:r>
      <w:r>
        <w:rPr>
          <w:rFonts w:ascii="宋体" w:hAnsi="宋体" w:cs="宋体" w:eastAsia="宋体" w:hint="default"/>
        </w:rPr>
        <w:t>.</w:t>
      </w:r>
      <w:r>
        <w:rPr>
          <w:rFonts w:ascii="宋体" w:hAnsi="宋体" w:cs="宋体" w:eastAsia="宋体" w:hint="default"/>
          <w:spacing w:val="-2"/>
        </w:rPr>
        <w:t> </w:t>
      </w:r>
      <w:r>
        <w:rPr/>
        <w:t>该组成部分能够在日常活动中产生收入、发生费用；</w:t>
      </w:r>
    </w:p>
    <w:p>
      <w:pPr>
        <w:pStyle w:val="BodyText"/>
        <w:spacing w:line="240" w:lineRule="auto" w:before="133"/>
        <w:ind w:left="558" w:right="0"/>
        <w:jc w:val="left"/>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5"/>
        </w:rPr>
        <w:t> </w:t>
      </w:r>
      <w:r>
        <w:rPr/>
        <w:t>管理层能够定期评价该组成部分的经营成果，以决定向其配置资源、评价其业绩；</w:t>
      </w:r>
    </w:p>
    <w:p>
      <w:pPr>
        <w:pStyle w:val="BodyText"/>
        <w:spacing w:line="357" w:lineRule="auto" w:before="135"/>
        <w:ind w:left="558" w:right="0"/>
        <w:jc w:val="left"/>
      </w:pPr>
      <w:r>
        <w:rPr>
          <w:rFonts w:ascii="宋体" w:hAnsi="宋体" w:cs="宋体" w:eastAsia="宋体" w:hint="default"/>
        </w:rPr>
        <w:t>3</w:t>
      </w:r>
      <w:r>
        <w:rPr/>
        <w:t>）</w:t>
      </w:r>
      <w:r>
        <w:rPr>
          <w:rFonts w:ascii="宋体" w:hAnsi="宋体" w:cs="宋体" w:eastAsia="宋体" w:hint="default"/>
        </w:rPr>
        <w:t>.</w:t>
      </w:r>
      <w:r>
        <w:rPr>
          <w:rFonts w:ascii="宋体" w:hAnsi="宋体" w:cs="宋体" w:eastAsia="宋体" w:hint="default"/>
          <w:spacing w:val="-3"/>
        </w:rPr>
        <w:t> </w:t>
      </w:r>
      <w:r>
        <w:rPr/>
        <w:t>能够取得该组成部分的财务状况、经营成果和现金流量等有关会计信息。</w:t>
      </w:r>
      <w:r>
        <w:rPr>
          <w:w w:val="100"/>
        </w:rPr>
        <w:t> </w:t>
      </w:r>
      <w:r>
        <w:rPr>
          <w:spacing w:val="-2"/>
        </w:rPr>
        <w:t>当存在相似经济特征的两个或多个经营分部，同时满足下列条件的，可以合并为一个经营分部：</w:t>
      </w:r>
      <w:r>
        <w:rPr>
          <w:spacing w:val="-25"/>
        </w:rPr>
        <w:t> </w:t>
      </w:r>
      <w:r>
        <w:rPr>
          <w:spacing w:val="-25"/>
        </w:rPr>
      </w:r>
      <w:r>
        <w:rPr>
          <w:rFonts w:ascii="宋体" w:hAnsi="宋体" w:cs="宋体" w:eastAsia="宋体" w:hint="default"/>
        </w:rPr>
        <w:t>1</w:t>
      </w:r>
      <w:r>
        <w:rPr/>
        <w:t>）</w:t>
      </w:r>
      <w:r>
        <w:rPr>
          <w:rFonts w:ascii="宋体" w:hAnsi="宋体" w:cs="宋体" w:eastAsia="宋体" w:hint="default"/>
        </w:rPr>
        <w:t>.</w:t>
      </w:r>
      <w:r>
        <w:rPr/>
        <w:t>各单项产品或劳务的性质相同或相似；</w:t>
      </w:r>
    </w:p>
    <w:p>
      <w:pPr>
        <w:pStyle w:val="BodyText"/>
        <w:spacing w:line="240" w:lineRule="auto" w:before="30"/>
        <w:ind w:left="558" w:right="0"/>
        <w:jc w:val="left"/>
      </w:pPr>
      <w:r>
        <w:rPr>
          <w:rFonts w:ascii="宋体" w:hAnsi="宋体" w:cs="宋体" w:eastAsia="宋体" w:hint="default"/>
        </w:rPr>
        <w:t>2</w:t>
      </w:r>
      <w:r>
        <w:rPr/>
        <w:t>）</w:t>
      </w:r>
      <w:r>
        <w:rPr>
          <w:rFonts w:ascii="宋体" w:hAnsi="宋体" w:cs="宋体" w:eastAsia="宋体" w:hint="default"/>
        </w:rPr>
        <w:t>.</w:t>
      </w:r>
      <w:r>
        <w:rPr>
          <w:rFonts w:ascii="宋体" w:hAnsi="宋体" w:cs="宋体" w:eastAsia="宋体" w:hint="default"/>
          <w:spacing w:val="-2"/>
        </w:rPr>
        <w:t> </w:t>
      </w:r>
      <w:r>
        <w:rPr/>
        <w:t>生产过程的性质相同或相似；</w:t>
      </w:r>
    </w:p>
    <w:p>
      <w:pPr>
        <w:pStyle w:val="BodyText"/>
        <w:spacing w:line="240" w:lineRule="auto" w:before="135"/>
        <w:ind w:left="558" w:right="0"/>
        <w:jc w:val="left"/>
      </w:pPr>
      <w:r>
        <w:rPr>
          <w:rFonts w:ascii="宋体" w:hAnsi="宋体" w:cs="宋体" w:eastAsia="宋体" w:hint="default"/>
        </w:rPr>
        <w:t>3</w:t>
      </w:r>
      <w:r>
        <w:rPr/>
        <w:t>）</w:t>
      </w:r>
      <w:r>
        <w:rPr>
          <w:rFonts w:ascii="宋体" w:hAnsi="宋体" w:cs="宋体" w:eastAsia="宋体" w:hint="default"/>
        </w:rPr>
        <w:t>.</w:t>
      </w:r>
      <w:r>
        <w:rPr/>
        <w:t>产品或劳务的客户类型相同或相似；</w:t>
      </w:r>
    </w:p>
    <w:p>
      <w:pPr>
        <w:pStyle w:val="BodyText"/>
        <w:spacing w:line="240" w:lineRule="auto" w:before="133"/>
        <w:ind w:left="558" w:right="0"/>
        <w:jc w:val="left"/>
      </w:pPr>
      <w:r>
        <w:rPr>
          <w:rFonts w:ascii="宋体" w:hAnsi="宋体" w:cs="宋体" w:eastAsia="宋体" w:hint="default"/>
        </w:rPr>
        <w:t>4</w:t>
      </w:r>
      <w:r>
        <w:rPr/>
        <w:t>）</w:t>
      </w:r>
      <w:r>
        <w:rPr>
          <w:rFonts w:ascii="宋体" w:hAnsi="宋体" w:cs="宋体" w:eastAsia="宋体" w:hint="default"/>
        </w:rPr>
        <w:t>.</w:t>
      </w:r>
      <w:r>
        <w:rPr/>
        <w:t>销售产品或提供劳务的方式相同或相似；</w:t>
      </w:r>
    </w:p>
    <w:p>
      <w:pPr>
        <w:pStyle w:val="BodyText"/>
        <w:spacing w:line="355" w:lineRule="auto" w:before="133"/>
        <w:ind w:left="558" w:right="0"/>
        <w:jc w:val="left"/>
      </w:pPr>
      <w:r>
        <w:rPr>
          <w:rFonts w:ascii="宋体" w:hAnsi="宋体" w:cs="宋体" w:eastAsia="宋体" w:hint="default"/>
        </w:rPr>
        <w:t>5</w:t>
      </w:r>
      <w:r>
        <w:rPr/>
        <w:t>）</w:t>
      </w:r>
      <w:r>
        <w:rPr>
          <w:rFonts w:ascii="宋体" w:hAnsi="宋体" w:cs="宋体" w:eastAsia="宋体" w:hint="default"/>
        </w:rPr>
        <w:t>.</w:t>
      </w:r>
      <w:r>
        <w:rPr>
          <w:rFonts w:ascii="宋体" w:hAnsi="宋体" w:cs="宋体" w:eastAsia="宋体" w:hint="default"/>
          <w:spacing w:val="-3"/>
        </w:rPr>
        <w:t> </w:t>
      </w:r>
      <w:r>
        <w:rPr/>
        <w:t>生产产品或提供劳务受法律、行政法规的影响相同或相似。</w:t>
      </w:r>
      <w:r>
        <w:rPr>
          <w:w w:val="100"/>
        </w:rPr>
        <w:t> </w:t>
      </w:r>
      <w:r>
        <w:rPr>
          <w:spacing w:val="-2"/>
        </w:rPr>
        <w:t>公司以内部组织结构、管理要求等为依据确定经营分部，并以经营分部为基础确定报告分部。分</w:t>
      </w:r>
    </w:p>
    <w:p>
      <w:pPr>
        <w:pStyle w:val="BodyText"/>
        <w:spacing w:line="357" w:lineRule="auto" w:before="32"/>
        <w:ind w:right="0"/>
        <w:jc w:val="left"/>
      </w:pPr>
      <w:r>
        <w:rPr>
          <w:spacing w:val="-2"/>
        </w:rPr>
        <w:t>别对证券经纪业务、自营证券业务、投资银行业务、受托资产管理业务、证券信用业务、境外业务、</w:t>
      </w:r>
      <w:r>
        <w:rPr>
          <w:spacing w:val="-21"/>
        </w:rPr>
        <w:t> </w:t>
      </w:r>
      <w:r>
        <w:rPr>
          <w:spacing w:val="-21"/>
        </w:rPr>
      </w:r>
      <w:r>
        <w:rPr/>
        <w:t>私募股权投资管理、股权投资、总部后台及其他等的经营业绩进行考核。</w:t>
      </w:r>
    </w:p>
    <w:p>
      <w:pPr>
        <w:spacing w:after="0" w:line="357" w:lineRule="auto"/>
        <w:jc w:val="left"/>
        <w:sectPr>
          <w:pgSz w:w="11910" w:h="16840"/>
          <w:pgMar w:header="882" w:footer="1195" w:top="1120" w:bottom="1380" w:left="166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7"/>
          <w:footerReference w:type="default" r:id="rId78"/>
          <w:pgSz w:w="16840" w:h="11910" w:orient="landscape"/>
          <w:pgMar w:header="882" w:footer="1195" w:top="1120" w:bottom="1380" w:left="760" w:right="820"/>
          <w:pgNumType w:start="208"/>
        </w:sectPr>
      </w:pPr>
    </w:p>
    <w:p>
      <w:pPr>
        <w:spacing w:line="240" w:lineRule="auto" w:before="1"/>
        <w:rPr>
          <w:rFonts w:ascii="宋体" w:hAnsi="宋体" w:cs="宋体" w:eastAsia="宋体" w:hint="default"/>
          <w:sz w:val="14"/>
          <w:szCs w:val="14"/>
        </w:rPr>
      </w:pPr>
    </w:p>
    <w:p>
      <w:pPr>
        <w:pStyle w:val="Heading5"/>
        <w:tabs>
          <w:tab w:pos="1323" w:val="left" w:leader="none"/>
        </w:tabs>
        <w:spacing w:line="240" w:lineRule="auto"/>
        <w:ind w:left="680" w:right="-16"/>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8"/>
        <w:ind w:left="680"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731" w:val="left" w:leader="none"/>
        </w:tabs>
        <w:spacing w:line="240" w:lineRule="auto"/>
        <w:ind w:left="680" w:right="0"/>
        <w:jc w:val="left"/>
      </w:pPr>
      <w:r>
        <w:rPr>
          <w:spacing w:val="-1"/>
        </w:rPr>
        <w:t>单位：元</w:t>
        <w:tab/>
        <w:t>币种：人民币</w:t>
      </w:r>
    </w:p>
    <w:p>
      <w:pPr>
        <w:spacing w:after="0" w:line="240" w:lineRule="auto"/>
        <w:jc w:val="left"/>
        <w:sectPr>
          <w:type w:val="continuous"/>
          <w:pgSz w:w="16840" w:h="11910" w:orient="landscape"/>
          <w:pgMar w:top="1060" w:bottom="1380" w:left="760" w:right="820"/>
          <w:cols w:num="2" w:equalWidth="0">
            <w:col w:w="3225" w:space="8338"/>
            <w:col w:w="369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13"/>
        <w:gridCol w:w="1282"/>
        <w:gridCol w:w="1258"/>
        <w:gridCol w:w="1129"/>
        <w:gridCol w:w="1255"/>
        <w:gridCol w:w="1322"/>
        <w:gridCol w:w="1256"/>
        <w:gridCol w:w="1322"/>
        <w:gridCol w:w="1249"/>
        <w:gridCol w:w="1277"/>
        <w:gridCol w:w="1406"/>
        <w:gridCol w:w="1560"/>
      </w:tblGrid>
      <w:tr>
        <w:trPr>
          <w:trHeight w:val="3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0" w:right="0"/>
              <w:jc w:val="left"/>
              <w:rPr>
                <w:rFonts w:ascii="宋体" w:hAnsi="宋体" w:cs="宋体" w:eastAsia="宋体" w:hint="default"/>
                <w:sz w:val="13"/>
                <w:szCs w:val="13"/>
              </w:rPr>
            </w:pPr>
            <w:r>
              <w:rPr>
                <w:rFonts w:ascii="宋体" w:hAnsi="宋体" w:cs="宋体" w:eastAsia="宋体" w:hint="default"/>
                <w:sz w:val="13"/>
                <w:szCs w:val="13"/>
              </w:rPr>
              <w:t>项目</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5" w:right="0"/>
              <w:jc w:val="left"/>
              <w:rPr>
                <w:rFonts w:ascii="宋体" w:hAnsi="宋体" w:cs="宋体" w:eastAsia="宋体" w:hint="default"/>
                <w:sz w:val="13"/>
                <w:szCs w:val="13"/>
              </w:rPr>
            </w:pPr>
            <w:r>
              <w:rPr>
                <w:rFonts w:ascii="宋体" w:hAnsi="宋体" w:cs="宋体" w:eastAsia="宋体" w:hint="default"/>
                <w:sz w:val="13"/>
                <w:szCs w:val="13"/>
              </w:rPr>
              <w:t>证券经纪业务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5" w:right="0"/>
              <w:jc w:val="left"/>
              <w:rPr>
                <w:rFonts w:ascii="宋体" w:hAnsi="宋体" w:cs="宋体" w:eastAsia="宋体" w:hint="default"/>
                <w:sz w:val="13"/>
                <w:szCs w:val="13"/>
              </w:rPr>
            </w:pPr>
            <w:r>
              <w:rPr>
                <w:rFonts w:ascii="宋体" w:hAnsi="宋体" w:cs="宋体" w:eastAsia="宋体" w:hint="default"/>
                <w:sz w:val="13"/>
                <w:szCs w:val="13"/>
              </w:rPr>
              <w:t>自营投资业务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投资银行业务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hAnsi="宋体" w:cs="宋体" w:eastAsia="宋体" w:hint="default"/>
                <w:w w:val="95"/>
                <w:sz w:val="13"/>
                <w:szCs w:val="13"/>
              </w:rPr>
              <w:t>受托资产管理业务</w:t>
            </w:r>
            <w:r>
              <w:rPr>
                <w:rFonts w:ascii="宋体" w:hAnsi="宋体" w:cs="宋体" w:eastAsia="宋体" w:hint="default"/>
                <w:sz w:val="13"/>
                <w:szCs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6" w:right="0"/>
              <w:jc w:val="left"/>
              <w:rPr>
                <w:rFonts w:ascii="宋体" w:hAnsi="宋体" w:cs="宋体" w:eastAsia="宋体" w:hint="default"/>
                <w:sz w:val="13"/>
                <w:szCs w:val="13"/>
              </w:rPr>
            </w:pPr>
            <w:r>
              <w:rPr>
                <w:rFonts w:ascii="宋体" w:hAnsi="宋体" w:cs="宋体" w:eastAsia="宋体" w:hint="default"/>
                <w:sz w:val="13"/>
                <w:szCs w:val="13"/>
              </w:rPr>
              <w:t>证券信用业务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境外业务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01" w:right="0"/>
              <w:jc w:val="left"/>
              <w:rPr>
                <w:rFonts w:ascii="宋体" w:hAnsi="宋体" w:cs="宋体" w:eastAsia="宋体" w:hint="default"/>
                <w:sz w:val="13"/>
                <w:szCs w:val="13"/>
              </w:rPr>
            </w:pPr>
            <w:r>
              <w:rPr>
                <w:rFonts w:ascii="宋体" w:hAnsi="宋体" w:cs="宋体" w:eastAsia="宋体" w:hint="default"/>
                <w:sz w:val="13"/>
                <w:szCs w:val="13"/>
              </w:rPr>
              <w:t>总部后台及其他</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3"/>
              <w:jc w:val="center"/>
              <w:rPr>
                <w:rFonts w:ascii="宋体" w:hAnsi="宋体" w:cs="宋体" w:eastAsia="宋体" w:hint="default"/>
                <w:sz w:val="13"/>
                <w:szCs w:val="13"/>
              </w:rPr>
            </w:pPr>
            <w:r>
              <w:rPr>
                <w:rFonts w:ascii="宋体" w:hAnsi="宋体" w:cs="宋体" w:eastAsia="宋体" w:hint="default"/>
                <w:sz w:val="13"/>
                <w:szCs w:val="13"/>
              </w:rPr>
              <w:t>私募股权管理业</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w w:val="99"/>
                <w:sz w:val="13"/>
                <w:szCs w:val="13"/>
              </w:rPr>
              <w:t>务</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2" w:right="0"/>
              <w:jc w:val="left"/>
              <w:rPr>
                <w:rFonts w:ascii="宋体" w:hAnsi="宋体" w:cs="宋体" w:eastAsia="宋体" w:hint="default"/>
                <w:sz w:val="13"/>
                <w:szCs w:val="13"/>
              </w:rPr>
            </w:pPr>
            <w:r>
              <w:rPr>
                <w:rFonts w:ascii="宋体" w:hAnsi="宋体" w:cs="宋体" w:eastAsia="宋体" w:hint="default"/>
                <w:sz w:val="13"/>
                <w:szCs w:val="13"/>
              </w:rPr>
              <w:t>股权投资业务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2"/>
              <w:jc w:val="center"/>
              <w:rPr>
                <w:rFonts w:ascii="宋体" w:hAnsi="宋体" w:cs="宋体" w:eastAsia="宋体" w:hint="default"/>
                <w:sz w:val="13"/>
                <w:szCs w:val="13"/>
              </w:rPr>
            </w:pPr>
            <w:r>
              <w:rPr>
                <w:rFonts w:ascii="宋体" w:hAnsi="宋体" w:cs="宋体" w:eastAsia="宋体" w:hint="default"/>
                <w:sz w:val="13"/>
                <w:szCs w:val="13"/>
              </w:rPr>
              <w:t>分部</w:t>
            </w:r>
          </w:p>
          <w:p>
            <w:pPr>
              <w:pStyle w:val="TableParagraph"/>
              <w:spacing w:line="169" w:lineRule="exact"/>
              <w:ind w:right="2"/>
              <w:jc w:val="center"/>
              <w:rPr>
                <w:rFonts w:ascii="宋体" w:hAnsi="宋体" w:cs="宋体" w:eastAsia="宋体" w:hint="default"/>
                <w:sz w:val="13"/>
                <w:szCs w:val="13"/>
              </w:rPr>
            </w:pPr>
            <w:r>
              <w:rPr>
                <w:rFonts w:ascii="宋体" w:hAnsi="宋体" w:cs="宋体" w:eastAsia="宋体" w:hint="default"/>
                <w:sz w:val="13"/>
                <w:szCs w:val="13"/>
              </w:rPr>
              <w:t>间抵销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180"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本期</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营业</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944,057,424.23</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-360,863,776.76</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183,998,609.34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795,788,722.92</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232,819,844.56</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120,487,646.66</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1,179,359,812.50</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72,171,370.53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64,718,941.88</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64,540,225.54</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3,167,998,370.32</w:t>
            </w:r>
            <w:r>
              <w:rPr>
                <w:rFonts w:ascii="宋体"/>
                <w:sz w:val="13"/>
              </w:rPr>
            </w:r>
          </w:p>
        </w:tc>
      </w:tr>
      <w:tr>
        <w:trPr>
          <w:trHeight w:val="68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both"/>
              <w:rPr>
                <w:rFonts w:ascii="宋体" w:hAnsi="宋体" w:cs="宋体" w:eastAsia="宋体" w:hint="default"/>
                <w:sz w:val="13"/>
                <w:szCs w:val="13"/>
              </w:rPr>
            </w:pPr>
            <w:r>
              <w:rPr>
                <w:rFonts w:ascii="宋体" w:hAnsi="宋体" w:cs="宋体" w:eastAsia="宋体" w:hint="default"/>
                <w:spacing w:val="-7"/>
                <w:sz w:val="13"/>
                <w:szCs w:val="13"/>
              </w:rPr>
              <w:t>其中：手</w:t>
            </w:r>
          </w:p>
          <w:p>
            <w:pPr>
              <w:pStyle w:val="TableParagraph"/>
              <w:spacing w:line="168" w:lineRule="exact" w:before="16"/>
              <w:ind w:left="103" w:right="209"/>
              <w:jc w:val="both"/>
              <w:rPr>
                <w:rFonts w:ascii="宋体" w:hAnsi="宋体" w:cs="宋体" w:eastAsia="宋体" w:hint="default"/>
                <w:sz w:val="13"/>
                <w:szCs w:val="13"/>
              </w:rPr>
            </w:pPr>
            <w:r>
              <w:rPr>
                <w:rFonts w:ascii="宋体" w:hAnsi="宋体" w:cs="宋体" w:eastAsia="宋体" w:hint="default"/>
                <w:sz w:val="13"/>
                <w:szCs w:val="13"/>
              </w:rPr>
              <w:t>续费及</w:t>
            </w:r>
            <w:r>
              <w:rPr>
                <w:rFonts w:ascii="宋体" w:hAnsi="宋体" w:cs="宋体" w:eastAsia="宋体" w:hint="default"/>
                <w:w w:val="99"/>
                <w:sz w:val="13"/>
                <w:szCs w:val="13"/>
              </w:rPr>
              <w:t> </w:t>
            </w:r>
            <w:r>
              <w:rPr>
                <w:rFonts w:ascii="宋体" w:hAnsi="宋体" w:cs="宋体" w:eastAsia="宋体" w:hint="default"/>
                <w:sz w:val="13"/>
                <w:szCs w:val="13"/>
              </w:rPr>
              <w:t>佣金净</w:t>
            </w:r>
            <w:r>
              <w:rPr>
                <w:rFonts w:ascii="宋体" w:hAnsi="宋体" w:cs="宋体" w:eastAsia="宋体" w:hint="default"/>
                <w:w w:val="99"/>
                <w:sz w:val="13"/>
                <w:szCs w:val="13"/>
              </w:rPr>
              <w:t> </w:t>
            </w:r>
            <w:r>
              <w:rPr>
                <w:rFonts w:ascii="宋体" w:hAnsi="宋体" w:cs="宋体" w:eastAsia="宋体" w:hint="default"/>
                <w:sz w:val="13"/>
                <w:szCs w:val="13"/>
              </w:rPr>
              <w:t>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681,640,069.99</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254,716.97</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sz w:val="13"/>
              </w:rPr>
              <w:t>203,884,851.78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601,384,874.46</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42,171,294.18</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918,579.73</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23,849,817.17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63,691,168.94</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1,490,413,035.34</w:t>
            </w:r>
            <w:r>
              <w:rPr>
                <w:rFonts w:ascii="宋体"/>
                <w:sz w:val="13"/>
              </w:rPr>
            </w:r>
          </w:p>
        </w:tc>
      </w:tr>
      <w:tr>
        <w:trPr>
          <w:trHeight w:val="852"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sz w:val="13"/>
                <w:szCs w:val="13"/>
              </w:rPr>
              <w:t>投资收</w:t>
            </w:r>
          </w:p>
          <w:p>
            <w:pPr>
              <w:pStyle w:val="TableParagraph"/>
              <w:spacing w:line="237" w:lineRule="auto"/>
              <w:ind w:left="103" w:right="209"/>
              <w:jc w:val="both"/>
              <w:rPr>
                <w:rFonts w:ascii="宋体" w:hAnsi="宋体" w:cs="宋体" w:eastAsia="宋体" w:hint="default"/>
                <w:sz w:val="13"/>
                <w:szCs w:val="13"/>
              </w:rPr>
            </w:pPr>
            <w:r>
              <w:rPr>
                <w:rFonts w:ascii="宋体" w:hAnsi="宋体" w:cs="宋体" w:eastAsia="宋体" w:hint="default"/>
                <w:sz w:val="13"/>
                <w:szCs w:val="13"/>
              </w:rPr>
              <w:t>益及公</w:t>
            </w:r>
            <w:r>
              <w:rPr>
                <w:rFonts w:ascii="宋体" w:hAnsi="宋体" w:cs="宋体" w:eastAsia="宋体" w:hint="default"/>
                <w:w w:val="99"/>
                <w:sz w:val="13"/>
                <w:szCs w:val="13"/>
              </w:rPr>
              <w:t> </w:t>
            </w:r>
            <w:r>
              <w:rPr>
                <w:rFonts w:ascii="宋体" w:hAnsi="宋体" w:cs="宋体" w:eastAsia="宋体" w:hint="default"/>
                <w:sz w:val="13"/>
                <w:szCs w:val="13"/>
              </w:rPr>
              <w:t>允价值</w:t>
            </w:r>
            <w:r>
              <w:rPr>
                <w:rFonts w:ascii="宋体" w:hAnsi="宋体" w:cs="宋体" w:eastAsia="宋体" w:hint="default"/>
                <w:w w:val="99"/>
                <w:sz w:val="13"/>
                <w:szCs w:val="13"/>
              </w:rPr>
              <w:t> </w:t>
            </w:r>
            <w:r>
              <w:rPr>
                <w:rFonts w:ascii="宋体" w:hAnsi="宋体" w:cs="宋体" w:eastAsia="宋体" w:hint="default"/>
                <w:sz w:val="13"/>
                <w:szCs w:val="13"/>
              </w:rPr>
              <w:t>变动损</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51,143,894.61</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-38,609,109.12</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-6,497,121.48</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170,799,998.89</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-14,831,667.29</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20,683,111.93</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1,186,556,518.87</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64,857,176.11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64,074,492.61</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1,498,177,295.13</w:t>
            </w:r>
            <w:r>
              <w:rPr>
                <w:rFonts w:ascii="宋体"/>
                <w:sz w:val="13"/>
              </w:rPr>
            </w: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利息净</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197,793,105.89</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-322,509,384.61</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-13,389,120.96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2,570,732.49</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247,501,855.32</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57,724,581.49</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-18,748,438.35</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-17,378,197.07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166,775.73</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133,731,909.93</w:t>
            </w:r>
            <w:r>
              <w:rPr>
                <w:rFonts w:ascii="宋体"/>
                <w:sz w:val="13"/>
              </w:rPr>
            </w:r>
          </w:p>
        </w:tc>
      </w:tr>
      <w:tr>
        <w:trPr>
          <w:trHeight w:val="3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其他收</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入</w:t>
            </w:r>
            <w:r>
              <w:rPr>
                <w:rFonts w:ascii="宋体" w:hAnsi="宋体" w:cs="宋体" w:eastAsia="宋体" w:hint="default"/>
                <w:sz w:val="13"/>
                <w:szCs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13,480,353.74</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9"/>
                <w:sz w:val="13"/>
              </w:rPr>
              <w:t>-</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21,033,117.08</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149,656.53</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-91,340.94</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10,633,152.25</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842,574.32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477,673.54</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849,056.60</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45,676,129.92</w:t>
            </w:r>
            <w:r>
              <w:rPr>
                <w:rFonts w:ascii="宋体"/>
                <w:sz w:val="13"/>
              </w:rPr>
            </w: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营业</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支出</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623,870,476.70</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44,063,265.34</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238,846,181.57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594,394,009.75</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169,189,833.22</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82,355,722.85</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475,230,613.22</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20,528,293.01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23,525,899.69</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-10,624,027.60</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2,282,628,322.95</w:t>
            </w:r>
            <w:r>
              <w:rPr>
                <w:rFonts w:ascii="宋体"/>
                <w:sz w:val="13"/>
              </w:rPr>
            </w: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营业</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利润</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320,186,947.53</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-404,927,042.10</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-54,847,572.23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201,394,713.17</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63,630,011.34</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38,131,923.81</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704,129,199.28</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51,643,077.52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41,193,042.19</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75,164,253.14</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885,370,047.37</w:t>
            </w:r>
            <w:r>
              <w:rPr>
                <w:rFonts w:ascii="宋体"/>
                <w:sz w:val="13"/>
              </w:rPr>
            </w:r>
          </w:p>
        </w:tc>
      </w:tr>
      <w:tr>
        <w:trPr>
          <w:trHeight w:val="3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资产</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总额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8,816,873,516.42</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6,586,543,974.86</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298,744,635.37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9,072,028,459.04</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10,600,755,293.59</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1,426,102,017.81</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25,198,791,549.38</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783,699,722.10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2,668,417,375.09</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6,757,152,330.87</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58,694,804,212.79</w:t>
            </w:r>
            <w:r>
              <w:rPr>
                <w:rFonts w:ascii="宋体"/>
                <w:sz w:val="13"/>
              </w:rPr>
            </w: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负债</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总额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spacing w:val="-1"/>
                <w:sz w:val="13"/>
              </w:rPr>
              <w:t>8,816,873,516.42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6,586,587,203.43</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321,106,022.48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5,101,126,068.02</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10,615,036,178.05</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968,041,629.67</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6,599,239,793.64</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369,078,499.47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4,426,745.73</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362,891,510.40</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39,018,624,146.51</w:t>
            </w:r>
            <w:r>
              <w:rPr>
                <w:rFonts w:ascii="宋体"/>
                <w:sz w:val="13"/>
              </w:rPr>
            </w:r>
          </w:p>
        </w:tc>
      </w:tr>
      <w:tr>
        <w:trPr>
          <w:trHeight w:val="17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上期</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2"/>
                <w:sz w:val="13"/>
                <w:szCs w:val="13"/>
              </w:rPr>
              <w:t> </w:t>
            </w:r>
            <w:r>
              <w:rPr>
                <w:rFonts w:ascii="宋体" w:hAnsi="宋体" w:cs="宋体" w:eastAsia="宋体" w:hint="default"/>
                <w:sz w:val="13"/>
                <w:szCs w:val="13"/>
              </w:rPr>
              <w:t>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业收入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1,126,303,305.41</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43,015,789.76</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sz w:val="13"/>
              </w:rPr>
              <w:t>259,065,645.51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883,250,897.32</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334,340,281.62</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99,979,043.55</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1,293,590,074.85</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40,823,214.86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16,196,417.85</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79,697,905.99</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4,016,866,764.74</w:t>
            </w:r>
            <w:r>
              <w:rPr>
                <w:rFonts w:ascii="宋体"/>
                <w:sz w:val="13"/>
              </w:rPr>
            </w:r>
          </w:p>
        </w:tc>
      </w:tr>
      <w:tr>
        <w:trPr>
          <w:trHeight w:val="68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spacing w:val="-7"/>
                <w:sz w:val="13"/>
                <w:szCs w:val="13"/>
              </w:rPr>
              <w:t>其中：手</w:t>
            </w:r>
          </w:p>
          <w:p>
            <w:pPr>
              <w:pStyle w:val="TableParagraph"/>
              <w:spacing w:line="237" w:lineRule="auto"/>
              <w:ind w:left="103" w:right="209"/>
              <w:jc w:val="both"/>
              <w:rPr>
                <w:rFonts w:ascii="宋体" w:hAnsi="宋体" w:cs="宋体" w:eastAsia="宋体" w:hint="default"/>
                <w:sz w:val="13"/>
                <w:szCs w:val="13"/>
              </w:rPr>
            </w:pPr>
            <w:r>
              <w:rPr>
                <w:rFonts w:ascii="宋体" w:hAnsi="宋体" w:cs="宋体" w:eastAsia="宋体" w:hint="default"/>
                <w:sz w:val="13"/>
                <w:szCs w:val="13"/>
              </w:rPr>
              <w:t>续费及</w:t>
            </w:r>
            <w:r>
              <w:rPr>
                <w:rFonts w:ascii="宋体" w:hAnsi="宋体" w:cs="宋体" w:eastAsia="宋体" w:hint="default"/>
                <w:w w:val="99"/>
                <w:sz w:val="13"/>
                <w:szCs w:val="13"/>
              </w:rPr>
              <w:t> </w:t>
            </w:r>
            <w:r>
              <w:rPr>
                <w:rFonts w:ascii="宋体" w:hAnsi="宋体" w:cs="宋体" w:eastAsia="宋体" w:hint="default"/>
                <w:sz w:val="13"/>
                <w:szCs w:val="13"/>
              </w:rPr>
              <w:t>佣金净</w:t>
            </w:r>
            <w:r>
              <w:rPr>
                <w:rFonts w:ascii="宋体" w:hAnsi="宋体" w:cs="宋体" w:eastAsia="宋体" w:hint="default"/>
                <w:w w:val="99"/>
                <w:sz w:val="13"/>
                <w:szCs w:val="13"/>
              </w:rPr>
              <w:t> </w:t>
            </w:r>
            <w:r>
              <w:rPr>
                <w:rFonts w:ascii="宋体" w:hAnsi="宋体" w:cs="宋体" w:eastAsia="宋体" w:hint="default"/>
                <w:sz w:val="13"/>
                <w:szCs w:val="13"/>
              </w:rPr>
              <w:t>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910,065,726.14</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2,129,732.49</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239,521,708.45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655,261,427.13</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-147,059.10</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49,173,733.97</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1,435,029.85</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3,773,199.29</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78,848,849.39</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1,782,364,648.83</w:t>
            </w:r>
            <w:r>
              <w:rPr>
                <w:rFonts w:ascii="宋体"/>
                <w:sz w:val="13"/>
              </w:rPr>
            </w:r>
          </w:p>
        </w:tc>
      </w:tr>
      <w:tr>
        <w:trPr>
          <w:trHeight w:val="85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both"/>
              <w:rPr>
                <w:rFonts w:ascii="宋体" w:hAnsi="宋体" w:cs="宋体" w:eastAsia="宋体" w:hint="default"/>
                <w:sz w:val="13"/>
                <w:szCs w:val="13"/>
              </w:rPr>
            </w:pPr>
            <w:r>
              <w:rPr>
                <w:rFonts w:ascii="宋体" w:hAnsi="宋体" w:cs="宋体" w:eastAsia="宋体" w:hint="default"/>
                <w:sz w:val="13"/>
                <w:szCs w:val="13"/>
              </w:rPr>
              <w:t>投资收</w:t>
            </w:r>
          </w:p>
          <w:p>
            <w:pPr>
              <w:pStyle w:val="TableParagraph"/>
              <w:spacing w:line="168" w:lineRule="exact" w:before="18"/>
              <w:ind w:left="103" w:right="209"/>
              <w:jc w:val="both"/>
              <w:rPr>
                <w:rFonts w:ascii="宋体" w:hAnsi="宋体" w:cs="宋体" w:eastAsia="宋体" w:hint="default"/>
                <w:sz w:val="13"/>
                <w:szCs w:val="13"/>
              </w:rPr>
            </w:pPr>
            <w:r>
              <w:rPr>
                <w:rFonts w:ascii="宋体" w:hAnsi="宋体" w:cs="宋体" w:eastAsia="宋体" w:hint="default"/>
                <w:sz w:val="13"/>
                <w:szCs w:val="13"/>
              </w:rPr>
              <w:t>益及公</w:t>
            </w:r>
            <w:r>
              <w:rPr>
                <w:rFonts w:ascii="宋体" w:hAnsi="宋体" w:cs="宋体" w:eastAsia="宋体" w:hint="default"/>
                <w:w w:val="99"/>
                <w:sz w:val="13"/>
                <w:szCs w:val="13"/>
              </w:rPr>
              <w:t> </w:t>
            </w:r>
            <w:r>
              <w:rPr>
                <w:rFonts w:ascii="宋体" w:hAnsi="宋体" w:cs="宋体" w:eastAsia="宋体" w:hint="default"/>
                <w:sz w:val="13"/>
                <w:szCs w:val="13"/>
              </w:rPr>
              <w:t>允价值</w:t>
            </w:r>
            <w:r>
              <w:rPr>
                <w:rFonts w:ascii="宋体" w:hAnsi="宋体" w:cs="宋体" w:eastAsia="宋体" w:hint="default"/>
                <w:w w:val="99"/>
                <w:sz w:val="13"/>
                <w:szCs w:val="13"/>
              </w:rPr>
              <w:t> </w:t>
            </w:r>
            <w:r>
              <w:rPr>
                <w:rFonts w:ascii="宋体" w:hAnsi="宋体" w:cs="宋体" w:eastAsia="宋体" w:hint="default"/>
                <w:sz w:val="13"/>
                <w:szCs w:val="13"/>
              </w:rPr>
              <w:t>变动损</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3,202,042.05</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274,808,913.31</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21,243,587.26</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240,784,136.12</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9,244,068.83</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14,129,094.40</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1,307,007,580.34</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54,570,122.71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15,212,361.90</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1,940,201,906.92</w:t>
            </w:r>
            <w:r>
              <w:rPr>
                <w:rFonts w:ascii="宋体"/>
                <w:sz w:val="13"/>
              </w:rPr>
            </w:r>
          </w:p>
        </w:tc>
      </w:tr>
      <w:tr>
        <w:trPr>
          <w:trHeight w:val="3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利息净</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208,534,998.44</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-233,922,856.04</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-1,699,650.20</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-24,844,665.93</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325,144,429.20</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34,751,890.68</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-28,056,357.30</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-17,520,107.14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59,405.09</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262,447,086.80</w:t>
            </w:r>
            <w:r>
              <w:rPr>
                <w:rFonts w:ascii="宋体"/>
                <w:sz w:val="13"/>
              </w:rPr>
            </w: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8" w:right="0"/>
              <w:jc w:val="left"/>
              <w:rPr>
                <w:rFonts w:ascii="宋体" w:hAnsi="宋体" w:cs="宋体" w:eastAsia="宋体" w:hint="default"/>
                <w:sz w:val="13"/>
                <w:szCs w:val="13"/>
              </w:rPr>
            </w:pPr>
            <w:r>
              <w:rPr>
                <w:rFonts w:ascii="宋体" w:hAnsi="宋体" w:cs="宋体" w:eastAsia="宋体" w:hint="default"/>
                <w:sz w:val="13"/>
                <w:szCs w:val="13"/>
              </w:rPr>
              <w:t>其他收</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w w:val="99"/>
                <w:sz w:val="13"/>
                <w:szCs w:val="13"/>
              </w:rPr>
              <w:t>入</w:t>
            </w:r>
            <w:r>
              <w:rPr>
                <w:rFonts w:ascii="宋体" w:hAnsi="宋体" w:cs="宋体" w:eastAsia="宋体" w:hint="default"/>
                <w:sz w:val="13"/>
                <w:szCs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4,500,538.78</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9"/>
                <w:sz w:val="13"/>
              </w:rPr>
              <w:t>-</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12,050,000.00</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98,842.69</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1,924,324.50</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13,203,821.96</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9"/>
                <w:sz w:val="13"/>
              </w:rPr>
              <w:t>-</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924,650.86</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849,056.60</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31,853,122.19</w:t>
            </w:r>
            <w:r>
              <w:rPr>
                <w:rFonts w:ascii="宋体"/>
                <w:sz w:val="13"/>
              </w:rPr>
            </w:r>
          </w:p>
        </w:tc>
      </w:tr>
      <w:tr>
        <w:trPr>
          <w:trHeight w:val="17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营业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707,417,408.21</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29,635,668.06</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sz w:val="13"/>
              </w:rPr>
              <w:t>223,010,018.28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553,839,359.06</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70,903,782.79</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78,032,165.94</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577,101,158.01</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90,124,835.72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5,670,607.88</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136,602,370.96</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2,199,132,632.99</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060" w:bottom="1380" w:left="76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3"/>
        <w:gridCol w:w="1282"/>
        <w:gridCol w:w="1258"/>
        <w:gridCol w:w="1129"/>
        <w:gridCol w:w="1255"/>
        <w:gridCol w:w="1322"/>
        <w:gridCol w:w="1256"/>
        <w:gridCol w:w="1322"/>
        <w:gridCol w:w="1249"/>
        <w:gridCol w:w="1277"/>
        <w:gridCol w:w="1406"/>
        <w:gridCol w:w="1560"/>
      </w:tblGrid>
      <w:tr>
        <w:trPr>
          <w:trHeight w:val="17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支出</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营业</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利润</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418,885,897.20</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13,380,121.70</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36,055,627.23</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7" w:right="0"/>
              <w:jc w:val="center"/>
              <w:rPr>
                <w:rFonts w:ascii="宋体" w:hAnsi="宋体" w:cs="宋体" w:eastAsia="宋体" w:hint="default"/>
                <w:sz w:val="13"/>
                <w:szCs w:val="13"/>
              </w:rPr>
            </w:pPr>
            <w:r>
              <w:rPr>
                <w:rFonts w:ascii="宋体"/>
                <w:sz w:val="13"/>
              </w:rPr>
              <w:t>329,411,538.26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263,436,498.83</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21,946,877.61</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716,488,916.84</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-49,301,620.86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10,525,809.97</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-56,904,464.97</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1,817,734,131.75</w:t>
            </w:r>
            <w:r>
              <w:rPr>
                <w:rFonts w:ascii="宋体"/>
                <w:sz w:val="13"/>
              </w:rPr>
            </w:r>
          </w:p>
        </w:tc>
      </w:tr>
      <w:tr>
        <w:trPr>
          <w:trHeight w:val="3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资产</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总额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9,801,723,348.75</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7,393,112,421.41</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293,683,450.89</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9,773,819,691.38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15,665,073,253.60</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1,213,830,517.79</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41,247,834,219.49</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841,788,897.61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573,256,263.55</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29,103,524,931.51</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57,700,597,132.96</w:t>
            </w:r>
            <w:r>
              <w:rPr>
                <w:rFonts w:ascii="宋体"/>
                <w:sz w:val="13"/>
              </w:rPr>
            </w:r>
          </w:p>
        </w:tc>
      </w:tr>
      <w:tr>
        <w:trPr>
          <w:trHeight w:val="34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负债</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总额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9,497,046,331.38</w:t>
            </w:r>
            <w:r>
              <w:rPr>
                <w:rFonts w:ascii="宋体"/>
                <w:sz w:val="13"/>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7,375,861,135.99</w:t>
            </w:r>
            <w:r>
              <w:rPr>
                <w:rFonts w:ascii="宋体"/>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214,599,067.23</w:t>
            </w:r>
            <w:r>
              <w:rPr>
                <w:rFonts w:ascii="宋体"/>
                <w:sz w:val="13"/>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5,205,700,666.79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15,668,414,034.83</w:t>
            </w:r>
            <w:r>
              <w:rPr>
                <w:rFonts w:ascii="宋体"/>
                <w:sz w:val="13"/>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781,198,040.70</w:t>
            </w:r>
            <w:r>
              <w:rPr>
                <w:rFonts w:ascii="宋体"/>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21,732,859,515.85</w:t>
            </w:r>
            <w:r>
              <w:rPr>
                <w:rFonts w:ascii="宋体"/>
                <w:sz w:val="13"/>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448,310,815.88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5,631,534.72</w:t>
            </w:r>
            <w:r>
              <w:rPr>
                <w:rFonts w:ascii="宋体"/>
                <w:sz w:val="13"/>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24,040,299,730.08</w:t>
            </w:r>
            <w:r>
              <w:rPr>
                <w:rFonts w:ascii="宋体"/>
                <w:sz w:val="13"/>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36,889,321,413.29</w:t>
            </w:r>
            <w:r>
              <w:rPr>
                <w:rFonts w:ascii="宋体"/>
                <w:sz w:val="13"/>
              </w:rPr>
            </w:r>
          </w:p>
        </w:tc>
      </w:tr>
    </w:tbl>
    <w:p>
      <w:pPr>
        <w:spacing w:after="0" w:line="148" w:lineRule="exact"/>
        <w:jc w:val="right"/>
        <w:rPr>
          <w:rFonts w:ascii="宋体" w:hAnsi="宋体" w:cs="宋体" w:eastAsia="宋体" w:hint="default"/>
          <w:sz w:val="13"/>
          <w:szCs w:val="13"/>
        </w:rPr>
        <w:sectPr>
          <w:pgSz w:w="16840" w:h="11910" w:orient="landscape"/>
          <w:pgMar w:header="882" w:footer="1195" w:top="1120" w:bottom="1380" w:left="76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5"/>
        <w:tabs>
          <w:tab w:pos="1621" w:val="left" w:leader="none"/>
        </w:tabs>
        <w:spacing w:line="240" w:lineRule="auto" w:before="36"/>
        <w:ind w:left="97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6"/>
        <w:ind w:left="9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1621" w:val="left" w:leader="none"/>
        </w:tabs>
        <w:spacing w:line="240" w:lineRule="auto"/>
        <w:ind w:left="978" w:right="0"/>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8"/>
        <w:ind w:left="9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978" w:right="0"/>
        <w:jc w:val="left"/>
        <w:rPr>
          <w:b w:val="0"/>
          <w:bCs w:val="0"/>
        </w:rPr>
      </w:pPr>
      <w:r>
        <w:rPr>
          <w:rFonts w:ascii="宋体" w:hAnsi="宋体" w:cs="宋体" w:eastAsia="宋体" w:hint="default"/>
        </w:rPr>
        <w:t>7</w:t>
      </w:r>
      <w:r>
        <w:rPr/>
        <w:t>、</w:t>
      </w:r>
      <w:r>
        <w:rPr>
          <w:spacing w:val="2"/>
        </w:rPr>
        <w:t> </w:t>
      </w:r>
      <w:r>
        <w:rPr/>
        <w:t>租赁</w:t>
      </w:r>
      <w:r>
        <w:rPr>
          <w:b w:val="0"/>
          <w:bCs w:val="0"/>
        </w:rPr>
      </w:r>
    </w:p>
    <w:p>
      <w:pPr>
        <w:pStyle w:val="BodyText"/>
        <w:spacing w:line="240" w:lineRule="auto" w:before="56"/>
        <w:ind w:left="978" w:right="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114" w:type="dxa"/>
        <w:tblLayout w:type="fixed"/>
        <w:tblCellMar>
          <w:top w:w="0" w:type="dxa"/>
          <w:left w:w="0" w:type="dxa"/>
          <w:bottom w:w="0" w:type="dxa"/>
          <w:right w:w="0" w:type="dxa"/>
        </w:tblCellMar>
        <w:tblLook w:val="01E0"/>
      </w:tblPr>
      <w:tblGrid>
        <w:gridCol w:w="2835"/>
        <w:gridCol w:w="2837"/>
      </w:tblGrid>
      <w:tr>
        <w:trPr>
          <w:trHeight w:val="42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115,829,397.65</w:t>
            </w:r>
          </w:p>
        </w:tc>
      </w:tr>
      <w:tr>
        <w:trPr>
          <w:trHeight w:val="41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121,137,212.81</w:t>
            </w:r>
          </w:p>
        </w:tc>
      </w:tr>
      <w:tr>
        <w:trPr>
          <w:trHeight w:val="420"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98,813,381.25</w:t>
            </w:r>
          </w:p>
        </w:tc>
      </w:tr>
      <w:tr>
        <w:trPr>
          <w:trHeight w:val="41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525,255,499.24</w:t>
            </w:r>
          </w:p>
        </w:tc>
      </w:tr>
      <w:tr>
        <w:trPr>
          <w:trHeight w:val="420"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861,035,490.95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978" w:right="0"/>
        <w:jc w:val="left"/>
        <w:rPr>
          <w:b w:val="0"/>
          <w:bCs w:val="0"/>
        </w:rPr>
      </w:pPr>
      <w:r>
        <w:rPr>
          <w:rFonts w:ascii="宋体" w:hAnsi="宋体" w:cs="宋体" w:eastAsia="宋体" w:hint="default"/>
        </w:rPr>
        <w:t>8</w:t>
      </w:r>
      <w:r>
        <w:rPr/>
        <w:t>、</w:t>
      </w:r>
      <w:r>
        <w:rPr>
          <w:spacing w:val="3"/>
        </w:rPr>
        <w:t> </w:t>
      </w:r>
      <w:r>
        <w:rPr/>
        <w:t>期末发行在外的、可转换为股份的金融工具</w:t>
      </w:r>
      <w:r>
        <w:rPr>
          <w:b w:val="0"/>
          <w:bCs w:val="0"/>
        </w:rPr>
      </w:r>
    </w:p>
    <w:p>
      <w:pPr>
        <w:pStyle w:val="BodyText"/>
        <w:spacing w:line="240" w:lineRule="auto" w:before="56"/>
        <w:ind w:left="978" w:right="0"/>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9"/>
          <w:footerReference w:type="default" r:id="rId80"/>
          <w:pgSz w:w="11910" w:h="16840"/>
          <w:pgMar w:header="882" w:footer="1195" w:top="1080" w:bottom="1380" w:left="820" w:right="580"/>
          <w:pgNumType w:start="210"/>
        </w:sectPr>
      </w:pPr>
    </w:p>
    <w:p>
      <w:pPr>
        <w:pStyle w:val="Heading5"/>
        <w:spacing w:line="240" w:lineRule="auto" w:before="36"/>
        <w:ind w:left="978" w:right="-19"/>
        <w:jc w:val="left"/>
        <w:rPr>
          <w:b w:val="0"/>
          <w:bCs w:val="0"/>
        </w:rPr>
      </w:pPr>
      <w:r>
        <w:rPr>
          <w:rFonts w:ascii="宋体" w:hAnsi="宋体" w:cs="宋体" w:eastAsia="宋体" w:hint="default"/>
        </w:rPr>
        <w:t>9</w:t>
      </w:r>
      <w:r>
        <w:rPr/>
        <w:t>、</w:t>
      </w:r>
      <w:r>
        <w:rPr>
          <w:spacing w:val="1"/>
        </w:rPr>
        <w:t> </w:t>
      </w:r>
      <w:r>
        <w:rPr/>
        <w:t>以公允价值计量的资产和负债</w:t>
      </w:r>
      <w:r>
        <w:rPr>
          <w:b w:val="0"/>
          <w:bCs w:val="0"/>
        </w:rPr>
      </w:r>
    </w:p>
    <w:p>
      <w:pPr>
        <w:pStyle w:val="BodyText"/>
        <w:spacing w:line="240" w:lineRule="auto" w:before="58"/>
        <w:ind w:left="9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060" w:bottom="1380" w:left="820" w:right="580"/>
          <w:cols w:num="2" w:equalWidth="0">
            <w:col w:w="4144" w:space="2805"/>
            <w:col w:w="3561"/>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32"/>
        <w:gridCol w:w="1784"/>
        <w:gridCol w:w="1634"/>
        <w:gridCol w:w="1484"/>
        <w:gridCol w:w="1484"/>
        <w:gridCol w:w="1930"/>
      </w:tblGrid>
      <w:tr>
        <w:trPr>
          <w:trHeight w:val="430"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561" w:right="0"/>
              <w:jc w:val="left"/>
              <w:rPr>
                <w:rFonts w:ascii="宋体" w:hAnsi="宋体" w:cs="宋体" w:eastAsia="宋体" w:hint="default"/>
                <w:sz w:val="16"/>
                <w:szCs w:val="16"/>
              </w:rPr>
            </w:pPr>
            <w:r>
              <w:rPr>
                <w:rFonts w:ascii="宋体" w:hAnsi="宋体" w:cs="宋体" w:eastAsia="宋体" w:hint="default"/>
                <w:sz w:val="16"/>
                <w:szCs w:val="16"/>
              </w:rPr>
              <w:t>期初金额</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本期公允价值变动</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损益</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54" w:right="0" w:hanging="82"/>
              <w:jc w:val="left"/>
              <w:rPr>
                <w:rFonts w:ascii="宋体" w:hAnsi="宋体" w:cs="宋体" w:eastAsia="宋体" w:hint="default"/>
                <w:sz w:val="16"/>
                <w:szCs w:val="16"/>
              </w:rPr>
            </w:pPr>
            <w:r>
              <w:rPr>
                <w:rFonts w:ascii="宋体" w:hAnsi="宋体" w:cs="宋体" w:eastAsia="宋体" w:hint="default"/>
                <w:sz w:val="16"/>
                <w:szCs w:val="16"/>
              </w:rPr>
              <w:t>计入权益的累计</w:t>
            </w:r>
          </w:p>
          <w:p>
            <w:pPr>
              <w:pStyle w:val="TableParagraph"/>
              <w:spacing w:line="208" w:lineRule="exact"/>
              <w:ind w:left="254" w:right="0"/>
              <w:jc w:val="left"/>
              <w:rPr>
                <w:rFonts w:ascii="宋体" w:hAnsi="宋体" w:cs="宋体" w:eastAsia="宋体" w:hint="default"/>
                <w:sz w:val="16"/>
                <w:szCs w:val="16"/>
              </w:rPr>
            </w:pPr>
            <w:r>
              <w:rPr>
                <w:rFonts w:ascii="宋体" w:hAnsi="宋体" w:cs="宋体" w:eastAsia="宋体" w:hint="default"/>
                <w:sz w:val="16"/>
                <w:szCs w:val="16"/>
              </w:rPr>
              <w:t>公允价值变动</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本期计提的减值</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635" w:right="0"/>
              <w:jc w:val="left"/>
              <w:rPr>
                <w:rFonts w:ascii="宋体" w:hAnsi="宋体" w:cs="宋体" w:eastAsia="宋体" w:hint="default"/>
                <w:sz w:val="16"/>
                <w:szCs w:val="16"/>
              </w:rPr>
            </w:pPr>
            <w:r>
              <w:rPr>
                <w:rFonts w:ascii="宋体" w:hAnsi="宋体" w:cs="宋体" w:eastAsia="宋体" w:hint="default"/>
                <w:sz w:val="16"/>
                <w:szCs w:val="16"/>
              </w:rPr>
              <w:t>期末金额</w:t>
            </w:r>
          </w:p>
        </w:tc>
      </w:tr>
      <w:tr>
        <w:trPr>
          <w:trHeight w:val="223" w:hRule="exact"/>
        </w:trPr>
        <w:tc>
          <w:tcPr>
            <w:tcW w:w="10248" w:type="dxa"/>
            <w:gridSpan w:val="6"/>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金融资产</w:t>
            </w:r>
          </w:p>
        </w:tc>
      </w:tr>
      <w:tr>
        <w:trPr>
          <w:trHeight w:val="1063"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3"/>
              <w:ind w:left="100" w:right="87"/>
              <w:jc w:val="both"/>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、以公允价值计量且其</w:t>
            </w:r>
            <w:r>
              <w:rPr>
                <w:rFonts w:ascii="宋体" w:hAnsi="宋体" w:cs="宋体" w:eastAsia="宋体" w:hint="default"/>
                <w:spacing w:val="-49"/>
                <w:sz w:val="16"/>
                <w:szCs w:val="16"/>
              </w:rPr>
              <w:t> </w:t>
            </w:r>
            <w:r>
              <w:rPr>
                <w:rFonts w:ascii="宋体" w:hAnsi="宋体" w:cs="宋体" w:eastAsia="宋体" w:hint="default"/>
                <w:spacing w:val="11"/>
                <w:sz w:val="16"/>
                <w:szCs w:val="16"/>
              </w:rPr>
              <w:t>变动计入当期损益的金</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5"/>
                <w:sz w:val="16"/>
                <w:szCs w:val="16"/>
              </w:rPr>
              <w:t>融资产（不含衍生金融资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产）</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6"/>
                <w:szCs w:val="16"/>
              </w:rPr>
            </w:pPr>
            <w:r>
              <w:rPr>
                <w:rFonts w:ascii="宋体"/>
                <w:spacing w:val="-2"/>
                <w:sz w:val="16"/>
              </w:rPr>
              <w:t>10,432,974,324.90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-121,083,197.29</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9,316,812,002.71</w:t>
            </w:r>
          </w:p>
        </w:tc>
      </w:tr>
      <w:tr>
        <w:trPr>
          <w:trHeight w:val="224"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、衍生金融资产</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6,114,246.68</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00"/>
              <w:jc w:val="right"/>
              <w:rPr>
                <w:rFonts w:ascii="宋体" w:hAnsi="宋体" w:cs="宋体" w:eastAsia="宋体" w:hint="default"/>
                <w:sz w:val="16"/>
                <w:szCs w:val="16"/>
              </w:rPr>
            </w:pPr>
            <w:r>
              <w:rPr>
                <w:rFonts w:ascii="宋体"/>
                <w:spacing w:val="-2"/>
                <w:sz w:val="16"/>
              </w:rPr>
              <w:t>137,331,245.34</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00"/>
              <w:jc w:val="right"/>
              <w:rPr>
                <w:rFonts w:ascii="宋体" w:hAnsi="宋体" w:cs="宋体" w:eastAsia="宋体" w:hint="default"/>
                <w:sz w:val="16"/>
                <w:szCs w:val="16"/>
              </w:rPr>
            </w:pPr>
            <w:r>
              <w:rPr>
                <w:rFonts w:ascii="宋体"/>
                <w:spacing w:val="-2"/>
                <w:sz w:val="16"/>
              </w:rPr>
              <w:t>121,422,915.38</w:t>
            </w:r>
          </w:p>
        </w:tc>
      </w:tr>
      <w:tr>
        <w:trPr>
          <w:trHeight w:val="221"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、可供出售金融资产</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12,454,231,229.11</w:t>
            </w:r>
          </w:p>
        </w:tc>
        <w:tc>
          <w:tcPr>
            <w:tcW w:w="163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-661,965,975.77</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46" w:right="0"/>
              <w:jc w:val="center"/>
              <w:rPr>
                <w:rFonts w:ascii="宋体" w:hAnsi="宋体" w:cs="宋体" w:eastAsia="宋体" w:hint="default"/>
                <w:sz w:val="16"/>
                <w:szCs w:val="16"/>
              </w:rPr>
            </w:pPr>
            <w:r>
              <w:rPr>
                <w:rFonts w:ascii="宋体"/>
                <w:sz w:val="16"/>
              </w:rPr>
              <w:t>149,843,267.61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15,247,396,444.01</w:t>
            </w:r>
          </w:p>
        </w:tc>
      </w:tr>
      <w:tr>
        <w:trPr>
          <w:trHeight w:val="223"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金融资产小计</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22,893,319,800.69</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16,248,048.05</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97"/>
              <w:jc w:val="right"/>
              <w:rPr>
                <w:rFonts w:ascii="宋体" w:hAnsi="宋体" w:cs="宋体" w:eastAsia="宋体" w:hint="default"/>
                <w:sz w:val="16"/>
                <w:szCs w:val="16"/>
              </w:rPr>
            </w:pPr>
            <w:r>
              <w:rPr>
                <w:rFonts w:ascii="宋体"/>
                <w:spacing w:val="-2"/>
                <w:sz w:val="16"/>
              </w:rPr>
              <w:t>-661,965,975.77</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46" w:right="0"/>
              <w:jc w:val="center"/>
              <w:rPr>
                <w:rFonts w:ascii="宋体" w:hAnsi="宋体" w:cs="宋体" w:eastAsia="宋体" w:hint="default"/>
                <w:sz w:val="16"/>
                <w:szCs w:val="16"/>
              </w:rPr>
            </w:pPr>
            <w:r>
              <w:rPr>
                <w:rFonts w:ascii="宋体"/>
                <w:sz w:val="16"/>
              </w:rPr>
              <w:t>149,843,267.61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24,685,631,362.10</w:t>
            </w:r>
          </w:p>
        </w:tc>
      </w:tr>
      <w:tr>
        <w:trPr>
          <w:trHeight w:val="223"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上述合计</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22,893,319,800.69</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16,248,048.05</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-661,965,975.77</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46" w:right="0"/>
              <w:jc w:val="center"/>
              <w:rPr>
                <w:rFonts w:ascii="宋体" w:hAnsi="宋体" w:cs="宋体" w:eastAsia="宋体" w:hint="default"/>
                <w:sz w:val="16"/>
                <w:szCs w:val="16"/>
              </w:rPr>
            </w:pPr>
            <w:r>
              <w:rPr>
                <w:rFonts w:ascii="宋体"/>
                <w:sz w:val="16"/>
              </w:rPr>
              <w:t>149,843,267.61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24,685,631,362.10</w:t>
            </w:r>
          </w:p>
        </w:tc>
      </w:tr>
      <w:tr>
        <w:trPr>
          <w:trHeight w:val="223" w:hRule="exact"/>
        </w:trPr>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金融负债</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29,793,393.17</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-7,812,279.32</w:t>
            </w:r>
          </w:p>
        </w:tc>
        <w:tc>
          <w:tcPr>
            <w:tcW w:w="1484"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8,915,088.22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820" w:right="580"/>
        </w:sectPr>
      </w:pPr>
    </w:p>
    <w:p>
      <w:pPr>
        <w:pStyle w:val="Heading5"/>
        <w:spacing w:line="240" w:lineRule="auto" w:before="36"/>
        <w:ind w:left="978" w:right="-16"/>
        <w:jc w:val="left"/>
        <w:rPr>
          <w:b w:val="0"/>
          <w:bCs w:val="0"/>
        </w:rPr>
      </w:pPr>
      <w:r>
        <w:rPr>
          <w:rFonts w:ascii="宋体" w:hAnsi="宋体" w:cs="宋体" w:eastAsia="宋体" w:hint="default"/>
        </w:rPr>
        <w:t>10</w:t>
      </w:r>
      <w:r>
        <w:rPr/>
        <w:t>、外币金融资产和金融负债</w:t>
      </w:r>
      <w:r>
        <w:rPr>
          <w:b w:val="0"/>
          <w:bCs w:val="0"/>
        </w:rPr>
      </w:r>
    </w:p>
    <w:p>
      <w:pPr>
        <w:pStyle w:val="BodyText"/>
        <w:spacing w:line="240" w:lineRule="auto" w:before="58"/>
        <w:ind w:left="9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060" w:bottom="1380" w:left="820" w:right="580"/>
          <w:cols w:num="2" w:equalWidth="0">
            <w:col w:w="3724" w:space="3225"/>
            <w:col w:w="3561"/>
          </w:cols>
        </w:sectPr>
      </w:pPr>
    </w:p>
    <w:p>
      <w:pPr>
        <w:spacing w:line="240" w:lineRule="auto" w:before="7"/>
        <w:rPr>
          <w:rFonts w:ascii="宋体" w:hAnsi="宋体" w:cs="宋体" w:eastAsia="宋体" w:hint="default"/>
          <w:sz w:val="2"/>
          <w:szCs w:val="2"/>
        </w:rPr>
      </w:pPr>
    </w:p>
    <w:tbl>
      <w:tblPr>
        <w:tblW w:w="0" w:type="auto"/>
        <w:jc w:val="left"/>
        <w:tblInd w:w="862" w:type="dxa"/>
        <w:tblLayout w:type="fixed"/>
        <w:tblCellMar>
          <w:top w:w="0" w:type="dxa"/>
          <w:left w:w="0" w:type="dxa"/>
          <w:bottom w:w="0" w:type="dxa"/>
          <w:right w:w="0" w:type="dxa"/>
        </w:tblCellMar>
        <w:tblLook w:val="01E0"/>
      </w:tblPr>
      <w:tblGrid>
        <w:gridCol w:w="2271"/>
        <w:gridCol w:w="1582"/>
        <w:gridCol w:w="1191"/>
        <w:gridCol w:w="1704"/>
        <w:gridCol w:w="1150"/>
        <w:gridCol w:w="1579"/>
      </w:tblGrid>
      <w:tr>
        <w:trPr>
          <w:trHeight w:val="83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本期公允</w:t>
            </w:r>
          </w:p>
          <w:p>
            <w:pPr>
              <w:pStyle w:val="TableParagraph"/>
              <w:spacing w:line="240" w:lineRule="auto"/>
              <w:ind w:left="376" w:right="163" w:hanging="209"/>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13" w:right="105" w:hanging="106"/>
              <w:jc w:val="left"/>
              <w:rPr>
                <w:rFonts w:ascii="宋体" w:hAnsi="宋体" w:cs="宋体" w:eastAsia="宋体" w:hint="default"/>
                <w:sz w:val="21"/>
                <w:szCs w:val="21"/>
              </w:rPr>
            </w:pPr>
            <w:r>
              <w:rPr>
                <w:rFonts w:ascii="宋体" w:hAnsi="宋体" w:cs="宋体" w:eastAsia="宋体" w:hint="default"/>
                <w:sz w:val="21"/>
                <w:szCs w:val="21"/>
              </w:rPr>
              <w:t>计入权益的累计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公允价值变动</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49" w:right="144" w:hanging="104"/>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8" w:hRule="exact"/>
        </w:trPr>
        <w:tc>
          <w:tcPr>
            <w:tcW w:w="947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59"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其变动计入当期损益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82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2" w:type="dxa"/>
        <w:tblLayout w:type="fixed"/>
        <w:tblCellMar>
          <w:top w:w="0" w:type="dxa"/>
          <w:left w:w="0" w:type="dxa"/>
          <w:bottom w:w="0" w:type="dxa"/>
          <w:right w:w="0" w:type="dxa"/>
        </w:tblCellMar>
        <w:tblLook w:val="01E0"/>
      </w:tblPr>
      <w:tblGrid>
        <w:gridCol w:w="2271"/>
        <w:gridCol w:w="1582"/>
        <w:gridCol w:w="1191"/>
        <w:gridCol w:w="1704"/>
        <w:gridCol w:w="1150"/>
        <w:gridCol w:w="1579"/>
      </w:tblGrid>
      <w:tr>
        <w:trPr>
          <w:trHeight w:val="56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的金融资产（不含衍生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、衍生金融资产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、贷款和应收款</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、可供出售金融资产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67,726,302.52</w:t>
            </w: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-5,354,711.06</w:t>
            </w: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97,365,322.78</w:t>
            </w:r>
          </w:p>
        </w:tc>
      </w:tr>
      <w:tr>
        <w:trPr>
          <w:trHeight w:val="28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67,726,302.52</w:t>
            </w: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-5,354,711.06</w:t>
            </w: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97,365,322.78</w:t>
            </w:r>
          </w:p>
        </w:tc>
      </w:tr>
      <w:tr>
        <w:trPr>
          <w:trHeight w:val="28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before="36"/>
        <w:ind w:left="258" w:right="0"/>
        <w:jc w:val="left"/>
        <w:rPr>
          <w:b w:val="0"/>
          <w:bCs w:val="0"/>
        </w:rPr>
      </w:pPr>
      <w:r>
        <w:rPr>
          <w:rFonts w:ascii="宋体" w:hAnsi="宋体" w:cs="宋体" w:eastAsia="宋体" w:hint="default"/>
        </w:rPr>
        <w:t>11</w:t>
      </w:r>
      <w:r>
        <w:rPr/>
        <w:t>、其他对投资者决策有影响的重要交易和事项</w:t>
      </w:r>
      <w:r>
        <w:rPr>
          <w:b w:val="0"/>
          <w:bCs w:val="0"/>
        </w:rPr>
      </w:r>
    </w:p>
    <w:p>
      <w:pPr>
        <w:pStyle w:val="BodyText"/>
        <w:spacing w:line="240" w:lineRule="auto" w:before="59"/>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258" w:right="0"/>
        <w:jc w:val="left"/>
        <w:rPr>
          <w:b w:val="0"/>
          <w:bCs w:val="0"/>
        </w:rPr>
      </w:pPr>
      <w:r>
        <w:rPr>
          <w:rFonts w:ascii="宋体" w:hAnsi="宋体" w:cs="宋体" w:eastAsia="宋体" w:hint="default"/>
        </w:rPr>
        <w:t>12</w:t>
      </w:r>
      <w:r>
        <w:rPr/>
        <w:t>、其他</w:t>
      </w:r>
      <w:r>
        <w:rPr>
          <w:b w:val="0"/>
          <w:bCs w:val="0"/>
        </w:rPr>
      </w:r>
    </w:p>
    <w:p>
      <w:pPr>
        <w:pStyle w:val="BodyText"/>
        <w:spacing w:line="240" w:lineRule="auto" w:before="56"/>
        <w:ind w:left="678" w:right="0" w:hanging="420"/>
        <w:jc w:val="left"/>
      </w:pPr>
      <w:r>
        <w:rPr/>
        <w:t>√适用</w:t>
      </w:r>
      <w:r>
        <w:rPr>
          <w:spacing w:val="-2"/>
        </w:rPr>
        <w:t> </w:t>
      </w:r>
      <w:r>
        <w:rPr/>
        <w:t>□不适用</w:t>
      </w:r>
      <w:r>
        <w:rPr>
          <w:w w:val="100"/>
        </w:rPr>
        <w:t> </w:t>
      </w:r>
      <w:r>
        <w:rPr>
          <w:spacing w:val="-2"/>
        </w:rPr>
        <w:t>公司的联营企业财通基金公司的子公司上海财通资产管理有限公司管理的阜兴系资产管理计划可</w:t>
      </w:r>
    </w:p>
    <w:p>
      <w:pPr>
        <w:pStyle w:val="BodyText"/>
        <w:spacing w:line="355" w:lineRule="auto" w:before="133"/>
        <w:ind w:left="258" w:right="0"/>
        <w:jc w:val="left"/>
      </w:pPr>
      <w:r>
        <w:rPr>
          <w:spacing w:val="-2"/>
        </w:rPr>
        <w:t>能无法到期兑付，对上海财通资产管理有限公司经营造成重大影响，上海财通资产管理有限公司已根</w:t>
      </w:r>
      <w:r>
        <w:rPr>
          <w:spacing w:val="-21"/>
        </w:rPr>
        <w:t> </w:t>
      </w:r>
      <w:r>
        <w:rPr>
          <w:spacing w:val="-21"/>
        </w:rPr>
      </w:r>
      <w:r>
        <w:rPr/>
        <w:t>据其公司董事会决议计提了相关资产减值准备和预计负债。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355" w:lineRule="auto" w:before="0"/>
        <w:ind w:left="678" w:right="5941" w:hanging="420"/>
        <w:jc w:val="left"/>
        <w:rPr>
          <w:rFonts w:ascii="宋体" w:hAnsi="宋体" w:cs="宋体" w:eastAsia="宋体" w:hint="default"/>
          <w:sz w:val="21"/>
          <w:szCs w:val="21"/>
        </w:rPr>
      </w:pPr>
      <w:r>
        <w:rPr>
          <w:rFonts w:ascii="宋体" w:hAnsi="宋体" w:cs="宋体" w:eastAsia="宋体" w:hint="default"/>
          <w:b/>
          <w:bCs/>
          <w:spacing w:val="-1"/>
          <w:sz w:val="21"/>
          <w:szCs w:val="21"/>
        </w:rPr>
        <w:t>十九、母公司财务报表主要项目注释</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1. </w:t>
      </w:r>
      <w:r>
        <w:rPr>
          <w:rFonts w:ascii="宋体" w:hAnsi="宋体" w:cs="宋体" w:eastAsia="宋体" w:hint="default"/>
          <w:sz w:val="21"/>
          <w:szCs w:val="21"/>
        </w:rPr>
        <w:t>应收款项</w:t>
      </w:r>
    </w:p>
    <w:p>
      <w:pPr>
        <w:pStyle w:val="BodyText"/>
        <w:tabs>
          <w:tab w:pos="3412" w:val="left" w:leader="none"/>
        </w:tabs>
        <w:spacing w:line="240" w:lineRule="auto" w:before="32"/>
        <w:ind w:left="678" w:right="0"/>
        <w:jc w:val="left"/>
      </w:pPr>
      <w:r>
        <w:rPr>
          <w:rFonts w:ascii="宋体" w:hAnsi="宋体" w:cs="宋体" w:eastAsia="宋体" w:hint="default"/>
        </w:rPr>
        <w:t>(1)</w:t>
      </w:r>
      <w:r>
        <w:rPr>
          <w:rFonts w:ascii="宋体" w:hAnsi="宋体" w:cs="宋体" w:eastAsia="宋体" w:hint="default"/>
          <w:spacing w:val="-2"/>
        </w:rPr>
        <w:t> </w:t>
      </w:r>
      <w:r>
        <w:rPr/>
        <w:t>类别明细情况单位：元</w:t>
        <w:tab/>
        <w:t>币种：人民币</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135"/>
        <w:gridCol w:w="1417"/>
        <w:gridCol w:w="710"/>
        <w:gridCol w:w="1274"/>
        <w:gridCol w:w="569"/>
        <w:gridCol w:w="1416"/>
        <w:gridCol w:w="853"/>
        <w:gridCol w:w="1274"/>
        <w:gridCol w:w="708"/>
      </w:tblGrid>
      <w:tr>
        <w:trPr>
          <w:trHeight w:val="362"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9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135" w:type="dxa"/>
            <w:vMerge/>
            <w:tcBorders>
              <w:left w:val="single" w:sz="4" w:space="0" w:color="000000"/>
              <w:right w:val="single" w:sz="4" w:space="0" w:color="000000"/>
            </w:tcBorders>
          </w:tcPr>
          <w:p>
            <w:pP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5" w:hRule="exact"/>
        </w:trPr>
        <w:tc>
          <w:tcPr>
            <w:tcW w:w="1135"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r>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4"/>
              <w:ind w:left="103" w:right="120"/>
              <w:jc w:val="left"/>
              <w:rPr>
                <w:rFonts w:ascii="宋体" w:hAnsi="宋体" w:cs="宋体" w:eastAsia="宋体" w:hint="default"/>
                <w:sz w:val="18"/>
                <w:szCs w:val="18"/>
              </w:rPr>
            </w:pPr>
            <w:r>
              <w:rPr>
                <w:rFonts w:ascii="宋体" w:hAnsi="宋体" w:cs="宋体" w:eastAsia="宋体" w:hint="default"/>
                <w:sz w:val="18"/>
                <w:szCs w:val="18"/>
              </w:rPr>
              <w:t>大并单独计 提坏账准备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525,260,637.34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sz w:val="18"/>
              </w:rPr>
              <w:t>95.76</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组合计提坏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23,280,901.05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0" w:right="0"/>
              <w:jc w:val="center"/>
              <w:rPr>
                <w:rFonts w:ascii="宋体" w:hAnsi="宋体" w:cs="宋体" w:eastAsia="宋体" w:hint="default"/>
                <w:sz w:val="18"/>
                <w:szCs w:val="18"/>
              </w:rPr>
            </w:pPr>
            <w:r>
              <w:rPr>
                <w:rFonts w:ascii="宋体"/>
                <w:sz w:val="18"/>
              </w:rPr>
              <w:t>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center"/>
              <w:rPr>
                <w:rFonts w:ascii="宋体" w:hAnsi="宋体" w:cs="宋体" w:eastAsia="宋体" w:hint="default"/>
                <w:sz w:val="18"/>
                <w:szCs w:val="18"/>
              </w:rPr>
            </w:pPr>
            <w:r>
              <w:rPr>
                <w:rFonts w:ascii="宋体"/>
                <w:sz w:val="18"/>
              </w:rPr>
              <w:t>1,164,045.05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center"/>
              <w:rPr>
                <w:rFonts w:ascii="宋体" w:hAnsi="宋体" w:cs="宋体" w:eastAsia="宋体" w:hint="default"/>
                <w:sz w:val="18"/>
                <w:szCs w:val="18"/>
              </w:rPr>
            </w:pPr>
            <w:r>
              <w:rPr>
                <w:rFonts w:ascii="宋体"/>
                <w:sz w:val="18"/>
              </w:rPr>
              <w:t>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7,696,723.44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384,836.17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w:t>
            </w:r>
          </w:p>
        </w:tc>
      </w:tr>
      <w:tr>
        <w:trPr>
          <w:trHeight w:val="49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548,541,538.39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7"/>
              <w:jc w:val="center"/>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center"/>
              <w:rPr>
                <w:rFonts w:ascii="宋体" w:hAnsi="宋体" w:cs="宋体" w:eastAsia="宋体" w:hint="default"/>
                <w:sz w:val="18"/>
                <w:szCs w:val="18"/>
              </w:rPr>
            </w:pPr>
            <w:r>
              <w:rPr>
                <w:rFonts w:ascii="宋体"/>
                <w:sz w:val="18"/>
              </w:rPr>
              <w:t>1,164,045.05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
              <w:jc w:val="center"/>
              <w:rPr>
                <w:rFonts w:ascii="宋体" w:hAnsi="宋体" w:cs="宋体" w:eastAsia="宋体" w:hint="default"/>
                <w:sz w:val="18"/>
                <w:szCs w:val="18"/>
              </w:rPr>
            </w:pPr>
            <w:r>
              <w:rPr>
                <w:rFonts w:ascii="宋体"/>
                <w:sz w:val="18"/>
              </w:rPr>
              <w:t>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7,696,723.44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pacing w:val="-1"/>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384,836.17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z w:val="18"/>
              </w:rPr>
              <w:t>5.00</w:t>
            </w:r>
          </w:p>
        </w:tc>
      </w:tr>
    </w:tbl>
    <w:p>
      <w:pPr>
        <w:pStyle w:val="BodyText"/>
        <w:spacing w:line="241" w:lineRule="exact"/>
        <w:ind w:left="678" w:right="0"/>
        <w:jc w:val="left"/>
      </w:pPr>
      <w:r>
        <w:rPr>
          <w:rFonts w:ascii="宋体" w:hAnsi="宋体" w:cs="宋体" w:eastAsia="宋体" w:hint="default"/>
        </w:rPr>
        <w:t>(2) </w:t>
      </w:r>
      <w:r>
        <w:rPr/>
        <w:t>按账龄分析（组合计提）</w:t>
      </w:r>
    </w:p>
    <w:p>
      <w:pPr>
        <w:spacing w:line="240" w:lineRule="auto" w:before="10"/>
        <w:rPr>
          <w:rFonts w:ascii="宋体" w:hAnsi="宋体" w:cs="宋体" w:eastAsia="宋体" w:hint="default"/>
          <w:sz w:val="12"/>
          <w:szCs w:val="12"/>
        </w:rPr>
      </w:pPr>
    </w:p>
    <w:tbl>
      <w:tblPr>
        <w:tblW w:w="0" w:type="auto"/>
        <w:jc w:val="left"/>
        <w:tblInd w:w="253" w:type="dxa"/>
        <w:tblLayout w:type="fixed"/>
        <w:tblCellMar>
          <w:top w:w="0" w:type="dxa"/>
          <w:left w:w="0" w:type="dxa"/>
          <w:bottom w:w="0" w:type="dxa"/>
          <w:right w:w="0" w:type="dxa"/>
        </w:tblCellMar>
        <w:tblLook w:val="01E0"/>
      </w:tblPr>
      <w:tblGrid>
        <w:gridCol w:w="2331"/>
        <w:gridCol w:w="2081"/>
        <w:gridCol w:w="1577"/>
        <w:gridCol w:w="1892"/>
        <w:gridCol w:w="1416"/>
      </w:tblGrid>
      <w:tr>
        <w:trPr>
          <w:trHeight w:val="408" w:hRule="exact"/>
        </w:trPr>
        <w:tc>
          <w:tcPr>
            <w:tcW w:w="2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36" w:val="left" w:leader="none"/>
              </w:tabs>
              <w:spacing w:line="240" w:lineRule="auto" w:before="174"/>
              <w:ind w:left="3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8" w:hRule="exact"/>
        </w:trPr>
        <w:tc>
          <w:tcPr>
            <w:tcW w:w="2331" w:type="dxa"/>
            <w:vMerge/>
            <w:tcBorders>
              <w:left w:val="single" w:sz="4" w:space="0" w:color="000000"/>
              <w:right w:val="single" w:sz="4" w:space="0" w:color="000000"/>
            </w:tcBorders>
          </w:tcPr>
          <w:p>
            <w:pPr/>
          </w:p>
        </w:tc>
        <w:tc>
          <w:tcPr>
            <w:tcW w:w="3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2331" w:type="dxa"/>
            <w:vMerge/>
            <w:tcBorders>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center"/>
              <w:rPr>
                <w:rFonts w:ascii="宋体" w:hAnsi="宋体" w:cs="宋体" w:eastAsia="宋体" w:hint="default"/>
                <w:sz w:val="21"/>
                <w:szCs w:val="21"/>
              </w:rPr>
            </w:pPr>
            <w:r>
              <w:rPr>
                <w:rFonts w:ascii="宋体" w:hAnsi="宋体" w:cs="宋体" w:eastAsia="宋体" w:hint="default"/>
                <w:sz w:val="21"/>
                <w:szCs w:val="21"/>
              </w:rPr>
              <w:t>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23,280,901.05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1,164,045.05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5.00</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7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23,280,901.05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z w:val="21"/>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1,164,045.05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5.00</w:t>
            </w:r>
          </w:p>
        </w:tc>
      </w:tr>
    </w:tbl>
    <w:p>
      <w:pPr>
        <w:pStyle w:val="BodyText"/>
        <w:spacing w:line="241" w:lineRule="exact"/>
        <w:ind w:left="67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after="0" w:line="241" w:lineRule="exact"/>
        <w:jc w:val="left"/>
        <w:rPr>
          <w:rFonts w:ascii="宋体" w:hAnsi="宋体" w:cs="宋体" w:eastAsia="宋体" w:hint="default"/>
        </w:rPr>
        <w:sectPr>
          <w:pgSz w:w="11910" w:h="16840"/>
          <w:pgMar w:header="882" w:footer="1195" w:top="1120" w:bottom="1380" w:left="154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331"/>
        <w:gridCol w:w="2081"/>
        <w:gridCol w:w="1577"/>
        <w:gridCol w:w="1892"/>
        <w:gridCol w:w="1478"/>
      </w:tblGrid>
      <w:tr>
        <w:trPr>
          <w:trHeight w:val="420" w:hRule="exact"/>
        </w:trPr>
        <w:tc>
          <w:tcPr>
            <w:tcW w:w="2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tabs>
                <w:tab w:pos="736" w:val="left" w:leader="none"/>
              </w:tabs>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0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331" w:type="dxa"/>
            <w:vMerge/>
            <w:tcBorders>
              <w:left w:val="single" w:sz="4" w:space="0" w:color="000000"/>
              <w:right w:val="single" w:sz="4" w:space="0" w:color="000000"/>
            </w:tcBorders>
          </w:tcPr>
          <w:p>
            <w:pPr/>
          </w:p>
        </w:tc>
        <w:tc>
          <w:tcPr>
            <w:tcW w:w="3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8" w:hRule="exact"/>
        </w:trPr>
        <w:tc>
          <w:tcPr>
            <w:tcW w:w="2331" w:type="dxa"/>
            <w:vMerge/>
            <w:tcBorders>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18"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8" w:right="0"/>
              <w:jc w:val="left"/>
              <w:rPr>
                <w:rFonts w:ascii="宋体" w:hAnsi="宋体" w:cs="宋体" w:eastAsia="宋体" w:hint="default"/>
                <w:sz w:val="21"/>
                <w:szCs w:val="21"/>
              </w:rPr>
            </w:pPr>
            <w:r>
              <w:rPr>
                <w:rFonts w:ascii="宋体"/>
                <w:sz w:val="21"/>
              </w:rPr>
              <w:t>7,696,723.44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z w:val="21"/>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24" w:right="0"/>
              <w:jc w:val="left"/>
              <w:rPr>
                <w:rFonts w:ascii="宋体" w:hAnsi="宋体" w:cs="宋体" w:eastAsia="宋体" w:hint="default"/>
                <w:sz w:val="21"/>
                <w:szCs w:val="21"/>
              </w:rPr>
            </w:pPr>
            <w:r>
              <w:rPr>
                <w:rFonts w:ascii="宋体"/>
                <w:sz w:val="21"/>
              </w:rPr>
              <w:t>384,836.17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5.00</w:t>
            </w:r>
          </w:p>
        </w:tc>
      </w:tr>
      <w:tr>
        <w:trPr>
          <w:trHeight w:val="420"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37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08" w:right="0"/>
              <w:jc w:val="left"/>
              <w:rPr>
                <w:rFonts w:ascii="宋体" w:hAnsi="宋体" w:cs="宋体" w:eastAsia="宋体" w:hint="default"/>
                <w:sz w:val="21"/>
                <w:szCs w:val="21"/>
              </w:rPr>
            </w:pPr>
            <w:r>
              <w:rPr>
                <w:rFonts w:ascii="宋体"/>
                <w:sz w:val="21"/>
              </w:rPr>
              <w:t>7,696,723.44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100.00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24" w:right="0"/>
              <w:jc w:val="left"/>
              <w:rPr>
                <w:rFonts w:ascii="宋体" w:hAnsi="宋体" w:cs="宋体" w:eastAsia="宋体" w:hint="default"/>
                <w:sz w:val="21"/>
                <w:szCs w:val="21"/>
              </w:rPr>
            </w:pPr>
            <w:r>
              <w:rPr>
                <w:rFonts w:ascii="宋体"/>
                <w:sz w:val="21"/>
              </w:rPr>
              <w:t>384,836.17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5.00</w:t>
            </w:r>
          </w:p>
        </w:tc>
      </w:tr>
    </w:tbl>
    <w:p>
      <w:pPr>
        <w:pStyle w:val="BodyText"/>
        <w:spacing w:line="241" w:lineRule="exact"/>
        <w:ind w:left="638" w:right="974"/>
        <w:jc w:val="left"/>
      </w:pPr>
      <w:r>
        <w:rPr>
          <w:rFonts w:ascii="宋体" w:hAnsi="宋体" w:cs="宋体" w:eastAsia="宋体" w:hint="default"/>
        </w:rPr>
        <w:t>(3)</w:t>
      </w:r>
      <w:r>
        <w:rPr>
          <w:rFonts w:ascii="宋体" w:hAnsi="宋体" w:cs="宋体" w:eastAsia="宋体" w:hint="default"/>
          <w:spacing w:val="1"/>
        </w:rPr>
        <w:t> </w:t>
      </w:r>
      <w:r>
        <w:rPr/>
        <w:t>按款项性质</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3121"/>
        <w:gridCol w:w="3120"/>
        <w:gridCol w:w="3118"/>
      </w:tblGrid>
      <w:tr>
        <w:trPr>
          <w:trHeight w:val="41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应收清算款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525,260,637.34</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应收手续费及佣金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4,396,269.32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7,696,723.44</w:t>
            </w:r>
          </w:p>
        </w:tc>
      </w:tr>
      <w:tr>
        <w:trPr>
          <w:trHeight w:val="41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应收场外期权结算款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18,884,631.73</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548,541,538.39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7,696,723.44</w:t>
            </w:r>
          </w:p>
        </w:tc>
      </w:tr>
      <w:tr>
        <w:trPr>
          <w:trHeight w:val="41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减：应收款项坏账准备</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1,164,045.05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384,836.17</w:t>
            </w:r>
          </w:p>
        </w:tc>
      </w:tr>
      <w:tr>
        <w:trPr>
          <w:trHeight w:val="42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547,377,493.34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7,311,887.27</w:t>
            </w:r>
          </w:p>
        </w:tc>
      </w:tr>
    </w:tbl>
    <w:p>
      <w:pPr>
        <w:spacing w:line="240" w:lineRule="auto" w:before="11"/>
        <w:rPr>
          <w:rFonts w:ascii="宋体" w:hAnsi="宋体" w:cs="宋体" w:eastAsia="宋体" w:hint="default"/>
          <w:sz w:val="25"/>
          <w:szCs w:val="25"/>
        </w:rPr>
      </w:pPr>
    </w:p>
    <w:p>
      <w:pPr>
        <w:pStyle w:val="BodyText"/>
        <w:spacing w:line="240" w:lineRule="auto" w:before="36"/>
        <w:ind w:left="638" w:right="974"/>
        <w:jc w:val="left"/>
      </w:pPr>
      <w:r>
        <w:rPr>
          <w:rFonts w:ascii="宋体" w:hAnsi="宋体" w:cs="宋体" w:eastAsia="宋体" w:hint="default"/>
        </w:rPr>
        <w:t>2.</w:t>
      </w:r>
      <w:r>
        <w:rPr>
          <w:rFonts w:ascii="宋体" w:hAnsi="宋体" w:cs="宋体" w:eastAsia="宋体" w:hint="default"/>
          <w:spacing w:val="-1"/>
        </w:rPr>
        <w:t> </w:t>
      </w:r>
      <w:r>
        <w:rPr/>
        <w:t>长期股权投资</w:t>
      </w:r>
    </w:p>
    <w:p>
      <w:pPr>
        <w:pStyle w:val="BodyText"/>
        <w:tabs>
          <w:tab w:pos="2949" w:val="left" w:leader="none"/>
        </w:tabs>
        <w:spacing w:line="240" w:lineRule="auto" w:before="133"/>
        <w:ind w:left="638" w:right="974"/>
        <w:jc w:val="left"/>
      </w:pPr>
      <w:r>
        <w:rPr>
          <w:rFonts w:ascii="宋体" w:hAnsi="宋体" w:cs="宋体" w:eastAsia="宋体" w:hint="default"/>
        </w:rPr>
        <w:t>(1)</w:t>
      </w:r>
      <w:r>
        <w:rPr>
          <w:rFonts w:ascii="宋体" w:hAnsi="宋体" w:cs="宋体" w:eastAsia="宋体" w:hint="default"/>
          <w:spacing w:val="-2"/>
        </w:rPr>
        <w:t> </w:t>
      </w:r>
      <w:r>
        <w:rPr/>
        <w:t>明细情况单位：元</w:t>
        <w:tab/>
        <w:t>币种：人民币</w:t>
      </w:r>
    </w:p>
    <w:p>
      <w:pPr>
        <w:spacing w:line="240" w:lineRule="auto" w:before="11"/>
        <w:rPr>
          <w:rFonts w:ascii="宋体" w:hAnsi="宋体" w:cs="宋体" w:eastAsia="宋体" w:hint="default"/>
          <w:sz w:val="12"/>
          <w:szCs w:val="12"/>
        </w:rPr>
      </w:pPr>
    </w:p>
    <w:tbl>
      <w:tblPr>
        <w:tblW w:w="0" w:type="auto"/>
        <w:jc w:val="left"/>
        <w:tblInd w:w="431" w:type="dxa"/>
        <w:tblLayout w:type="fixed"/>
        <w:tblCellMar>
          <w:top w:w="0" w:type="dxa"/>
          <w:left w:w="0" w:type="dxa"/>
          <w:bottom w:w="0" w:type="dxa"/>
          <w:right w:w="0" w:type="dxa"/>
        </w:tblCellMar>
        <w:tblLook w:val="01E0"/>
      </w:tblPr>
      <w:tblGrid>
        <w:gridCol w:w="2403"/>
        <w:gridCol w:w="2266"/>
        <w:gridCol w:w="1740"/>
        <w:gridCol w:w="2415"/>
      </w:tblGrid>
      <w:tr>
        <w:trPr>
          <w:trHeight w:val="420" w:hRule="exact"/>
        </w:trPr>
        <w:tc>
          <w:tcPr>
            <w:tcW w:w="240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tabs>
                <w:tab w:pos="736" w:val="left" w:leader="none"/>
              </w:tabs>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r>
      <w:tr>
        <w:trPr>
          <w:trHeight w:val="418" w:hRule="exact"/>
        </w:trPr>
        <w:tc>
          <w:tcPr>
            <w:tcW w:w="2403" w:type="dxa"/>
            <w:vMerge/>
            <w:tcBorders>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0"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2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3,765,493,300.97</w:t>
            </w:r>
          </w:p>
        </w:tc>
        <w:tc>
          <w:tcPr>
            <w:tcW w:w="174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3,765,493,300.97</w:t>
            </w:r>
          </w:p>
        </w:tc>
      </w:tr>
      <w:tr>
        <w:trPr>
          <w:trHeight w:val="41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2,543,200,908.49</w:t>
            </w:r>
          </w:p>
        </w:tc>
        <w:tc>
          <w:tcPr>
            <w:tcW w:w="174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2,543,200,908.49</w:t>
            </w:r>
          </w:p>
        </w:tc>
      </w:tr>
      <w:tr>
        <w:trPr>
          <w:trHeight w:val="41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6,308,694,209.46</w:t>
            </w:r>
          </w:p>
        </w:tc>
        <w:tc>
          <w:tcPr>
            <w:tcW w:w="174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6,308,694,209.46</w:t>
            </w:r>
          </w:p>
        </w:tc>
      </w:tr>
    </w:tbl>
    <w:p>
      <w:pPr>
        <w:pStyle w:val="BodyText"/>
        <w:spacing w:line="241" w:lineRule="exact"/>
        <w:ind w:left="638" w:right="974"/>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431" w:type="dxa"/>
        <w:tblLayout w:type="fixed"/>
        <w:tblCellMar>
          <w:top w:w="0" w:type="dxa"/>
          <w:left w:w="0" w:type="dxa"/>
          <w:bottom w:w="0" w:type="dxa"/>
          <w:right w:w="0" w:type="dxa"/>
        </w:tblCellMar>
        <w:tblLook w:val="01E0"/>
      </w:tblPr>
      <w:tblGrid>
        <w:gridCol w:w="2403"/>
        <w:gridCol w:w="2266"/>
        <w:gridCol w:w="1740"/>
        <w:gridCol w:w="2415"/>
      </w:tblGrid>
      <w:tr>
        <w:trPr>
          <w:trHeight w:val="418" w:hRule="exact"/>
        </w:trPr>
        <w:tc>
          <w:tcPr>
            <w:tcW w:w="24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tabs>
                <w:tab w:pos="736" w:val="left" w:leader="none"/>
              </w:tabs>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418" w:hRule="exact"/>
        </w:trPr>
        <w:tc>
          <w:tcPr>
            <w:tcW w:w="2403" w:type="dxa"/>
            <w:vMerge/>
            <w:tcBorders>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0"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2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1,461,993,300.97</w:t>
            </w:r>
          </w:p>
        </w:tc>
        <w:tc>
          <w:tcPr>
            <w:tcW w:w="174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1,461,993,300.97</w:t>
            </w:r>
          </w:p>
        </w:tc>
      </w:tr>
      <w:tr>
        <w:trPr>
          <w:trHeight w:val="41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2,421,760,812.49</w:t>
            </w:r>
          </w:p>
        </w:tc>
        <w:tc>
          <w:tcPr>
            <w:tcW w:w="174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2,421,760,812.49</w:t>
            </w:r>
          </w:p>
        </w:tc>
      </w:tr>
      <w:tr>
        <w:trPr>
          <w:trHeight w:val="42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3,883,754,113.46</w:t>
            </w:r>
          </w:p>
        </w:tc>
        <w:tc>
          <w:tcPr>
            <w:tcW w:w="174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3,883,754,113.46</w:t>
            </w:r>
          </w:p>
        </w:tc>
      </w:tr>
    </w:tbl>
    <w:p>
      <w:pPr>
        <w:pStyle w:val="BodyText"/>
        <w:spacing w:line="241" w:lineRule="exact"/>
        <w:ind w:left="638" w:right="974"/>
        <w:jc w:val="left"/>
      </w:pPr>
      <w:r>
        <w:rPr>
          <w:rFonts w:ascii="宋体" w:hAnsi="宋体" w:cs="宋体" w:eastAsia="宋体" w:hint="default"/>
        </w:rPr>
        <w:t>(2) </w:t>
      </w:r>
      <w:r>
        <w:rPr/>
        <w:t>对子公司投资</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36"/>
        <w:gridCol w:w="1736"/>
        <w:gridCol w:w="1892"/>
        <w:gridCol w:w="626"/>
        <w:gridCol w:w="1736"/>
        <w:gridCol w:w="943"/>
        <w:gridCol w:w="946"/>
      </w:tblGrid>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6" w:right="0" w:hanging="89"/>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财通证券资管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200,000,000.00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200,000,000.00</w:t>
            </w: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财通香港</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411,993,300.97</w:t>
            </w:r>
          </w:p>
        </w:tc>
        <w:tc>
          <w:tcPr>
            <w:tcW w:w="189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411,993,300.97</w:t>
            </w: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财通资本</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300,000,000.00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right"/>
              <w:rPr>
                <w:rFonts w:ascii="宋体" w:hAnsi="宋体" w:cs="宋体" w:eastAsia="宋体" w:hint="default"/>
                <w:sz w:val="18"/>
                <w:szCs w:val="18"/>
              </w:rPr>
            </w:pPr>
            <w:r>
              <w:rPr>
                <w:rFonts w:ascii="宋体"/>
                <w:spacing w:val="-1"/>
                <w:sz w:val="18"/>
              </w:rPr>
              <w:t>200,000,000.00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spacing w:val="-1"/>
                <w:sz w:val="18"/>
              </w:rPr>
              <w:t>500,000,000.00</w:t>
            </w: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财通创新</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right"/>
              <w:rPr>
                <w:rFonts w:ascii="宋体" w:hAnsi="宋体" w:cs="宋体" w:eastAsia="宋体" w:hint="default"/>
                <w:sz w:val="18"/>
                <w:szCs w:val="18"/>
              </w:rPr>
            </w:pPr>
            <w:r>
              <w:rPr>
                <w:rFonts w:ascii="宋体"/>
                <w:spacing w:val="-1"/>
                <w:sz w:val="18"/>
              </w:rPr>
              <w:t>550,000,000.00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pacing w:val="-1"/>
                <w:sz w:val="18"/>
              </w:rPr>
              <w:t>2,103,500,000.00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spacing w:val="-1"/>
                <w:sz w:val="18"/>
              </w:rPr>
              <w:t>2,653,500,000.00</w:t>
            </w: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6"/>
        <w:gridCol w:w="1736"/>
        <w:gridCol w:w="1892"/>
        <w:gridCol w:w="626"/>
        <w:gridCol w:w="1736"/>
        <w:gridCol w:w="943"/>
        <w:gridCol w:w="946"/>
      </w:tblGrid>
      <w:tr>
        <w:trPr>
          <w:trHeight w:val="40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8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5" w:right="0"/>
              <w:jc w:val="left"/>
              <w:rPr>
                <w:rFonts w:ascii="宋体" w:hAnsi="宋体" w:cs="宋体" w:eastAsia="宋体" w:hint="default"/>
                <w:sz w:val="18"/>
                <w:szCs w:val="18"/>
              </w:rPr>
            </w:pPr>
            <w:r>
              <w:rPr>
                <w:rFonts w:ascii="宋体"/>
                <w:sz w:val="18"/>
              </w:rPr>
              <w:t>1,461,993,300.97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91" w:right="0"/>
              <w:jc w:val="left"/>
              <w:rPr>
                <w:rFonts w:ascii="宋体" w:hAnsi="宋体" w:cs="宋体" w:eastAsia="宋体" w:hint="default"/>
                <w:sz w:val="18"/>
                <w:szCs w:val="18"/>
              </w:rPr>
            </w:pPr>
            <w:r>
              <w:rPr>
                <w:rFonts w:ascii="宋体"/>
                <w:sz w:val="18"/>
              </w:rPr>
              <w:t>2,303,500,000.00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5" w:right="0"/>
              <w:jc w:val="left"/>
              <w:rPr>
                <w:rFonts w:ascii="宋体" w:hAnsi="宋体" w:cs="宋体" w:eastAsia="宋体" w:hint="default"/>
                <w:sz w:val="18"/>
                <w:szCs w:val="18"/>
              </w:rPr>
            </w:pPr>
            <w:r>
              <w:rPr>
                <w:rFonts w:ascii="宋体"/>
                <w:sz w:val="18"/>
              </w:rPr>
              <w:t>3,765,493,300.97</w:t>
            </w:r>
          </w:p>
        </w:tc>
        <w:tc>
          <w:tcPr>
            <w:tcW w:w="94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38" w:right="0"/>
        <w:jc w:val="left"/>
      </w:pPr>
      <w:r>
        <w:rPr>
          <w:rFonts w:ascii="宋体" w:hAnsi="宋体" w:cs="宋体" w:eastAsia="宋体" w:hint="default"/>
        </w:rPr>
        <w:t>(3)</w:t>
      </w:r>
      <w:r>
        <w:rPr>
          <w:rFonts w:ascii="宋体" w:hAnsi="宋体" w:cs="宋体" w:eastAsia="宋体" w:hint="default"/>
          <w:spacing w:val="1"/>
        </w:rPr>
        <w:t> </w:t>
      </w:r>
      <w:r>
        <w:rPr/>
        <w:t>对联营企业投资</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36"/>
        <w:gridCol w:w="1892"/>
        <w:gridCol w:w="1104"/>
        <w:gridCol w:w="1102"/>
        <w:gridCol w:w="1892"/>
        <w:gridCol w:w="1889"/>
      </w:tblGrid>
      <w:tr>
        <w:trPr>
          <w:trHeight w:val="466" w:hRule="exact"/>
        </w:trPr>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9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475" w:hRule="exact"/>
        </w:trPr>
        <w:tc>
          <w:tcPr>
            <w:tcW w:w="1536" w:type="dxa"/>
            <w:vMerge/>
            <w:tcBorders>
              <w:left w:val="single" w:sz="4" w:space="0" w:color="000000"/>
              <w:bottom w:val="single" w:sz="4" w:space="0" w:color="000000"/>
              <w:right w:val="single" w:sz="4" w:space="0" w:color="000000"/>
            </w:tcBorders>
          </w:tcPr>
          <w:p>
            <w:pPr/>
          </w:p>
        </w:tc>
        <w:tc>
          <w:tcPr>
            <w:tcW w:w="1892"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2" w:right="0" w:hanging="89"/>
              <w:jc w:val="left"/>
              <w:rPr>
                <w:rFonts w:ascii="宋体" w:hAnsi="宋体" w:cs="宋体" w:eastAsia="宋体" w:hint="default"/>
                <w:sz w:val="18"/>
                <w:szCs w:val="18"/>
              </w:rPr>
            </w:pPr>
            <w:r>
              <w:rPr>
                <w:rFonts w:ascii="宋体" w:hAnsi="宋体" w:cs="宋体" w:eastAsia="宋体" w:hint="default"/>
                <w:sz w:val="18"/>
                <w:szCs w:val="18"/>
              </w:rPr>
              <w:t>权益法下确认</w:t>
            </w:r>
          </w:p>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的投资损益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其他综合收益调整</w:t>
            </w:r>
          </w:p>
        </w:tc>
      </w:tr>
      <w:tr>
        <w:trPr>
          <w:trHeight w:val="46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01"/>
              <w:jc w:val="right"/>
              <w:rPr>
                <w:rFonts w:ascii="宋体" w:hAnsi="宋体" w:cs="宋体" w:eastAsia="宋体" w:hint="default"/>
                <w:sz w:val="18"/>
                <w:szCs w:val="18"/>
              </w:rPr>
            </w:pPr>
            <w:r>
              <w:rPr>
                <w:rFonts w:ascii="宋体" w:hAnsi="宋体" w:cs="宋体" w:eastAsia="宋体" w:hint="default"/>
                <w:sz w:val="18"/>
                <w:szCs w:val="18"/>
              </w:rPr>
              <w:t>财通基金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宋体" w:hAnsi="宋体" w:cs="宋体" w:eastAsia="宋体" w:hint="default"/>
                <w:sz w:val="18"/>
                <w:szCs w:val="18"/>
              </w:rPr>
            </w:pPr>
            <w:r>
              <w:rPr>
                <w:rFonts w:ascii="宋体"/>
                <w:spacing w:val="-1"/>
                <w:sz w:val="18"/>
              </w:rPr>
              <w:t>551,429,454.10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-9,644,243.77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-12,215,137.03</w:t>
            </w:r>
          </w:p>
        </w:tc>
      </w:tr>
      <w:tr>
        <w:trPr>
          <w:trHeight w:val="46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01"/>
              <w:jc w:val="right"/>
              <w:rPr>
                <w:rFonts w:ascii="宋体" w:hAnsi="宋体" w:cs="宋体" w:eastAsia="宋体" w:hint="default"/>
                <w:sz w:val="18"/>
                <w:szCs w:val="18"/>
              </w:rPr>
            </w:pPr>
            <w:r>
              <w:rPr>
                <w:rFonts w:ascii="宋体" w:hAnsi="宋体" w:cs="宋体" w:eastAsia="宋体" w:hint="default"/>
                <w:sz w:val="18"/>
                <w:szCs w:val="18"/>
              </w:rPr>
              <w:t>永安期货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9"/>
              <w:jc w:val="right"/>
              <w:rPr>
                <w:rFonts w:ascii="宋体" w:hAnsi="宋体" w:cs="宋体" w:eastAsia="宋体" w:hint="default"/>
                <w:sz w:val="18"/>
                <w:szCs w:val="18"/>
              </w:rPr>
            </w:pPr>
            <w:r>
              <w:rPr>
                <w:rFonts w:ascii="宋体"/>
                <w:spacing w:val="-1"/>
                <w:sz w:val="18"/>
              </w:rPr>
              <w:t>1,870,331,358.39</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297,984,209.35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-101,962,993.55</w:t>
            </w:r>
          </w:p>
        </w:tc>
      </w:tr>
      <w:tr>
        <w:trPr>
          <w:trHeight w:val="46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69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9"/>
              <w:jc w:val="right"/>
              <w:rPr>
                <w:rFonts w:ascii="宋体" w:hAnsi="宋体" w:cs="宋体" w:eastAsia="宋体" w:hint="default"/>
                <w:sz w:val="18"/>
                <w:szCs w:val="18"/>
              </w:rPr>
            </w:pPr>
            <w:r>
              <w:rPr>
                <w:rFonts w:ascii="宋体"/>
                <w:spacing w:val="-1"/>
                <w:sz w:val="18"/>
              </w:rPr>
              <w:t>2,421,760,812.49</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288,339,965.58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-114,178,130.58</w:t>
            </w:r>
          </w:p>
        </w:tc>
      </w:tr>
    </w:tbl>
    <w:p>
      <w:pPr>
        <w:spacing w:line="203" w:lineRule="exact" w:before="0"/>
        <w:ind w:left="63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43"/>
        <w:gridCol w:w="1484"/>
        <w:gridCol w:w="1661"/>
        <w:gridCol w:w="1260"/>
        <w:gridCol w:w="790"/>
        <w:gridCol w:w="1731"/>
        <w:gridCol w:w="946"/>
      </w:tblGrid>
      <w:tr>
        <w:trPr>
          <w:trHeight w:val="408" w:hRule="exact"/>
        </w:trPr>
        <w:tc>
          <w:tcPr>
            <w:tcW w:w="154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1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1" w:right="12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78" w:hRule="exact"/>
        </w:trPr>
        <w:tc>
          <w:tcPr>
            <w:tcW w:w="1543"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3" w:right="0" w:hanging="92"/>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4" w:lineRule="exact"/>
              <w:ind w:left="393"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6"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r>
      <w:tr>
        <w:trPr>
          <w:trHeight w:val="406"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708"/>
              <w:jc w:val="right"/>
              <w:rPr>
                <w:rFonts w:ascii="宋体" w:hAnsi="宋体" w:cs="宋体" w:eastAsia="宋体" w:hint="default"/>
                <w:sz w:val="18"/>
                <w:szCs w:val="18"/>
              </w:rPr>
            </w:pPr>
            <w:r>
              <w:rPr>
                <w:rFonts w:ascii="宋体" w:hAnsi="宋体" w:cs="宋体" w:eastAsia="宋体" w:hint="default"/>
                <w:sz w:val="18"/>
                <w:szCs w:val="18"/>
              </w:rPr>
              <w:t>财通基金</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right"/>
              <w:rPr>
                <w:rFonts w:ascii="宋体" w:hAnsi="宋体" w:cs="宋体" w:eastAsia="宋体" w:hint="default"/>
                <w:sz w:val="18"/>
                <w:szCs w:val="18"/>
              </w:rPr>
            </w:pPr>
            <w:r>
              <w:rPr>
                <w:rFonts w:ascii="宋体"/>
                <w:spacing w:val="-1"/>
                <w:sz w:val="18"/>
              </w:rPr>
              <w:t>529,570,073.30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708"/>
              <w:jc w:val="right"/>
              <w:rPr>
                <w:rFonts w:ascii="宋体" w:hAnsi="宋体" w:cs="宋体" w:eastAsia="宋体" w:hint="default"/>
                <w:sz w:val="18"/>
                <w:szCs w:val="18"/>
              </w:rPr>
            </w:pPr>
            <w:r>
              <w:rPr>
                <w:rFonts w:ascii="宋体" w:hAnsi="宋体" w:cs="宋体" w:eastAsia="宋体" w:hint="default"/>
                <w:sz w:val="18"/>
                <w:szCs w:val="18"/>
              </w:rPr>
              <w:t>永安期货</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52,721,739.00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right"/>
              <w:rPr>
                <w:rFonts w:ascii="宋体" w:hAnsi="宋体" w:cs="宋体" w:eastAsia="宋体" w:hint="default"/>
                <w:sz w:val="18"/>
                <w:szCs w:val="18"/>
              </w:rPr>
            </w:pPr>
            <w:r>
              <w:rPr>
                <w:rFonts w:ascii="宋体"/>
                <w:spacing w:val="-1"/>
                <w:sz w:val="18"/>
              </w:rPr>
              <w:t>2,013,630,835.19</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70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8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52,721,739.00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right"/>
              <w:rPr>
                <w:rFonts w:ascii="宋体" w:hAnsi="宋体" w:cs="宋体" w:eastAsia="宋体" w:hint="default"/>
                <w:sz w:val="18"/>
                <w:szCs w:val="18"/>
              </w:rPr>
            </w:pPr>
            <w:r>
              <w:rPr>
                <w:rFonts w:ascii="宋体"/>
                <w:spacing w:val="-1"/>
                <w:sz w:val="18"/>
              </w:rPr>
              <w:t>2,543,200,908.49</w:t>
            </w: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638" w:right="0"/>
        <w:jc w:val="left"/>
      </w:pPr>
      <w:r>
        <w:rPr>
          <w:rFonts w:ascii="宋体" w:hAnsi="宋体" w:cs="宋体" w:eastAsia="宋体" w:hint="default"/>
        </w:rPr>
        <w:t>3.</w:t>
      </w:r>
      <w:r>
        <w:rPr/>
        <w:t>其他资产</w:t>
      </w:r>
    </w:p>
    <w:p>
      <w:pPr>
        <w:pStyle w:val="BodyText"/>
        <w:tabs>
          <w:tab w:pos="2844" w:val="left" w:leader="none"/>
        </w:tabs>
        <w:spacing w:line="240" w:lineRule="auto" w:before="133"/>
        <w:ind w:left="638" w:right="0"/>
        <w:jc w:val="left"/>
      </w:pPr>
      <w:r>
        <w:rPr>
          <w:rFonts w:ascii="宋体" w:hAnsi="宋体" w:cs="宋体" w:eastAsia="宋体" w:hint="default"/>
          <w:spacing w:val="-2"/>
        </w:rPr>
        <w:t>(1)</w:t>
      </w:r>
      <w:r>
        <w:rPr>
          <w:spacing w:val="-2"/>
        </w:rPr>
        <w:t>明细情况单位：元</w:t>
        <w:tab/>
      </w:r>
      <w:r>
        <w:rPr>
          <w:spacing w:val="-1"/>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61"/>
        <w:gridCol w:w="3404"/>
        <w:gridCol w:w="3406"/>
      </w:tblGrid>
      <w:tr>
        <w:trPr>
          <w:trHeight w:val="420"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425,380,377.59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489,820,029.92</w:t>
            </w:r>
          </w:p>
        </w:tc>
      </w:tr>
      <w:tr>
        <w:trPr>
          <w:trHeight w:val="418"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52,721,739.00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65,902,173.75</w:t>
            </w:r>
          </w:p>
        </w:tc>
      </w:tr>
      <w:tr>
        <w:trPr>
          <w:trHeight w:val="420"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23,758,303.75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32,379,001.06</w:t>
            </w:r>
          </w:p>
        </w:tc>
      </w:tr>
      <w:tr>
        <w:trPr>
          <w:trHeight w:val="418"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45,059,850.01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41,750,233.77</w:t>
            </w:r>
          </w:p>
        </w:tc>
      </w:tr>
      <w:tr>
        <w:trPr>
          <w:trHeight w:val="420"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4,557,494.41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3,977,367.84</w:t>
            </w:r>
          </w:p>
        </w:tc>
      </w:tr>
      <w:tr>
        <w:trPr>
          <w:trHeight w:val="418" w:hRule="exact"/>
        </w:trPr>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551,477,764.76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633,828,806.34</w:t>
            </w:r>
          </w:p>
        </w:tc>
      </w:tr>
    </w:tbl>
    <w:p>
      <w:pPr>
        <w:pStyle w:val="BodyText"/>
        <w:spacing w:line="241" w:lineRule="exact"/>
        <w:ind w:left="638" w:right="0"/>
        <w:jc w:val="left"/>
      </w:pPr>
      <w:r>
        <w:rPr>
          <w:rFonts w:ascii="宋体" w:hAnsi="宋体" w:cs="宋体" w:eastAsia="宋体" w:hint="default"/>
        </w:rPr>
        <w:t>(2)</w:t>
      </w:r>
      <w:r>
        <w:rPr/>
        <w:t>其他应收款</w:t>
      </w:r>
    </w:p>
    <w:p>
      <w:pPr>
        <w:pStyle w:val="BodyText"/>
        <w:spacing w:line="240" w:lineRule="auto" w:before="133"/>
        <w:ind w:left="638" w:right="0"/>
        <w:jc w:val="left"/>
      </w:pPr>
      <w:r>
        <w:rPr>
          <w:rFonts w:ascii="宋体" w:hAnsi="宋体" w:cs="宋体" w:eastAsia="宋体" w:hint="default"/>
        </w:rPr>
        <w:t>1)</w:t>
      </w:r>
      <w:r>
        <w:rPr/>
        <w:t>明细情况</w:t>
      </w:r>
    </w:p>
    <w:p>
      <w:pPr>
        <w:pStyle w:val="BodyText"/>
        <w:spacing w:line="240" w:lineRule="auto" w:before="135"/>
        <w:ind w:left="638" w:right="0"/>
        <w:jc w:val="left"/>
      </w:pPr>
      <w:r>
        <w:rPr/>
        <w:t>①类别明细情况</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68"/>
        <w:gridCol w:w="1754"/>
        <w:gridCol w:w="944"/>
        <w:gridCol w:w="1733"/>
        <w:gridCol w:w="1097"/>
        <w:gridCol w:w="1733"/>
      </w:tblGrid>
      <w:tr>
        <w:trPr>
          <w:trHeight w:val="406" w:hRule="exact"/>
        </w:trPr>
        <w:tc>
          <w:tcPr>
            <w:tcW w:w="24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2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8" w:hRule="exact"/>
        </w:trPr>
        <w:tc>
          <w:tcPr>
            <w:tcW w:w="2468" w:type="dxa"/>
            <w:vMerge/>
            <w:tcBorders>
              <w:left w:val="single" w:sz="4" w:space="0" w:color="000000"/>
              <w:right w:val="single" w:sz="4" w:space="0" w:color="000000"/>
            </w:tcBorders>
          </w:tcPr>
          <w:p>
            <w:pP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2468" w:type="dxa"/>
            <w:vMerge/>
            <w:tcBorders>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33" w:type="dxa"/>
            <w:vMerge/>
            <w:tcBorders>
              <w:left w:val="single" w:sz="4" w:space="0" w:color="000000"/>
              <w:bottom w:val="single" w:sz="4" w:space="0" w:color="000000"/>
              <w:right w:val="single" w:sz="4" w:space="0" w:color="000000"/>
            </w:tcBorders>
          </w:tcPr>
          <w:p>
            <w:pPr/>
          </w:p>
        </w:tc>
      </w:tr>
      <w:tr>
        <w:trPr>
          <w:trHeight w:val="47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241,073,362.97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35.19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241,073,362.97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100.00</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441,860,305.13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64.51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16,479,927.54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3.73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9" w:right="0"/>
              <w:jc w:val="left"/>
              <w:rPr>
                <w:rFonts w:ascii="宋体" w:hAnsi="宋体" w:cs="宋体" w:eastAsia="宋体" w:hint="default"/>
                <w:sz w:val="18"/>
                <w:szCs w:val="18"/>
              </w:rPr>
            </w:pPr>
            <w:r>
              <w:rPr>
                <w:rFonts w:ascii="宋体"/>
                <w:sz w:val="18"/>
              </w:rPr>
              <w:t>425,380,377.59</w:t>
            </w:r>
          </w:p>
        </w:tc>
      </w:tr>
      <w:tr>
        <w:trPr>
          <w:trHeight w:val="47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2,040,000.00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0.30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2,040,000.00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100.00</w:t>
            </w:r>
          </w:p>
        </w:tc>
        <w:tc>
          <w:tcPr>
            <w:tcW w:w="17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468"/>
        <w:gridCol w:w="1754"/>
        <w:gridCol w:w="944"/>
        <w:gridCol w:w="1733"/>
        <w:gridCol w:w="1097"/>
        <w:gridCol w:w="1733"/>
      </w:tblGrid>
      <w:tr>
        <w:trPr>
          <w:trHeight w:val="40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79" w:right="0"/>
              <w:jc w:val="left"/>
              <w:rPr>
                <w:rFonts w:ascii="宋体" w:hAnsi="宋体" w:cs="宋体" w:eastAsia="宋体" w:hint="default"/>
                <w:sz w:val="18"/>
                <w:szCs w:val="18"/>
              </w:rPr>
            </w:pPr>
            <w:r>
              <w:rPr>
                <w:rFonts w:ascii="宋体"/>
                <w:sz w:val="18"/>
              </w:rPr>
              <w:t>684,973,668.10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8" w:right="0"/>
              <w:jc w:val="left"/>
              <w:rPr>
                <w:rFonts w:ascii="宋体" w:hAnsi="宋体" w:cs="宋体" w:eastAsia="宋体" w:hint="default"/>
                <w:sz w:val="18"/>
                <w:szCs w:val="18"/>
              </w:rPr>
            </w:pPr>
            <w:r>
              <w:rPr>
                <w:rFonts w:ascii="宋体"/>
                <w:sz w:val="18"/>
              </w:rPr>
              <w:t>100.00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9" w:right="0"/>
              <w:jc w:val="left"/>
              <w:rPr>
                <w:rFonts w:ascii="宋体" w:hAnsi="宋体" w:cs="宋体" w:eastAsia="宋体" w:hint="default"/>
                <w:sz w:val="18"/>
                <w:szCs w:val="18"/>
              </w:rPr>
            </w:pPr>
            <w:r>
              <w:rPr>
                <w:rFonts w:ascii="宋体"/>
                <w:sz w:val="18"/>
              </w:rPr>
              <w:t>259,593,290.51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528" w:right="0"/>
              <w:jc w:val="left"/>
              <w:rPr>
                <w:rFonts w:ascii="宋体" w:hAnsi="宋体" w:cs="宋体" w:eastAsia="宋体" w:hint="default"/>
                <w:sz w:val="18"/>
                <w:szCs w:val="18"/>
              </w:rPr>
            </w:pPr>
            <w:r>
              <w:rPr>
                <w:rFonts w:ascii="宋体"/>
                <w:sz w:val="18"/>
              </w:rPr>
              <w:t>37.90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9" w:right="0"/>
              <w:jc w:val="left"/>
              <w:rPr>
                <w:rFonts w:ascii="宋体" w:hAnsi="宋体" w:cs="宋体" w:eastAsia="宋体" w:hint="default"/>
                <w:sz w:val="18"/>
                <w:szCs w:val="18"/>
              </w:rPr>
            </w:pPr>
            <w:r>
              <w:rPr>
                <w:rFonts w:ascii="宋体"/>
                <w:sz w:val="18"/>
              </w:rPr>
              <w:t>425,380,377.59</w:t>
            </w:r>
          </w:p>
        </w:tc>
      </w:tr>
    </w:tbl>
    <w:p>
      <w:pPr>
        <w:pStyle w:val="BodyText"/>
        <w:spacing w:line="241" w:lineRule="exact"/>
        <w:ind w:left="67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82"/>
        <w:gridCol w:w="1730"/>
        <w:gridCol w:w="948"/>
        <w:gridCol w:w="1733"/>
        <w:gridCol w:w="1105"/>
        <w:gridCol w:w="1731"/>
      </w:tblGrid>
      <w:tr>
        <w:trPr>
          <w:trHeight w:val="408" w:hRule="exact"/>
        </w:trPr>
        <w:tc>
          <w:tcPr>
            <w:tcW w:w="24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2482" w:type="dxa"/>
            <w:vMerge/>
            <w:tcBorders>
              <w:left w:val="single" w:sz="4" w:space="0" w:color="000000"/>
              <w:right w:val="single" w:sz="4" w:space="0" w:color="000000"/>
            </w:tcBorders>
          </w:tcPr>
          <w:p>
            <w:pPr/>
          </w:p>
        </w:tc>
        <w:tc>
          <w:tcPr>
            <w:tcW w:w="2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2482"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4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31" w:type="dxa"/>
            <w:vMerge/>
            <w:tcBorders>
              <w:left w:val="single" w:sz="4" w:space="0" w:color="000000"/>
              <w:bottom w:val="single" w:sz="4" w:space="0" w:color="000000"/>
              <w:right w:val="single" w:sz="4" w:space="0" w:color="000000"/>
            </w:tcBorders>
          </w:tcPr>
          <w:p>
            <w:pPr/>
          </w:p>
        </w:tc>
      </w:tr>
      <w:tr>
        <w:trPr>
          <w:trHeight w:val="478"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378,906,817.20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45.79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250,728,462.97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66.17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128,178,354.23</w:t>
            </w:r>
          </w:p>
        </w:tc>
      </w:tr>
      <w:tr>
        <w:trPr>
          <w:trHeight w:val="478"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448,575,501.49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54.21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86,933,825.80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19.38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361,641,675.69</w:t>
            </w:r>
          </w:p>
        </w:tc>
      </w:tr>
      <w:tr>
        <w:trPr>
          <w:trHeight w:val="476"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827,482,318.69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337,662,288.77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40.81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489,820,029.92</w:t>
            </w:r>
          </w:p>
        </w:tc>
      </w:tr>
    </w:tbl>
    <w:p>
      <w:pPr>
        <w:pStyle w:val="BodyText"/>
        <w:spacing w:line="241" w:lineRule="exact"/>
        <w:ind w:left="678" w:right="0"/>
        <w:jc w:val="left"/>
      </w:pPr>
      <w:r>
        <w:rPr/>
        <w:t>②期末单项金额重大并单项计提坏账准备的其他应收款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552"/>
        <w:gridCol w:w="1560"/>
        <w:gridCol w:w="1419"/>
        <w:gridCol w:w="1133"/>
        <w:gridCol w:w="1985"/>
      </w:tblGrid>
      <w:tr>
        <w:trPr>
          <w:trHeight w:val="36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应收李国安等债权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232,344,043.45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232,344,043.45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7" w:right="0"/>
              <w:jc w:val="left"/>
              <w:rPr>
                <w:rFonts w:ascii="宋体" w:hAnsi="宋体" w:cs="宋体" w:eastAsia="宋体" w:hint="default"/>
                <w:sz w:val="18"/>
                <w:szCs w:val="18"/>
              </w:rPr>
            </w:pPr>
            <w:r>
              <w:rPr>
                <w:rFonts w:ascii="宋体"/>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6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体育馆营业部应收债权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8,729,319.52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8,729,319.52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7" w:right="0"/>
              <w:jc w:val="left"/>
              <w:rPr>
                <w:rFonts w:ascii="宋体" w:hAnsi="宋体" w:cs="宋体" w:eastAsia="宋体" w:hint="default"/>
                <w:sz w:val="18"/>
                <w:szCs w:val="18"/>
              </w:rPr>
            </w:pPr>
            <w:r>
              <w:rPr>
                <w:rFonts w:ascii="宋体"/>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241,073,362.97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spacing w:val="-1"/>
                <w:sz w:val="18"/>
              </w:rPr>
              <w:t>241,073,362.97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78" w:right="0"/>
        <w:jc w:val="left"/>
        <w:rPr>
          <w:rFonts w:ascii="宋体" w:hAnsi="宋体" w:cs="宋体" w:eastAsia="宋体" w:hint="default"/>
        </w:rPr>
      </w:pPr>
      <w:r>
        <w:rPr/>
        <w:t>③按账龄分析法</w:t>
      </w:r>
      <w:r>
        <w:rPr>
          <w:rFonts w:ascii="宋体" w:hAnsi="宋体" w:cs="宋体" w:eastAsia="宋体" w:hint="default"/>
        </w:rPr>
        <w:t>(</w:t>
      </w:r>
      <w:r>
        <w:rPr/>
        <w:t>组合计提</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99"/>
        <w:gridCol w:w="1995"/>
        <w:gridCol w:w="1346"/>
        <w:gridCol w:w="2036"/>
        <w:gridCol w:w="1301"/>
      </w:tblGrid>
      <w:tr>
        <w:trPr>
          <w:trHeight w:val="418" w:hRule="exact"/>
        </w:trPr>
        <w:tc>
          <w:tcPr>
            <w:tcW w:w="2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6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2799" w:type="dxa"/>
            <w:vMerge/>
            <w:tcBorders>
              <w:left w:val="single" w:sz="4" w:space="0" w:color="000000"/>
              <w:right w:val="single" w:sz="4" w:space="0" w:color="000000"/>
            </w:tcBorders>
          </w:tcPr>
          <w:p>
            <w:pP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2799"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92"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65,003,183.44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71.92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3,250,159.17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z w:val="21"/>
              </w:rPr>
              <w:t>5.00</w:t>
            </w:r>
          </w:p>
        </w:tc>
      </w:tr>
      <w:tr>
        <w:trPr>
          <w:trHeight w:val="418"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8,175,645.22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9.05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1,635,129.04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20.00</w:t>
            </w:r>
          </w:p>
        </w:tc>
      </w:tr>
      <w:tr>
        <w:trPr>
          <w:trHeight w:val="420"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5,438,154.85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6.02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1,631,446.46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30.00</w:t>
            </w:r>
          </w:p>
        </w:tc>
      </w:tr>
      <w:tr>
        <w:trPr>
          <w:trHeight w:val="418"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2,992,389.57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3.31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1,196,955.83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z w:val="21"/>
              </w:rPr>
              <w:t>40.00</w:t>
            </w:r>
          </w:p>
        </w:tc>
      </w:tr>
      <w:tr>
        <w:trPr>
          <w:trHeight w:val="420"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8,766,237.04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9.70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8,766,237.04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100.00</w:t>
            </w:r>
          </w:p>
        </w:tc>
      </w:tr>
      <w:tr>
        <w:trPr>
          <w:trHeight w:val="49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pacing w:val="-1"/>
                <w:sz w:val="21"/>
              </w:rPr>
              <w:t>90,375,610.12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100.00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pacing w:val="-1"/>
                <w:sz w:val="21"/>
              </w:rPr>
              <w:t>16,479,927.54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z w:val="21"/>
              </w:rPr>
              <w:t>18.23</w:t>
            </w:r>
          </w:p>
        </w:tc>
      </w:tr>
    </w:tbl>
    <w:p>
      <w:pPr>
        <w:pStyle w:val="BodyText"/>
        <w:spacing w:line="241" w:lineRule="exact"/>
        <w:ind w:left="67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797"/>
        <w:gridCol w:w="1997"/>
        <w:gridCol w:w="1344"/>
        <w:gridCol w:w="2038"/>
        <w:gridCol w:w="1301"/>
      </w:tblGrid>
      <w:tr>
        <w:trPr>
          <w:trHeight w:val="418" w:hRule="exact"/>
        </w:trPr>
        <w:tc>
          <w:tcPr>
            <w:tcW w:w="2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797" w:type="dxa"/>
            <w:vMerge/>
            <w:tcBorders>
              <w:left w:val="single" w:sz="4" w:space="0" w:color="000000"/>
              <w:right w:val="single" w:sz="4" w:space="0" w:color="000000"/>
            </w:tcBorders>
          </w:tcPr>
          <w:p>
            <w:pP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2797" w:type="dxa"/>
            <w:vMerge/>
            <w:tcBorders>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金额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9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67,645,103.85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15.08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3,382,255.19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z w:val="21"/>
              </w:rPr>
              <w:t>5.00</w:t>
            </w:r>
          </w:p>
        </w:tc>
      </w:tr>
      <w:tr>
        <w:trPr>
          <w:trHeight w:val="418"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367,643,704.11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81.96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73,528,740.82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20.00</w:t>
            </w:r>
          </w:p>
        </w:tc>
      </w:tr>
      <w:tr>
        <w:trPr>
          <w:trHeight w:val="420"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2,995,013.69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0.67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898,504.11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z w:val="21"/>
              </w:rPr>
              <w:t>30.00</w:t>
            </w:r>
          </w:p>
        </w:tc>
      </w:tr>
      <w:tr>
        <w:trPr>
          <w:trHeight w:val="418"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1,945,590.26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0.43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778,236.10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z w:val="21"/>
              </w:rPr>
              <w:t>40.00</w:t>
            </w:r>
          </w:p>
        </w:tc>
      </w:tr>
    </w:tbl>
    <w:p>
      <w:pPr>
        <w:spacing w:after="0" w:line="240" w:lineRule="auto"/>
        <w:jc w:val="right"/>
        <w:rPr>
          <w:rFonts w:ascii="宋体" w:hAnsi="宋体" w:cs="宋体" w:eastAsia="宋体" w:hint="default"/>
          <w:sz w:val="21"/>
          <w:szCs w:val="21"/>
        </w:rPr>
        <w:sectPr>
          <w:pgSz w:w="11910" w:h="16840"/>
          <w:pgMar w:header="882" w:footer="1195" w:top="1120" w:bottom="1380" w:left="154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2797"/>
        <w:gridCol w:w="1997"/>
        <w:gridCol w:w="1344"/>
        <w:gridCol w:w="2038"/>
        <w:gridCol w:w="1301"/>
      </w:tblGrid>
      <w:tr>
        <w:trPr>
          <w:trHeight w:val="420"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88"/>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8,346,089.58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21"/>
                <w:szCs w:val="21"/>
              </w:rPr>
            </w:pPr>
            <w:r>
              <w:rPr>
                <w:rFonts w:ascii="宋体"/>
                <w:sz w:val="21"/>
              </w:rPr>
              <w:t>1.86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8,346,089.58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宋体" w:hAnsi="宋体" w:cs="宋体" w:eastAsia="宋体" w:hint="default"/>
                <w:sz w:val="21"/>
                <w:szCs w:val="21"/>
              </w:rPr>
            </w:pPr>
            <w:r>
              <w:rPr>
                <w:rFonts w:ascii="宋体"/>
                <w:sz w:val="21"/>
              </w:rPr>
              <w:t>100.00</w:t>
            </w:r>
          </w:p>
        </w:tc>
      </w:tr>
      <w:tr>
        <w:trPr>
          <w:trHeight w:val="49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33"/>
              <w:jc w:val="center"/>
              <w:rPr>
                <w:rFonts w:ascii="宋体" w:hAnsi="宋体" w:cs="宋体" w:eastAsia="宋体" w:hint="default"/>
                <w:sz w:val="21"/>
                <w:szCs w:val="21"/>
              </w:rPr>
            </w:pPr>
            <w:r>
              <w:rPr>
                <w:rFonts w:ascii="宋体" w:hAnsi="宋体" w:cs="宋体" w:eastAsia="宋体" w:hint="default"/>
                <w:sz w:val="21"/>
                <w:szCs w:val="21"/>
              </w:rPr>
              <w:t>小计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448,575,501.49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100.00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21"/>
                <w:szCs w:val="21"/>
              </w:rPr>
            </w:pPr>
            <w:r>
              <w:rPr>
                <w:rFonts w:ascii="宋体"/>
                <w:spacing w:val="-1"/>
                <w:sz w:val="21"/>
              </w:rPr>
              <w:t>86,933,825.80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z w:val="21"/>
              </w:rPr>
              <w:t>19.38</w:t>
            </w:r>
          </w:p>
        </w:tc>
      </w:tr>
    </w:tbl>
    <w:p>
      <w:pPr>
        <w:pStyle w:val="BodyText"/>
        <w:spacing w:line="241" w:lineRule="exact"/>
        <w:ind w:left="818" w:right="0"/>
        <w:jc w:val="left"/>
      </w:pPr>
      <w:r>
        <w:rPr/>
        <w:t>④组合中，采用合并范围内关联方往来组合计提坏账准备的其他应收款</w:t>
      </w: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1526"/>
        <w:gridCol w:w="1558"/>
        <w:gridCol w:w="994"/>
        <w:gridCol w:w="1275"/>
        <w:gridCol w:w="994"/>
        <w:gridCol w:w="994"/>
        <w:gridCol w:w="1274"/>
      </w:tblGrid>
      <w:tr>
        <w:trPr>
          <w:trHeight w:val="420"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77"/>
              <w:ind w:left="20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526"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合并范围内关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联方往来组合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4"/>
              <w:jc w:val="center"/>
              <w:rPr>
                <w:rFonts w:ascii="宋体" w:hAnsi="宋体" w:cs="宋体" w:eastAsia="宋体" w:hint="default"/>
                <w:sz w:val="21"/>
                <w:szCs w:val="21"/>
              </w:rPr>
            </w:pPr>
            <w:r>
              <w:rPr>
                <w:rFonts w:ascii="宋体"/>
                <w:sz w:val="21"/>
              </w:rPr>
              <w:t>351,484,695.01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center"/>
              <w:rPr>
                <w:rFonts w:ascii="宋体" w:hAnsi="宋体" w:cs="宋体" w:eastAsia="宋体" w:hint="default"/>
                <w:sz w:val="21"/>
                <w:szCs w:val="21"/>
              </w:rPr>
            </w:pPr>
            <w:r>
              <w:rPr>
                <w:rFonts w:ascii="宋体"/>
                <w:sz w:val="21"/>
              </w:rPr>
              <w:t>351,484,695.01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818" w:right="0"/>
        <w:jc w:val="left"/>
      </w:pPr>
      <w:r>
        <w:rPr>
          <w:rFonts w:ascii="宋体" w:hAnsi="宋体" w:cs="宋体" w:eastAsia="宋体" w:hint="default"/>
        </w:rPr>
        <w:t>2)</w:t>
      </w:r>
      <w:r>
        <w:rPr/>
        <w:t>本期计提、收回或转回的坏账准备情况</w:t>
      </w:r>
    </w:p>
    <w:p>
      <w:pPr>
        <w:pStyle w:val="BodyText"/>
        <w:spacing w:line="240" w:lineRule="auto" w:before="133"/>
        <w:ind w:left="818" w:right="0"/>
        <w:jc w:val="left"/>
      </w:pPr>
      <w:r>
        <w:rPr/>
        <w:t>①本期计提坏账准备金额</w:t>
      </w:r>
      <w:r>
        <w:rPr>
          <w:rFonts w:ascii="宋体" w:hAnsi="宋体" w:cs="宋体" w:eastAsia="宋体" w:hint="default"/>
        </w:rPr>
        <w:t>-68,403,898.26</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9,655,100.00</w:t>
      </w:r>
      <w:r>
        <w:rPr>
          <w:rFonts w:ascii="宋体" w:hAnsi="宋体" w:cs="宋体" w:eastAsia="宋体" w:hint="default"/>
          <w:spacing w:val="-56"/>
        </w:rPr>
        <w:t> </w:t>
      </w:r>
      <w:r>
        <w:rPr/>
        <w:t>元。</w:t>
      </w:r>
    </w:p>
    <w:p>
      <w:pPr>
        <w:pStyle w:val="BodyText"/>
        <w:spacing w:line="240" w:lineRule="auto" w:before="133"/>
        <w:ind w:left="818" w:right="0"/>
        <w:jc w:val="left"/>
      </w:pPr>
      <w:r>
        <w:rPr/>
        <w:t>②本期重要的坏账准备收回或转回情况</w:t>
      </w: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2842"/>
        <w:gridCol w:w="2844"/>
        <w:gridCol w:w="2842"/>
      </w:tblGrid>
      <w:tr>
        <w:trPr>
          <w:trHeight w:val="42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款项名称</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0"/>
              <w:jc w:val="right"/>
              <w:rPr>
                <w:rFonts w:ascii="宋体" w:hAnsi="宋体" w:cs="宋体" w:eastAsia="宋体" w:hint="default"/>
                <w:sz w:val="21"/>
                <w:szCs w:val="21"/>
              </w:rPr>
            </w:pPr>
            <w:r>
              <w:rPr>
                <w:rFonts w:ascii="宋体" w:hAnsi="宋体" w:cs="宋体" w:eastAsia="宋体" w:hint="default"/>
                <w:spacing w:val="-1"/>
                <w:sz w:val="21"/>
                <w:szCs w:val="21"/>
              </w:rPr>
              <w:t>收回方式</w:t>
            </w:r>
          </w:p>
        </w:tc>
      </w:tr>
      <w:tr>
        <w:trPr>
          <w:trHeight w:val="41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应收李国安等债权</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9,655,100.00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0"/>
              <w:jc w:val="right"/>
              <w:rPr>
                <w:rFonts w:ascii="宋体" w:hAnsi="宋体" w:cs="宋体" w:eastAsia="宋体" w:hint="default"/>
                <w:sz w:val="21"/>
                <w:szCs w:val="21"/>
              </w:rPr>
            </w:pPr>
            <w:r>
              <w:rPr>
                <w:rFonts w:ascii="宋体" w:hAnsi="宋体" w:cs="宋体" w:eastAsia="宋体" w:hint="default"/>
                <w:spacing w:val="-1"/>
                <w:sz w:val="21"/>
                <w:szCs w:val="21"/>
              </w:rPr>
              <w:t>银行转账</w:t>
            </w:r>
          </w:p>
        </w:tc>
      </w:tr>
      <w:tr>
        <w:trPr>
          <w:trHeight w:val="42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9,655,100.00</w:t>
            </w:r>
          </w:p>
        </w:tc>
        <w:tc>
          <w:tcPr>
            <w:tcW w:w="28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818" w:right="0"/>
        <w:jc w:val="left"/>
      </w:pPr>
      <w:r>
        <w:rPr>
          <w:rFonts w:ascii="宋体" w:hAnsi="宋体" w:cs="宋体" w:eastAsia="宋体" w:hint="default"/>
        </w:rPr>
        <w:t>3)</w:t>
      </w:r>
      <w:r>
        <w:rPr>
          <w:rFonts w:ascii="宋体" w:hAnsi="宋体" w:cs="宋体" w:eastAsia="宋体" w:hint="default"/>
          <w:spacing w:val="-2"/>
        </w:rPr>
        <w:t> </w:t>
      </w:r>
      <w:r>
        <w:rPr/>
        <w:t>本期核销的其他应收款金额为</w:t>
      </w:r>
      <w:r>
        <w:rPr>
          <w:spacing w:val="-54"/>
        </w:rPr>
        <w:t> </w:t>
      </w:r>
      <w:r>
        <w:rPr>
          <w:rFonts w:ascii="宋体" w:hAnsi="宋体" w:cs="宋体" w:eastAsia="宋体" w:hint="default"/>
        </w:rPr>
        <w:t>10,000.00</w:t>
      </w:r>
      <w:r>
        <w:rPr>
          <w:rFonts w:ascii="宋体" w:hAnsi="宋体" w:cs="宋体" w:eastAsia="宋体" w:hint="default"/>
          <w:spacing w:val="-54"/>
        </w:rPr>
        <w:t> </w:t>
      </w:r>
      <w:r>
        <w:rPr>
          <w:spacing w:val="-3"/>
        </w:rPr>
        <w:t>元。</w:t>
      </w:r>
      <w:r>
        <w:rPr/>
      </w:r>
    </w:p>
    <w:p>
      <w:pPr>
        <w:pStyle w:val="BodyText"/>
        <w:spacing w:line="240" w:lineRule="auto" w:before="133"/>
        <w:ind w:left="818" w:right="0"/>
        <w:jc w:val="left"/>
      </w:pPr>
      <w:r>
        <w:rPr>
          <w:rFonts w:ascii="宋体" w:hAnsi="宋体" w:cs="宋体" w:eastAsia="宋体" w:hint="default"/>
        </w:rPr>
        <w:t>4)</w:t>
      </w:r>
      <w:r>
        <w:rPr/>
        <w:t>其他应收款款项性质分类情况</w:t>
      </w:r>
    </w:p>
    <w:p>
      <w:pPr>
        <w:spacing w:line="240" w:lineRule="auto" w:before="10"/>
        <w:rPr>
          <w:rFonts w:ascii="宋体" w:hAnsi="宋体" w:cs="宋体" w:eastAsia="宋体" w:hint="default"/>
          <w:sz w:val="12"/>
          <w:szCs w:val="12"/>
        </w:rPr>
      </w:pPr>
    </w:p>
    <w:tbl>
      <w:tblPr>
        <w:tblW w:w="0" w:type="auto"/>
        <w:jc w:val="left"/>
        <w:tblInd w:w="748" w:type="dxa"/>
        <w:tblLayout w:type="fixed"/>
        <w:tblCellMar>
          <w:top w:w="0" w:type="dxa"/>
          <w:left w:w="0" w:type="dxa"/>
          <w:bottom w:w="0" w:type="dxa"/>
          <w:right w:w="0" w:type="dxa"/>
        </w:tblCellMar>
        <w:tblLook w:val="01E0"/>
      </w:tblPr>
      <w:tblGrid>
        <w:gridCol w:w="3325"/>
        <w:gridCol w:w="2614"/>
        <w:gridCol w:w="2612"/>
      </w:tblGrid>
      <w:tr>
        <w:trPr>
          <w:trHeight w:val="418"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债务重组款</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241,073,362.97</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250,728,462.97</w:t>
            </w:r>
          </w:p>
        </w:tc>
      </w:tr>
      <w:tr>
        <w:trPr>
          <w:trHeight w:val="418"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68,891,740.95</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65,839,569.96</w:t>
            </w:r>
          </w:p>
        </w:tc>
      </w:tr>
      <w:tr>
        <w:trPr>
          <w:trHeight w:val="420"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应收拆借款</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334,000,000.00</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359,000,000.00</w:t>
            </w:r>
          </w:p>
        </w:tc>
      </w:tr>
      <w:tr>
        <w:trPr>
          <w:trHeight w:val="418"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资管产品到期清算款</w:t>
            </w:r>
          </w:p>
        </w:tc>
        <w:tc>
          <w:tcPr>
            <w:tcW w:w="2614"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128,178,354.23</w:t>
            </w:r>
          </w:p>
        </w:tc>
      </w:tr>
      <w:tr>
        <w:trPr>
          <w:trHeight w:val="418"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38,273,460.59</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18,771,296.18</w:t>
            </w:r>
          </w:p>
        </w:tc>
      </w:tr>
      <w:tr>
        <w:trPr>
          <w:trHeight w:val="420"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2,735,103.59</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4,964,635.35</w:t>
            </w:r>
          </w:p>
        </w:tc>
      </w:tr>
      <w:tr>
        <w:trPr>
          <w:trHeight w:val="418"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684,973,668.10</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827,482,318.69</w:t>
            </w:r>
          </w:p>
        </w:tc>
      </w:tr>
    </w:tbl>
    <w:p>
      <w:pPr>
        <w:pStyle w:val="BodyText"/>
        <w:spacing w:line="241" w:lineRule="exact"/>
        <w:ind w:left="818" w:right="0"/>
        <w:jc w:val="left"/>
      </w:pPr>
      <w:r>
        <w:rPr>
          <w:rFonts w:ascii="宋体" w:hAnsi="宋体" w:cs="宋体" w:eastAsia="宋体" w:hint="default"/>
        </w:rPr>
        <w:t>5)</w:t>
      </w:r>
      <w:r>
        <w:rPr/>
        <w:t>其他应收款金额前</w:t>
      </w:r>
      <w:r>
        <w:rPr>
          <w:spacing w:val="-52"/>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43"/>
        <w:gridCol w:w="1702"/>
        <w:gridCol w:w="1558"/>
        <w:gridCol w:w="994"/>
        <w:gridCol w:w="1133"/>
        <w:gridCol w:w="1561"/>
      </w:tblGrid>
      <w:tr>
        <w:trPr>
          <w:trHeight w:val="7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2" w:lineRule="exact" w:before="23"/>
              <w:ind w:left="333" w:right="113" w:hanging="226"/>
              <w:jc w:val="left"/>
              <w:rPr>
                <w:rFonts w:ascii="宋体" w:hAnsi="宋体" w:cs="宋体" w:eastAsia="宋体" w:hint="default"/>
                <w:sz w:val="18"/>
                <w:szCs w:val="18"/>
              </w:rPr>
            </w:pPr>
            <w:r>
              <w:rPr>
                <w:rFonts w:ascii="宋体" w:hAnsi="宋体" w:cs="宋体" w:eastAsia="宋体" w:hint="default"/>
                <w:sz w:val="18"/>
                <w:szCs w:val="18"/>
              </w:rPr>
              <w:t>款余额的比 例</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财通资本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拆借款及往来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335,285,643.73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48.95</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李国安等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债务重组应收款项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232,344,043.45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33.92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232,344,043.45</w:t>
            </w:r>
          </w:p>
        </w:tc>
      </w:tr>
      <w:tr>
        <w:trPr>
          <w:trHeight w:val="47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上海陆家嘴金融贸易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区开发股份有限公司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押金及预付房租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pacing w:val="-1"/>
                <w:sz w:val="18"/>
              </w:rPr>
              <w:t>34,779,548.17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1,738,977.41</w:t>
            </w:r>
          </w:p>
        </w:tc>
      </w:tr>
      <w:tr>
        <w:trPr>
          <w:trHeight w:val="46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财通证券资管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15,166,809.89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2.21</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体育馆营业部历史遗</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留问题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债务重组应收款项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pacing w:val="-1"/>
                <w:sz w:val="18"/>
              </w:rPr>
              <w:t>8,729,319.52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8,729,319.52</w:t>
            </w:r>
          </w:p>
        </w:tc>
      </w:tr>
      <w:tr>
        <w:trPr>
          <w:trHeight w:val="46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626,305,364.76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91.43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242,812,340.38</w:t>
            </w:r>
          </w:p>
        </w:tc>
      </w:tr>
    </w:tbl>
    <w:p>
      <w:pPr>
        <w:spacing w:after="0" w:line="240" w:lineRule="auto"/>
        <w:jc w:val="right"/>
        <w:rPr>
          <w:rFonts w:ascii="宋体" w:hAnsi="宋体" w:cs="宋体" w:eastAsia="宋体" w:hint="default"/>
          <w:sz w:val="18"/>
          <w:szCs w:val="18"/>
        </w:rPr>
        <w:sectPr>
          <w:pgSz w:w="11910" w:h="16840"/>
          <w:pgMar w:header="882" w:footer="1195" w:top="1120" w:bottom="1380" w:left="1400" w:right="62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(3) </w:t>
      </w:r>
      <w:r>
        <w:rPr/>
        <w:t>应收股利</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277"/>
        <w:gridCol w:w="1419"/>
        <w:gridCol w:w="1416"/>
        <w:gridCol w:w="1419"/>
        <w:gridCol w:w="1416"/>
        <w:gridCol w:w="994"/>
        <w:gridCol w:w="991"/>
      </w:tblGrid>
      <w:tr>
        <w:trPr>
          <w:trHeight w:val="47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3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1" w:right="0"/>
              <w:jc w:val="left"/>
              <w:rPr>
                <w:rFonts w:ascii="宋体" w:hAnsi="宋体" w:cs="宋体" w:eastAsia="宋体" w:hint="default"/>
                <w:sz w:val="18"/>
                <w:szCs w:val="18"/>
              </w:rPr>
            </w:pPr>
            <w:r>
              <w:rPr>
                <w:rFonts w:ascii="宋体" w:hAnsi="宋体" w:cs="宋体" w:eastAsia="宋体" w:hint="default"/>
                <w:sz w:val="18"/>
                <w:szCs w:val="18"/>
              </w:rPr>
              <w:t>未收回</w:t>
            </w:r>
          </w:p>
          <w:p>
            <w:pPr>
              <w:pStyle w:val="TableParagraph"/>
              <w:spacing w:line="234" w:lineRule="exact"/>
              <w:ind w:left="221" w:right="0"/>
              <w:jc w:val="left"/>
              <w:rPr>
                <w:rFonts w:ascii="宋体" w:hAnsi="宋体" w:cs="宋体" w:eastAsia="宋体" w:hint="default"/>
                <w:sz w:val="18"/>
                <w:szCs w:val="18"/>
              </w:rPr>
            </w:pPr>
            <w:r>
              <w:rPr>
                <w:rFonts w:ascii="宋体" w:hAnsi="宋体" w:cs="宋体" w:eastAsia="宋体" w:hint="default"/>
                <w:sz w:val="18"/>
                <w:szCs w:val="18"/>
              </w:rPr>
              <w:t>的原因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相关款项是</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否发生减值</w:t>
            </w:r>
          </w:p>
        </w:tc>
      </w:tr>
      <w:tr>
        <w:trPr>
          <w:trHeight w:val="36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55"/>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 w:right="0"/>
              <w:jc w:val="center"/>
              <w:rPr>
                <w:rFonts w:ascii="宋体" w:hAnsi="宋体" w:cs="宋体" w:eastAsia="宋体" w:hint="default"/>
                <w:sz w:val="18"/>
                <w:szCs w:val="18"/>
              </w:rPr>
            </w:pPr>
            <w:r>
              <w:rPr>
                <w:rFonts w:ascii="宋体"/>
                <w:sz w:val="18"/>
              </w:rPr>
              <w:t>65,902,173.75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spacing w:val="-1"/>
                <w:sz w:val="18"/>
              </w:rPr>
              <w:t>52,721,739.00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8"/>
              <w:jc w:val="right"/>
              <w:rPr>
                <w:rFonts w:ascii="宋体" w:hAnsi="宋体" w:cs="宋体" w:eastAsia="宋体" w:hint="default"/>
                <w:sz w:val="18"/>
                <w:szCs w:val="18"/>
              </w:rPr>
            </w:pPr>
            <w:r>
              <w:rPr>
                <w:rFonts w:ascii="宋体"/>
                <w:spacing w:val="-1"/>
                <w:sz w:val="18"/>
              </w:rPr>
              <w:t>65,902,173.75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0"/>
              <w:jc w:val="right"/>
              <w:rPr>
                <w:rFonts w:ascii="宋体" w:hAnsi="宋体" w:cs="宋体" w:eastAsia="宋体" w:hint="default"/>
                <w:sz w:val="18"/>
                <w:szCs w:val="18"/>
              </w:rPr>
            </w:pPr>
            <w:r>
              <w:rPr>
                <w:rFonts w:ascii="宋体"/>
                <w:spacing w:val="-1"/>
                <w:sz w:val="18"/>
              </w:rPr>
              <w:t>52,721,739.00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9" w:right="0"/>
              <w:jc w:val="left"/>
              <w:rPr>
                <w:rFonts w:ascii="宋体" w:hAnsi="宋体" w:cs="宋体" w:eastAsia="宋体" w:hint="default"/>
                <w:sz w:val="18"/>
                <w:szCs w:val="18"/>
              </w:rPr>
            </w:pPr>
            <w:r>
              <w:rPr>
                <w:rFonts w:ascii="宋体" w:hAnsi="宋体" w:cs="宋体" w:eastAsia="宋体" w:hint="default"/>
                <w:sz w:val="18"/>
                <w:szCs w:val="18"/>
              </w:rPr>
              <w:t>尚未支付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65,902,173.75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pacing w:val="-1"/>
                <w:sz w:val="18"/>
              </w:rPr>
              <w:t>52,721,739.00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
              <w:jc w:val="right"/>
              <w:rPr>
                <w:rFonts w:ascii="宋体" w:hAnsi="宋体" w:cs="宋体" w:eastAsia="宋体" w:hint="default"/>
                <w:sz w:val="18"/>
                <w:szCs w:val="18"/>
              </w:rPr>
            </w:pPr>
            <w:r>
              <w:rPr>
                <w:rFonts w:ascii="宋体"/>
                <w:spacing w:val="-1"/>
                <w:sz w:val="18"/>
              </w:rPr>
              <w:t>65,902,173.75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0"/>
              <w:jc w:val="right"/>
              <w:rPr>
                <w:rFonts w:ascii="宋体" w:hAnsi="宋体" w:cs="宋体" w:eastAsia="宋体" w:hint="default"/>
                <w:sz w:val="18"/>
                <w:szCs w:val="18"/>
              </w:rPr>
            </w:pPr>
            <w:r>
              <w:rPr>
                <w:rFonts w:ascii="宋体"/>
                <w:spacing w:val="-1"/>
                <w:sz w:val="18"/>
              </w:rPr>
              <w:t>52,721,739.00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8" w:right="0"/>
        <w:jc w:val="left"/>
      </w:pPr>
      <w:r>
        <w:rPr>
          <w:rFonts w:ascii="宋体" w:hAnsi="宋体" w:cs="宋体" w:eastAsia="宋体" w:hint="default"/>
        </w:rPr>
        <w:t>(4)</w:t>
      </w:r>
      <w:r>
        <w:rPr/>
        <w:t>长期待摊费用</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135"/>
        <w:gridCol w:w="1700"/>
        <w:gridCol w:w="1844"/>
        <w:gridCol w:w="1843"/>
        <w:gridCol w:w="1985"/>
      </w:tblGrid>
      <w:tr>
        <w:trPr>
          <w:trHeight w:val="5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22"/>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4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7"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7"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8"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9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39,872,057.78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18,479,206.31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15,185,818.44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43,165,445.65</w:t>
            </w:r>
          </w:p>
        </w:tc>
      </w:tr>
      <w:tr>
        <w:trPr>
          <w:trHeight w:val="3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1,878,175.99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729,996.60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18"/>
                <w:szCs w:val="18"/>
              </w:rPr>
            </w:pPr>
            <w:r>
              <w:rPr>
                <w:rFonts w:ascii="宋体"/>
                <w:spacing w:val="-1"/>
                <w:sz w:val="18"/>
              </w:rPr>
              <w:t>713,768.23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pacing w:val="-1"/>
                <w:sz w:val="18"/>
              </w:rPr>
              <w:t>1,894,404.36</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22"/>
              <w:jc w:val="right"/>
              <w:rPr>
                <w:rFonts w:ascii="宋体" w:hAnsi="宋体" w:cs="宋体" w:eastAsia="宋体" w:hint="default"/>
                <w:sz w:val="20"/>
                <w:szCs w:val="20"/>
              </w:rPr>
            </w:pPr>
            <w:r>
              <w:rPr>
                <w:rFonts w:ascii="宋体" w:hAnsi="宋体" w:cs="宋体" w:eastAsia="宋体" w:hint="default"/>
                <w:w w:val="95"/>
                <w:sz w:val="20"/>
                <w:szCs w:val="20"/>
              </w:rPr>
              <w:t>小计</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41,750,233.77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19,209,202.91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15,899,586.67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45,059,850.01</w:t>
            </w:r>
          </w:p>
        </w:tc>
      </w:tr>
    </w:tbl>
    <w:p>
      <w:pPr>
        <w:spacing w:line="240" w:lineRule="auto" w:before="11"/>
        <w:rPr>
          <w:rFonts w:ascii="宋体" w:hAnsi="宋体" w:cs="宋体" w:eastAsia="宋体" w:hint="default"/>
          <w:sz w:val="25"/>
          <w:szCs w:val="25"/>
        </w:rPr>
      </w:pPr>
    </w:p>
    <w:p>
      <w:pPr>
        <w:pStyle w:val="BodyText"/>
        <w:tabs>
          <w:tab w:pos="2764" w:val="left" w:leader="none"/>
        </w:tabs>
        <w:spacing w:line="355" w:lineRule="auto" w:before="36"/>
        <w:ind w:left="558" w:right="5497"/>
        <w:jc w:val="left"/>
      </w:pPr>
      <w:r>
        <w:rPr>
          <w:rFonts w:ascii="宋体" w:hAnsi="宋体" w:cs="宋体" w:eastAsia="宋体" w:hint="default"/>
        </w:rPr>
        <w:t>4.</w:t>
      </w:r>
      <w:r>
        <w:rPr/>
        <w:t>手续费及佣金净收入</w:t>
      </w:r>
      <w:r>
        <w:rPr>
          <w:w w:val="100"/>
        </w:rPr>
        <w:t> </w:t>
      </w:r>
      <w:r>
        <w:rPr>
          <w:rFonts w:ascii="宋体" w:hAnsi="宋体" w:cs="宋体" w:eastAsia="宋体" w:hint="default"/>
          <w:spacing w:val="-2"/>
        </w:rPr>
        <w:t>(1)</w:t>
      </w:r>
      <w:r>
        <w:rPr>
          <w:spacing w:val="-2"/>
        </w:rPr>
        <w:t>明细情况单位：元</w:t>
        <w:tab/>
      </w:r>
      <w:r>
        <w:rPr>
          <w:spacing w:val="-1"/>
        </w:rPr>
        <w:t>币种：人民币</w:t>
      </w:r>
    </w:p>
    <w:p>
      <w:pPr>
        <w:spacing w:line="240" w:lineRule="auto" w:before="1"/>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545"/>
        <w:gridCol w:w="2480"/>
        <w:gridCol w:w="2482"/>
      </w:tblGrid>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937,690,368.26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1,220,184,910.73</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727,265,427.34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976,999,709.16</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590,863,632.93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811,428,651.54</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209,251,644.22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239,616,048.07</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120,265,919.78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132,931,509.40</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证券保荐业务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3,945,895.21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625,134.50</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财务顾问业务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85,039,829.23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106,059,404.17</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投资咨询业务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1,173,296.70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3,144,043.66</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425,109.84</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50,992,149.79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67,179,772.90</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45,625,357.35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67,076,661.24</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其中：代理买卖证券业务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45,625,357.35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67,076,661.24</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5,366,792.44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94,339.62</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其中：证券承销业务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5,366,792.44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94,339.62</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8,772.04</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886,698,218.47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1,153,005,137.83</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其中：财务顾问业务净收入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85,039,829.23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106,059,404.17</w:t>
            </w:r>
          </w:p>
        </w:tc>
      </w:tr>
      <w:tr>
        <w:trPr>
          <w:trHeight w:val="28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pacing w:val="-9"/>
                <w:sz w:val="21"/>
                <w:szCs w:val="21"/>
              </w:rPr>
              <w:t>—并购重组财务顾问业务净</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7,169,811.31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1,096,698.12</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3545"/>
        <w:gridCol w:w="2480"/>
        <w:gridCol w:w="2482"/>
      </w:tblGrid>
      <w:tr>
        <w:trPr>
          <w:trHeight w:val="28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收入</w:t>
            </w:r>
            <w:r>
              <w:rPr>
                <w:rFonts w:ascii="宋体" w:hAnsi="宋体" w:cs="宋体" w:eastAsia="宋体" w:hint="default"/>
                <w:spacing w:val="-8"/>
                <w:sz w:val="21"/>
                <w:szCs w:val="21"/>
              </w:rPr>
              <w:t>--</w:t>
            </w:r>
            <w:r>
              <w:rPr>
                <w:rFonts w:ascii="宋体" w:hAnsi="宋体" w:cs="宋体" w:eastAsia="宋体" w:hint="default"/>
                <w:spacing w:val="-8"/>
                <w:sz w:val="21"/>
                <w:szCs w:val="21"/>
              </w:rPr>
              <w:t>境内上市公司</w:t>
            </w: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—其他财务顾问业务净收入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98" w:right="0"/>
              <w:jc w:val="left"/>
              <w:rPr>
                <w:rFonts w:ascii="宋体" w:hAnsi="宋体" w:cs="宋体" w:eastAsia="宋体" w:hint="default"/>
                <w:sz w:val="21"/>
                <w:szCs w:val="21"/>
              </w:rPr>
            </w:pPr>
            <w:r>
              <w:rPr>
                <w:rFonts w:ascii="宋体"/>
                <w:sz w:val="21"/>
              </w:rPr>
              <w:t>77,870,017.92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97" w:right="0"/>
              <w:jc w:val="left"/>
              <w:rPr>
                <w:rFonts w:ascii="宋体" w:hAnsi="宋体" w:cs="宋体" w:eastAsia="宋体" w:hint="default"/>
                <w:sz w:val="21"/>
                <w:szCs w:val="21"/>
              </w:rPr>
            </w:pPr>
            <w:r>
              <w:rPr>
                <w:rFonts w:ascii="宋体"/>
                <w:sz w:val="21"/>
              </w:rPr>
              <w:t>104,962,706.05</w:t>
            </w:r>
          </w:p>
        </w:tc>
      </w:tr>
    </w:tbl>
    <w:p>
      <w:pPr>
        <w:spacing w:line="240" w:lineRule="auto" w:before="11"/>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5.</w:t>
      </w:r>
      <w:r>
        <w:rPr/>
        <w:t>投资收益</w:t>
      </w:r>
    </w:p>
    <w:p>
      <w:pPr>
        <w:pStyle w:val="BodyText"/>
        <w:tabs>
          <w:tab w:pos="2764" w:val="left" w:leader="none"/>
        </w:tabs>
        <w:spacing w:line="240" w:lineRule="auto" w:before="133"/>
        <w:ind w:left="558" w:right="0"/>
        <w:jc w:val="left"/>
      </w:pPr>
      <w:r>
        <w:rPr>
          <w:rFonts w:ascii="宋体" w:hAnsi="宋体" w:cs="宋体" w:eastAsia="宋体" w:hint="default"/>
          <w:spacing w:val="-2"/>
        </w:rPr>
        <w:t>(1)</w:t>
      </w:r>
      <w:r>
        <w:rPr>
          <w:spacing w:val="-2"/>
        </w:rPr>
        <w:t>明细情况单位：元</w:t>
        <w:tab/>
      </w:r>
      <w:r>
        <w:rPr>
          <w:spacing w:val="-1"/>
        </w:rPr>
        <w:t>币种：人民币</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545"/>
        <w:gridCol w:w="2480"/>
        <w:gridCol w:w="2482"/>
      </w:tblGrid>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288,339,965.58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495,345,551.07</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金融工具投资收益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951,990,014.06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1,379,854,951.87</w:t>
            </w:r>
          </w:p>
        </w:tc>
      </w:tr>
      <w:tr>
        <w:trPr>
          <w:trHeight w:val="42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其中：持有期间取得的收益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1,337,791,801.26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1,186,580,885.88</w:t>
            </w:r>
          </w:p>
        </w:tc>
      </w:tr>
      <w:tr>
        <w:trPr>
          <w:trHeight w:val="55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8" w:right="0" w:hanging="212"/>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w:t>
            </w:r>
          </w:p>
          <w:p>
            <w:pPr>
              <w:pStyle w:val="TableParagraph"/>
              <w:spacing w:line="273" w:lineRule="exact"/>
              <w:ind w:left="1048"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366,145,072.34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262,444,111.67</w:t>
            </w:r>
          </w:p>
        </w:tc>
      </w:tr>
      <w:tr>
        <w:trPr>
          <w:trHeight w:val="52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37"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971,646,728.92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924,136,774.21</w:t>
            </w:r>
          </w:p>
        </w:tc>
      </w:tr>
      <w:tr>
        <w:trPr>
          <w:trHeight w:val="499"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处置金融工具取得的收益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-385,801,787.20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宋体" w:hAnsi="宋体" w:cs="宋体" w:eastAsia="宋体" w:hint="default"/>
                <w:sz w:val="21"/>
                <w:szCs w:val="21"/>
              </w:rPr>
            </w:pPr>
            <w:r>
              <w:rPr>
                <w:rFonts w:ascii="宋体"/>
                <w:spacing w:val="-1"/>
                <w:sz w:val="21"/>
              </w:rPr>
              <w:t>193,274,065.99</w:t>
            </w:r>
          </w:p>
        </w:tc>
      </w:tr>
      <w:tr>
        <w:trPr>
          <w:trHeight w:val="55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0" w:right="0"/>
              <w:jc w:val="center"/>
              <w:rPr>
                <w:rFonts w:ascii="宋体" w:hAnsi="宋体" w:cs="宋体" w:eastAsia="宋体" w:hint="default"/>
                <w:sz w:val="21"/>
                <w:szCs w:val="21"/>
              </w:rPr>
            </w:pPr>
            <w:r>
              <w:rPr>
                <w:rFonts w:ascii="宋体" w:hAnsi="宋体" w:cs="宋体" w:eastAsia="宋体" w:hint="default"/>
                <w:spacing w:val="12"/>
                <w:sz w:val="21"/>
                <w:szCs w:val="21"/>
              </w:rPr>
              <w:t>－以公允价值计量且其变动</w:t>
            </w:r>
          </w:p>
          <w:p>
            <w:pPr>
              <w:pStyle w:val="TableParagraph"/>
              <w:spacing w:line="274" w:lineRule="exact"/>
              <w:ind w:left="664" w:right="0"/>
              <w:jc w:val="center"/>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-370,221,378.07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65,261,460.64</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-45,434,078.67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129,957,943.10</w:t>
            </w:r>
          </w:p>
        </w:tc>
      </w:tr>
      <w:tr>
        <w:trPr>
          <w:trHeight w:val="41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29,853,669.54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-1,945,337.75</w:t>
            </w:r>
          </w:p>
        </w:tc>
      </w:tr>
      <w:tr>
        <w:trPr>
          <w:trHeight w:val="42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宋体" w:hAnsi="宋体" w:cs="宋体" w:eastAsia="宋体" w:hint="default"/>
                <w:sz w:val="21"/>
                <w:szCs w:val="21"/>
              </w:rPr>
            </w:pPr>
            <w:r>
              <w:rPr>
                <w:rFonts w:ascii="宋体"/>
                <w:spacing w:val="-1"/>
                <w:sz w:val="21"/>
              </w:rPr>
              <w:t>1,240,329,979.64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1,875,200,502.94</w:t>
            </w:r>
          </w:p>
        </w:tc>
      </w:tr>
    </w:tbl>
    <w:p>
      <w:pPr>
        <w:pStyle w:val="BodyText"/>
        <w:spacing w:line="241" w:lineRule="exact"/>
        <w:ind w:left="558" w:right="0"/>
        <w:jc w:val="left"/>
      </w:pPr>
      <w:r>
        <w:rPr>
          <w:rFonts w:ascii="宋体" w:hAnsi="宋体" w:cs="宋体" w:eastAsia="宋体" w:hint="default"/>
        </w:rPr>
        <w:t>(2)</w:t>
      </w:r>
      <w:r>
        <w:rPr/>
        <w:t>按权益法核算的长期股权投资收益</w:t>
      </w:r>
    </w:p>
    <w:p>
      <w:pPr>
        <w:spacing w:line="240" w:lineRule="auto" w:before="10"/>
        <w:rPr>
          <w:rFonts w:ascii="宋体" w:hAnsi="宋体" w:cs="宋体" w:eastAsia="宋体" w:hint="default"/>
          <w:sz w:val="12"/>
          <w:szCs w:val="12"/>
        </w:rPr>
      </w:pPr>
    </w:p>
    <w:tbl>
      <w:tblPr>
        <w:tblW w:w="0" w:type="auto"/>
        <w:jc w:val="left"/>
        <w:tblInd w:w="610" w:type="dxa"/>
        <w:tblLayout w:type="fixed"/>
        <w:tblCellMar>
          <w:top w:w="0" w:type="dxa"/>
          <w:left w:w="0" w:type="dxa"/>
          <w:bottom w:w="0" w:type="dxa"/>
          <w:right w:w="0" w:type="dxa"/>
        </w:tblCellMar>
        <w:tblLook w:val="01E0"/>
      </w:tblPr>
      <w:tblGrid>
        <w:gridCol w:w="3109"/>
        <w:gridCol w:w="2597"/>
        <w:gridCol w:w="2600"/>
      </w:tblGrid>
      <w:tr>
        <w:trPr>
          <w:trHeight w:val="485"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28"/>
              <w:jc w:val="right"/>
              <w:rPr>
                <w:rFonts w:ascii="宋体" w:hAnsi="宋体" w:cs="宋体" w:eastAsia="宋体" w:hint="default"/>
                <w:sz w:val="21"/>
                <w:szCs w:val="21"/>
              </w:rPr>
            </w:pPr>
            <w:r>
              <w:rPr>
                <w:rFonts w:ascii="宋体" w:hAnsi="宋体" w:cs="宋体" w:eastAsia="宋体" w:hint="default"/>
                <w:spacing w:val="-1"/>
                <w:sz w:val="21"/>
                <w:szCs w:val="21"/>
              </w:rPr>
              <w:t>被投资单位</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6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1"/>
              <w:jc w:val="right"/>
              <w:rPr>
                <w:rFonts w:ascii="宋体" w:hAnsi="宋体" w:cs="宋体" w:eastAsia="宋体" w:hint="default"/>
                <w:sz w:val="21"/>
                <w:szCs w:val="21"/>
              </w:rPr>
            </w:pPr>
            <w:r>
              <w:rPr>
                <w:rFonts w:ascii="宋体" w:hAnsi="宋体" w:cs="宋体" w:eastAsia="宋体" w:hint="default"/>
                <w:spacing w:val="-1"/>
                <w:sz w:val="21"/>
                <w:szCs w:val="21"/>
              </w:rPr>
              <w:t>财通基金公司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-9,644,243.77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197,812,362.24</w:t>
            </w:r>
          </w:p>
        </w:tc>
      </w:tr>
      <w:tr>
        <w:trPr>
          <w:trHeight w:val="42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1"/>
              <w:jc w:val="right"/>
              <w:rPr>
                <w:rFonts w:ascii="宋体" w:hAnsi="宋体" w:cs="宋体" w:eastAsia="宋体" w:hint="default"/>
                <w:sz w:val="21"/>
                <w:szCs w:val="21"/>
              </w:rPr>
            </w:pPr>
            <w:r>
              <w:rPr>
                <w:rFonts w:ascii="宋体" w:hAnsi="宋体" w:cs="宋体" w:eastAsia="宋体" w:hint="default"/>
                <w:spacing w:val="-1"/>
                <w:sz w:val="21"/>
                <w:szCs w:val="21"/>
              </w:rPr>
              <w:t>永安期货公司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297,984,209.35</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297,533,188.83</w:t>
            </w:r>
          </w:p>
        </w:tc>
      </w:tr>
      <w:tr>
        <w:trPr>
          <w:trHeight w:val="418"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288,339,965.58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495,345,551.07</w:t>
            </w:r>
          </w:p>
        </w:tc>
      </w:tr>
    </w:tbl>
    <w:p>
      <w:pPr>
        <w:pStyle w:val="BodyText"/>
        <w:spacing w:line="241" w:lineRule="exact"/>
        <w:ind w:left="558" w:right="0"/>
        <w:jc w:val="left"/>
      </w:pPr>
      <w:r>
        <w:rPr>
          <w:rFonts w:ascii="宋体" w:hAnsi="宋体" w:cs="宋体" w:eastAsia="宋体" w:hint="default"/>
        </w:rPr>
        <w:t>(3)</w:t>
      </w:r>
      <w:r>
        <w:rPr/>
        <w:t>投资收益汇回重大限制的说明</w:t>
      </w:r>
    </w:p>
    <w:p>
      <w:pPr>
        <w:pStyle w:val="BodyText"/>
        <w:spacing w:line="240" w:lineRule="auto" w:before="135"/>
        <w:ind w:left="558" w:right="0"/>
        <w:jc w:val="left"/>
      </w:pPr>
      <w:r>
        <w:rPr/>
        <w:t>本公司不存在投资收益汇回的重大限制。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3815" w:val="left" w:leader="none"/>
        </w:tabs>
        <w:spacing w:line="355" w:lineRule="auto"/>
        <w:ind w:left="558" w:right="4448"/>
        <w:jc w:val="left"/>
      </w:pPr>
      <w:r>
        <w:rPr>
          <w:rFonts w:ascii="宋体" w:hAnsi="宋体" w:cs="宋体" w:eastAsia="宋体" w:hint="default"/>
        </w:rPr>
        <w:t>6.</w:t>
      </w:r>
      <w:r>
        <w:rPr/>
        <w:t>现金流量表补充资料</w:t>
      </w:r>
      <w:r>
        <w:rPr>
          <w:w w:val="100"/>
        </w:rPr>
        <w:t> </w:t>
      </w:r>
      <w:r>
        <w:rPr>
          <w:rFonts w:ascii="宋体" w:hAnsi="宋体" w:cs="宋体" w:eastAsia="宋体" w:hint="default"/>
          <w:spacing w:val="-2"/>
        </w:rPr>
        <w:t>(1)</w:t>
      </w:r>
      <w:r>
        <w:rPr>
          <w:spacing w:val="-2"/>
        </w:rPr>
        <w:t>现金流量表补充资料单位：元</w:t>
        <w:tab/>
        <w:t>币种：人民币</w:t>
      </w:r>
    </w:p>
    <w:p>
      <w:pPr>
        <w:spacing w:line="240" w:lineRule="auto" w:before="1"/>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4861"/>
        <w:gridCol w:w="1891"/>
        <w:gridCol w:w="1889"/>
      </w:tblGrid>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3"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640,822,751.55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1,375,498,131.57</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112,646,475.79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96,171,027.26</w:t>
            </w:r>
          </w:p>
        </w:tc>
      </w:tr>
      <w:tr>
        <w:trPr>
          <w:trHeight w:val="434"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16"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27,450,592.44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23,288,398.59</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37,453,685.33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34,235,001.22</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15,899,586.67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11,252,502.83</w:t>
            </w:r>
          </w:p>
        </w:tc>
      </w:tr>
    </w:tbl>
    <w:p>
      <w:pPr>
        <w:spacing w:after="0" w:line="203" w:lineRule="exact"/>
        <w:jc w:val="right"/>
        <w:rPr>
          <w:rFonts w:ascii="宋体" w:hAnsi="宋体" w:cs="宋体" w:eastAsia="宋体" w:hint="default"/>
          <w:sz w:val="18"/>
          <w:szCs w:val="18"/>
        </w:rPr>
        <w:sectPr>
          <w:pgSz w:w="11910" w:h="16840"/>
          <w:pgMar w:header="882" w:footer="1195" w:top="1120" w:bottom="1380" w:left="166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4861"/>
        <w:gridCol w:w="1891"/>
        <w:gridCol w:w="1889"/>
      </w:tblGrid>
      <w:tr>
        <w:trPr>
          <w:trHeight w:val="488"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95" w:right="0"/>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处置固定资产、无形资产和其他长期资产的损</w:t>
            </w:r>
            <w:r>
              <w:rPr>
                <w:rFonts w:ascii="宋体" w:hAnsi="宋体" w:cs="宋体" w:eastAsia="宋体" w:hint="default"/>
                <w:sz w:val="18"/>
                <w:szCs w:val="18"/>
              </w:rPr>
            </w:r>
          </w:p>
          <w:p>
            <w:pPr>
              <w:pStyle w:val="TableParagraph"/>
              <w:spacing w:line="244" w:lineRule="exact"/>
              <w:ind w:left="914" w:right="0"/>
              <w:jc w:val="left"/>
              <w:rPr>
                <w:rFonts w:ascii="宋体" w:hAnsi="宋体" w:cs="宋体" w:eastAsia="宋体" w:hint="default"/>
                <w:sz w:val="18"/>
                <w:szCs w:val="18"/>
              </w:rPr>
            </w:pPr>
            <w:r>
              <w:rPr>
                <w:rFonts w:ascii="宋体" w:hAnsi="宋体" w:cs="宋体" w:eastAsia="宋体" w:hint="default"/>
                <w:spacing w:val="3"/>
                <w:position w:val="1"/>
                <w:sz w:val="18"/>
                <w:szCs w:val="18"/>
              </w:rPr>
              <w:t>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-2,830,353.78</w:t>
            </w: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95"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6,655.28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-167,537.91</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95"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3,451,413.29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72,461,889.43</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9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984,941,068.31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698,593,555.18</w:t>
            </w:r>
          </w:p>
        </w:tc>
      </w:tr>
      <w:tr>
        <w:trPr>
          <w:trHeight w:val="36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95" w:right="0"/>
              <w:jc w:val="left"/>
              <w:rPr>
                <w:rFonts w:ascii="宋体" w:hAnsi="宋体" w:cs="宋体" w:eastAsia="宋体" w:hint="default"/>
                <w:sz w:val="18"/>
                <w:szCs w:val="18"/>
              </w:rPr>
            </w:pPr>
            <w:r>
              <w:rPr>
                <w:rFonts w:ascii="宋体" w:hAnsi="宋体" w:cs="宋体" w:eastAsia="宋体" w:hint="default"/>
                <w:sz w:val="18"/>
                <w:szCs w:val="18"/>
              </w:rPr>
              <w:t>汇兑损失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-288,339,965.58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-495,561,854.99</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-80,753,567.79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-83,406,115.99</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30,236,571.53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-20,993.98</w:t>
            </w:r>
          </w:p>
        </w:tc>
      </w:tr>
      <w:tr>
        <w:trPr>
          <w:trHeight w:val="476"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34" w:lineRule="exact"/>
              <w:ind w:left="914" w:right="0"/>
              <w:jc w:val="left"/>
              <w:rPr>
                <w:rFonts w:ascii="宋体" w:hAnsi="宋体" w:cs="宋体" w:eastAsia="宋体" w:hint="default"/>
                <w:sz w:val="18"/>
                <w:szCs w:val="18"/>
              </w:rPr>
            </w:pPr>
            <w:r>
              <w:rPr>
                <w:rFonts w:ascii="宋体" w:hAnsi="宋体" w:cs="宋体" w:eastAsia="宋体" w:hint="default"/>
                <w:sz w:val="18"/>
                <w:szCs w:val="18"/>
              </w:rPr>
              <w:t>产等的减少（增加以“－”号填列）</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628,753,391.60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-2,750,110,387.05</w:t>
            </w:r>
          </w:p>
        </w:tc>
      </w:tr>
      <w:tr>
        <w:trPr>
          <w:trHeight w:val="36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52"/>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-431,897,783.50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-4,551,624,371.37</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52"/>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539,613,865.07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-7,243,966,320.54</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6"/>
              <w:jc w:val="right"/>
              <w:rPr>
                <w:rFonts w:ascii="宋体" w:hAnsi="宋体" w:cs="宋体" w:eastAsia="宋体" w:hint="default"/>
                <w:sz w:val="18"/>
                <w:szCs w:val="18"/>
              </w:rPr>
            </w:pPr>
            <w:r>
              <w:rPr>
                <w:rFonts w:ascii="宋体"/>
                <w:spacing w:val="-1"/>
                <w:sz w:val="18"/>
              </w:rPr>
              <w:t>2,217,454,386.21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-12,813,357,075.75</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10,714,737,063.69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10,880,442,192.69</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10,880,442,192.69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15,917,880,037.60</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-165,705,129.00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-5,037,437,844.91</w:t>
            </w:r>
          </w:p>
        </w:tc>
      </w:tr>
    </w:tbl>
    <w:p>
      <w:pPr>
        <w:pStyle w:val="BodyText"/>
        <w:spacing w:line="241" w:lineRule="exact"/>
        <w:ind w:left="558" w:right="0"/>
        <w:jc w:val="left"/>
      </w:pPr>
      <w:r>
        <w:rPr>
          <w:rFonts w:ascii="宋体" w:hAnsi="宋体" w:cs="宋体" w:eastAsia="宋体" w:hint="default"/>
        </w:rPr>
        <w:t>(2)</w:t>
      </w:r>
      <w:r>
        <w:rPr/>
        <w:t>现金和现金等价物的构成</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861"/>
        <w:gridCol w:w="1891"/>
        <w:gridCol w:w="1889"/>
      </w:tblGrid>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现金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10,714,737,063.69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10,880,442,192.69</w:t>
            </w:r>
          </w:p>
        </w:tc>
      </w:tr>
      <w:tr>
        <w:trPr>
          <w:trHeight w:val="361"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7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8,354,346,949.22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8,499,224,594.29</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4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2,360,390,114.47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2,381,217,598.40</w:t>
            </w: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期末现金及现金等价物余额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10,714,737,063.69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10,880,442,192.69</w:t>
            </w:r>
          </w:p>
        </w:tc>
      </w:tr>
    </w:tbl>
    <w:p>
      <w:pPr>
        <w:pStyle w:val="BodyText"/>
        <w:spacing w:line="241" w:lineRule="exact"/>
        <w:ind w:left="558" w:right="0"/>
        <w:jc w:val="left"/>
      </w:pPr>
      <w:r>
        <w:rPr>
          <w:rFonts w:ascii="宋体" w:hAnsi="宋体" w:cs="宋体" w:eastAsia="宋体" w:hint="default"/>
        </w:rPr>
        <w:t>(3)</w:t>
      </w:r>
      <w:r>
        <w:rPr/>
        <w:t>现金流量表补充资料的说明</w:t>
      </w:r>
    </w:p>
    <w:p>
      <w:pPr>
        <w:pStyle w:val="BodyText"/>
        <w:spacing w:line="357" w:lineRule="auto" w:before="133"/>
        <w:ind w:right="0" w:firstLine="419"/>
        <w:jc w:val="left"/>
      </w:pPr>
      <w:r>
        <w:rPr>
          <w:spacing w:val="-2"/>
        </w:rPr>
        <w:t>本公司在充分考虑流动性影响后计划将定期存款持有至到期，该定期存款不属于现金及现金等价</w:t>
      </w:r>
      <w:r>
        <w:rPr>
          <w:w w:val="100"/>
        </w:rPr>
        <w:t> </w:t>
      </w:r>
      <w:r>
        <w:rPr/>
        <w:t>物。</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日本公司准备持有至到期的定期存款金额为</w:t>
      </w:r>
      <w:r>
        <w:rPr>
          <w:spacing w:val="-54"/>
        </w:rPr>
        <w:t> </w:t>
      </w:r>
      <w:r>
        <w:rPr>
          <w:rFonts w:ascii="宋体" w:hAnsi="宋体" w:cs="宋体" w:eastAsia="宋体" w:hint="default"/>
        </w:rPr>
        <w:t>237,747,600.00</w:t>
      </w:r>
      <w:r>
        <w:rPr>
          <w:rFonts w:ascii="宋体" w:hAnsi="宋体" w:cs="宋体" w:eastAsia="宋体" w:hint="default"/>
          <w:spacing w:val="-56"/>
        </w:rPr>
        <w:t> </w:t>
      </w:r>
      <w:r>
        <w:rPr/>
        <w:t>元。</w:t>
      </w:r>
    </w:p>
    <w:p>
      <w:pPr>
        <w:pStyle w:val="BodyText"/>
        <w:spacing w:line="240" w:lineRule="auto" w:before="30"/>
        <w:ind w:left="558" w:right="0"/>
        <w:jc w:val="left"/>
      </w:pPr>
      <w:r>
        <w:rPr>
          <w:spacing w:val="-4"/>
        </w:rPr>
        <w:t>期末，本公司以存放在永隆银行上海分行的人民币存款 </w:t>
      </w:r>
      <w:r>
        <w:rPr>
          <w:rFonts w:ascii="宋体" w:hAnsi="宋体" w:cs="宋体" w:eastAsia="宋体" w:hint="default"/>
        </w:rPr>
        <w:t>223,530,000.00</w:t>
      </w:r>
      <w:r>
        <w:rPr>
          <w:rFonts w:ascii="宋体" w:hAnsi="宋体" w:cs="宋体" w:eastAsia="宋体" w:hint="default"/>
          <w:spacing w:val="-32"/>
        </w:rPr>
        <w:t> </w:t>
      </w:r>
      <w:r>
        <w:rPr>
          <w:spacing w:val="-6"/>
        </w:rPr>
        <w:t>元作为保证金，为子公司</w:t>
      </w:r>
    </w:p>
    <w:p>
      <w:pPr>
        <w:spacing w:after="0" w:line="240" w:lineRule="auto"/>
        <w:jc w:val="left"/>
        <w:sectPr>
          <w:pgSz w:w="11910" w:h="16840"/>
          <w:pgMar w:header="882" w:footer="1195" w:top="1120" w:bottom="1380" w:left="1660" w:right="720"/>
        </w:sectPr>
      </w:pPr>
    </w:p>
    <w:p>
      <w:pPr>
        <w:spacing w:line="240" w:lineRule="auto" w:before="1"/>
        <w:rPr>
          <w:rFonts w:ascii="宋体" w:hAnsi="宋体" w:cs="宋体" w:eastAsia="宋体" w:hint="default"/>
          <w:sz w:val="25"/>
          <w:szCs w:val="25"/>
        </w:rPr>
      </w:pPr>
    </w:p>
    <w:p>
      <w:pPr>
        <w:pStyle w:val="BodyText"/>
        <w:spacing w:line="240" w:lineRule="auto" w:before="36"/>
        <w:ind w:left="258" w:right="0"/>
        <w:jc w:val="left"/>
      </w:pPr>
      <w:r>
        <w:rPr/>
        <w:t>财通香港公司向永隆银行申请贷款提供担保，该等存款不列为现金及现金等价物。</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620"/>
        </w:sectPr>
      </w:pPr>
    </w:p>
    <w:p>
      <w:pPr>
        <w:spacing w:line="240" w:lineRule="auto" w:before="9"/>
        <w:rPr>
          <w:rFonts w:ascii="宋体" w:hAnsi="宋体" w:cs="宋体" w:eastAsia="宋体" w:hint="default"/>
          <w:sz w:val="15"/>
          <w:szCs w:val="15"/>
        </w:rPr>
      </w:pPr>
    </w:p>
    <w:p>
      <w:pPr>
        <w:pStyle w:val="Heading5"/>
        <w:spacing w:line="240" w:lineRule="auto"/>
        <w:ind w:left="116" w:right="-19"/>
        <w:jc w:val="left"/>
        <w:rPr>
          <w:b w:val="0"/>
          <w:bCs w:val="0"/>
        </w:rPr>
      </w:pPr>
      <w:r>
        <w:rPr/>
        <w:t>二十、补充资料</w:t>
      </w:r>
      <w:r>
        <w:rPr>
          <w:b w:val="0"/>
          <w:bCs w:val="0"/>
        </w:rPr>
      </w:r>
    </w:p>
    <w:p>
      <w:pPr>
        <w:pStyle w:val="Heading5"/>
        <w:spacing w:line="240" w:lineRule="auto" w:before="58"/>
        <w:ind w:left="258" w:right="-19"/>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left="2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168" w:val="left" w:leader="none"/>
        </w:tabs>
        <w:spacing w:line="240" w:lineRule="auto"/>
        <w:ind w:left="116" w:right="0"/>
        <w:jc w:val="left"/>
      </w:pPr>
      <w:r>
        <w:rPr>
          <w:spacing w:val="-1"/>
        </w:rPr>
        <w:t>单位：元</w:t>
        <w:tab/>
      </w:r>
      <w:r>
        <w:rPr>
          <w:spacing w:val="-2"/>
        </w:rPr>
        <w:t>币种：人民币</w:t>
      </w:r>
    </w:p>
    <w:p>
      <w:pPr>
        <w:spacing w:after="0" w:line="240" w:lineRule="auto"/>
        <w:jc w:val="left"/>
        <w:sectPr>
          <w:type w:val="continuous"/>
          <w:pgSz w:w="11910" w:h="16840"/>
          <w:pgMar w:top="1060" w:bottom="1380" w:left="1540" w:right="620"/>
          <w:cols w:num="2" w:equalWidth="0">
            <w:col w:w="3002" w:space="4089"/>
            <w:col w:w="265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51"/>
        <w:gridCol w:w="2098"/>
        <w:gridCol w:w="3128"/>
      </w:tblGrid>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2,832,087.52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主要是固定资产处置收益</w:t>
            </w: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免</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pacing w:val="-2"/>
                <w:sz w:val="21"/>
                <w:szCs w:val="21"/>
              </w:rPr>
              <w:t>相关，按照国家统一标准定额或定量享受的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政府补助除外）</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31,864,973.63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主要是政府补助</w:t>
            </w: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pacing w:val="-2"/>
                <w:sz w:val="21"/>
                <w:szCs w:val="21"/>
              </w:rPr>
              <w:t>资成本小于取得投资时应享有被投资单位可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辨认净资产公允价值产生的收益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各项资产减值准备</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用等</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pacing w:val="-2"/>
                <w:sz w:val="21"/>
                <w:szCs w:val="21"/>
              </w:rPr>
              <w:t>业务外，持有交易性金融资产、交易性金融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负债产生的公允价值变动损益，以及处置交</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易性金融资产、交易性金融负债和可供出售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金融资产取得的投资收益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9,655,100.00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主要是收到已单独计提坏账准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备的应收款的还款</w:t>
            </w: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损益进行一次性调整对当期损益的影响</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-14,290,521.82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主要是对外捐赠</w:t>
            </w: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1,340,782.57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主要是收到已核销债权的还款</w:t>
            </w:r>
          </w:p>
        </w:tc>
      </w:tr>
      <w:tr>
        <w:trPr>
          <w:trHeight w:val="281" w:hRule="exact"/>
        </w:trPr>
        <w:tc>
          <w:tcPr>
            <w:tcW w:w="4251"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4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51"/>
        <w:gridCol w:w="2098"/>
        <w:gridCol w:w="3128"/>
      </w:tblGrid>
      <w:tr>
        <w:trPr>
          <w:trHeight w:val="284"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-5,455,821.48</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9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25,946,600.42</w:t>
            </w: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pStyle w:val="BodyText"/>
        <w:spacing w:line="240" w:lineRule="auto" w:before="36"/>
        <w:ind w:left="218" w:right="0"/>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号——非经常性损益》定义界定的非经常</w:t>
      </w:r>
    </w:p>
    <w:p>
      <w:pPr>
        <w:pStyle w:val="BodyText"/>
        <w:spacing w:line="357" w:lineRule="auto" w:before="133"/>
        <w:ind w:left="218" w:right="233"/>
        <w:jc w:val="left"/>
      </w:pPr>
      <w:r>
        <w:rPr/>
        <w:t>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号——非经常性损益》中列举的</w:t>
      </w:r>
      <w:r>
        <w:rPr>
          <w:w w:val="100"/>
        </w:rPr>
        <w:t> </w:t>
      </w:r>
      <w:r>
        <w:rPr/>
        <w:t>非经常性损益项目界定为经常性损益的项目，应说明原因。</w:t>
      </w:r>
    </w:p>
    <w:p>
      <w:pPr>
        <w:pStyle w:val="BodyText"/>
        <w:spacing w:line="240" w:lineRule="auto" w:before="30"/>
        <w:ind w:left="218" w:right="9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218" w:right="974"/>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7"/>
        <w:ind w:left="218" w:right="97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1"/>
        <w:gridCol w:w="1928"/>
        <w:gridCol w:w="2249"/>
        <w:gridCol w:w="2249"/>
      </w:tblGrid>
      <w:tr>
        <w:trPr>
          <w:trHeight w:val="281" w:hRule="exact"/>
        </w:trPr>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50"/>
              <w:ind w:left="99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14"/>
              <w:ind w:left="484" w:right="115"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p>
        </w:tc>
        <w:tc>
          <w:tcPr>
            <w:tcW w:w="4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3051"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44"/>
              <w:jc w:val="right"/>
              <w:rPr>
                <w:rFonts w:ascii="宋体" w:hAnsi="宋体" w:cs="宋体" w:eastAsia="宋体" w:hint="default"/>
                <w:sz w:val="21"/>
                <w:szCs w:val="21"/>
              </w:rPr>
            </w:pPr>
            <w:r>
              <w:rPr>
                <w:rFonts w:ascii="宋体"/>
                <w:sz w:val="21"/>
              </w:rPr>
              <w:t>4.05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0.22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0.22</w:t>
            </w:r>
          </w:p>
        </w:tc>
      </w:tr>
      <w:tr>
        <w:trPr>
          <w:trHeight w:val="55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司普通股股东的净利润</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4"/>
              <w:jc w:val="right"/>
              <w:rPr>
                <w:rFonts w:ascii="宋体" w:hAnsi="宋体" w:cs="宋体" w:eastAsia="宋体" w:hint="default"/>
                <w:sz w:val="21"/>
                <w:szCs w:val="21"/>
              </w:rPr>
            </w:pPr>
            <w:r>
              <w:rPr>
                <w:rFonts w:ascii="宋体"/>
                <w:sz w:val="21"/>
              </w:rPr>
              <w:t>3.91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0.21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0.21</w:t>
            </w:r>
          </w:p>
        </w:tc>
      </w:tr>
    </w:tbl>
    <w:p>
      <w:pPr>
        <w:spacing w:line="240" w:lineRule="auto" w:before="12"/>
        <w:rPr>
          <w:rFonts w:ascii="宋体" w:hAnsi="宋体" w:cs="宋体" w:eastAsia="宋体" w:hint="default"/>
          <w:sz w:val="19"/>
          <w:szCs w:val="19"/>
        </w:rPr>
      </w:pPr>
    </w:p>
    <w:p>
      <w:pPr>
        <w:pStyle w:val="Heading5"/>
        <w:spacing w:line="240" w:lineRule="auto" w:before="36"/>
        <w:ind w:left="218" w:right="974"/>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9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218" w:right="974"/>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6"/>
        <w:ind w:left="218" w:right="974"/>
        <w:jc w:val="left"/>
      </w:pPr>
      <w:r>
        <w:rPr/>
        <w:t>□适用</w:t>
      </w:r>
      <w:r>
        <w:rPr>
          <w:spacing w:val="-1"/>
        </w:rPr>
        <w:t> </w:t>
      </w:r>
      <w:r>
        <w:rPr/>
        <w:t>√不适用</w:t>
      </w:r>
    </w:p>
    <w:p>
      <w:pPr>
        <w:spacing w:after="0" w:line="240" w:lineRule="auto"/>
        <w:jc w:val="left"/>
        <w:sectPr>
          <w:footerReference w:type="default" r:id="rId81"/>
          <w:pgSz w:w="11910" w:h="16840"/>
          <w:pgMar w:footer="1195" w:header="882" w:top="1120" w:bottom="1380" w:left="1580" w:right="62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4"/>
        <w:ind w:left="3143" w:right="3157"/>
        <w:jc w:val="center"/>
        <w:rPr>
          <w:b w:val="0"/>
          <w:bCs w:val="0"/>
        </w:rPr>
      </w:pPr>
      <w:bookmarkStart w:name="_TOC_250001" w:id="12"/>
      <w:r>
        <w:rPr/>
        <w:t>第十二节</w:t>
      </w:r>
      <w:r>
        <w:rPr>
          <w:spacing w:val="-6"/>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载有公司法定代表人签名的公司</w:t>
            </w:r>
            <w:r>
              <w:rPr>
                <w:rFonts w:ascii="宋体" w:hAnsi="宋体" w:cs="宋体" w:eastAsia="宋体" w:hint="default"/>
                <w:sz w:val="21"/>
                <w:szCs w:val="21"/>
              </w:rPr>
              <w:t>2018</w:t>
            </w:r>
            <w:r>
              <w:rPr>
                <w:rFonts w:ascii="宋体" w:hAnsi="宋体" w:cs="宋体" w:eastAsia="宋体" w:hint="default"/>
                <w:sz w:val="21"/>
                <w:szCs w:val="21"/>
              </w:rPr>
              <w:t>年年度报告文本原件。</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载有法定代表人、主管会计工作负责人及会计机构负责人签名并盖章的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其他有关资料</w:t>
            </w:r>
          </w:p>
        </w:tc>
      </w:tr>
    </w:tbl>
    <w:p>
      <w:pPr>
        <w:spacing w:line="240" w:lineRule="auto" w:before="4"/>
        <w:rPr>
          <w:rFonts w:ascii="黑体" w:hAnsi="黑体" w:cs="黑体" w:eastAsia="黑体" w:hint="default"/>
          <w:b/>
          <w:bCs/>
          <w:sz w:val="24"/>
          <w:szCs w:val="24"/>
        </w:rPr>
      </w:pPr>
    </w:p>
    <w:p>
      <w:pPr>
        <w:pStyle w:val="BodyText"/>
        <w:spacing w:line="314" w:lineRule="auto" w:before="36"/>
        <w:ind w:left="5323" w:right="224" w:firstLine="2256"/>
        <w:jc w:val="left"/>
      </w:pPr>
      <w:r>
        <w:rPr>
          <w:spacing w:val="-1"/>
        </w:rPr>
        <w:t>董事长：陆建强</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p>
    <w:p>
      <w:pPr>
        <w:spacing w:line="240" w:lineRule="auto" w:before="4"/>
        <w:rPr>
          <w:rFonts w:ascii="宋体" w:hAnsi="宋体" w:cs="宋体" w:eastAsia="宋体" w:hint="default"/>
          <w:sz w:val="26"/>
          <w:szCs w:val="26"/>
        </w:rPr>
      </w:pPr>
    </w:p>
    <w:p>
      <w:pPr>
        <w:pStyle w:val="Heading5"/>
        <w:spacing w:line="240" w:lineRule="auto" w:before="36"/>
        <w:ind w:left="218" w:right="224"/>
        <w:jc w:val="left"/>
        <w:rPr>
          <w:b w:val="0"/>
          <w:bCs w:val="0"/>
        </w:rPr>
      </w:pPr>
      <w:r>
        <w:rPr/>
        <w:t>修订信息</w:t>
      </w:r>
      <w:r>
        <w:rPr>
          <w:b w:val="0"/>
          <w:bCs w:val="0"/>
        </w:rPr>
      </w:r>
    </w:p>
    <w:p>
      <w:pPr>
        <w:pStyle w:val="BodyText"/>
        <w:spacing w:line="240" w:lineRule="auto" w:before="8"/>
        <w:ind w:left="218" w:right="224"/>
        <w:jc w:val="left"/>
      </w:pPr>
      <w:r>
        <w:rPr/>
        <w:t>□适用</w:t>
      </w:r>
      <w:r>
        <w:rPr>
          <w:spacing w:val="-1"/>
        </w:rPr>
        <w:t> </w:t>
      </w:r>
      <w:r>
        <w:rPr/>
        <w:t>√不适用</w:t>
      </w:r>
    </w:p>
    <w:p>
      <w:pPr>
        <w:spacing w:line="240" w:lineRule="auto" w:before="8"/>
        <w:rPr>
          <w:rFonts w:ascii="宋体" w:hAnsi="宋体" w:cs="宋体" w:eastAsia="宋体" w:hint="default"/>
          <w:sz w:val="29"/>
          <w:szCs w:val="29"/>
        </w:rPr>
      </w:pPr>
    </w:p>
    <w:p>
      <w:pPr>
        <w:pStyle w:val="Heading1"/>
        <w:spacing w:line="240" w:lineRule="auto" w:before="14"/>
        <w:ind w:left="2880" w:right="224"/>
        <w:jc w:val="left"/>
        <w:rPr>
          <w:b w:val="0"/>
          <w:bCs w:val="0"/>
        </w:rPr>
      </w:pPr>
      <w:bookmarkStart w:name="_TOC_250000" w:id="13"/>
      <w:r>
        <w:rPr/>
        <w:t>第十三节</w:t>
      </w:r>
      <w:r>
        <w:rPr>
          <w:spacing w:val="-7"/>
        </w:rPr>
        <w:t> </w:t>
      </w:r>
      <w:r>
        <w:rPr/>
        <w:t>证券公司信息披露</w:t>
      </w:r>
      <w:bookmarkEnd w:id="13"/>
      <w:r>
        <w:rPr>
          <w:b w:val="0"/>
          <w:bCs w:val="0"/>
        </w:rPr>
      </w:r>
    </w:p>
    <w:p>
      <w:pPr>
        <w:spacing w:line="240" w:lineRule="auto" w:before="4"/>
        <w:rPr>
          <w:rFonts w:ascii="黑体" w:hAnsi="黑体" w:cs="黑体" w:eastAsia="黑体" w:hint="default"/>
          <w:b/>
          <w:bCs/>
          <w:sz w:val="19"/>
          <w:szCs w:val="19"/>
        </w:rPr>
      </w:pPr>
    </w:p>
    <w:p>
      <w:pPr>
        <w:pStyle w:val="Heading5"/>
        <w:spacing w:line="240" w:lineRule="auto"/>
        <w:ind w:left="218" w:right="224"/>
        <w:jc w:val="left"/>
        <w:rPr>
          <w:b w:val="0"/>
          <w:bCs w:val="0"/>
        </w:rPr>
      </w:pPr>
      <w:r>
        <w:rPr/>
        <w:t>一、</w:t>
      </w:r>
      <w:r>
        <w:rPr>
          <w:spacing w:val="45"/>
        </w:rPr>
        <w:t> </w:t>
      </w:r>
      <w:r>
        <w:rPr/>
        <w:t>公司重大行政许可事项的相关情况</w:t>
      </w:r>
      <w:r>
        <w:rPr>
          <w:b w:val="0"/>
          <w:bCs w:val="0"/>
        </w:rPr>
      </w:r>
    </w:p>
    <w:p>
      <w:pPr>
        <w:pStyle w:val="BodyText"/>
        <w:spacing w:line="240" w:lineRule="auto" w:before="58"/>
        <w:ind w:left="218" w:right="224"/>
        <w:jc w:val="left"/>
      </w:pPr>
      <w:r>
        <w:rPr/>
        <w:t>√适用</w:t>
      </w:r>
      <w:r>
        <w:rPr>
          <w:spacing w:val="-1"/>
        </w:rPr>
        <w:t> </w:t>
      </w:r>
      <w:r>
        <w:rPr/>
        <w:t>□不适用</w:t>
      </w:r>
    </w:p>
    <w:p>
      <w:pPr>
        <w:spacing w:line="240" w:lineRule="auto" w:before="3"/>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810"/>
        <w:gridCol w:w="4679"/>
        <w:gridCol w:w="256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发文时间</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文件名称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文号</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关于核准杨勇证券公司监事任职资格的批复</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26</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中国人民银行关于核定财通证券股份有限公司短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期融资券最高待偿还余额的通知</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银发〔</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138</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浙江省财政厅同意财通证券股份有限公司发行可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转换公司债券方式实施再融资的批复</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浙财金〔</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35</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关于核准陆建强证券公司董事长类人员任职资格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的批复</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关于对财通证券股份有限公司非公开发行次级债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券挂牌转让无异议的函</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上证函〔</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689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关于核准财通证券资产管理有限公司设立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家分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支机构的批复</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浙证监许可〔</w:t>
            </w:r>
            <w:r>
              <w:rPr>
                <w:rFonts w:ascii="宋体" w:hAnsi="宋体" w:cs="宋体" w:eastAsia="宋体" w:hint="default"/>
                <w:sz w:val="21"/>
                <w:szCs w:val="21"/>
              </w:rPr>
              <w:t>2018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14</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关于核准财通证券股份有限公司设立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家分支机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构的批复</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pacing w:val="-3"/>
                <w:sz w:val="21"/>
                <w:szCs w:val="21"/>
              </w:rPr>
              <w:t>浙证监许可〔</w:t>
            </w:r>
            <w:r>
              <w:rPr>
                <w:rFonts w:ascii="宋体" w:hAnsi="宋体" w:cs="宋体" w:eastAsia="宋体" w:hint="default"/>
                <w:spacing w:val="-3"/>
                <w:sz w:val="21"/>
                <w:szCs w:val="21"/>
              </w:rPr>
              <w:t>2018</w:t>
            </w:r>
            <w:r>
              <w:rPr>
                <w:rFonts w:ascii="宋体" w:hAnsi="宋体" w:cs="宋体" w:eastAsia="宋体" w:hint="default"/>
                <w:spacing w:val="-3"/>
                <w:sz w:val="21"/>
                <w:szCs w:val="21"/>
              </w:rPr>
              <w:t>〕</w:t>
            </w:r>
            <w:r>
              <w:rPr>
                <w:rFonts w:ascii="宋体" w:hAnsi="宋体" w:cs="宋体" w:eastAsia="宋体" w:hint="default"/>
                <w:spacing w:val="-3"/>
                <w:sz w:val="21"/>
                <w:szCs w:val="21"/>
              </w:rPr>
              <w:t>11</w:t>
            </w:r>
            <w:r>
              <w:rPr>
                <w:rFonts w:ascii="宋体" w:hAnsi="宋体" w:cs="宋体" w:eastAsia="宋体" w:hint="default"/>
                <w:spacing w:val="-29"/>
                <w:sz w:val="21"/>
                <w:szCs w:val="21"/>
              </w:rPr>
              <w:t> </w:t>
            </w:r>
            <w:r>
              <w:rPr>
                <w:rFonts w:ascii="宋体" w:hAnsi="宋体" w:cs="宋体" w:eastAsia="宋体" w:hint="default"/>
                <w:sz w:val="21"/>
                <w:szCs w:val="21"/>
              </w:rPr>
              <w:t>号</w:t>
            </w:r>
          </w:p>
        </w:tc>
      </w:tr>
    </w:tbl>
    <w:p>
      <w:pPr>
        <w:spacing w:line="240" w:lineRule="auto" w:before="1"/>
        <w:rPr>
          <w:rFonts w:ascii="宋体" w:hAnsi="宋体" w:cs="宋体" w:eastAsia="宋体" w:hint="default"/>
          <w:sz w:val="23"/>
          <w:szCs w:val="23"/>
        </w:rPr>
      </w:pPr>
    </w:p>
    <w:p>
      <w:pPr>
        <w:pStyle w:val="Heading5"/>
        <w:spacing w:line="240" w:lineRule="auto" w:before="36"/>
        <w:ind w:left="218" w:right="224"/>
        <w:jc w:val="left"/>
        <w:rPr>
          <w:b w:val="0"/>
          <w:bCs w:val="0"/>
        </w:rPr>
      </w:pPr>
      <w:r>
        <w:rPr/>
        <w:t>二、</w:t>
      </w:r>
      <w:r>
        <w:rPr>
          <w:spacing w:val="44"/>
        </w:rPr>
        <w:t> </w:t>
      </w:r>
      <w:r>
        <w:rPr/>
        <w:t>监管部门对公司的分类结果</w:t>
      </w:r>
      <w:r>
        <w:rPr>
          <w:b w:val="0"/>
          <w:bCs w:val="0"/>
        </w:rPr>
      </w:r>
    </w:p>
    <w:p>
      <w:pPr>
        <w:pStyle w:val="BodyText"/>
        <w:spacing w:line="240" w:lineRule="auto" w:before="56"/>
        <w:ind w:left="218" w:right="224"/>
        <w:jc w:val="left"/>
      </w:pPr>
      <w:r>
        <w:rPr/>
        <w:t>√适用</w:t>
      </w:r>
      <w:r>
        <w:rPr>
          <w:spacing w:val="-1"/>
        </w:rPr>
        <w:t> </w:t>
      </w:r>
      <w:r>
        <w:rPr/>
        <w:t>□不适用</w:t>
      </w:r>
    </w:p>
    <w:p>
      <w:pPr>
        <w:spacing w:line="240" w:lineRule="auto" w:before="2"/>
        <w:rPr>
          <w:rFonts w:ascii="宋体" w:hAnsi="宋体" w:cs="宋体" w:eastAsia="宋体" w:hint="default"/>
          <w:sz w:val="26"/>
          <w:szCs w:val="26"/>
        </w:rPr>
      </w:pPr>
    </w:p>
    <w:tbl>
      <w:tblPr>
        <w:tblW w:w="0" w:type="auto"/>
        <w:jc w:val="left"/>
        <w:tblInd w:w="779" w:type="dxa"/>
        <w:tblLayout w:type="fixed"/>
        <w:tblCellMar>
          <w:top w:w="0" w:type="dxa"/>
          <w:left w:w="0" w:type="dxa"/>
          <w:bottom w:w="0" w:type="dxa"/>
          <w:right w:w="0" w:type="dxa"/>
        </w:tblCellMar>
        <w:tblLook w:val="01E0"/>
      </w:tblPr>
      <w:tblGrid>
        <w:gridCol w:w="3850"/>
        <w:gridCol w:w="3666"/>
      </w:tblGrid>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分类结果</w:t>
            </w: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A</w:t>
            </w:r>
          </w:p>
        </w:tc>
      </w:tr>
      <w:tr>
        <w:trPr>
          <w:trHeight w:val="28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A</w:t>
            </w: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A</w:t>
            </w:r>
          </w:p>
        </w:tc>
      </w:tr>
    </w:tbl>
    <w:sectPr>
      <w:footerReference w:type="default" r:id="rId82"/>
      <w:pgSz w:w="11910" w:h="16840"/>
      <w:pgMar w:footer="1195" w:header="882" w:top="108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09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208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8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8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8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208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8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208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8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08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08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71.169983pt;width:28.8pt;height:11pt;mso-position-horizontal-relative:page;mso-position-vertical-relative:page;z-index:-1209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08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08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09985pt;margin-top:771.169983pt;width:32.4pt;height:11pt;mso-position-horizontal-relative:page;mso-position-vertical-relative:page;z-index:-1208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0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09985pt;margin-top:771.169983pt;width:33.4pt;height:11pt;mso-position-horizontal-relative:page;mso-position-vertical-relative:page;z-index:-1208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329987pt;margin-top:771.169983pt;width:36.950pt;height:11pt;mso-position-horizontal-relative:page;mso-position-vertical-relative:page;z-index:-1208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0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08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08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08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209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208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8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8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9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8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8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8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7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7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170013pt;margin-top:771.169983pt;width:37.950pt;height:11pt;mso-position-horizontal-relative:page;mso-position-vertical-relative:page;z-index:-120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7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70013pt;margin-top:771.169983pt;width:36.950pt;height:11pt;mso-position-horizontal-relative:page;mso-position-vertical-relative:page;z-index:-1207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209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0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37.950pt;height:11pt;mso-position-horizontal-relative:page;mso-position-vertical-relative:page;z-index:-1207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185</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71.169983pt;width:36.950pt;height:11pt;mso-position-horizontal-relative:page;mso-position-vertical-relative:page;z-index:-1207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37.950pt;height:11pt;mso-position-horizontal-relative:page;mso-position-vertical-relative:page;z-index:-1207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71.169983pt;width:36.950pt;height:11pt;mso-position-horizontal-relative:page;mso-position-vertical-relative:page;z-index:-1207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37.950pt;height:11pt;mso-position-horizontal-relative:page;mso-position-vertical-relative:page;z-index:-1207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07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208</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37.950pt;height:11pt;mso-position-horizontal-relative:page;mso-position-vertical-relative:page;z-index:-1207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210</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71.169983pt;width:36.950pt;height:11pt;mso-position-horizontal-relative:page;mso-position-vertical-relative:page;z-index:-1207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07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221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9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9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1209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1209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092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3.410004pt;margin-top:42.985607pt;width:67.55pt;height:12pt;mso-position-horizontal-relative:page;mso-position-vertical-relative:page;z-index:-1209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0880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208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584pt;margin-top:55.799984pt;width:455.35pt;height:.1pt;mso-position-horizontal-relative:page;mso-position-vertical-relative:page;z-index:-1208704" coordorigin="1532,1116" coordsize="9107,2">
          <v:shape style="position:absolute;left:1532;top:1116;width:9107;height:2" coordorigin="1532,1116" coordsize="9107,0" path="m1532,1116l10639,1116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08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5.65pt;height:.1pt;mso-position-horizontal-relative:page;mso-position-vertical-relative:page;z-index:-1208440" coordorigin="1411,1111" coordsize="13913,2">
          <v:shape style="position:absolute;left:1411;top:1111;width:13913;height:2" coordorigin="1411,1111" coordsize="13913,0" path="m1411,1111l15324,1111e" filled="false" stroked="true" strokeweight=".72pt" strokecolor="#000000">
            <v:path arrowok="t"/>
          </v:shape>
          <w10:wrap type="none"/>
        </v:group>
      </w:pict>
    </w:r>
    <w:r>
      <w:rPr/>
      <w:pict>
        <v:shape style="position:absolute;margin-left:384.609985pt;margin-top:42.865631pt;width:67.55pt;height:12pt;mso-position-horizontal-relative:page;mso-position-vertical-relative:page;z-index:-1208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55.5pt;height:.1pt;mso-position-horizontal-relative:page;mso-position-vertical-relative:page;z-index:-1208344" coordorigin="1248,1118" coordsize="9110,2">
          <v:shape style="position:absolute;left:1248;top:1118;width:9110;height:2" coordorigin="1248,1118" coordsize="9110,0" path="m1248,1118l10358,1118e" filled="false" stroked="true" strokeweight=".72pt" strokecolor="#000000">
            <v:path arrowok="t"/>
          </v:shape>
          <w10:wrap type="none"/>
        </v:group>
      </w:pict>
    </w:r>
    <w:r>
      <w:rPr/>
      <w:pict>
        <v:shape style="position:absolute;margin-left:256.329987pt;margin-top:43.105606pt;width:67.55pt;height:12pt;mso-position-horizontal-relative:page;mso-position-vertical-relative:page;z-index:-1208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078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07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64.95pt;height:.1pt;mso-position-horizontal-relative:page;mso-position-vertical-relative:page;z-index:-1207768" coordorigin="1769,1118" coordsize="9299,2">
          <v:shape style="position:absolute;left:1769;top:1118;width:9299;height:2" coordorigin="1769,1118" coordsize="9299,0" path="m1769,1118l11068,1118e" filled="false" stroked="true" strokeweight=".72pt" strokecolor="#000000">
            <v:path arrowok="t"/>
          </v:shape>
          <w10:wrap type="none"/>
        </v:group>
      </w:pict>
    </w:r>
    <w:r>
      <w:rPr/>
      <w:pict>
        <v:shape style="position:absolute;margin-left:287.170013pt;margin-top:43.105606pt;width:67.55pt;height:12pt;mso-position-horizontal-relative:page;mso-position-vertical-relative:page;z-index:-1207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0760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07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64.95pt;height:.1pt;mso-position-horizontal-relative:page;mso-position-vertical-relative:page;z-index:-1207528" coordorigin="1769,1118" coordsize="9299,2">
          <v:shape style="position:absolute;left:1769;top:1118;width:9299;height:2" coordorigin="1769,1118" coordsize="9299,0" path="m1769,1118l11068,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07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outlineLvl w:val="4"/>
    </w:pPr>
    <w:rPr>
      <w:rFonts w:ascii="宋体" w:hAnsi="宋体" w:eastAsia="宋体"/>
      <w:sz w:val="22"/>
      <w:szCs w:val="22"/>
    </w:rPr>
  </w:style>
  <w:style w:styleId="Heading5" w:type="paragraph">
    <w:name w:val="Heading 5"/>
    <w:basedOn w:val="Normal"/>
    <w:uiPriority w:val="1"/>
    <w:qFormat/>
    <w:pPr>
      <w:ind w:left="13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mailto:ir@ctsec.com" TargetMode="External"/><Relationship Id="rId10" Type="http://schemas.openxmlformats.org/officeDocument/2006/relationships/hyperlink" Target="mailto:heganliang@ctsec.com" TargetMode="External"/><Relationship Id="rId11" Type="http://schemas.openxmlformats.org/officeDocument/2006/relationships/hyperlink" Target="http://www.ctsec.com/"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header" Target="header2.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header" Target="header3.xml"/><Relationship Id="rId35" Type="http://schemas.openxmlformats.org/officeDocument/2006/relationships/footer" Target="footer20.xml"/><Relationship Id="rId36" Type="http://schemas.openxmlformats.org/officeDocument/2006/relationships/image" Target="media/image5.jpeg"/><Relationship Id="rId37" Type="http://schemas.openxmlformats.org/officeDocument/2006/relationships/image" Target="media/image6.png"/><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header" Target="header4.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header" Target="header5.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 Id="rId64" Type="http://schemas.openxmlformats.org/officeDocument/2006/relationships/footer" Target="footer45.xml"/><Relationship Id="rId65" Type="http://schemas.openxmlformats.org/officeDocument/2006/relationships/footer" Target="footer46.xml"/><Relationship Id="rId66" Type="http://schemas.openxmlformats.org/officeDocument/2006/relationships/footer" Target="footer4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header" Target="header6.xml"/><Relationship Id="rId70" Type="http://schemas.openxmlformats.org/officeDocument/2006/relationships/footer" Target="footer50.xml"/><Relationship Id="rId71" Type="http://schemas.openxmlformats.org/officeDocument/2006/relationships/header" Target="header7.xml"/><Relationship Id="rId72" Type="http://schemas.openxmlformats.org/officeDocument/2006/relationships/footer" Target="footer51.xml"/><Relationship Id="rId73" Type="http://schemas.openxmlformats.org/officeDocument/2006/relationships/footer" Target="footer52.xml"/><Relationship Id="rId74" Type="http://schemas.openxmlformats.org/officeDocument/2006/relationships/footer" Target="footer53.xml"/><Relationship Id="rId75" Type="http://schemas.openxmlformats.org/officeDocument/2006/relationships/footer" Target="footer54.xml"/><Relationship Id="rId76" Type="http://schemas.openxmlformats.org/officeDocument/2006/relationships/footer" Target="footer55.xml"/><Relationship Id="rId77" Type="http://schemas.openxmlformats.org/officeDocument/2006/relationships/header" Target="header8.xml"/><Relationship Id="rId78" Type="http://schemas.openxmlformats.org/officeDocument/2006/relationships/footer" Target="footer56.xml"/><Relationship Id="rId79" Type="http://schemas.openxmlformats.org/officeDocument/2006/relationships/header" Target="header9.xml"/><Relationship Id="rId80" Type="http://schemas.openxmlformats.org/officeDocument/2006/relationships/footer" Target="footer57.xml"/><Relationship Id="rId81" Type="http://schemas.openxmlformats.org/officeDocument/2006/relationships/footer" Target="footer58.xml"/><Relationship Id="rId82"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2020-05-05T04:07:28Z</dcterms:created>
  <dcterms:modified xsi:type="dcterms:W3CDTF">2020-05-05T04:07:28Z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